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jc w:val="left"/>
        <w:rPr>
          <w:rFonts w:ascii="Times New Roman"/>
          <w:sz w:val="4"/>
        </w:rPr>
      </w:pPr>
    </w:p>
    <w:p>
      <w:pPr>
        <w:pStyle w:val="BodyText"/>
        <w:ind w:left="114"/>
        <w:jc w:val="left"/>
        <w:rPr>
          <w:rFonts w:ascii="Times New Roman"/>
          <w:sz w:val="20"/>
        </w:rPr>
      </w:pPr>
      <w:r>
        <w:rPr>
          <w:rFonts w:ascii="Times New Roman"/>
          <w:sz w:val="20"/>
        </w:rPr>
        <mc:AlternateContent>
          <mc:Choice Requires="wps">
            <w:drawing>
              <wp:inline distT="0" distB="0" distL="0" distR="0">
                <wp:extent cx="6304915" cy="463550"/>
                <wp:effectExtent l="9525" t="0" r="635" b="3175"/>
                <wp:docPr id="5" name="Textbox 5"/>
                <wp:cNvGraphicFramePr>
                  <a:graphicFrameLocks/>
                </wp:cNvGraphicFramePr>
                <a:graphic>
                  <a:graphicData uri="http://schemas.microsoft.com/office/word/2010/wordprocessingShape">
                    <wps:wsp>
                      <wps:cNvPr id="5" name="Textbox 5"/>
                      <wps:cNvSpPr txBox="1"/>
                      <wps:spPr>
                        <a:xfrm>
                          <a:off x="0" y="0"/>
                          <a:ext cx="6304915" cy="463550"/>
                        </a:xfrm>
                        <a:prstGeom prst="rect">
                          <a:avLst/>
                        </a:prstGeom>
                        <a:solidFill>
                          <a:srgbClr val="C5D9F0"/>
                        </a:solidFill>
                        <a:ln w="6096">
                          <a:solidFill>
                            <a:srgbClr val="000000"/>
                          </a:solidFill>
                          <a:prstDash val="solid"/>
                        </a:ln>
                      </wps:spPr>
                      <wps:txbx>
                        <w:txbxContent>
                          <w:p>
                            <w:pPr>
                              <w:spacing w:line="341" w:lineRule="exact" w:before="19"/>
                              <w:ind w:left="0" w:right="2" w:firstLine="0"/>
                              <w:jc w:val="center"/>
                              <w:rPr>
                                <w:b w:val="0"/>
                                <w:color w:val="000000"/>
                                <w:sz w:val="28"/>
                              </w:rPr>
                            </w:pPr>
                            <w:r>
                              <w:rPr>
                                <w:b w:val="0"/>
                                <w:color w:val="000000"/>
                                <w:sz w:val="28"/>
                              </w:rPr>
                              <w:t>Allowance</w:t>
                            </w:r>
                            <w:r>
                              <w:rPr>
                                <w:b w:val="0"/>
                                <w:color w:val="000000"/>
                                <w:spacing w:val="-5"/>
                                <w:sz w:val="28"/>
                              </w:rPr>
                              <w:t> </w:t>
                            </w:r>
                            <w:r>
                              <w:rPr>
                                <w:b w:val="0"/>
                                <w:color w:val="000000"/>
                                <w:sz w:val="28"/>
                              </w:rPr>
                              <w:t>Scheme</w:t>
                            </w:r>
                            <w:r>
                              <w:rPr>
                                <w:b w:val="0"/>
                                <w:color w:val="000000"/>
                                <w:spacing w:val="-5"/>
                                <w:sz w:val="28"/>
                              </w:rPr>
                              <w:t> </w:t>
                            </w:r>
                            <w:r>
                              <w:rPr>
                                <w:b w:val="0"/>
                                <w:color w:val="000000"/>
                                <w:spacing w:val="-2"/>
                                <w:sz w:val="28"/>
                              </w:rPr>
                              <w:t>2025/2026</w:t>
                            </w:r>
                          </w:p>
                          <w:p>
                            <w:pPr>
                              <w:spacing w:line="341" w:lineRule="exact" w:before="0"/>
                              <w:ind w:left="2" w:right="2" w:firstLine="0"/>
                              <w:jc w:val="center"/>
                              <w:rPr>
                                <w:b w:val="0"/>
                                <w:color w:val="000000"/>
                                <w:sz w:val="28"/>
                              </w:rPr>
                            </w:pPr>
                            <w:r>
                              <w:rPr>
                                <w:b w:val="0"/>
                                <w:color w:val="000000"/>
                                <w:sz w:val="28"/>
                              </w:rPr>
                              <w:t>Independent</w:t>
                            </w:r>
                            <w:r>
                              <w:rPr>
                                <w:b w:val="0"/>
                                <w:color w:val="000000"/>
                                <w:spacing w:val="-4"/>
                                <w:sz w:val="28"/>
                              </w:rPr>
                              <w:t> </w:t>
                            </w:r>
                            <w:r>
                              <w:rPr>
                                <w:b w:val="0"/>
                                <w:color w:val="000000"/>
                                <w:sz w:val="28"/>
                              </w:rPr>
                              <w:t>Custody</w:t>
                            </w:r>
                            <w:r>
                              <w:rPr>
                                <w:b w:val="0"/>
                                <w:color w:val="000000"/>
                                <w:spacing w:val="-6"/>
                                <w:sz w:val="28"/>
                              </w:rPr>
                              <w:t> </w:t>
                            </w:r>
                            <w:r>
                              <w:rPr>
                                <w:b w:val="0"/>
                                <w:color w:val="000000"/>
                                <w:sz w:val="28"/>
                              </w:rPr>
                              <w:t>Visitor</w:t>
                            </w:r>
                            <w:r>
                              <w:rPr>
                                <w:b w:val="0"/>
                                <w:color w:val="000000"/>
                                <w:spacing w:val="-5"/>
                                <w:sz w:val="28"/>
                              </w:rPr>
                              <w:t> </w:t>
                            </w:r>
                            <w:r>
                              <w:rPr>
                                <w:b w:val="0"/>
                                <w:color w:val="000000"/>
                                <w:sz w:val="28"/>
                              </w:rPr>
                              <w:t>&amp;</w:t>
                            </w:r>
                            <w:r>
                              <w:rPr>
                                <w:b w:val="0"/>
                                <w:color w:val="000000"/>
                                <w:spacing w:val="-3"/>
                                <w:sz w:val="28"/>
                              </w:rPr>
                              <w:t> </w:t>
                            </w:r>
                            <w:r>
                              <w:rPr>
                                <w:b w:val="0"/>
                                <w:color w:val="000000"/>
                                <w:sz w:val="28"/>
                              </w:rPr>
                              <w:t>Animal</w:t>
                            </w:r>
                            <w:r>
                              <w:rPr>
                                <w:b w:val="0"/>
                                <w:color w:val="000000"/>
                                <w:spacing w:val="-4"/>
                                <w:sz w:val="28"/>
                              </w:rPr>
                              <w:t> </w:t>
                            </w:r>
                            <w:r>
                              <w:rPr>
                                <w:b w:val="0"/>
                                <w:color w:val="000000"/>
                                <w:sz w:val="28"/>
                              </w:rPr>
                              <w:t>Welfare</w:t>
                            </w:r>
                            <w:r>
                              <w:rPr>
                                <w:b w:val="0"/>
                                <w:color w:val="000000"/>
                                <w:spacing w:val="-3"/>
                                <w:sz w:val="28"/>
                              </w:rPr>
                              <w:t> </w:t>
                            </w:r>
                            <w:r>
                              <w:rPr>
                                <w:b w:val="0"/>
                                <w:color w:val="000000"/>
                                <w:sz w:val="28"/>
                              </w:rPr>
                              <w:t>Scheme</w:t>
                            </w:r>
                            <w:r>
                              <w:rPr>
                                <w:b w:val="0"/>
                                <w:color w:val="000000"/>
                                <w:spacing w:val="-3"/>
                                <w:sz w:val="28"/>
                              </w:rPr>
                              <w:t> </w:t>
                            </w:r>
                            <w:r>
                              <w:rPr>
                                <w:b w:val="0"/>
                                <w:color w:val="000000"/>
                                <w:spacing w:val="-2"/>
                                <w:sz w:val="28"/>
                              </w:rPr>
                              <w:t>Visitors</w:t>
                            </w:r>
                          </w:p>
                        </w:txbxContent>
                      </wps:txbx>
                      <wps:bodyPr wrap="square" lIns="0" tIns="0" rIns="0" bIns="0" rtlCol="0">
                        <a:noAutofit/>
                      </wps:bodyPr>
                    </wps:wsp>
                  </a:graphicData>
                </a:graphic>
              </wp:inline>
            </w:drawing>
          </mc:Choice>
          <mc:Fallback>
            <w:pict>
              <v:shape style="width:496.45pt;height:36.5pt;mso-position-horizontal-relative:char;mso-position-vertical-relative:line" type="#_x0000_t202" id="docshape4" filled="true" fillcolor="#c5d9f0" stroked="true" strokeweight=".48004pt" strokecolor="#000000">
                <w10:anchorlock/>
                <v:textbox inset="0,0,0,0">
                  <w:txbxContent>
                    <w:p>
                      <w:pPr>
                        <w:spacing w:line="341" w:lineRule="exact" w:before="19"/>
                        <w:ind w:left="0" w:right="2" w:firstLine="0"/>
                        <w:jc w:val="center"/>
                        <w:rPr>
                          <w:b w:val="0"/>
                          <w:color w:val="000000"/>
                          <w:sz w:val="28"/>
                        </w:rPr>
                      </w:pPr>
                      <w:r>
                        <w:rPr>
                          <w:b w:val="0"/>
                          <w:color w:val="000000"/>
                          <w:sz w:val="28"/>
                        </w:rPr>
                        <w:t>Allowance</w:t>
                      </w:r>
                      <w:r>
                        <w:rPr>
                          <w:b w:val="0"/>
                          <w:color w:val="000000"/>
                          <w:spacing w:val="-5"/>
                          <w:sz w:val="28"/>
                        </w:rPr>
                        <w:t> </w:t>
                      </w:r>
                      <w:r>
                        <w:rPr>
                          <w:b w:val="0"/>
                          <w:color w:val="000000"/>
                          <w:sz w:val="28"/>
                        </w:rPr>
                        <w:t>Scheme</w:t>
                      </w:r>
                      <w:r>
                        <w:rPr>
                          <w:b w:val="0"/>
                          <w:color w:val="000000"/>
                          <w:spacing w:val="-5"/>
                          <w:sz w:val="28"/>
                        </w:rPr>
                        <w:t> </w:t>
                      </w:r>
                      <w:r>
                        <w:rPr>
                          <w:b w:val="0"/>
                          <w:color w:val="000000"/>
                          <w:spacing w:val="-2"/>
                          <w:sz w:val="28"/>
                        </w:rPr>
                        <w:t>2025/2026</w:t>
                      </w:r>
                    </w:p>
                    <w:p>
                      <w:pPr>
                        <w:spacing w:line="341" w:lineRule="exact" w:before="0"/>
                        <w:ind w:left="2" w:right="2" w:firstLine="0"/>
                        <w:jc w:val="center"/>
                        <w:rPr>
                          <w:b w:val="0"/>
                          <w:color w:val="000000"/>
                          <w:sz w:val="28"/>
                        </w:rPr>
                      </w:pPr>
                      <w:r>
                        <w:rPr>
                          <w:b w:val="0"/>
                          <w:color w:val="000000"/>
                          <w:sz w:val="28"/>
                        </w:rPr>
                        <w:t>Independent</w:t>
                      </w:r>
                      <w:r>
                        <w:rPr>
                          <w:b w:val="0"/>
                          <w:color w:val="000000"/>
                          <w:spacing w:val="-4"/>
                          <w:sz w:val="28"/>
                        </w:rPr>
                        <w:t> </w:t>
                      </w:r>
                      <w:r>
                        <w:rPr>
                          <w:b w:val="0"/>
                          <w:color w:val="000000"/>
                          <w:sz w:val="28"/>
                        </w:rPr>
                        <w:t>Custody</w:t>
                      </w:r>
                      <w:r>
                        <w:rPr>
                          <w:b w:val="0"/>
                          <w:color w:val="000000"/>
                          <w:spacing w:val="-6"/>
                          <w:sz w:val="28"/>
                        </w:rPr>
                        <w:t> </w:t>
                      </w:r>
                      <w:r>
                        <w:rPr>
                          <w:b w:val="0"/>
                          <w:color w:val="000000"/>
                          <w:sz w:val="28"/>
                        </w:rPr>
                        <w:t>Visitor</w:t>
                      </w:r>
                      <w:r>
                        <w:rPr>
                          <w:b w:val="0"/>
                          <w:color w:val="000000"/>
                          <w:spacing w:val="-5"/>
                          <w:sz w:val="28"/>
                        </w:rPr>
                        <w:t> </w:t>
                      </w:r>
                      <w:r>
                        <w:rPr>
                          <w:b w:val="0"/>
                          <w:color w:val="000000"/>
                          <w:sz w:val="28"/>
                        </w:rPr>
                        <w:t>&amp;</w:t>
                      </w:r>
                      <w:r>
                        <w:rPr>
                          <w:b w:val="0"/>
                          <w:color w:val="000000"/>
                          <w:spacing w:val="-3"/>
                          <w:sz w:val="28"/>
                        </w:rPr>
                        <w:t> </w:t>
                      </w:r>
                      <w:r>
                        <w:rPr>
                          <w:b w:val="0"/>
                          <w:color w:val="000000"/>
                          <w:sz w:val="28"/>
                        </w:rPr>
                        <w:t>Animal</w:t>
                      </w:r>
                      <w:r>
                        <w:rPr>
                          <w:b w:val="0"/>
                          <w:color w:val="000000"/>
                          <w:spacing w:val="-4"/>
                          <w:sz w:val="28"/>
                        </w:rPr>
                        <w:t> </w:t>
                      </w:r>
                      <w:r>
                        <w:rPr>
                          <w:b w:val="0"/>
                          <w:color w:val="000000"/>
                          <w:sz w:val="28"/>
                        </w:rPr>
                        <w:t>Welfare</w:t>
                      </w:r>
                      <w:r>
                        <w:rPr>
                          <w:b w:val="0"/>
                          <w:color w:val="000000"/>
                          <w:spacing w:val="-3"/>
                          <w:sz w:val="28"/>
                        </w:rPr>
                        <w:t> </w:t>
                      </w:r>
                      <w:r>
                        <w:rPr>
                          <w:b w:val="0"/>
                          <w:color w:val="000000"/>
                          <w:sz w:val="28"/>
                        </w:rPr>
                        <w:t>Scheme</w:t>
                      </w:r>
                      <w:r>
                        <w:rPr>
                          <w:b w:val="0"/>
                          <w:color w:val="000000"/>
                          <w:spacing w:val="-3"/>
                          <w:sz w:val="28"/>
                        </w:rPr>
                        <w:t> </w:t>
                      </w:r>
                      <w:r>
                        <w:rPr>
                          <w:b w:val="0"/>
                          <w:color w:val="000000"/>
                          <w:spacing w:val="-2"/>
                          <w:sz w:val="28"/>
                        </w:rPr>
                        <w:t>Visitors</w:t>
                      </w:r>
                    </w:p>
                  </w:txbxContent>
                </v:textbox>
                <v:fill type="solid"/>
                <v:stroke dashstyle="solid"/>
              </v:shape>
            </w:pict>
          </mc:Fallback>
        </mc:AlternateContent>
      </w:r>
      <w:r>
        <w:rPr>
          <w:rFonts w:ascii="Times New Roman"/>
          <w:sz w:val="20"/>
        </w:rPr>
      </w:r>
    </w:p>
    <w:p>
      <w:pPr>
        <w:pStyle w:val="BodyText"/>
        <w:spacing w:line="360" w:lineRule="auto" w:before="234"/>
        <w:ind w:left="152" w:right="144"/>
        <w:rPr>
          <w:b w:val="0"/>
        </w:rPr>
      </w:pPr>
      <w:r>
        <w:rPr>
          <w:b w:val="0"/>
        </w:rPr>
        <w:t>The Police and Crime Commissioner for Surrey (PCC), in exercise of the powers conferred by the Police and Crime Act 2011, hereby makes the following scheme. This scheme shall have effect from 1</w:t>
      </w:r>
      <w:r>
        <w:rPr>
          <w:b w:val="0"/>
          <w:vertAlign w:val="superscript"/>
        </w:rPr>
        <w:t>st</w:t>
      </w:r>
      <w:r>
        <w:rPr>
          <w:b w:val="0"/>
          <w:vertAlign w:val="baseline"/>
        </w:rPr>
        <w:t> April 2025 – 31</w:t>
      </w:r>
      <w:r>
        <w:rPr>
          <w:b w:val="0"/>
          <w:vertAlign w:val="superscript"/>
        </w:rPr>
        <w:t>st</w:t>
      </w:r>
      <w:r>
        <w:rPr>
          <w:b w:val="0"/>
          <w:vertAlign w:val="baseline"/>
        </w:rPr>
        <w:t> March 2026.</w:t>
      </w:r>
    </w:p>
    <w:p>
      <w:pPr>
        <w:pStyle w:val="BodyText"/>
        <w:spacing w:before="133"/>
        <w:jc w:val="left"/>
        <w:rPr>
          <w:b w:val="0"/>
        </w:rPr>
      </w:pPr>
    </w:p>
    <w:p>
      <w:pPr>
        <w:pStyle w:val="BodyText"/>
        <w:spacing w:before="1"/>
        <w:ind w:left="152"/>
        <w:jc w:val="left"/>
        <w:rPr>
          <w:b w:val="0"/>
        </w:rPr>
      </w:pPr>
      <w:r>
        <w:rPr>
          <w:b w:val="0"/>
          <w:spacing w:val="-2"/>
        </w:rPr>
        <w:t>Definitions</w:t>
      </w:r>
    </w:p>
    <w:p>
      <w:pPr>
        <w:pStyle w:val="BodyText"/>
        <w:spacing w:before="134"/>
        <w:ind w:left="152"/>
        <w:jc w:val="left"/>
        <w:rPr>
          <w:b w:val="0"/>
        </w:rPr>
      </w:pPr>
      <w:r>
        <w:rPr>
          <w:b w:val="0"/>
        </w:rPr>
        <w:t>In</w:t>
      </w:r>
      <w:r>
        <w:rPr>
          <w:b w:val="0"/>
          <w:spacing w:val="-2"/>
        </w:rPr>
        <w:t> </w:t>
      </w:r>
      <w:r>
        <w:rPr>
          <w:b w:val="0"/>
        </w:rPr>
        <w:t>this</w:t>
      </w:r>
      <w:r>
        <w:rPr>
          <w:b w:val="0"/>
          <w:spacing w:val="-2"/>
        </w:rPr>
        <w:t> scheme,</w:t>
      </w:r>
    </w:p>
    <w:p>
      <w:pPr>
        <w:pStyle w:val="BodyText"/>
        <w:spacing w:before="204"/>
        <w:jc w:val="left"/>
        <w:rPr>
          <w:b w:val="0"/>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8"/>
        <w:gridCol w:w="7772"/>
      </w:tblGrid>
      <w:tr>
        <w:trPr>
          <w:trHeight w:val="310" w:hRule="atLeast"/>
        </w:trPr>
        <w:tc>
          <w:tcPr>
            <w:tcW w:w="2148" w:type="dxa"/>
          </w:tcPr>
          <w:p>
            <w:pPr>
              <w:pStyle w:val="TableParagraph"/>
              <w:spacing w:line="225" w:lineRule="exact" w:before="0"/>
              <w:ind w:left="50"/>
              <w:rPr>
                <w:b w:val="0"/>
                <w:sz w:val="22"/>
              </w:rPr>
            </w:pPr>
            <w:r>
              <w:rPr>
                <w:b w:val="0"/>
                <w:spacing w:val="-2"/>
                <w:sz w:val="22"/>
              </w:rPr>
              <w:t>“PCC”</w:t>
            </w:r>
          </w:p>
        </w:tc>
        <w:tc>
          <w:tcPr>
            <w:tcW w:w="7772" w:type="dxa"/>
          </w:tcPr>
          <w:p>
            <w:pPr>
              <w:pStyle w:val="TableParagraph"/>
              <w:spacing w:line="225" w:lineRule="exact" w:before="0"/>
              <w:rPr>
                <w:b w:val="0"/>
                <w:sz w:val="22"/>
              </w:rPr>
            </w:pPr>
            <w:r>
              <w:rPr>
                <w:b w:val="0"/>
                <w:sz w:val="22"/>
              </w:rPr>
              <w:t>means</w:t>
            </w:r>
            <w:r>
              <w:rPr>
                <w:b w:val="0"/>
                <w:spacing w:val="-3"/>
                <w:sz w:val="22"/>
              </w:rPr>
              <w:t> </w:t>
            </w:r>
            <w:r>
              <w:rPr>
                <w:b w:val="0"/>
                <w:sz w:val="22"/>
              </w:rPr>
              <w:t>the</w:t>
            </w:r>
            <w:r>
              <w:rPr>
                <w:b w:val="0"/>
                <w:spacing w:val="-4"/>
                <w:sz w:val="22"/>
              </w:rPr>
              <w:t> </w:t>
            </w:r>
            <w:r>
              <w:rPr>
                <w:b w:val="0"/>
                <w:sz w:val="22"/>
              </w:rPr>
              <w:t>Police</w:t>
            </w:r>
            <w:r>
              <w:rPr>
                <w:b w:val="0"/>
                <w:spacing w:val="-5"/>
                <w:sz w:val="22"/>
              </w:rPr>
              <w:t> </w:t>
            </w:r>
            <w:r>
              <w:rPr>
                <w:b w:val="0"/>
                <w:sz w:val="22"/>
              </w:rPr>
              <w:t>and</w:t>
            </w:r>
            <w:r>
              <w:rPr>
                <w:b w:val="0"/>
                <w:spacing w:val="-3"/>
                <w:sz w:val="22"/>
              </w:rPr>
              <w:t> </w:t>
            </w:r>
            <w:r>
              <w:rPr>
                <w:b w:val="0"/>
                <w:sz w:val="22"/>
              </w:rPr>
              <w:t>Crime</w:t>
            </w:r>
            <w:r>
              <w:rPr>
                <w:b w:val="0"/>
                <w:spacing w:val="1"/>
                <w:sz w:val="22"/>
              </w:rPr>
              <w:t> </w:t>
            </w:r>
            <w:r>
              <w:rPr>
                <w:b w:val="0"/>
                <w:spacing w:val="-2"/>
                <w:sz w:val="22"/>
              </w:rPr>
              <w:t>Commissioner</w:t>
            </w:r>
          </w:p>
        </w:tc>
      </w:tr>
      <w:tr>
        <w:trPr>
          <w:trHeight w:val="401" w:hRule="atLeast"/>
        </w:trPr>
        <w:tc>
          <w:tcPr>
            <w:tcW w:w="2148" w:type="dxa"/>
          </w:tcPr>
          <w:p>
            <w:pPr>
              <w:pStyle w:val="TableParagraph"/>
              <w:spacing w:before="46"/>
              <w:ind w:left="50"/>
              <w:rPr>
                <w:b w:val="0"/>
                <w:sz w:val="22"/>
              </w:rPr>
            </w:pPr>
            <w:r>
              <w:rPr>
                <w:b w:val="0"/>
                <w:spacing w:val="-2"/>
                <w:sz w:val="22"/>
              </w:rPr>
              <w:t>“OPCC”</w:t>
            </w:r>
          </w:p>
        </w:tc>
        <w:tc>
          <w:tcPr>
            <w:tcW w:w="7772" w:type="dxa"/>
          </w:tcPr>
          <w:p>
            <w:pPr>
              <w:pStyle w:val="TableParagraph"/>
              <w:spacing w:before="46"/>
              <w:rPr>
                <w:b w:val="0"/>
                <w:sz w:val="22"/>
              </w:rPr>
            </w:pPr>
            <w:r>
              <w:rPr>
                <w:b w:val="0"/>
                <w:sz w:val="22"/>
              </w:rPr>
              <w:t>means</w:t>
            </w:r>
            <w:r>
              <w:rPr>
                <w:b w:val="0"/>
                <w:spacing w:val="-4"/>
                <w:sz w:val="22"/>
              </w:rPr>
              <w:t> </w:t>
            </w:r>
            <w:r>
              <w:rPr>
                <w:b w:val="0"/>
                <w:sz w:val="22"/>
              </w:rPr>
              <w:t>the</w:t>
            </w:r>
            <w:r>
              <w:rPr>
                <w:b w:val="0"/>
                <w:spacing w:val="-2"/>
                <w:sz w:val="22"/>
              </w:rPr>
              <w:t> </w:t>
            </w:r>
            <w:r>
              <w:rPr>
                <w:b w:val="0"/>
                <w:sz w:val="22"/>
              </w:rPr>
              <w:t>Office</w:t>
            </w:r>
            <w:r>
              <w:rPr>
                <w:b w:val="0"/>
                <w:spacing w:val="-4"/>
                <w:sz w:val="22"/>
              </w:rPr>
              <w:t> </w:t>
            </w:r>
            <w:r>
              <w:rPr>
                <w:b w:val="0"/>
                <w:sz w:val="22"/>
              </w:rPr>
              <w:t>of</w:t>
            </w:r>
            <w:r>
              <w:rPr>
                <w:b w:val="0"/>
                <w:spacing w:val="-4"/>
                <w:sz w:val="22"/>
              </w:rPr>
              <w:t> </w:t>
            </w:r>
            <w:r>
              <w:rPr>
                <w:b w:val="0"/>
                <w:sz w:val="22"/>
              </w:rPr>
              <w:t>the</w:t>
            </w:r>
            <w:r>
              <w:rPr>
                <w:b w:val="0"/>
                <w:spacing w:val="-3"/>
                <w:sz w:val="22"/>
              </w:rPr>
              <w:t> </w:t>
            </w:r>
            <w:r>
              <w:rPr>
                <w:b w:val="0"/>
                <w:spacing w:val="-5"/>
                <w:sz w:val="22"/>
              </w:rPr>
              <w:t>PCC</w:t>
            </w:r>
          </w:p>
        </w:tc>
      </w:tr>
      <w:tr>
        <w:trPr>
          <w:trHeight w:val="403" w:hRule="atLeast"/>
        </w:trPr>
        <w:tc>
          <w:tcPr>
            <w:tcW w:w="2148" w:type="dxa"/>
          </w:tcPr>
          <w:p>
            <w:pPr>
              <w:pStyle w:val="TableParagraph"/>
              <w:ind w:left="50"/>
              <w:rPr>
                <w:b w:val="0"/>
                <w:sz w:val="22"/>
              </w:rPr>
            </w:pPr>
            <w:r>
              <w:rPr>
                <w:b w:val="0"/>
                <w:spacing w:val="-4"/>
                <w:sz w:val="22"/>
              </w:rPr>
              <w:t>“CE”</w:t>
            </w:r>
          </w:p>
        </w:tc>
        <w:tc>
          <w:tcPr>
            <w:tcW w:w="7772" w:type="dxa"/>
          </w:tcPr>
          <w:p>
            <w:pPr>
              <w:pStyle w:val="TableParagraph"/>
              <w:rPr>
                <w:b w:val="0"/>
                <w:sz w:val="22"/>
              </w:rPr>
            </w:pPr>
            <w:r>
              <w:rPr>
                <w:b w:val="0"/>
                <w:sz w:val="22"/>
              </w:rPr>
              <w:t>means</w:t>
            </w:r>
            <w:r>
              <w:rPr>
                <w:b w:val="0"/>
                <w:spacing w:val="-5"/>
                <w:sz w:val="22"/>
              </w:rPr>
              <w:t> </w:t>
            </w:r>
            <w:r>
              <w:rPr>
                <w:b w:val="0"/>
                <w:sz w:val="22"/>
              </w:rPr>
              <w:t>the</w:t>
            </w:r>
            <w:r>
              <w:rPr>
                <w:b w:val="0"/>
                <w:spacing w:val="-3"/>
                <w:sz w:val="22"/>
              </w:rPr>
              <w:t> </w:t>
            </w:r>
            <w:r>
              <w:rPr>
                <w:b w:val="0"/>
                <w:sz w:val="22"/>
              </w:rPr>
              <w:t>Chief</w:t>
            </w:r>
            <w:r>
              <w:rPr>
                <w:b w:val="0"/>
                <w:spacing w:val="-3"/>
                <w:sz w:val="22"/>
              </w:rPr>
              <w:t> </w:t>
            </w:r>
            <w:r>
              <w:rPr>
                <w:b w:val="0"/>
                <w:sz w:val="22"/>
              </w:rPr>
              <w:t>Executive</w:t>
            </w:r>
            <w:r>
              <w:rPr>
                <w:b w:val="0"/>
                <w:spacing w:val="-3"/>
                <w:sz w:val="22"/>
              </w:rPr>
              <w:t> </w:t>
            </w:r>
            <w:r>
              <w:rPr>
                <w:b w:val="0"/>
                <w:sz w:val="22"/>
              </w:rPr>
              <w:t>to</w:t>
            </w:r>
            <w:r>
              <w:rPr>
                <w:b w:val="0"/>
                <w:spacing w:val="-5"/>
                <w:sz w:val="22"/>
              </w:rPr>
              <w:t> </w:t>
            </w:r>
            <w:r>
              <w:rPr>
                <w:b w:val="0"/>
                <w:sz w:val="22"/>
              </w:rPr>
              <w:t>Surrey</w:t>
            </w:r>
            <w:r>
              <w:rPr>
                <w:b w:val="0"/>
                <w:spacing w:val="-5"/>
                <w:sz w:val="22"/>
              </w:rPr>
              <w:t> PCC</w:t>
            </w:r>
          </w:p>
        </w:tc>
      </w:tr>
      <w:tr>
        <w:trPr>
          <w:trHeight w:val="806" w:hRule="atLeast"/>
        </w:trPr>
        <w:tc>
          <w:tcPr>
            <w:tcW w:w="2148" w:type="dxa"/>
          </w:tcPr>
          <w:p>
            <w:pPr>
              <w:pStyle w:val="TableParagraph"/>
              <w:ind w:left="50"/>
              <w:rPr>
                <w:b w:val="0"/>
                <w:sz w:val="22"/>
              </w:rPr>
            </w:pPr>
            <w:r>
              <w:rPr>
                <w:b w:val="0"/>
                <w:spacing w:val="-2"/>
                <w:sz w:val="22"/>
              </w:rPr>
              <w:t>“ICV”</w:t>
            </w:r>
          </w:p>
        </w:tc>
        <w:tc>
          <w:tcPr>
            <w:tcW w:w="7772" w:type="dxa"/>
          </w:tcPr>
          <w:p>
            <w:pPr>
              <w:pStyle w:val="TableParagraph"/>
              <w:rPr>
                <w:b w:val="0"/>
                <w:sz w:val="22"/>
              </w:rPr>
            </w:pPr>
            <w:r>
              <w:rPr>
                <w:b w:val="0"/>
                <w:sz w:val="22"/>
              </w:rPr>
              <w:t>means</w:t>
            </w:r>
            <w:r>
              <w:rPr>
                <w:b w:val="0"/>
                <w:spacing w:val="32"/>
                <w:sz w:val="22"/>
              </w:rPr>
              <w:t> </w:t>
            </w:r>
            <w:r>
              <w:rPr>
                <w:b w:val="0"/>
                <w:sz w:val="22"/>
              </w:rPr>
              <w:t>an</w:t>
            </w:r>
            <w:r>
              <w:rPr>
                <w:b w:val="0"/>
                <w:spacing w:val="33"/>
                <w:sz w:val="22"/>
              </w:rPr>
              <w:t> </w:t>
            </w:r>
            <w:r>
              <w:rPr>
                <w:b w:val="0"/>
                <w:sz w:val="22"/>
              </w:rPr>
              <w:t>independent</w:t>
            </w:r>
            <w:r>
              <w:rPr>
                <w:b w:val="0"/>
                <w:spacing w:val="33"/>
                <w:sz w:val="22"/>
              </w:rPr>
              <w:t> </w:t>
            </w:r>
            <w:r>
              <w:rPr>
                <w:b w:val="0"/>
                <w:sz w:val="22"/>
              </w:rPr>
              <w:t>person</w:t>
            </w:r>
            <w:r>
              <w:rPr>
                <w:b w:val="0"/>
                <w:spacing w:val="34"/>
                <w:sz w:val="22"/>
              </w:rPr>
              <w:t> </w:t>
            </w:r>
            <w:r>
              <w:rPr>
                <w:b w:val="0"/>
                <w:sz w:val="22"/>
              </w:rPr>
              <w:t>who</w:t>
            </w:r>
            <w:r>
              <w:rPr>
                <w:b w:val="0"/>
                <w:spacing w:val="35"/>
                <w:sz w:val="22"/>
              </w:rPr>
              <w:t> </w:t>
            </w:r>
            <w:r>
              <w:rPr>
                <w:b w:val="0"/>
                <w:sz w:val="22"/>
              </w:rPr>
              <w:t>is</w:t>
            </w:r>
            <w:r>
              <w:rPr>
                <w:b w:val="0"/>
                <w:spacing w:val="34"/>
                <w:sz w:val="22"/>
              </w:rPr>
              <w:t> </w:t>
            </w:r>
            <w:r>
              <w:rPr>
                <w:b w:val="0"/>
                <w:sz w:val="22"/>
              </w:rPr>
              <w:t>currently</w:t>
            </w:r>
            <w:r>
              <w:rPr>
                <w:b w:val="0"/>
                <w:spacing w:val="33"/>
                <w:sz w:val="22"/>
              </w:rPr>
              <w:t> </w:t>
            </w:r>
            <w:r>
              <w:rPr>
                <w:b w:val="0"/>
                <w:sz w:val="22"/>
              </w:rPr>
              <w:t>a</w:t>
            </w:r>
            <w:r>
              <w:rPr>
                <w:b w:val="0"/>
                <w:spacing w:val="30"/>
                <w:sz w:val="22"/>
              </w:rPr>
              <w:t> </w:t>
            </w:r>
            <w:r>
              <w:rPr>
                <w:b w:val="0"/>
                <w:sz w:val="22"/>
              </w:rPr>
              <w:t>member</w:t>
            </w:r>
            <w:r>
              <w:rPr>
                <w:b w:val="0"/>
                <w:spacing w:val="33"/>
                <w:sz w:val="22"/>
              </w:rPr>
              <w:t> </w:t>
            </w:r>
            <w:r>
              <w:rPr>
                <w:b w:val="0"/>
                <w:sz w:val="22"/>
              </w:rPr>
              <w:t>of</w:t>
            </w:r>
            <w:r>
              <w:rPr>
                <w:b w:val="0"/>
                <w:spacing w:val="33"/>
                <w:sz w:val="22"/>
              </w:rPr>
              <w:t> </w:t>
            </w:r>
            <w:r>
              <w:rPr>
                <w:b w:val="0"/>
                <w:sz w:val="22"/>
              </w:rPr>
              <w:t>the</w:t>
            </w:r>
            <w:r>
              <w:rPr>
                <w:b w:val="0"/>
                <w:spacing w:val="33"/>
                <w:sz w:val="22"/>
              </w:rPr>
              <w:t> </w:t>
            </w:r>
            <w:r>
              <w:rPr>
                <w:b w:val="0"/>
                <w:spacing w:val="-2"/>
                <w:sz w:val="22"/>
              </w:rPr>
              <w:t>Independent</w:t>
            </w:r>
          </w:p>
          <w:p>
            <w:pPr>
              <w:pStyle w:val="TableParagraph"/>
              <w:spacing w:before="135"/>
              <w:rPr>
                <w:b w:val="0"/>
                <w:sz w:val="22"/>
              </w:rPr>
            </w:pPr>
            <w:r>
              <w:rPr>
                <w:b w:val="0"/>
                <w:sz w:val="22"/>
              </w:rPr>
              <w:t>Custody</w:t>
            </w:r>
            <w:r>
              <w:rPr>
                <w:b w:val="0"/>
                <w:spacing w:val="-3"/>
                <w:sz w:val="22"/>
              </w:rPr>
              <w:t> </w:t>
            </w:r>
            <w:r>
              <w:rPr>
                <w:b w:val="0"/>
                <w:sz w:val="22"/>
              </w:rPr>
              <w:t>Visitor</w:t>
            </w:r>
            <w:r>
              <w:rPr>
                <w:b w:val="0"/>
                <w:spacing w:val="-6"/>
                <w:sz w:val="22"/>
              </w:rPr>
              <w:t> </w:t>
            </w:r>
            <w:r>
              <w:rPr>
                <w:b w:val="0"/>
                <w:sz w:val="22"/>
              </w:rPr>
              <w:t>Scheme</w:t>
            </w:r>
            <w:r>
              <w:rPr>
                <w:b w:val="0"/>
                <w:spacing w:val="-3"/>
                <w:sz w:val="22"/>
              </w:rPr>
              <w:t> </w:t>
            </w:r>
            <w:r>
              <w:rPr>
                <w:b w:val="0"/>
                <w:sz w:val="22"/>
              </w:rPr>
              <w:t>operated</w:t>
            </w:r>
            <w:r>
              <w:rPr>
                <w:b w:val="0"/>
                <w:spacing w:val="-5"/>
                <w:sz w:val="22"/>
              </w:rPr>
              <w:t> </w:t>
            </w:r>
            <w:r>
              <w:rPr>
                <w:b w:val="0"/>
                <w:sz w:val="22"/>
              </w:rPr>
              <w:t>by</w:t>
            </w:r>
            <w:r>
              <w:rPr>
                <w:b w:val="0"/>
                <w:spacing w:val="-3"/>
                <w:sz w:val="22"/>
              </w:rPr>
              <w:t> </w:t>
            </w:r>
            <w:r>
              <w:rPr>
                <w:b w:val="0"/>
                <w:sz w:val="22"/>
              </w:rPr>
              <w:t>the</w:t>
            </w:r>
            <w:r>
              <w:rPr>
                <w:b w:val="0"/>
                <w:spacing w:val="-5"/>
                <w:sz w:val="22"/>
              </w:rPr>
              <w:t> </w:t>
            </w:r>
            <w:r>
              <w:rPr>
                <w:b w:val="0"/>
                <w:sz w:val="22"/>
              </w:rPr>
              <w:t>Surrey</w:t>
            </w:r>
            <w:r>
              <w:rPr>
                <w:b w:val="0"/>
                <w:spacing w:val="-2"/>
                <w:sz w:val="22"/>
              </w:rPr>
              <w:t> </w:t>
            </w:r>
            <w:r>
              <w:rPr>
                <w:b w:val="0"/>
                <w:spacing w:val="-4"/>
                <w:sz w:val="22"/>
              </w:rPr>
              <w:t>PCC.</w:t>
            </w:r>
          </w:p>
        </w:tc>
      </w:tr>
      <w:tr>
        <w:trPr>
          <w:trHeight w:val="797" w:hRule="atLeast"/>
        </w:trPr>
        <w:tc>
          <w:tcPr>
            <w:tcW w:w="2148" w:type="dxa"/>
          </w:tcPr>
          <w:p>
            <w:pPr>
              <w:pStyle w:val="TableParagraph"/>
              <w:ind w:left="50"/>
              <w:rPr>
                <w:b w:val="0"/>
                <w:sz w:val="22"/>
              </w:rPr>
            </w:pPr>
            <w:r>
              <w:rPr>
                <w:b w:val="0"/>
                <w:spacing w:val="-4"/>
                <w:sz w:val="22"/>
              </w:rPr>
              <w:t>“AWS”</w:t>
            </w:r>
          </w:p>
        </w:tc>
        <w:tc>
          <w:tcPr>
            <w:tcW w:w="7772" w:type="dxa"/>
          </w:tcPr>
          <w:p>
            <w:pPr>
              <w:pStyle w:val="TableParagraph"/>
              <w:rPr>
                <w:b w:val="0"/>
                <w:sz w:val="22"/>
              </w:rPr>
            </w:pPr>
            <w:r>
              <w:rPr>
                <w:b w:val="0"/>
                <w:sz w:val="22"/>
              </w:rPr>
              <w:t>Means</w:t>
            </w:r>
            <w:r>
              <w:rPr>
                <w:b w:val="0"/>
                <w:spacing w:val="9"/>
                <w:sz w:val="22"/>
              </w:rPr>
              <w:t> </w:t>
            </w:r>
            <w:r>
              <w:rPr>
                <w:b w:val="0"/>
                <w:sz w:val="22"/>
              </w:rPr>
              <w:t>an</w:t>
            </w:r>
            <w:r>
              <w:rPr>
                <w:b w:val="0"/>
                <w:spacing w:val="12"/>
                <w:sz w:val="22"/>
              </w:rPr>
              <w:t> </w:t>
            </w:r>
            <w:r>
              <w:rPr>
                <w:b w:val="0"/>
                <w:sz w:val="22"/>
              </w:rPr>
              <w:t>independent</w:t>
            </w:r>
            <w:r>
              <w:rPr>
                <w:b w:val="0"/>
                <w:spacing w:val="9"/>
                <w:sz w:val="22"/>
              </w:rPr>
              <w:t> </w:t>
            </w:r>
            <w:r>
              <w:rPr>
                <w:b w:val="0"/>
                <w:sz w:val="22"/>
              </w:rPr>
              <w:t>person</w:t>
            </w:r>
            <w:r>
              <w:rPr>
                <w:b w:val="0"/>
                <w:spacing w:val="9"/>
                <w:sz w:val="22"/>
              </w:rPr>
              <w:t> </w:t>
            </w:r>
            <w:r>
              <w:rPr>
                <w:b w:val="0"/>
                <w:sz w:val="22"/>
              </w:rPr>
              <w:t>who</w:t>
            </w:r>
            <w:r>
              <w:rPr>
                <w:b w:val="0"/>
                <w:spacing w:val="12"/>
                <w:sz w:val="22"/>
              </w:rPr>
              <w:t> </w:t>
            </w:r>
            <w:r>
              <w:rPr>
                <w:b w:val="0"/>
                <w:sz w:val="22"/>
              </w:rPr>
              <w:t>is</w:t>
            </w:r>
            <w:r>
              <w:rPr>
                <w:b w:val="0"/>
                <w:spacing w:val="11"/>
                <w:sz w:val="22"/>
              </w:rPr>
              <w:t> </w:t>
            </w:r>
            <w:r>
              <w:rPr>
                <w:b w:val="0"/>
                <w:sz w:val="22"/>
              </w:rPr>
              <w:t>currently</w:t>
            </w:r>
            <w:r>
              <w:rPr>
                <w:b w:val="0"/>
                <w:spacing w:val="12"/>
                <w:sz w:val="22"/>
              </w:rPr>
              <w:t> </w:t>
            </w:r>
            <w:r>
              <w:rPr>
                <w:b w:val="0"/>
                <w:sz w:val="22"/>
              </w:rPr>
              <w:t>a</w:t>
            </w:r>
            <w:r>
              <w:rPr>
                <w:b w:val="0"/>
                <w:spacing w:val="8"/>
                <w:sz w:val="22"/>
              </w:rPr>
              <w:t> </w:t>
            </w:r>
            <w:r>
              <w:rPr>
                <w:b w:val="0"/>
                <w:sz w:val="22"/>
              </w:rPr>
              <w:t>member</w:t>
            </w:r>
            <w:r>
              <w:rPr>
                <w:b w:val="0"/>
                <w:spacing w:val="10"/>
                <w:sz w:val="22"/>
              </w:rPr>
              <w:t> </w:t>
            </w:r>
            <w:r>
              <w:rPr>
                <w:b w:val="0"/>
                <w:sz w:val="22"/>
              </w:rPr>
              <w:t>of</w:t>
            </w:r>
            <w:r>
              <w:rPr>
                <w:b w:val="0"/>
                <w:spacing w:val="9"/>
                <w:sz w:val="22"/>
              </w:rPr>
              <w:t> </w:t>
            </w:r>
            <w:r>
              <w:rPr>
                <w:b w:val="0"/>
                <w:sz w:val="22"/>
              </w:rPr>
              <w:t>the</w:t>
            </w:r>
            <w:r>
              <w:rPr>
                <w:b w:val="0"/>
                <w:spacing w:val="16"/>
                <w:sz w:val="22"/>
              </w:rPr>
              <w:t> </w:t>
            </w:r>
            <w:r>
              <w:rPr>
                <w:b w:val="0"/>
                <w:sz w:val="22"/>
              </w:rPr>
              <w:t>Animal</w:t>
            </w:r>
            <w:r>
              <w:rPr>
                <w:b w:val="0"/>
                <w:spacing w:val="10"/>
                <w:sz w:val="22"/>
              </w:rPr>
              <w:t> </w:t>
            </w:r>
            <w:r>
              <w:rPr>
                <w:b w:val="0"/>
                <w:spacing w:val="-2"/>
                <w:sz w:val="22"/>
              </w:rPr>
              <w:t>Welfare</w:t>
            </w:r>
          </w:p>
          <w:p>
            <w:pPr>
              <w:pStyle w:val="TableParagraph"/>
              <w:spacing w:before="135"/>
              <w:rPr>
                <w:b w:val="0"/>
                <w:sz w:val="22"/>
              </w:rPr>
            </w:pPr>
            <w:r>
              <w:rPr>
                <w:b w:val="0"/>
                <w:sz w:val="22"/>
              </w:rPr>
              <w:t>Scheme</w:t>
            </w:r>
            <w:r>
              <w:rPr>
                <w:b w:val="0"/>
                <w:spacing w:val="-3"/>
                <w:sz w:val="22"/>
              </w:rPr>
              <w:t> </w:t>
            </w:r>
            <w:r>
              <w:rPr>
                <w:b w:val="0"/>
                <w:sz w:val="22"/>
              </w:rPr>
              <w:t>operated</w:t>
            </w:r>
            <w:r>
              <w:rPr>
                <w:b w:val="0"/>
                <w:spacing w:val="-4"/>
                <w:sz w:val="22"/>
              </w:rPr>
              <w:t> </w:t>
            </w:r>
            <w:r>
              <w:rPr>
                <w:b w:val="0"/>
                <w:sz w:val="22"/>
              </w:rPr>
              <w:t>by</w:t>
            </w:r>
            <w:r>
              <w:rPr>
                <w:b w:val="0"/>
                <w:spacing w:val="-3"/>
                <w:sz w:val="22"/>
              </w:rPr>
              <w:t> </w:t>
            </w:r>
            <w:r>
              <w:rPr>
                <w:b w:val="0"/>
                <w:sz w:val="22"/>
              </w:rPr>
              <w:t>the</w:t>
            </w:r>
            <w:r>
              <w:rPr>
                <w:b w:val="0"/>
                <w:spacing w:val="-5"/>
                <w:sz w:val="22"/>
              </w:rPr>
              <w:t> </w:t>
            </w:r>
            <w:r>
              <w:rPr>
                <w:b w:val="0"/>
                <w:sz w:val="22"/>
              </w:rPr>
              <w:t>Surrey</w:t>
            </w:r>
            <w:r>
              <w:rPr>
                <w:b w:val="0"/>
                <w:spacing w:val="-4"/>
                <w:sz w:val="22"/>
              </w:rPr>
              <w:t> </w:t>
            </w:r>
            <w:r>
              <w:rPr>
                <w:b w:val="0"/>
                <w:spacing w:val="-5"/>
                <w:sz w:val="22"/>
              </w:rPr>
              <w:t>PCC</w:t>
            </w:r>
          </w:p>
        </w:tc>
      </w:tr>
      <w:tr>
        <w:trPr>
          <w:trHeight w:val="411" w:hRule="atLeast"/>
        </w:trPr>
        <w:tc>
          <w:tcPr>
            <w:tcW w:w="2148" w:type="dxa"/>
          </w:tcPr>
          <w:p>
            <w:pPr>
              <w:pStyle w:val="TableParagraph"/>
              <w:spacing w:before="56"/>
              <w:ind w:left="50"/>
              <w:rPr>
                <w:b w:val="0"/>
                <w:sz w:val="22"/>
              </w:rPr>
            </w:pPr>
            <w:r>
              <w:rPr>
                <w:b w:val="0"/>
                <w:sz w:val="22"/>
              </w:rPr>
              <w:t>“Scheme</w:t>
            </w:r>
            <w:r>
              <w:rPr>
                <w:b w:val="0"/>
                <w:spacing w:val="-6"/>
                <w:sz w:val="22"/>
              </w:rPr>
              <w:t> </w:t>
            </w:r>
            <w:r>
              <w:rPr>
                <w:b w:val="0"/>
                <w:spacing w:val="-2"/>
                <w:sz w:val="22"/>
              </w:rPr>
              <w:t>Year”</w:t>
            </w:r>
          </w:p>
        </w:tc>
        <w:tc>
          <w:tcPr>
            <w:tcW w:w="7772" w:type="dxa"/>
          </w:tcPr>
          <w:p>
            <w:pPr>
              <w:pStyle w:val="TableParagraph"/>
              <w:spacing w:before="56"/>
              <w:rPr>
                <w:b w:val="0"/>
                <w:sz w:val="22"/>
              </w:rPr>
            </w:pPr>
            <w:r>
              <w:rPr>
                <w:b w:val="0"/>
                <w:sz w:val="22"/>
              </w:rPr>
              <w:t>means</w:t>
            </w:r>
            <w:r>
              <w:rPr>
                <w:b w:val="0"/>
                <w:spacing w:val="-5"/>
                <w:sz w:val="22"/>
              </w:rPr>
              <w:t> </w:t>
            </w:r>
            <w:r>
              <w:rPr>
                <w:b w:val="0"/>
                <w:sz w:val="22"/>
              </w:rPr>
              <w:t>the</w:t>
            </w:r>
            <w:r>
              <w:rPr>
                <w:b w:val="0"/>
                <w:spacing w:val="-3"/>
                <w:sz w:val="22"/>
              </w:rPr>
              <w:t> </w:t>
            </w:r>
            <w:r>
              <w:rPr>
                <w:b w:val="0"/>
                <w:sz w:val="22"/>
              </w:rPr>
              <w:t>period</w:t>
            </w:r>
            <w:r>
              <w:rPr>
                <w:b w:val="0"/>
                <w:spacing w:val="-5"/>
                <w:sz w:val="22"/>
              </w:rPr>
              <w:t> </w:t>
            </w:r>
            <w:r>
              <w:rPr>
                <w:b w:val="0"/>
                <w:sz w:val="22"/>
              </w:rPr>
              <w:t>of</w:t>
            </w:r>
            <w:r>
              <w:rPr>
                <w:b w:val="0"/>
                <w:spacing w:val="-1"/>
                <w:sz w:val="22"/>
              </w:rPr>
              <w:t> </w:t>
            </w:r>
            <w:r>
              <w:rPr>
                <w:b w:val="0"/>
                <w:sz w:val="22"/>
              </w:rPr>
              <w:t>12</w:t>
            </w:r>
            <w:r>
              <w:rPr>
                <w:b w:val="0"/>
                <w:spacing w:val="-2"/>
                <w:sz w:val="22"/>
              </w:rPr>
              <w:t> </w:t>
            </w:r>
            <w:r>
              <w:rPr>
                <w:b w:val="0"/>
                <w:sz w:val="22"/>
              </w:rPr>
              <w:t>months</w:t>
            </w:r>
            <w:r>
              <w:rPr>
                <w:b w:val="0"/>
                <w:spacing w:val="-3"/>
                <w:sz w:val="22"/>
              </w:rPr>
              <w:t> </w:t>
            </w:r>
            <w:r>
              <w:rPr>
                <w:b w:val="0"/>
                <w:sz w:val="22"/>
              </w:rPr>
              <w:t>ending</w:t>
            </w:r>
            <w:r>
              <w:rPr>
                <w:b w:val="0"/>
                <w:spacing w:val="-4"/>
                <w:sz w:val="22"/>
              </w:rPr>
              <w:t> </w:t>
            </w:r>
            <w:r>
              <w:rPr>
                <w:b w:val="0"/>
                <w:sz w:val="22"/>
              </w:rPr>
              <w:t>on</w:t>
            </w:r>
            <w:r>
              <w:rPr>
                <w:b w:val="0"/>
                <w:spacing w:val="-4"/>
                <w:sz w:val="22"/>
              </w:rPr>
              <w:t> </w:t>
            </w:r>
            <w:r>
              <w:rPr>
                <w:b w:val="0"/>
                <w:sz w:val="22"/>
              </w:rPr>
              <w:t>31</w:t>
            </w:r>
            <w:r>
              <w:rPr>
                <w:b w:val="0"/>
                <w:sz w:val="22"/>
                <w:vertAlign w:val="superscript"/>
              </w:rPr>
              <w:t>st</w:t>
            </w:r>
            <w:r>
              <w:rPr>
                <w:b w:val="0"/>
                <w:spacing w:val="-2"/>
                <w:sz w:val="22"/>
                <w:vertAlign w:val="baseline"/>
              </w:rPr>
              <w:t> </w:t>
            </w:r>
            <w:r>
              <w:rPr>
                <w:b w:val="0"/>
                <w:sz w:val="22"/>
                <w:vertAlign w:val="baseline"/>
              </w:rPr>
              <w:t>March</w:t>
            </w:r>
            <w:r>
              <w:rPr>
                <w:b w:val="0"/>
                <w:spacing w:val="-3"/>
                <w:sz w:val="22"/>
                <w:vertAlign w:val="baseline"/>
              </w:rPr>
              <w:t> </w:t>
            </w:r>
            <w:r>
              <w:rPr>
                <w:b w:val="0"/>
                <w:spacing w:val="-2"/>
                <w:sz w:val="22"/>
                <w:vertAlign w:val="baseline"/>
              </w:rPr>
              <w:t>2026.</w:t>
            </w:r>
          </w:p>
        </w:tc>
      </w:tr>
      <w:tr>
        <w:trPr>
          <w:trHeight w:val="713" w:hRule="atLeast"/>
        </w:trPr>
        <w:tc>
          <w:tcPr>
            <w:tcW w:w="2148" w:type="dxa"/>
          </w:tcPr>
          <w:p>
            <w:pPr>
              <w:pStyle w:val="TableParagraph"/>
              <w:spacing w:before="46"/>
              <w:ind w:left="50"/>
              <w:rPr>
                <w:b w:val="0"/>
                <w:sz w:val="22"/>
              </w:rPr>
            </w:pPr>
            <w:r>
              <w:rPr>
                <w:b w:val="0"/>
                <w:sz w:val="22"/>
              </w:rPr>
              <w:t>“Business</w:t>
            </w:r>
            <w:r>
              <w:rPr>
                <w:b w:val="0"/>
                <w:spacing w:val="-7"/>
                <w:sz w:val="22"/>
              </w:rPr>
              <w:t> </w:t>
            </w:r>
            <w:r>
              <w:rPr>
                <w:b w:val="0"/>
                <w:spacing w:val="-2"/>
                <w:sz w:val="22"/>
              </w:rPr>
              <w:t>address”</w:t>
            </w:r>
          </w:p>
        </w:tc>
        <w:tc>
          <w:tcPr>
            <w:tcW w:w="7772" w:type="dxa"/>
          </w:tcPr>
          <w:p>
            <w:pPr>
              <w:pStyle w:val="TableParagraph"/>
              <w:spacing w:before="46"/>
              <w:rPr>
                <w:b w:val="0"/>
                <w:sz w:val="22"/>
              </w:rPr>
            </w:pPr>
            <w:r>
              <w:rPr>
                <w:b w:val="0"/>
                <w:sz w:val="22"/>
              </w:rPr>
              <w:t>means</w:t>
            </w:r>
            <w:r>
              <w:rPr>
                <w:b w:val="0"/>
                <w:spacing w:val="41"/>
                <w:sz w:val="22"/>
              </w:rPr>
              <w:t> </w:t>
            </w:r>
            <w:r>
              <w:rPr>
                <w:b w:val="0"/>
                <w:sz w:val="22"/>
              </w:rPr>
              <w:t>the</w:t>
            </w:r>
            <w:r>
              <w:rPr>
                <w:b w:val="0"/>
                <w:spacing w:val="40"/>
                <w:sz w:val="22"/>
              </w:rPr>
              <w:t> </w:t>
            </w:r>
            <w:r>
              <w:rPr>
                <w:b w:val="0"/>
                <w:sz w:val="22"/>
              </w:rPr>
              <w:t>place</w:t>
            </w:r>
            <w:r>
              <w:rPr>
                <w:b w:val="0"/>
                <w:spacing w:val="40"/>
                <w:sz w:val="22"/>
              </w:rPr>
              <w:t> </w:t>
            </w:r>
            <w:r>
              <w:rPr>
                <w:b w:val="0"/>
                <w:sz w:val="22"/>
              </w:rPr>
              <w:t>where</w:t>
            </w:r>
            <w:r>
              <w:rPr>
                <w:b w:val="0"/>
                <w:spacing w:val="42"/>
                <w:sz w:val="22"/>
              </w:rPr>
              <w:t> </w:t>
            </w:r>
            <w:r>
              <w:rPr>
                <w:b w:val="0"/>
                <w:sz w:val="22"/>
              </w:rPr>
              <w:t>the</w:t>
            </w:r>
            <w:r>
              <w:rPr>
                <w:b w:val="0"/>
                <w:spacing w:val="40"/>
                <w:sz w:val="22"/>
              </w:rPr>
              <w:t> </w:t>
            </w:r>
            <w:r>
              <w:rPr>
                <w:b w:val="0"/>
                <w:sz w:val="22"/>
              </w:rPr>
              <w:t>PCC</w:t>
            </w:r>
            <w:r>
              <w:rPr>
                <w:b w:val="0"/>
                <w:spacing w:val="39"/>
                <w:sz w:val="22"/>
              </w:rPr>
              <w:t> </w:t>
            </w:r>
            <w:r>
              <w:rPr>
                <w:b w:val="0"/>
                <w:sz w:val="22"/>
              </w:rPr>
              <w:t>has</w:t>
            </w:r>
            <w:r>
              <w:rPr>
                <w:b w:val="0"/>
                <w:spacing w:val="44"/>
                <w:sz w:val="22"/>
              </w:rPr>
              <w:t> </w:t>
            </w:r>
            <w:r>
              <w:rPr>
                <w:b w:val="0"/>
                <w:sz w:val="22"/>
              </w:rPr>
              <w:t>their</w:t>
            </w:r>
            <w:r>
              <w:rPr>
                <w:b w:val="0"/>
                <w:spacing w:val="42"/>
                <w:sz w:val="22"/>
              </w:rPr>
              <w:t> </w:t>
            </w:r>
            <w:r>
              <w:rPr>
                <w:b w:val="0"/>
                <w:sz w:val="22"/>
              </w:rPr>
              <w:t>office,</w:t>
            </w:r>
            <w:r>
              <w:rPr>
                <w:b w:val="0"/>
                <w:spacing w:val="40"/>
                <w:sz w:val="22"/>
              </w:rPr>
              <w:t> </w:t>
            </w:r>
            <w:r>
              <w:rPr>
                <w:b w:val="0"/>
                <w:sz w:val="22"/>
              </w:rPr>
              <w:t>(currently</w:t>
            </w:r>
            <w:r>
              <w:rPr>
                <w:b w:val="0"/>
                <w:spacing w:val="42"/>
                <w:sz w:val="22"/>
              </w:rPr>
              <w:t> </w:t>
            </w:r>
            <w:r>
              <w:rPr>
                <w:b w:val="0"/>
                <w:sz w:val="22"/>
              </w:rPr>
              <w:t>Police</w:t>
            </w:r>
            <w:r>
              <w:rPr>
                <w:b w:val="0"/>
                <w:spacing w:val="42"/>
                <w:sz w:val="22"/>
              </w:rPr>
              <w:t> </w:t>
            </w:r>
            <w:r>
              <w:rPr>
                <w:b w:val="0"/>
                <w:sz w:val="22"/>
              </w:rPr>
              <w:t>HQ,</w:t>
            </w:r>
            <w:r>
              <w:rPr>
                <w:b w:val="0"/>
                <w:spacing w:val="40"/>
                <w:sz w:val="22"/>
              </w:rPr>
              <w:t> </w:t>
            </w:r>
            <w:r>
              <w:rPr>
                <w:b w:val="0"/>
                <w:spacing w:val="-2"/>
                <w:sz w:val="22"/>
              </w:rPr>
              <w:t>Mount</w:t>
            </w:r>
          </w:p>
          <w:p>
            <w:pPr>
              <w:pStyle w:val="TableParagraph"/>
              <w:spacing w:line="245" w:lineRule="exact" w:before="134"/>
              <w:rPr>
                <w:b w:val="0"/>
                <w:sz w:val="22"/>
              </w:rPr>
            </w:pPr>
            <w:r>
              <w:rPr>
                <w:b w:val="0"/>
                <w:sz w:val="22"/>
              </w:rPr>
              <w:t>Browne,</w:t>
            </w:r>
            <w:r>
              <w:rPr>
                <w:b w:val="0"/>
                <w:spacing w:val="-3"/>
                <w:sz w:val="22"/>
              </w:rPr>
              <w:t> </w:t>
            </w:r>
            <w:r>
              <w:rPr>
                <w:b w:val="0"/>
                <w:spacing w:val="-2"/>
                <w:sz w:val="22"/>
              </w:rPr>
              <w:t>Guildford)</w:t>
            </w:r>
          </w:p>
        </w:tc>
      </w:tr>
    </w:tbl>
    <w:p>
      <w:pPr>
        <w:pStyle w:val="BodyText"/>
        <w:spacing w:before="142"/>
        <w:jc w:val="left"/>
        <w:rPr>
          <w:b w:val="0"/>
        </w:rPr>
      </w:pPr>
    </w:p>
    <w:p>
      <w:pPr>
        <w:pStyle w:val="BodyText"/>
        <w:spacing w:before="1"/>
        <w:ind w:left="152"/>
        <w:rPr>
          <w:b w:val="0"/>
        </w:rPr>
      </w:pPr>
      <w:r>
        <w:rPr>
          <w:b w:val="0"/>
        </w:rPr>
        <w:t>Payment</w:t>
      </w:r>
      <w:r>
        <w:rPr>
          <w:b w:val="0"/>
          <w:spacing w:val="-4"/>
        </w:rPr>
        <w:t> </w:t>
      </w:r>
      <w:r>
        <w:rPr>
          <w:b w:val="0"/>
        </w:rPr>
        <w:t>of</w:t>
      </w:r>
      <w:r>
        <w:rPr>
          <w:b w:val="0"/>
          <w:spacing w:val="-3"/>
        </w:rPr>
        <w:t> </w:t>
      </w:r>
      <w:r>
        <w:rPr>
          <w:b w:val="0"/>
        </w:rPr>
        <w:t>Allowances</w:t>
      </w:r>
      <w:r>
        <w:rPr>
          <w:b w:val="0"/>
          <w:spacing w:val="-3"/>
        </w:rPr>
        <w:t> </w:t>
      </w:r>
      <w:r>
        <w:rPr>
          <w:b w:val="0"/>
        </w:rPr>
        <w:t>and</w:t>
      </w:r>
      <w:r>
        <w:rPr>
          <w:b w:val="0"/>
          <w:spacing w:val="-5"/>
        </w:rPr>
        <w:t> </w:t>
      </w:r>
      <w:r>
        <w:rPr>
          <w:b w:val="0"/>
          <w:spacing w:val="-2"/>
        </w:rPr>
        <w:t>Expenses</w:t>
      </w:r>
    </w:p>
    <w:p>
      <w:pPr>
        <w:pStyle w:val="BodyText"/>
        <w:spacing w:line="360" w:lineRule="auto"/>
        <w:ind w:left="152" w:right="143"/>
        <w:rPr>
          <w:b w:val="0"/>
        </w:rPr>
      </w:pPr>
      <w:r>
        <w:rPr>
          <w:b w:val="0"/>
        </w:rPr>
        <w:t>The amounts paid to Independent Custody Visitors and Animal Welfare Scheme visitors will be amended at the discretion of the PCC.</w:t>
      </w:r>
      <w:r>
        <w:rPr>
          <w:b w:val="0"/>
          <w:spacing w:val="40"/>
        </w:rPr>
        <w:t> </w:t>
      </w:r>
      <w:r>
        <w:rPr>
          <w:b w:val="0"/>
        </w:rPr>
        <w:t>Any increase/decrease to the Attendance Allowance, subsistence or childcare components</w:t>
      </w:r>
      <w:r>
        <w:rPr>
          <w:b w:val="0"/>
          <w:spacing w:val="-2"/>
        </w:rPr>
        <w:t> </w:t>
      </w:r>
      <w:r>
        <w:rPr>
          <w:b w:val="0"/>
        </w:rPr>
        <w:t>of the scheme will be based on the CPI inflation rate</w:t>
      </w:r>
      <w:r>
        <w:rPr>
          <w:b w:val="0"/>
          <w:spacing w:val="-1"/>
        </w:rPr>
        <w:t> </w:t>
      </w:r>
      <w:r>
        <w:rPr>
          <w:b w:val="0"/>
        </w:rPr>
        <w:t>(set in</w:t>
      </w:r>
      <w:r>
        <w:rPr>
          <w:b w:val="0"/>
          <w:spacing w:val="-2"/>
        </w:rPr>
        <w:t> </w:t>
      </w:r>
      <w:r>
        <w:rPr>
          <w:b w:val="0"/>
        </w:rPr>
        <w:t>September).</w:t>
      </w:r>
      <w:r>
        <w:rPr>
          <w:b w:val="0"/>
          <w:spacing w:val="40"/>
        </w:rPr>
        <w:t> </w:t>
      </w:r>
      <w:r>
        <w:rPr>
          <w:b w:val="0"/>
        </w:rPr>
        <w:t>Any increase/decrease</w:t>
      </w:r>
      <w:r>
        <w:rPr>
          <w:b w:val="0"/>
          <w:spacing w:val="-1"/>
        </w:rPr>
        <w:t> </w:t>
      </w:r>
      <w:r>
        <w:rPr>
          <w:b w:val="0"/>
        </w:rPr>
        <w:t>in mileage, motorcycle or bicycle repayment rates will be at the discretion of the PCC and will be based on the Surrey Police Staff rate.</w:t>
      </w:r>
    </w:p>
    <w:p>
      <w:pPr>
        <w:pStyle w:val="BodyText"/>
        <w:spacing w:before="134"/>
        <w:jc w:val="left"/>
        <w:rPr>
          <w:b w:val="0"/>
        </w:rPr>
      </w:pPr>
    </w:p>
    <w:p>
      <w:pPr>
        <w:pStyle w:val="BodyText"/>
        <w:spacing w:line="360" w:lineRule="auto" w:before="1"/>
        <w:ind w:left="152" w:right="151"/>
        <w:rPr>
          <w:b w:val="0"/>
        </w:rPr>
      </w:pPr>
      <w:r>
        <w:rPr>
          <w:b w:val="0"/>
        </w:rPr>
        <w:t>Any claims for hours and any travelling/subsistence costs incurred should be submitted to the CE within three months of the</w:t>
      </w:r>
      <w:r>
        <w:rPr>
          <w:b w:val="0"/>
          <w:spacing w:val="-1"/>
        </w:rPr>
        <w:t> </w:t>
      </w:r>
      <w:r>
        <w:rPr>
          <w:b w:val="0"/>
        </w:rPr>
        <w:t>duty</w:t>
      </w:r>
      <w:r>
        <w:rPr>
          <w:b w:val="0"/>
          <w:spacing w:val="-1"/>
        </w:rPr>
        <w:t> </w:t>
      </w:r>
      <w:r>
        <w:rPr>
          <w:b w:val="0"/>
        </w:rPr>
        <w:t>for which the</w:t>
      </w:r>
      <w:r>
        <w:rPr>
          <w:b w:val="0"/>
          <w:spacing w:val="-1"/>
        </w:rPr>
        <w:t> </w:t>
      </w:r>
      <w:r>
        <w:rPr>
          <w:b w:val="0"/>
        </w:rPr>
        <w:t>expense</w:t>
      </w:r>
      <w:r>
        <w:rPr>
          <w:b w:val="0"/>
          <w:spacing w:val="-1"/>
        </w:rPr>
        <w:t> </w:t>
      </w:r>
      <w:r>
        <w:rPr>
          <w:b w:val="0"/>
        </w:rPr>
        <w:t>has</w:t>
      </w:r>
      <w:r>
        <w:rPr>
          <w:b w:val="0"/>
          <w:spacing w:val="-2"/>
        </w:rPr>
        <w:t> </w:t>
      </w:r>
      <w:r>
        <w:rPr>
          <w:b w:val="0"/>
        </w:rPr>
        <w:t>been</w:t>
      </w:r>
      <w:r>
        <w:rPr>
          <w:b w:val="0"/>
          <w:spacing w:val="-2"/>
        </w:rPr>
        <w:t> </w:t>
      </w:r>
      <w:r>
        <w:rPr>
          <w:b w:val="0"/>
        </w:rPr>
        <w:t>claimed.</w:t>
      </w:r>
      <w:r>
        <w:rPr>
          <w:b w:val="0"/>
          <w:spacing w:val="40"/>
        </w:rPr>
        <w:t> </w:t>
      </w:r>
      <w:r>
        <w:rPr>
          <w:b w:val="0"/>
        </w:rPr>
        <w:t>Claims received</w:t>
      </w:r>
      <w:r>
        <w:rPr>
          <w:b w:val="0"/>
          <w:spacing w:val="-2"/>
        </w:rPr>
        <w:t> </w:t>
      </w:r>
      <w:r>
        <w:rPr>
          <w:b w:val="0"/>
        </w:rPr>
        <w:t>after the expiry</w:t>
      </w:r>
      <w:r>
        <w:rPr>
          <w:b w:val="0"/>
          <w:spacing w:val="-1"/>
        </w:rPr>
        <w:t> </w:t>
      </w:r>
      <w:r>
        <w:rPr>
          <w:b w:val="0"/>
        </w:rPr>
        <w:t>of this</w:t>
      </w:r>
      <w:r>
        <w:rPr>
          <w:b w:val="0"/>
          <w:spacing w:val="-1"/>
        </w:rPr>
        <w:t> </w:t>
      </w:r>
      <w:r>
        <w:rPr>
          <w:b w:val="0"/>
        </w:rPr>
        <w:t>period</w:t>
      </w:r>
      <w:r>
        <w:rPr>
          <w:b w:val="0"/>
          <w:spacing w:val="-2"/>
        </w:rPr>
        <w:t> </w:t>
      </w:r>
      <w:r>
        <w:rPr>
          <w:b w:val="0"/>
        </w:rPr>
        <w:t>will only be paid in exceptional circumstances at the discretion of the Chief Financial Officer to the PCC. Original receipts should be provided to support any travel or subsistence claims.</w:t>
      </w:r>
    </w:p>
    <w:p>
      <w:pPr>
        <w:spacing w:after="0" w:line="360" w:lineRule="auto"/>
        <w:sectPr>
          <w:headerReference w:type="default" r:id="rId5"/>
          <w:footerReference w:type="default" r:id="rId6"/>
          <w:type w:val="continuous"/>
          <w:pgSz w:w="12240" w:h="15840"/>
          <w:pgMar w:header="480" w:footer="1068" w:top="1780" w:bottom="1260" w:left="980" w:right="1100"/>
          <w:pgNumType w:start="1"/>
        </w:sectPr>
      </w:pPr>
    </w:p>
    <w:p>
      <w:pPr>
        <w:pStyle w:val="BodyText"/>
        <w:spacing w:before="46"/>
        <w:jc w:val="left"/>
        <w:rPr>
          <w:b w:val="0"/>
        </w:rPr>
      </w:pPr>
    </w:p>
    <w:p>
      <w:pPr>
        <w:pStyle w:val="BodyText"/>
        <w:ind w:left="152"/>
        <w:jc w:val="left"/>
        <w:rPr>
          <w:b w:val="0"/>
        </w:rPr>
      </w:pPr>
      <w:r>
        <w:rPr>
          <w:b w:val="0"/>
          <w:spacing w:val="-2"/>
        </w:rPr>
        <w:t>Renunciation</w:t>
      </w:r>
    </w:p>
    <w:p>
      <w:pPr>
        <w:pStyle w:val="BodyText"/>
        <w:spacing w:line="360" w:lineRule="auto"/>
        <w:ind w:left="152"/>
        <w:jc w:val="left"/>
        <w:rPr>
          <w:b w:val="0"/>
        </w:rPr>
      </w:pPr>
      <w:r>
        <w:rPr>
          <w:b w:val="0"/>
        </w:rPr>
        <w:t>Written</w:t>
      </w:r>
      <w:r>
        <w:rPr>
          <w:b w:val="0"/>
          <w:spacing w:val="40"/>
        </w:rPr>
        <w:t> </w:t>
      </w:r>
      <w:r>
        <w:rPr>
          <w:b w:val="0"/>
        </w:rPr>
        <w:t>notice</w:t>
      </w:r>
      <w:r>
        <w:rPr>
          <w:b w:val="0"/>
          <w:spacing w:val="40"/>
        </w:rPr>
        <w:t> </w:t>
      </w:r>
      <w:r>
        <w:rPr>
          <w:b w:val="0"/>
        </w:rPr>
        <w:t>may</w:t>
      </w:r>
      <w:r>
        <w:rPr>
          <w:b w:val="0"/>
          <w:spacing w:val="40"/>
        </w:rPr>
        <w:t> </w:t>
      </w:r>
      <w:r>
        <w:rPr>
          <w:b w:val="0"/>
        </w:rPr>
        <w:t>be</w:t>
      </w:r>
      <w:r>
        <w:rPr>
          <w:b w:val="0"/>
          <w:spacing w:val="40"/>
        </w:rPr>
        <w:t> </w:t>
      </w:r>
      <w:r>
        <w:rPr>
          <w:b w:val="0"/>
        </w:rPr>
        <w:t>given</w:t>
      </w:r>
      <w:r>
        <w:rPr>
          <w:b w:val="0"/>
          <w:spacing w:val="40"/>
        </w:rPr>
        <w:t> </w:t>
      </w:r>
      <w:r>
        <w:rPr>
          <w:b w:val="0"/>
        </w:rPr>
        <w:t>to</w:t>
      </w:r>
      <w:r>
        <w:rPr>
          <w:b w:val="0"/>
          <w:spacing w:val="40"/>
        </w:rPr>
        <w:t> </w:t>
      </w:r>
      <w:r>
        <w:rPr>
          <w:b w:val="0"/>
        </w:rPr>
        <w:t>the</w:t>
      </w:r>
      <w:r>
        <w:rPr>
          <w:b w:val="0"/>
          <w:spacing w:val="40"/>
        </w:rPr>
        <w:t> </w:t>
      </w:r>
      <w:r>
        <w:rPr>
          <w:b w:val="0"/>
        </w:rPr>
        <w:t>CE</w:t>
      </w:r>
      <w:r>
        <w:rPr>
          <w:b w:val="0"/>
          <w:spacing w:val="40"/>
        </w:rPr>
        <w:t> </w:t>
      </w:r>
      <w:r>
        <w:rPr>
          <w:b w:val="0"/>
        </w:rPr>
        <w:t>from</w:t>
      </w:r>
      <w:r>
        <w:rPr>
          <w:b w:val="0"/>
          <w:spacing w:val="40"/>
        </w:rPr>
        <w:t> </w:t>
      </w:r>
      <w:r>
        <w:rPr>
          <w:b w:val="0"/>
        </w:rPr>
        <w:t>an</w:t>
      </w:r>
      <w:r>
        <w:rPr>
          <w:b w:val="0"/>
          <w:spacing w:val="40"/>
        </w:rPr>
        <w:t> </w:t>
      </w:r>
      <w:r>
        <w:rPr>
          <w:b w:val="0"/>
        </w:rPr>
        <w:t>individual</w:t>
      </w:r>
      <w:r>
        <w:rPr>
          <w:b w:val="0"/>
          <w:spacing w:val="40"/>
        </w:rPr>
        <w:t> </w:t>
      </w:r>
      <w:r>
        <w:rPr>
          <w:b w:val="0"/>
        </w:rPr>
        <w:t>should</w:t>
      </w:r>
      <w:r>
        <w:rPr>
          <w:b w:val="0"/>
          <w:spacing w:val="40"/>
        </w:rPr>
        <w:t> </w:t>
      </w:r>
      <w:r>
        <w:rPr>
          <w:b w:val="0"/>
        </w:rPr>
        <w:t>they</w:t>
      </w:r>
      <w:r>
        <w:rPr>
          <w:b w:val="0"/>
          <w:spacing w:val="40"/>
        </w:rPr>
        <w:t> </w:t>
      </w:r>
      <w:r>
        <w:rPr>
          <w:b w:val="0"/>
        </w:rPr>
        <w:t>elect</w:t>
      </w:r>
      <w:r>
        <w:rPr>
          <w:b w:val="0"/>
          <w:spacing w:val="40"/>
        </w:rPr>
        <w:t> </w:t>
      </w:r>
      <w:r>
        <w:rPr>
          <w:b w:val="0"/>
        </w:rPr>
        <w:t>to</w:t>
      </w:r>
      <w:r>
        <w:rPr>
          <w:b w:val="0"/>
          <w:spacing w:val="40"/>
        </w:rPr>
        <w:t> </w:t>
      </w:r>
      <w:r>
        <w:rPr>
          <w:b w:val="0"/>
        </w:rPr>
        <w:t>forego</w:t>
      </w:r>
      <w:r>
        <w:rPr>
          <w:b w:val="0"/>
          <w:spacing w:val="40"/>
        </w:rPr>
        <w:t> </w:t>
      </w:r>
      <w:r>
        <w:rPr>
          <w:b w:val="0"/>
        </w:rPr>
        <w:t>any</w:t>
      </w:r>
      <w:r>
        <w:rPr>
          <w:b w:val="0"/>
          <w:spacing w:val="40"/>
        </w:rPr>
        <w:t> </w:t>
      </w:r>
      <w:r>
        <w:rPr>
          <w:b w:val="0"/>
        </w:rPr>
        <w:t>part</w:t>
      </w:r>
      <w:r>
        <w:rPr>
          <w:b w:val="0"/>
          <w:spacing w:val="40"/>
        </w:rPr>
        <w:t> </w:t>
      </w:r>
      <w:r>
        <w:rPr>
          <w:b w:val="0"/>
        </w:rPr>
        <w:t>of</w:t>
      </w:r>
      <w:r>
        <w:rPr>
          <w:b w:val="0"/>
          <w:spacing w:val="40"/>
        </w:rPr>
        <w:t> </w:t>
      </w:r>
      <w:r>
        <w:rPr>
          <w:b w:val="0"/>
        </w:rPr>
        <w:t>their entitlement to an allowance or attendance allowance under this scheme.</w:t>
      </w:r>
    </w:p>
    <w:p>
      <w:pPr>
        <w:pStyle w:val="BodyText"/>
        <w:spacing w:before="133"/>
        <w:jc w:val="left"/>
        <w:rPr>
          <w:b w:val="0"/>
        </w:rPr>
      </w:pPr>
    </w:p>
    <w:p>
      <w:pPr>
        <w:pStyle w:val="BodyText"/>
        <w:ind w:left="152"/>
        <w:jc w:val="left"/>
        <w:rPr>
          <w:b w:val="0"/>
        </w:rPr>
      </w:pPr>
      <w:r>
        <w:rPr>
          <w:b w:val="0"/>
        </w:rPr>
        <w:t>Independent</w:t>
      </w:r>
      <w:r>
        <w:rPr>
          <w:b w:val="0"/>
          <w:spacing w:val="-4"/>
        </w:rPr>
        <w:t> </w:t>
      </w:r>
      <w:r>
        <w:rPr>
          <w:b w:val="0"/>
        </w:rPr>
        <w:t>Custody</w:t>
      </w:r>
      <w:r>
        <w:rPr>
          <w:b w:val="0"/>
          <w:spacing w:val="-4"/>
        </w:rPr>
        <w:t> </w:t>
      </w:r>
      <w:r>
        <w:rPr>
          <w:b w:val="0"/>
        </w:rPr>
        <w:t>Visitors</w:t>
      </w:r>
      <w:r>
        <w:rPr>
          <w:b w:val="0"/>
          <w:spacing w:val="-3"/>
        </w:rPr>
        <w:t> </w:t>
      </w:r>
      <w:r>
        <w:rPr>
          <w:b w:val="0"/>
        </w:rPr>
        <w:t>&amp;</w:t>
      </w:r>
      <w:r>
        <w:rPr>
          <w:b w:val="0"/>
          <w:spacing w:val="-3"/>
        </w:rPr>
        <w:t> </w:t>
      </w:r>
      <w:r>
        <w:rPr>
          <w:b w:val="0"/>
        </w:rPr>
        <w:t>Animal</w:t>
      </w:r>
      <w:r>
        <w:rPr>
          <w:b w:val="0"/>
          <w:spacing w:val="-5"/>
        </w:rPr>
        <w:t> </w:t>
      </w:r>
      <w:r>
        <w:rPr>
          <w:b w:val="0"/>
        </w:rPr>
        <w:t>Welfare</w:t>
      </w:r>
      <w:r>
        <w:rPr>
          <w:b w:val="0"/>
          <w:spacing w:val="-3"/>
        </w:rPr>
        <w:t> </w:t>
      </w:r>
      <w:r>
        <w:rPr>
          <w:b w:val="0"/>
        </w:rPr>
        <w:t>Scheme</w:t>
      </w:r>
      <w:r>
        <w:rPr>
          <w:b w:val="0"/>
          <w:spacing w:val="-2"/>
        </w:rPr>
        <w:t> Visitors</w:t>
      </w:r>
    </w:p>
    <w:p>
      <w:pPr>
        <w:pStyle w:val="ListParagraph"/>
        <w:numPr>
          <w:ilvl w:val="0"/>
          <w:numId w:val="1"/>
        </w:numPr>
        <w:tabs>
          <w:tab w:pos="871" w:val="left" w:leader="none"/>
        </w:tabs>
        <w:spacing w:line="240" w:lineRule="auto" w:before="135" w:after="0"/>
        <w:ind w:left="871" w:right="0" w:hanging="358"/>
        <w:jc w:val="both"/>
        <w:rPr>
          <w:b w:val="0"/>
          <w:sz w:val="22"/>
        </w:rPr>
      </w:pPr>
      <w:r>
        <w:rPr>
          <w:b w:val="0"/>
          <w:sz w:val="22"/>
        </w:rPr>
        <w:t>Attendance</w:t>
      </w:r>
      <w:r>
        <w:rPr>
          <w:b w:val="0"/>
          <w:spacing w:val="-6"/>
          <w:sz w:val="22"/>
        </w:rPr>
        <w:t> </w:t>
      </w:r>
      <w:r>
        <w:rPr>
          <w:b w:val="0"/>
          <w:spacing w:val="-2"/>
          <w:sz w:val="22"/>
        </w:rPr>
        <w:t>Allowance</w:t>
      </w:r>
    </w:p>
    <w:p>
      <w:pPr>
        <w:pStyle w:val="BodyText"/>
        <w:ind w:left="861"/>
        <w:rPr>
          <w:b w:val="0"/>
        </w:rPr>
      </w:pPr>
      <w:r>
        <w:rPr>
          <w:b w:val="0"/>
        </w:rPr>
        <w:t>ICV’s</w:t>
      </w:r>
      <w:r>
        <w:rPr>
          <w:b w:val="0"/>
          <w:spacing w:val="-4"/>
        </w:rPr>
        <w:t> </w:t>
      </w:r>
      <w:r>
        <w:rPr>
          <w:b w:val="0"/>
        </w:rPr>
        <w:t>and</w:t>
      </w:r>
      <w:r>
        <w:rPr>
          <w:b w:val="0"/>
          <w:spacing w:val="-3"/>
        </w:rPr>
        <w:t> </w:t>
      </w:r>
      <w:r>
        <w:rPr>
          <w:b w:val="0"/>
        </w:rPr>
        <w:t>AWS</w:t>
      </w:r>
      <w:r>
        <w:rPr>
          <w:b w:val="0"/>
          <w:spacing w:val="-5"/>
        </w:rPr>
        <w:t> </w:t>
      </w:r>
      <w:r>
        <w:rPr>
          <w:b w:val="0"/>
        </w:rPr>
        <w:t>Visitors</w:t>
      </w:r>
      <w:r>
        <w:rPr>
          <w:b w:val="0"/>
          <w:spacing w:val="-1"/>
        </w:rPr>
        <w:t> </w:t>
      </w:r>
      <w:r>
        <w:rPr>
          <w:b w:val="0"/>
        </w:rPr>
        <w:t>are</w:t>
      </w:r>
      <w:r>
        <w:rPr>
          <w:b w:val="0"/>
          <w:spacing w:val="-4"/>
        </w:rPr>
        <w:t> </w:t>
      </w:r>
      <w:r>
        <w:rPr>
          <w:b w:val="0"/>
        </w:rPr>
        <w:t>not</w:t>
      </w:r>
      <w:r>
        <w:rPr>
          <w:b w:val="0"/>
          <w:spacing w:val="-3"/>
        </w:rPr>
        <w:t> </w:t>
      </w:r>
      <w:r>
        <w:rPr>
          <w:b w:val="0"/>
        </w:rPr>
        <w:t>able</w:t>
      </w:r>
      <w:r>
        <w:rPr>
          <w:b w:val="0"/>
          <w:spacing w:val="-4"/>
        </w:rPr>
        <w:t> </w:t>
      </w:r>
      <w:r>
        <w:rPr>
          <w:b w:val="0"/>
        </w:rPr>
        <w:t>to</w:t>
      </w:r>
      <w:r>
        <w:rPr>
          <w:b w:val="0"/>
          <w:spacing w:val="-3"/>
        </w:rPr>
        <w:t> </w:t>
      </w:r>
      <w:r>
        <w:rPr>
          <w:b w:val="0"/>
        </w:rPr>
        <w:t>claim</w:t>
      </w:r>
      <w:r>
        <w:rPr>
          <w:b w:val="0"/>
          <w:spacing w:val="-2"/>
        </w:rPr>
        <w:t> </w:t>
      </w:r>
      <w:r>
        <w:rPr>
          <w:b w:val="0"/>
        </w:rPr>
        <w:t>an</w:t>
      </w:r>
      <w:r>
        <w:rPr>
          <w:b w:val="0"/>
          <w:spacing w:val="-5"/>
        </w:rPr>
        <w:t> </w:t>
      </w:r>
      <w:r>
        <w:rPr>
          <w:b w:val="0"/>
        </w:rPr>
        <w:t>attendance</w:t>
      </w:r>
      <w:r>
        <w:rPr>
          <w:b w:val="0"/>
          <w:spacing w:val="-1"/>
        </w:rPr>
        <w:t> </w:t>
      </w:r>
      <w:r>
        <w:rPr>
          <w:b w:val="0"/>
          <w:spacing w:val="-2"/>
        </w:rPr>
        <w:t>allowance.</w:t>
      </w:r>
    </w:p>
    <w:p>
      <w:pPr>
        <w:pStyle w:val="BodyText"/>
        <w:jc w:val="left"/>
        <w:rPr>
          <w:b w:val="0"/>
        </w:rPr>
      </w:pPr>
    </w:p>
    <w:p>
      <w:pPr>
        <w:pStyle w:val="BodyText"/>
        <w:spacing w:before="1"/>
        <w:jc w:val="left"/>
        <w:rPr>
          <w:b w:val="0"/>
        </w:rPr>
      </w:pPr>
    </w:p>
    <w:p>
      <w:pPr>
        <w:pStyle w:val="ListParagraph"/>
        <w:numPr>
          <w:ilvl w:val="0"/>
          <w:numId w:val="1"/>
        </w:numPr>
        <w:tabs>
          <w:tab w:pos="871" w:val="left" w:leader="none"/>
        </w:tabs>
        <w:spacing w:line="240" w:lineRule="auto" w:before="1" w:after="0"/>
        <w:ind w:left="871" w:right="0" w:hanging="358"/>
        <w:jc w:val="both"/>
        <w:rPr>
          <w:b w:val="0"/>
          <w:sz w:val="22"/>
        </w:rPr>
      </w:pPr>
      <w:r>
        <w:rPr>
          <w:b w:val="0"/>
          <w:sz w:val="22"/>
        </w:rPr>
        <w:t>Travel</w:t>
      </w:r>
      <w:r>
        <w:rPr>
          <w:b w:val="0"/>
          <w:spacing w:val="-1"/>
          <w:sz w:val="22"/>
        </w:rPr>
        <w:t> </w:t>
      </w:r>
      <w:r>
        <w:rPr>
          <w:b w:val="0"/>
          <w:spacing w:val="-2"/>
          <w:sz w:val="22"/>
        </w:rPr>
        <w:t>Expenses</w:t>
      </w:r>
    </w:p>
    <w:p>
      <w:pPr>
        <w:pStyle w:val="BodyText"/>
        <w:spacing w:line="360" w:lineRule="auto"/>
        <w:ind w:left="861" w:right="142"/>
        <w:rPr>
          <w:b w:val="0"/>
        </w:rPr>
      </w:pPr>
      <w:r>
        <w:rPr>
          <w:b w:val="0"/>
        </w:rPr>
        <w:t>ICV’s and AWS Visitors are entitled to claim for any reasonable and necessary travelling expenses incurred to undertake any panel-agreed custody visits or animal welfare scheme visits and any other PCC approved duties (see 4 Approved Duties).</w:t>
      </w:r>
      <w:r>
        <w:rPr>
          <w:b w:val="0"/>
          <w:spacing w:val="40"/>
        </w:rPr>
        <w:t> </w:t>
      </w:r>
      <w:r>
        <w:rPr>
          <w:b w:val="0"/>
        </w:rPr>
        <w:t>These expenses are payable on production of original receipts and in respect of ACTUAL EXPENDITURE incurred.</w:t>
      </w:r>
      <w:r>
        <w:rPr>
          <w:b w:val="0"/>
          <w:spacing w:val="40"/>
        </w:rPr>
        <w:t> </w:t>
      </w:r>
      <w:r>
        <w:rPr>
          <w:b w:val="0"/>
        </w:rPr>
        <w:t>If travelling by rail, they are expected to travel in standard class.</w:t>
      </w:r>
      <w:r>
        <w:rPr>
          <w:b w:val="0"/>
          <w:spacing w:val="40"/>
        </w:rPr>
        <w:t> </w:t>
      </w:r>
      <w:r>
        <w:rPr>
          <w:b w:val="0"/>
        </w:rPr>
        <w:t>Air fare will only be reimbursed if it can be proven to be the cheaper option.</w:t>
      </w:r>
    </w:p>
    <w:p>
      <w:pPr>
        <w:pStyle w:val="BodyText"/>
        <w:spacing w:line="360" w:lineRule="auto"/>
        <w:ind w:left="861" w:right="142"/>
        <w:rPr>
          <w:b w:val="0"/>
        </w:rPr>
      </w:pPr>
      <w:r>
        <w:rPr>
          <w:b w:val="0"/>
        </w:rPr>
        <w:t>The rate for travel ICV’s’ or AWS visitors own motor car is 45 pence per mile, motorcycle is 24 pence</w:t>
      </w:r>
      <w:r>
        <w:rPr>
          <w:b w:val="0"/>
          <w:spacing w:val="40"/>
        </w:rPr>
        <w:t> </w:t>
      </w:r>
      <w:r>
        <w:rPr>
          <w:b w:val="0"/>
        </w:rPr>
        <w:t>per mile and bicycle 20 pence per mile.</w:t>
      </w:r>
      <w:r>
        <w:rPr>
          <w:b w:val="0"/>
          <w:spacing w:val="80"/>
        </w:rPr>
        <w:t> </w:t>
      </w:r>
      <w:r>
        <w:rPr>
          <w:b w:val="0"/>
        </w:rPr>
        <w:t>Mileage claims should normally only be made for journeys from the primary place of residence (normally within Surrey) for agreed visits to the Custody Suites or animal welfare visits, or on approved PCC business.</w:t>
      </w:r>
      <w:r>
        <w:rPr>
          <w:b w:val="0"/>
          <w:spacing w:val="40"/>
        </w:rPr>
        <w:t> </w:t>
      </w:r>
      <w:r>
        <w:rPr>
          <w:b w:val="0"/>
        </w:rPr>
        <w:t>For own motor car this rate shall apply to the first 10,000 miles claimed in the financial year; thereafter a standard rate of 25 pence per mile will be paid. A rate of 5p per mile per passenger will be paid if the passenger is attending the same PCC business.</w:t>
      </w:r>
    </w:p>
    <w:p>
      <w:pPr>
        <w:pStyle w:val="BodyText"/>
        <w:spacing w:before="134"/>
        <w:jc w:val="left"/>
        <w:rPr>
          <w:b w:val="0"/>
        </w:rPr>
      </w:pPr>
    </w:p>
    <w:p>
      <w:pPr>
        <w:pStyle w:val="ListParagraph"/>
        <w:numPr>
          <w:ilvl w:val="0"/>
          <w:numId w:val="1"/>
        </w:numPr>
        <w:tabs>
          <w:tab w:pos="921" w:val="left" w:leader="none"/>
        </w:tabs>
        <w:spacing w:line="240" w:lineRule="auto" w:before="0" w:after="0"/>
        <w:ind w:left="921" w:right="0" w:hanging="408"/>
        <w:jc w:val="both"/>
        <w:rPr>
          <w:b w:val="0"/>
          <w:sz w:val="22"/>
        </w:rPr>
      </w:pPr>
      <w:r>
        <w:rPr>
          <w:b w:val="0"/>
          <w:sz w:val="22"/>
        </w:rPr>
        <w:t>Other</w:t>
      </w:r>
      <w:r>
        <w:rPr>
          <w:b w:val="0"/>
          <w:spacing w:val="-4"/>
          <w:sz w:val="22"/>
        </w:rPr>
        <w:t> </w:t>
      </w:r>
      <w:r>
        <w:rPr>
          <w:b w:val="0"/>
          <w:sz w:val="22"/>
        </w:rPr>
        <w:t>Expenses</w:t>
      </w:r>
      <w:r>
        <w:rPr>
          <w:b w:val="0"/>
          <w:spacing w:val="-3"/>
          <w:sz w:val="22"/>
        </w:rPr>
        <w:t> </w:t>
      </w:r>
      <w:r>
        <w:rPr>
          <w:b w:val="0"/>
          <w:sz w:val="22"/>
        </w:rPr>
        <w:t>(these</w:t>
      </w:r>
      <w:r>
        <w:rPr>
          <w:b w:val="0"/>
          <w:spacing w:val="-3"/>
          <w:sz w:val="22"/>
        </w:rPr>
        <w:t> </w:t>
      </w:r>
      <w:r>
        <w:rPr>
          <w:b w:val="0"/>
          <w:sz w:val="22"/>
        </w:rPr>
        <w:t>do</w:t>
      </w:r>
      <w:r>
        <w:rPr>
          <w:b w:val="0"/>
          <w:spacing w:val="-3"/>
          <w:sz w:val="22"/>
        </w:rPr>
        <w:t> </w:t>
      </w:r>
      <w:r>
        <w:rPr>
          <w:b w:val="0"/>
          <w:sz w:val="22"/>
        </w:rPr>
        <w:t>not</w:t>
      </w:r>
      <w:r>
        <w:rPr>
          <w:b w:val="0"/>
          <w:spacing w:val="-3"/>
          <w:sz w:val="22"/>
        </w:rPr>
        <w:t> </w:t>
      </w:r>
      <w:r>
        <w:rPr>
          <w:b w:val="0"/>
          <w:sz w:val="22"/>
        </w:rPr>
        <w:t>apply</w:t>
      </w:r>
      <w:r>
        <w:rPr>
          <w:b w:val="0"/>
          <w:spacing w:val="-1"/>
          <w:sz w:val="22"/>
        </w:rPr>
        <w:t> </w:t>
      </w:r>
      <w:r>
        <w:rPr>
          <w:b w:val="0"/>
          <w:sz w:val="22"/>
        </w:rPr>
        <w:t>to</w:t>
      </w:r>
      <w:r>
        <w:rPr>
          <w:b w:val="0"/>
          <w:spacing w:val="-5"/>
          <w:sz w:val="22"/>
        </w:rPr>
        <w:t> </w:t>
      </w:r>
      <w:r>
        <w:rPr>
          <w:b w:val="0"/>
          <w:sz w:val="22"/>
        </w:rPr>
        <w:t>AWS</w:t>
      </w:r>
      <w:r>
        <w:rPr>
          <w:b w:val="0"/>
          <w:spacing w:val="-3"/>
          <w:sz w:val="22"/>
        </w:rPr>
        <w:t> </w:t>
      </w:r>
      <w:r>
        <w:rPr>
          <w:b w:val="0"/>
          <w:spacing w:val="-2"/>
          <w:sz w:val="22"/>
        </w:rPr>
        <w:t>visitors)</w:t>
      </w:r>
    </w:p>
    <w:p>
      <w:pPr>
        <w:pStyle w:val="BodyText"/>
        <w:spacing w:line="357" w:lineRule="auto"/>
        <w:ind w:left="1005" w:right="1010" w:hanging="132"/>
        <w:rPr>
          <w:b w:val="0"/>
        </w:rPr>
      </w:pPr>
      <w:r>
        <w:rPr>
          <w:b w:val="0"/>
        </w:rPr>
        <w:t>Payable to</w:t>
      </w:r>
      <w:r>
        <w:rPr>
          <w:b w:val="0"/>
          <w:spacing w:val="-1"/>
        </w:rPr>
        <w:t> </w:t>
      </w:r>
      <w:r>
        <w:rPr>
          <w:b w:val="0"/>
        </w:rPr>
        <w:t>ICVs in the case of an absence from the usual place of residence on PCC approved duties,</w:t>
      </w:r>
      <w:r>
        <w:rPr>
          <w:b w:val="0"/>
          <w:spacing w:val="-6"/>
        </w:rPr>
        <w:t> </w:t>
      </w:r>
      <w:r>
        <w:rPr>
          <w:b w:val="0"/>
        </w:rPr>
        <w:t>on</w:t>
      </w:r>
      <w:r>
        <w:rPr>
          <w:b w:val="0"/>
          <w:spacing w:val="-5"/>
        </w:rPr>
        <w:t> </w:t>
      </w:r>
      <w:r>
        <w:rPr>
          <w:b w:val="0"/>
        </w:rPr>
        <w:t>production</w:t>
      </w:r>
      <w:r>
        <w:rPr>
          <w:b w:val="0"/>
          <w:spacing w:val="-5"/>
        </w:rPr>
        <w:t> </w:t>
      </w:r>
      <w:r>
        <w:rPr>
          <w:b w:val="0"/>
        </w:rPr>
        <w:t>of</w:t>
      </w:r>
      <w:r>
        <w:rPr>
          <w:b w:val="0"/>
          <w:spacing w:val="-4"/>
        </w:rPr>
        <w:t> </w:t>
      </w:r>
      <w:r>
        <w:rPr>
          <w:b w:val="0"/>
        </w:rPr>
        <w:t>original</w:t>
      </w:r>
      <w:r>
        <w:rPr>
          <w:b w:val="0"/>
          <w:spacing w:val="-4"/>
        </w:rPr>
        <w:t> </w:t>
      </w:r>
      <w:r>
        <w:rPr>
          <w:b w:val="0"/>
        </w:rPr>
        <w:t>receipts</w:t>
      </w:r>
      <w:r>
        <w:rPr>
          <w:b w:val="0"/>
          <w:spacing w:val="-6"/>
        </w:rPr>
        <w:t> </w:t>
      </w:r>
      <w:r>
        <w:rPr>
          <w:b w:val="0"/>
        </w:rPr>
        <w:t>and</w:t>
      </w:r>
      <w:r>
        <w:rPr>
          <w:b w:val="0"/>
          <w:spacing w:val="-5"/>
        </w:rPr>
        <w:t> </w:t>
      </w:r>
      <w:r>
        <w:rPr>
          <w:b w:val="0"/>
        </w:rPr>
        <w:t>in</w:t>
      </w:r>
      <w:r>
        <w:rPr>
          <w:b w:val="0"/>
          <w:spacing w:val="-3"/>
        </w:rPr>
        <w:t> </w:t>
      </w:r>
      <w:r>
        <w:rPr>
          <w:b w:val="0"/>
        </w:rPr>
        <w:t>respect</w:t>
      </w:r>
      <w:r>
        <w:rPr>
          <w:b w:val="0"/>
          <w:spacing w:val="-4"/>
        </w:rPr>
        <w:t> </w:t>
      </w:r>
      <w:r>
        <w:rPr>
          <w:b w:val="0"/>
        </w:rPr>
        <w:t>of</w:t>
      </w:r>
      <w:r>
        <w:rPr>
          <w:b w:val="0"/>
          <w:spacing w:val="-2"/>
        </w:rPr>
        <w:t> </w:t>
      </w:r>
      <w:r>
        <w:rPr>
          <w:b w:val="0"/>
        </w:rPr>
        <w:t>ACTUAL</w:t>
      </w:r>
      <w:r>
        <w:rPr>
          <w:b w:val="0"/>
          <w:spacing w:val="-3"/>
        </w:rPr>
        <w:t> </w:t>
      </w:r>
      <w:r>
        <w:rPr>
          <w:b w:val="0"/>
        </w:rPr>
        <w:t>EXPENDITURE</w:t>
      </w:r>
      <w:r>
        <w:rPr>
          <w:b w:val="0"/>
          <w:spacing w:val="-3"/>
        </w:rPr>
        <w:t> </w:t>
      </w:r>
      <w:r>
        <w:rPr>
          <w:b w:val="0"/>
        </w:rPr>
        <w:t>incurred:</w:t>
      </w:r>
      <w:r>
        <w:rPr>
          <w:b w:val="0"/>
          <w:spacing w:val="-3"/>
        </w:rPr>
        <w:t> </w:t>
      </w:r>
      <w:r>
        <w:rPr>
          <w:b w:val="0"/>
          <w:spacing w:val="-10"/>
        </w:rPr>
        <w:t>-</w:t>
      </w:r>
    </w:p>
    <w:p>
      <w:pPr>
        <w:pStyle w:val="BodyText"/>
        <w:spacing w:before="4"/>
        <w:ind w:left="861"/>
        <w:rPr>
          <w:b w:val="0"/>
        </w:rPr>
      </w:pPr>
      <w:r>
        <w:rPr>
          <w:b w:val="0"/>
        </w:rPr>
        <w:t>Hotel</w:t>
      </w:r>
      <w:r>
        <w:rPr>
          <w:b w:val="0"/>
          <w:spacing w:val="-1"/>
        </w:rPr>
        <w:t> </w:t>
      </w:r>
      <w:r>
        <w:rPr>
          <w:b w:val="0"/>
          <w:spacing w:val="-2"/>
        </w:rPr>
        <w:t>Accommodation</w:t>
      </w:r>
    </w:p>
    <w:p>
      <w:pPr>
        <w:pStyle w:val="BodyText"/>
        <w:spacing w:line="360" w:lineRule="auto" w:before="135"/>
        <w:ind w:left="873" w:right="140"/>
        <w:rPr>
          <w:b w:val="0"/>
        </w:rPr>
      </w:pPr>
      <w:r>
        <w:rPr>
          <w:b w:val="0"/>
        </w:rPr>
        <w:t>Hotel accommodation to be booked by the Office of the PCC and either paid directly by the Office Manager or refunded on production of original invoice/receipt.</w:t>
      </w:r>
      <w:r>
        <w:rPr>
          <w:b w:val="0"/>
          <w:spacing w:val="40"/>
        </w:rPr>
        <w:t> </w:t>
      </w:r>
      <w:r>
        <w:rPr>
          <w:b w:val="0"/>
        </w:rPr>
        <w:t>(Bed and Breakfast only up to £98.57 per night outside of the M25 area and £135.47 per night inside the M25 area)</w:t>
      </w:r>
    </w:p>
    <w:p>
      <w:pPr>
        <w:spacing w:after="0" w:line="360" w:lineRule="auto"/>
        <w:sectPr>
          <w:pgSz w:w="12240" w:h="15840"/>
          <w:pgMar w:header="480" w:footer="1068" w:top="1780" w:bottom="1260" w:left="980" w:right="1100"/>
        </w:sectPr>
      </w:pPr>
    </w:p>
    <w:p>
      <w:pPr>
        <w:pStyle w:val="BodyText"/>
        <w:spacing w:before="46"/>
        <w:ind w:left="873"/>
        <w:jc w:val="left"/>
        <w:rPr>
          <w:b w:val="0"/>
        </w:rPr>
      </w:pPr>
      <w:r>
        <w:rPr>
          <w:b w:val="0"/>
          <w:spacing w:val="-2"/>
        </w:rPr>
        <w:t>Subsistence</w:t>
      </w:r>
    </w:p>
    <w:p>
      <w:pPr>
        <w:pStyle w:val="BodyText"/>
        <w:spacing w:line="360" w:lineRule="auto" w:before="134"/>
        <w:ind w:left="873"/>
        <w:jc w:val="left"/>
        <w:rPr>
          <w:b w:val="0"/>
        </w:rPr>
      </w:pPr>
      <w:r>
        <w:rPr>
          <w:b w:val="0"/>
        </w:rPr>
        <w:t>Payable</w:t>
      </w:r>
      <w:r>
        <w:rPr>
          <w:b w:val="0"/>
          <w:spacing w:val="40"/>
        </w:rPr>
        <w:t> </w:t>
      </w:r>
      <w:r>
        <w:rPr>
          <w:b w:val="0"/>
        </w:rPr>
        <w:t>on</w:t>
      </w:r>
      <w:r>
        <w:rPr>
          <w:b w:val="0"/>
          <w:spacing w:val="40"/>
        </w:rPr>
        <w:t> </w:t>
      </w:r>
      <w:r>
        <w:rPr>
          <w:b w:val="0"/>
        </w:rPr>
        <w:t>production</w:t>
      </w:r>
      <w:r>
        <w:rPr>
          <w:b w:val="0"/>
          <w:spacing w:val="40"/>
        </w:rPr>
        <w:t> </w:t>
      </w:r>
      <w:r>
        <w:rPr>
          <w:b w:val="0"/>
        </w:rPr>
        <w:t>of</w:t>
      </w:r>
      <w:r>
        <w:rPr>
          <w:b w:val="0"/>
          <w:spacing w:val="40"/>
        </w:rPr>
        <w:t> </w:t>
      </w:r>
      <w:r>
        <w:rPr>
          <w:b w:val="0"/>
        </w:rPr>
        <w:t>original</w:t>
      </w:r>
      <w:r>
        <w:rPr>
          <w:b w:val="0"/>
          <w:spacing w:val="40"/>
        </w:rPr>
        <w:t> </w:t>
      </w:r>
      <w:r>
        <w:rPr>
          <w:b w:val="0"/>
        </w:rPr>
        <w:t>receipts</w:t>
      </w:r>
      <w:r>
        <w:rPr>
          <w:b w:val="0"/>
          <w:spacing w:val="40"/>
        </w:rPr>
        <w:t> </w:t>
      </w:r>
      <w:r>
        <w:rPr>
          <w:b w:val="0"/>
        </w:rPr>
        <w:t>and</w:t>
      </w:r>
      <w:r>
        <w:rPr>
          <w:b w:val="0"/>
          <w:spacing w:val="40"/>
        </w:rPr>
        <w:t> </w:t>
      </w:r>
      <w:r>
        <w:rPr>
          <w:b w:val="0"/>
        </w:rPr>
        <w:t>in</w:t>
      </w:r>
      <w:r>
        <w:rPr>
          <w:b w:val="0"/>
          <w:spacing w:val="40"/>
        </w:rPr>
        <w:t> </w:t>
      </w:r>
      <w:r>
        <w:rPr>
          <w:b w:val="0"/>
        </w:rPr>
        <w:t>respect</w:t>
      </w:r>
      <w:r>
        <w:rPr>
          <w:b w:val="0"/>
          <w:spacing w:val="40"/>
        </w:rPr>
        <w:t> </w:t>
      </w:r>
      <w:r>
        <w:rPr>
          <w:b w:val="0"/>
        </w:rPr>
        <w:t>of</w:t>
      </w:r>
      <w:r>
        <w:rPr>
          <w:b w:val="0"/>
          <w:spacing w:val="40"/>
        </w:rPr>
        <w:t> </w:t>
      </w:r>
      <w:r>
        <w:rPr>
          <w:b w:val="0"/>
        </w:rPr>
        <w:t>ACTUAL</w:t>
      </w:r>
      <w:r>
        <w:rPr>
          <w:b w:val="0"/>
          <w:spacing w:val="40"/>
        </w:rPr>
        <w:t> </w:t>
      </w:r>
      <w:r>
        <w:rPr>
          <w:b w:val="0"/>
        </w:rPr>
        <w:t>EXPENDITURE</w:t>
      </w:r>
      <w:r>
        <w:rPr>
          <w:b w:val="0"/>
          <w:spacing w:val="40"/>
        </w:rPr>
        <w:t> </w:t>
      </w:r>
      <w:r>
        <w:rPr>
          <w:b w:val="0"/>
        </w:rPr>
        <w:t>incurred</w:t>
      </w:r>
      <w:r>
        <w:rPr>
          <w:b w:val="0"/>
          <w:spacing w:val="40"/>
        </w:rPr>
        <w:t> </w:t>
      </w:r>
      <w:r>
        <w:rPr>
          <w:b w:val="0"/>
        </w:rPr>
        <w:t>for</w:t>
      </w:r>
      <w:r>
        <w:rPr>
          <w:b w:val="0"/>
          <w:spacing w:val="40"/>
        </w:rPr>
        <w:t> </w:t>
      </w:r>
      <w:r>
        <w:rPr>
          <w:b w:val="0"/>
        </w:rPr>
        <w:t>approved duties: -</w:t>
      </w:r>
    </w:p>
    <w:p>
      <w:pPr>
        <w:pStyle w:val="BodyText"/>
        <w:tabs>
          <w:tab w:pos="5193" w:val="left" w:leader="none"/>
        </w:tabs>
        <w:spacing w:line="360" w:lineRule="auto"/>
        <w:ind w:left="873" w:right="3836"/>
        <w:rPr>
          <w:b w:val="0"/>
        </w:rPr>
      </w:pPr>
      <w:r>
        <w:rPr>
          <w:b w:val="0"/>
        </w:rPr>
        <w:t>Day (up to 12 hours)</w:t>
        <w:tab/>
        <w:t>up</w:t>
      </w:r>
      <w:r>
        <w:rPr>
          <w:b w:val="0"/>
          <w:spacing w:val="-13"/>
        </w:rPr>
        <w:t> </w:t>
      </w:r>
      <w:r>
        <w:rPr>
          <w:b w:val="0"/>
        </w:rPr>
        <w:t>to</w:t>
      </w:r>
      <w:r>
        <w:rPr>
          <w:b w:val="0"/>
          <w:spacing w:val="-12"/>
        </w:rPr>
        <w:t> </w:t>
      </w:r>
      <w:r>
        <w:rPr>
          <w:b w:val="0"/>
        </w:rPr>
        <w:t>£14.52 Day (over 12 hours/less than 24 hours)</w:t>
        <w:tab/>
        <w:t>up</w:t>
      </w:r>
      <w:r>
        <w:rPr>
          <w:b w:val="0"/>
          <w:spacing w:val="-13"/>
        </w:rPr>
        <w:t> </w:t>
      </w:r>
      <w:r>
        <w:rPr>
          <w:b w:val="0"/>
        </w:rPr>
        <w:t>to</w:t>
      </w:r>
      <w:r>
        <w:rPr>
          <w:b w:val="0"/>
          <w:spacing w:val="-12"/>
        </w:rPr>
        <w:t> </w:t>
      </w:r>
      <w:r>
        <w:rPr>
          <w:b w:val="0"/>
        </w:rPr>
        <w:t>£29.00 Overnight</w:t>
      </w:r>
      <w:r>
        <w:rPr>
          <w:b w:val="0"/>
          <w:spacing w:val="-6"/>
        </w:rPr>
        <w:t> </w:t>
      </w:r>
      <w:r>
        <w:rPr>
          <w:b w:val="0"/>
        </w:rPr>
        <w:t>(period</w:t>
      </w:r>
      <w:r>
        <w:rPr>
          <w:b w:val="0"/>
          <w:spacing w:val="-2"/>
        </w:rPr>
        <w:t> </w:t>
      </w:r>
      <w:r>
        <w:rPr>
          <w:b w:val="0"/>
        </w:rPr>
        <w:t>of</w:t>
      </w:r>
      <w:r>
        <w:rPr>
          <w:b w:val="0"/>
          <w:spacing w:val="-4"/>
        </w:rPr>
        <w:t> </w:t>
      </w:r>
      <w:r>
        <w:rPr>
          <w:b w:val="0"/>
        </w:rPr>
        <w:t>24</w:t>
      </w:r>
      <w:r>
        <w:rPr>
          <w:b w:val="0"/>
          <w:spacing w:val="-4"/>
        </w:rPr>
        <w:t> </w:t>
      </w:r>
      <w:r>
        <w:rPr>
          <w:b w:val="0"/>
          <w:spacing w:val="-2"/>
        </w:rPr>
        <w:t>hours)</w:t>
      </w:r>
      <w:r>
        <w:rPr>
          <w:b w:val="0"/>
        </w:rPr>
        <w:tab/>
        <w:t>up</w:t>
      </w:r>
      <w:r>
        <w:rPr>
          <w:b w:val="0"/>
          <w:spacing w:val="-3"/>
        </w:rPr>
        <w:t> </w:t>
      </w:r>
      <w:r>
        <w:rPr>
          <w:b w:val="0"/>
        </w:rPr>
        <w:t>to</w:t>
      </w:r>
      <w:r>
        <w:rPr>
          <w:b w:val="0"/>
          <w:spacing w:val="-2"/>
        </w:rPr>
        <w:t> £43.33</w:t>
      </w:r>
    </w:p>
    <w:p>
      <w:pPr>
        <w:pStyle w:val="BodyText"/>
        <w:spacing w:line="360" w:lineRule="auto"/>
        <w:ind w:left="873" w:right="151"/>
        <w:rPr>
          <w:b w:val="0"/>
        </w:rPr>
      </w:pPr>
      <w:r>
        <w:rPr>
          <w:b w:val="0"/>
        </w:rPr>
        <w:t>A subsistence allowance is not payable for meetings where appropriate refreshments have been </w:t>
      </w:r>
      <w:r>
        <w:rPr>
          <w:b w:val="0"/>
          <w:spacing w:val="-2"/>
        </w:rPr>
        <w:t>provided.</w:t>
      </w:r>
    </w:p>
    <w:p>
      <w:pPr>
        <w:pStyle w:val="BodyText"/>
        <w:spacing w:before="1"/>
        <w:ind w:left="873"/>
        <w:rPr>
          <w:b w:val="0"/>
        </w:rPr>
      </w:pPr>
      <w:r>
        <w:rPr>
          <w:b w:val="0"/>
        </w:rPr>
        <w:t>Carers’</w:t>
      </w:r>
      <w:r>
        <w:rPr>
          <w:b w:val="0"/>
          <w:spacing w:val="-5"/>
        </w:rPr>
        <w:t> </w:t>
      </w:r>
      <w:r>
        <w:rPr>
          <w:b w:val="0"/>
          <w:spacing w:val="-2"/>
        </w:rPr>
        <w:t>Allowance</w:t>
      </w:r>
    </w:p>
    <w:p>
      <w:pPr>
        <w:pStyle w:val="BodyText"/>
        <w:spacing w:line="360" w:lineRule="auto" w:before="135"/>
        <w:ind w:left="873" w:right="142"/>
        <w:rPr>
          <w:b w:val="0"/>
        </w:rPr>
      </w:pPr>
      <w:r>
        <w:rPr>
          <w:b w:val="0"/>
        </w:rPr>
        <w:t>ICV’s may claim a carers’ allowance where they incur additional expenditure on childcare, or for a sick or dependent partner or relative to enable them to fulfil any PCC approved duties (see section 4) and are for actual costs incurred.</w:t>
      </w:r>
    </w:p>
    <w:p>
      <w:pPr>
        <w:pStyle w:val="BodyText"/>
        <w:spacing w:line="360" w:lineRule="auto"/>
        <w:ind w:left="861" w:right="150"/>
        <w:rPr>
          <w:b w:val="0"/>
        </w:rPr>
      </w:pPr>
      <w:r>
        <w:rPr>
          <w:b w:val="0"/>
        </w:rPr>
        <w:t>Allowances for childcare shall be restricted to children aged less than fourteen years who would be normally expected to reside at the ICVs home at the time of the claim.</w:t>
      </w:r>
    </w:p>
    <w:p>
      <w:pPr>
        <w:pStyle w:val="BodyText"/>
        <w:spacing w:line="360" w:lineRule="auto"/>
        <w:ind w:left="861" w:right="152"/>
        <w:rPr>
          <w:b w:val="0"/>
        </w:rPr>
      </w:pPr>
      <w:r>
        <w:rPr>
          <w:b w:val="0"/>
        </w:rPr>
        <w:t>It is the responsibility of the ICV employing the carer to ensure that s/he is suitably qualified to provide the care required.</w:t>
      </w:r>
    </w:p>
    <w:p>
      <w:pPr>
        <w:pStyle w:val="BodyText"/>
        <w:spacing w:line="360" w:lineRule="auto"/>
        <w:ind w:left="861" w:right="149"/>
        <w:rPr>
          <w:b w:val="0"/>
        </w:rPr>
      </w:pPr>
      <w:r>
        <w:rPr>
          <w:b w:val="0"/>
        </w:rPr>
        <w:t>Payments to ICVs will reimburse actual expenditure (evidenced by receipts) up to a maximum hourly rate set by the PCC.</w:t>
      </w:r>
      <w:r>
        <w:rPr>
          <w:b w:val="0"/>
          <w:spacing w:val="40"/>
        </w:rPr>
        <w:t> </w:t>
      </w:r>
      <w:r>
        <w:rPr>
          <w:b w:val="0"/>
        </w:rPr>
        <w:t>The maximum hourly rate is currently £10.09.</w:t>
      </w:r>
    </w:p>
    <w:p>
      <w:pPr>
        <w:pStyle w:val="BodyText"/>
        <w:spacing w:before="133"/>
        <w:jc w:val="left"/>
        <w:rPr>
          <w:b w:val="0"/>
        </w:rPr>
      </w:pPr>
    </w:p>
    <w:p>
      <w:pPr>
        <w:pStyle w:val="ListParagraph"/>
        <w:numPr>
          <w:ilvl w:val="0"/>
          <w:numId w:val="1"/>
        </w:numPr>
        <w:tabs>
          <w:tab w:pos="767" w:val="left" w:leader="none"/>
        </w:tabs>
        <w:spacing w:line="240" w:lineRule="auto" w:before="0" w:after="0"/>
        <w:ind w:left="767" w:right="0" w:hanging="408"/>
        <w:jc w:val="both"/>
        <w:rPr>
          <w:b w:val="0"/>
          <w:sz w:val="22"/>
        </w:rPr>
      </w:pPr>
      <w:r>
        <w:rPr>
          <w:b w:val="0"/>
          <w:sz w:val="22"/>
        </w:rPr>
        <w:t>Approved</w:t>
      </w:r>
      <w:r>
        <w:rPr>
          <w:b w:val="0"/>
          <w:spacing w:val="-6"/>
          <w:sz w:val="22"/>
        </w:rPr>
        <w:t> </w:t>
      </w:r>
      <w:r>
        <w:rPr>
          <w:b w:val="0"/>
          <w:spacing w:val="-2"/>
          <w:sz w:val="22"/>
        </w:rPr>
        <w:t>Duties</w:t>
      </w:r>
    </w:p>
    <w:p>
      <w:pPr>
        <w:pStyle w:val="BodyText"/>
        <w:spacing w:line="360" w:lineRule="auto" w:before="135"/>
        <w:ind w:left="513" w:right="151"/>
        <w:rPr>
          <w:b w:val="0"/>
        </w:rPr>
      </w:pPr>
      <w:r>
        <w:rPr>
          <w:b w:val="0"/>
        </w:rPr>
        <w:t>Carers allowance and travel and subsistence expenses (where appropriate refreshments are not provided) will be paid to ICV’s, in accordance with the scheme, for the following approved duties:</w:t>
      </w:r>
    </w:p>
    <w:p>
      <w:pPr>
        <w:pStyle w:val="ListParagraph"/>
        <w:numPr>
          <w:ilvl w:val="1"/>
          <w:numId w:val="1"/>
        </w:numPr>
        <w:tabs>
          <w:tab w:pos="1593" w:val="left" w:leader="none"/>
        </w:tabs>
        <w:spacing w:line="352" w:lineRule="auto" w:before="1" w:after="0"/>
        <w:ind w:left="1593" w:right="144" w:hanging="360"/>
        <w:jc w:val="both"/>
        <w:rPr>
          <w:b w:val="0"/>
          <w:sz w:val="22"/>
        </w:rPr>
      </w:pPr>
      <w:r>
        <w:rPr>
          <w:b w:val="0"/>
          <w:sz w:val="22"/>
        </w:rPr>
        <w:t>Attendance at a Custody Visitor Steering Group or Panel Meeting organised by the Scheme </w:t>
      </w:r>
      <w:r>
        <w:rPr>
          <w:b w:val="0"/>
          <w:spacing w:val="-2"/>
          <w:sz w:val="22"/>
        </w:rPr>
        <w:t>Manager</w:t>
      </w:r>
    </w:p>
    <w:p>
      <w:pPr>
        <w:pStyle w:val="ListParagraph"/>
        <w:numPr>
          <w:ilvl w:val="1"/>
          <w:numId w:val="1"/>
        </w:numPr>
        <w:tabs>
          <w:tab w:pos="1592" w:val="left" w:leader="none"/>
        </w:tabs>
        <w:spacing w:line="240" w:lineRule="auto" w:before="14" w:after="0"/>
        <w:ind w:left="1592" w:right="0" w:hanging="359"/>
        <w:jc w:val="both"/>
        <w:rPr>
          <w:b w:val="0"/>
          <w:sz w:val="22"/>
        </w:rPr>
      </w:pPr>
      <w:r>
        <w:rPr>
          <w:b w:val="0"/>
          <w:sz w:val="22"/>
        </w:rPr>
        <w:t>Visit</w:t>
      </w:r>
      <w:r>
        <w:rPr>
          <w:b w:val="0"/>
          <w:spacing w:val="-5"/>
          <w:sz w:val="22"/>
        </w:rPr>
        <w:t> </w:t>
      </w:r>
      <w:r>
        <w:rPr>
          <w:b w:val="0"/>
          <w:sz w:val="22"/>
        </w:rPr>
        <w:t>to</w:t>
      </w:r>
      <w:r>
        <w:rPr>
          <w:b w:val="0"/>
          <w:spacing w:val="-2"/>
          <w:sz w:val="22"/>
        </w:rPr>
        <w:t> </w:t>
      </w:r>
      <w:r>
        <w:rPr>
          <w:b w:val="0"/>
          <w:sz w:val="22"/>
        </w:rPr>
        <w:t>any</w:t>
      </w:r>
      <w:r>
        <w:rPr>
          <w:b w:val="0"/>
          <w:spacing w:val="-2"/>
          <w:sz w:val="22"/>
        </w:rPr>
        <w:t> </w:t>
      </w:r>
      <w:r>
        <w:rPr>
          <w:b w:val="0"/>
          <w:sz w:val="22"/>
        </w:rPr>
        <w:t>Surrey</w:t>
      </w:r>
      <w:r>
        <w:rPr>
          <w:b w:val="0"/>
          <w:spacing w:val="-2"/>
          <w:sz w:val="22"/>
        </w:rPr>
        <w:t> </w:t>
      </w:r>
      <w:r>
        <w:rPr>
          <w:b w:val="0"/>
          <w:sz w:val="22"/>
        </w:rPr>
        <w:t>Custody</w:t>
      </w:r>
      <w:r>
        <w:rPr>
          <w:b w:val="0"/>
          <w:spacing w:val="-4"/>
          <w:sz w:val="22"/>
        </w:rPr>
        <w:t> </w:t>
      </w:r>
      <w:r>
        <w:rPr>
          <w:b w:val="0"/>
          <w:sz w:val="22"/>
        </w:rPr>
        <w:t>Suite</w:t>
      </w:r>
      <w:r>
        <w:rPr>
          <w:b w:val="0"/>
          <w:spacing w:val="-2"/>
          <w:sz w:val="22"/>
        </w:rPr>
        <w:t> </w:t>
      </w:r>
      <w:r>
        <w:rPr>
          <w:b w:val="0"/>
          <w:sz w:val="22"/>
        </w:rPr>
        <w:t>that</w:t>
      </w:r>
      <w:r>
        <w:rPr>
          <w:b w:val="0"/>
          <w:spacing w:val="-3"/>
          <w:sz w:val="22"/>
        </w:rPr>
        <w:t> </w:t>
      </w:r>
      <w:r>
        <w:rPr>
          <w:b w:val="0"/>
          <w:sz w:val="22"/>
        </w:rPr>
        <w:t>has</w:t>
      </w:r>
      <w:r>
        <w:rPr>
          <w:b w:val="0"/>
          <w:spacing w:val="-2"/>
          <w:sz w:val="22"/>
        </w:rPr>
        <w:t> </w:t>
      </w:r>
      <w:r>
        <w:rPr>
          <w:b w:val="0"/>
          <w:sz w:val="22"/>
        </w:rPr>
        <w:t>been</w:t>
      </w:r>
      <w:r>
        <w:rPr>
          <w:b w:val="0"/>
          <w:spacing w:val="-2"/>
          <w:sz w:val="22"/>
        </w:rPr>
        <w:t> </w:t>
      </w:r>
      <w:r>
        <w:rPr>
          <w:b w:val="0"/>
          <w:sz w:val="22"/>
        </w:rPr>
        <w:t>agreed</w:t>
      </w:r>
      <w:r>
        <w:rPr>
          <w:b w:val="0"/>
          <w:spacing w:val="-7"/>
          <w:sz w:val="22"/>
        </w:rPr>
        <w:t> </w:t>
      </w:r>
      <w:r>
        <w:rPr>
          <w:b w:val="0"/>
          <w:sz w:val="22"/>
        </w:rPr>
        <w:t>by</w:t>
      </w:r>
      <w:r>
        <w:rPr>
          <w:b w:val="0"/>
          <w:spacing w:val="-2"/>
          <w:sz w:val="22"/>
        </w:rPr>
        <w:t> </w:t>
      </w:r>
      <w:r>
        <w:rPr>
          <w:b w:val="0"/>
          <w:sz w:val="22"/>
        </w:rPr>
        <w:t>the</w:t>
      </w:r>
      <w:r>
        <w:rPr>
          <w:b w:val="0"/>
          <w:spacing w:val="-3"/>
          <w:sz w:val="22"/>
        </w:rPr>
        <w:t> </w:t>
      </w:r>
      <w:r>
        <w:rPr>
          <w:b w:val="0"/>
          <w:sz w:val="22"/>
        </w:rPr>
        <w:t>Panel</w:t>
      </w:r>
      <w:r>
        <w:rPr>
          <w:b w:val="0"/>
          <w:spacing w:val="-4"/>
          <w:sz w:val="22"/>
        </w:rPr>
        <w:t> </w:t>
      </w:r>
      <w:r>
        <w:rPr>
          <w:b w:val="0"/>
          <w:sz w:val="22"/>
        </w:rPr>
        <w:t>and</w:t>
      </w:r>
      <w:r>
        <w:rPr>
          <w:b w:val="0"/>
          <w:spacing w:val="-5"/>
          <w:sz w:val="22"/>
        </w:rPr>
        <w:t> </w:t>
      </w:r>
      <w:r>
        <w:rPr>
          <w:b w:val="0"/>
          <w:sz w:val="22"/>
        </w:rPr>
        <w:t>Scheme</w:t>
      </w:r>
      <w:r>
        <w:rPr>
          <w:b w:val="0"/>
          <w:spacing w:val="-3"/>
          <w:sz w:val="22"/>
        </w:rPr>
        <w:t> </w:t>
      </w:r>
      <w:r>
        <w:rPr>
          <w:b w:val="0"/>
          <w:spacing w:val="-2"/>
          <w:sz w:val="22"/>
        </w:rPr>
        <w:t>Manager</w:t>
      </w:r>
    </w:p>
    <w:p>
      <w:pPr>
        <w:pStyle w:val="ListParagraph"/>
        <w:numPr>
          <w:ilvl w:val="1"/>
          <w:numId w:val="1"/>
        </w:numPr>
        <w:tabs>
          <w:tab w:pos="1593" w:val="left" w:leader="none"/>
        </w:tabs>
        <w:spacing w:line="355" w:lineRule="auto" w:before="136" w:after="0"/>
        <w:ind w:left="1593" w:right="148" w:hanging="360"/>
        <w:jc w:val="both"/>
        <w:rPr>
          <w:b w:val="0"/>
          <w:sz w:val="22"/>
        </w:rPr>
      </w:pPr>
      <w:r>
        <w:rPr>
          <w:b w:val="0"/>
          <w:sz w:val="22"/>
        </w:rPr>
        <w:t>Any</w:t>
      </w:r>
      <w:r>
        <w:rPr>
          <w:b w:val="0"/>
          <w:spacing w:val="-1"/>
          <w:sz w:val="22"/>
        </w:rPr>
        <w:t> </w:t>
      </w:r>
      <w:r>
        <w:rPr>
          <w:b w:val="0"/>
          <w:sz w:val="22"/>
        </w:rPr>
        <w:t>other</w:t>
      </w:r>
      <w:r>
        <w:rPr>
          <w:b w:val="0"/>
          <w:spacing w:val="-1"/>
          <w:sz w:val="22"/>
        </w:rPr>
        <w:t> </w:t>
      </w:r>
      <w:r>
        <w:rPr>
          <w:b w:val="0"/>
          <w:sz w:val="22"/>
        </w:rPr>
        <w:t>meeting</w:t>
      </w:r>
      <w:r>
        <w:rPr>
          <w:b w:val="0"/>
          <w:spacing w:val="-2"/>
          <w:sz w:val="22"/>
        </w:rPr>
        <w:t> </w:t>
      </w:r>
      <w:r>
        <w:rPr>
          <w:b w:val="0"/>
          <w:sz w:val="22"/>
        </w:rPr>
        <w:t>or</w:t>
      </w:r>
      <w:r>
        <w:rPr>
          <w:b w:val="0"/>
          <w:spacing w:val="-1"/>
          <w:sz w:val="22"/>
        </w:rPr>
        <w:t> </w:t>
      </w:r>
      <w:r>
        <w:rPr>
          <w:b w:val="0"/>
          <w:sz w:val="22"/>
        </w:rPr>
        <w:t>training</w:t>
      </w:r>
      <w:r>
        <w:rPr>
          <w:b w:val="0"/>
          <w:spacing w:val="-2"/>
          <w:sz w:val="22"/>
        </w:rPr>
        <w:t> </w:t>
      </w:r>
      <w:r>
        <w:rPr>
          <w:b w:val="0"/>
          <w:sz w:val="22"/>
        </w:rPr>
        <w:t>event</w:t>
      </w:r>
      <w:r>
        <w:rPr>
          <w:b w:val="0"/>
          <w:spacing w:val="-2"/>
          <w:sz w:val="22"/>
        </w:rPr>
        <w:t> </w:t>
      </w:r>
      <w:r>
        <w:rPr>
          <w:b w:val="0"/>
          <w:sz w:val="22"/>
        </w:rPr>
        <w:t>authorised</w:t>
      </w:r>
      <w:r>
        <w:rPr>
          <w:b w:val="0"/>
          <w:spacing w:val="-2"/>
          <w:sz w:val="22"/>
        </w:rPr>
        <w:t> </w:t>
      </w:r>
      <w:r>
        <w:rPr>
          <w:b w:val="0"/>
          <w:sz w:val="22"/>
        </w:rPr>
        <w:t>by</w:t>
      </w:r>
      <w:r>
        <w:rPr>
          <w:b w:val="0"/>
          <w:spacing w:val="-1"/>
          <w:sz w:val="22"/>
        </w:rPr>
        <w:t> </w:t>
      </w:r>
      <w:r>
        <w:rPr>
          <w:b w:val="0"/>
          <w:sz w:val="22"/>
        </w:rPr>
        <w:t>the</w:t>
      </w:r>
      <w:r>
        <w:rPr>
          <w:b w:val="0"/>
          <w:spacing w:val="-3"/>
          <w:sz w:val="22"/>
        </w:rPr>
        <w:t> </w:t>
      </w:r>
      <w:r>
        <w:rPr>
          <w:b w:val="0"/>
          <w:sz w:val="22"/>
        </w:rPr>
        <w:t>Chief</w:t>
      </w:r>
      <w:r>
        <w:rPr>
          <w:b w:val="0"/>
          <w:spacing w:val="-3"/>
          <w:sz w:val="22"/>
        </w:rPr>
        <w:t> </w:t>
      </w:r>
      <w:r>
        <w:rPr>
          <w:b w:val="0"/>
          <w:sz w:val="22"/>
        </w:rPr>
        <w:t>Executive</w:t>
      </w:r>
      <w:r>
        <w:rPr>
          <w:b w:val="0"/>
          <w:spacing w:val="-1"/>
          <w:sz w:val="22"/>
        </w:rPr>
        <w:t> </w:t>
      </w:r>
      <w:r>
        <w:rPr>
          <w:b w:val="0"/>
          <w:sz w:val="22"/>
        </w:rPr>
        <w:t>to</w:t>
      </w:r>
      <w:r>
        <w:rPr>
          <w:b w:val="0"/>
          <w:spacing w:val="-2"/>
          <w:sz w:val="22"/>
        </w:rPr>
        <w:t> </w:t>
      </w:r>
      <w:r>
        <w:rPr>
          <w:b w:val="0"/>
          <w:sz w:val="22"/>
        </w:rPr>
        <w:t>the</w:t>
      </w:r>
      <w:r>
        <w:rPr>
          <w:b w:val="0"/>
          <w:spacing w:val="-3"/>
          <w:sz w:val="22"/>
        </w:rPr>
        <w:t> </w:t>
      </w:r>
      <w:r>
        <w:rPr>
          <w:b w:val="0"/>
          <w:sz w:val="22"/>
        </w:rPr>
        <w:t>PCC</w:t>
      </w:r>
      <w:r>
        <w:rPr>
          <w:b w:val="0"/>
          <w:spacing w:val="-5"/>
          <w:sz w:val="22"/>
        </w:rPr>
        <w:t> </w:t>
      </w:r>
      <w:r>
        <w:rPr>
          <w:b w:val="0"/>
          <w:sz w:val="22"/>
        </w:rPr>
        <w:t>under</w:t>
      </w:r>
      <w:r>
        <w:rPr>
          <w:b w:val="0"/>
          <w:spacing w:val="-4"/>
          <w:sz w:val="22"/>
        </w:rPr>
        <w:t> </w:t>
      </w:r>
      <w:r>
        <w:rPr>
          <w:b w:val="0"/>
          <w:sz w:val="22"/>
        </w:rPr>
        <w:t>his/her delegated power.</w:t>
      </w:r>
    </w:p>
    <w:p>
      <w:pPr>
        <w:pStyle w:val="ListParagraph"/>
        <w:numPr>
          <w:ilvl w:val="1"/>
          <w:numId w:val="1"/>
        </w:numPr>
        <w:tabs>
          <w:tab w:pos="1593" w:val="left" w:leader="none"/>
        </w:tabs>
        <w:spacing w:line="357" w:lineRule="auto" w:before="9" w:after="0"/>
        <w:ind w:left="1593" w:right="143" w:hanging="360"/>
        <w:jc w:val="both"/>
        <w:rPr>
          <w:b w:val="0"/>
          <w:sz w:val="22"/>
        </w:rPr>
      </w:pPr>
      <w:r>
        <w:rPr>
          <w:b w:val="0"/>
          <w:sz w:val="22"/>
        </w:rPr>
        <w:t>Conferences, seminars, training events or other meetings/events convened by an organisation other than the Office of the PCC if attendance has been authorised in advance by the Office of the PCC.</w:t>
      </w:r>
    </w:p>
    <w:sectPr>
      <w:pgSz w:w="12240" w:h="15840"/>
      <w:pgMar w:header="480" w:footer="1068" w:top="1780" w:bottom="1260" w:left="98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513088">
              <wp:simplePos x="0" y="0"/>
              <wp:positionH relativeFrom="page">
                <wp:posOffset>706627</wp:posOffset>
              </wp:positionH>
              <wp:positionV relativeFrom="page">
                <wp:posOffset>9240513</wp:posOffset>
              </wp:positionV>
              <wp:extent cx="1421130" cy="3130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21130" cy="313055"/>
                      </a:xfrm>
                      <a:prstGeom prst="rect">
                        <a:avLst/>
                      </a:prstGeom>
                    </wps:spPr>
                    <wps:txbx>
                      <w:txbxContent>
                        <w:p>
                          <w:pPr>
                            <w:spacing w:before="12"/>
                            <w:ind w:left="20" w:right="18" w:firstLine="0"/>
                            <w:jc w:val="left"/>
                            <w:rPr>
                              <w:rFonts w:ascii="Arial"/>
                              <w:sz w:val="20"/>
                            </w:rPr>
                          </w:pPr>
                          <w:r>
                            <w:rPr>
                              <w:rFonts w:ascii="Arial"/>
                              <w:sz w:val="20"/>
                            </w:rPr>
                            <w:t>Approved:</w:t>
                          </w:r>
                          <w:r>
                            <w:rPr>
                              <w:rFonts w:ascii="Arial"/>
                              <w:spacing w:val="40"/>
                              <w:sz w:val="20"/>
                            </w:rPr>
                            <w:t> </w:t>
                          </w:r>
                          <w:r>
                            <w:rPr>
                              <w:rFonts w:ascii="Arial"/>
                              <w:sz w:val="20"/>
                            </w:rPr>
                            <w:t>April 2025 Author:</w:t>
                          </w:r>
                          <w:r>
                            <w:rPr>
                              <w:rFonts w:ascii="Arial"/>
                              <w:spacing w:val="27"/>
                              <w:sz w:val="20"/>
                            </w:rPr>
                            <w:t> </w:t>
                          </w:r>
                          <w:r>
                            <w:rPr>
                              <w:rFonts w:ascii="Arial"/>
                              <w:sz w:val="20"/>
                            </w:rPr>
                            <w:t>Rachel</w:t>
                          </w:r>
                          <w:r>
                            <w:rPr>
                              <w:rFonts w:ascii="Arial"/>
                              <w:spacing w:val="-14"/>
                              <w:sz w:val="20"/>
                            </w:rPr>
                            <w:t> </w:t>
                          </w:r>
                          <w:r>
                            <w:rPr>
                              <w:rFonts w:ascii="Arial"/>
                              <w:sz w:val="20"/>
                            </w:rPr>
                            <w:t>Lupanko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727.599487pt;width:111.9pt;height:24.65pt;mso-position-horizontal-relative:page;mso-position-vertical-relative:page;z-index:-15803392" type="#_x0000_t202" id="docshape1" filled="false" stroked="false">
              <v:textbox inset="0,0,0,0">
                <w:txbxContent>
                  <w:p>
                    <w:pPr>
                      <w:spacing w:before="12"/>
                      <w:ind w:left="20" w:right="18" w:firstLine="0"/>
                      <w:jc w:val="left"/>
                      <w:rPr>
                        <w:rFonts w:ascii="Arial"/>
                        <w:sz w:val="20"/>
                      </w:rPr>
                    </w:pPr>
                    <w:r>
                      <w:rPr>
                        <w:rFonts w:ascii="Arial"/>
                        <w:sz w:val="20"/>
                      </w:rPr>
                      <w:t>Approved:</w:t>
                    </w:r>
                    <w:r>
                      <w:rPr>
                        <w:rFonts w:ascii="Arial"/>
                        <w:spacing w:val="40"/>
                        <w:sz w:val="20"/>
                      </w:rPr>
                      <w:t> </w:t>
                    </w:r>
                    <w:r>
                      <w:rPr>
                        <w:rFonts w:ascii="Arial"/>
                        <w:sz w:val="20"/>
                      </w:rPr>
                      <w:t>April 2025 Author:</w:t>
                    </w:r>
                    <w:r>
                      <w:rPr>
                        <w:rFonts w:ascii="Arial"/>
                        <w:spacing w:val="27"/>
                        <w:sz w:val="20"/>
                      </w:rPr>
                      <w:t> </w:t>
                    </w:r>
                    <w:r>
                      <w:rPr>
                        <w:rFonts w:ascii="Arial"/>
                        <w:sz w:val="20"/>
                      </w:rPr>
                      <w:t>Rachel</w:t>
                    </w:r>
                    <w:r>
                      <w:rPr>
                        <w:rFonts w:ascii="Arial"/>
                        <w:spacing w:val="-14"/>
                        <w:sz w:val="20"/>
                      </w:rPr>
                      <w:t> </w:t>
                    </w:r>
                    <w:r>
                      <w:rPr>
                        <w:rFonts w:ascii="Arial"/>
                        <w:sz w:val="20"/>
                      </w:rPr>
                      <w:t>Lupanko</w:t>
                    </w:r>
                  </w:p>
                </w:txbxContent>
              </v:textbox>
              <w10:wrap type="none"/>
            </v:shape>
          </w:pict>
        </mc:Fallback>
      </mc:AlternateContent>
    </w:r>
    <w:r>
      <w:rPr/>
      <mc:AlternateContent>
        <mc:Choice Requires="wps">
          <w:drawing>
            <wp:anchor distT="0" distB="0" distL="0" distR="0" allowOverlap="1" layoutInCell="1" locked="0" behindDoc="1" simplePos="0" relativeHeight="487513600">
              <wp:simplePos x="0" y="0"/>
              <wp:positionH relativeFrom="page">
                <wp:posOffset>5294757</wp:posOffset>
              </wp:positionH>
              <wp:positionV relativeFrom="page">
                <wp:posOffset>9240513</wp:posOffset>
              </wp:positionV>
              <wp:extent cx="164909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49095" cy="167005"/>
                      </a:xfrm>
                      <a:prstGeom prst="rect">
                        <a:avLst/>
                      </a:prstGeom>
                    </wps:spPr>
                    <wps:txbx>
                      <w:txbxContent>
                        <w:p>
                          <w:pPr>
                            <w:spacing w:before="12"/>
                            <w:ind w:left="20" w:right="0" w:firstLine="0"/>
                            <w:jc w:val="left"/>
                            <w:rPr>
                              <w:rFonts w:ascii="Arial"/>
                              <w:sz w:val="20"/>
                            </w:rPr>
                          </w:pPr>
                          <w:r>
                            <w:rPr>
                              <w:rFonts w:ascii="Arial"/>
                              <w:sz w:val="20"/>
                            </w:rPr>
                            <w:t>To</w:t>
                          </w:r>
                          <w:r>
                            <w:rPr>
                              <w:rFonts w:ascii="Arial"/>
                              <w:spacing w:val="-7"/>
                              <w:sz w:val="20"/>
                            </w:rPr>
                            <w:t> </w:t>
                          </w:r>
                          <w:r>
                            <w:rPr>
                              <w:rFonts w:ascii="Arial"/>
                              <w:sz w:val="20"/>
                            </w:rPr>
                            <w:t>be</w:t>
                          </w:r>
                          <w:r>
                            <w:rPr>
                              <w:rFonts w:ascii="Arial"/>
                              <w:spacing w:val="-7"/>
                              <w:sz w:val="20"/>
                            </w:rPr>
                            <w:t> </w:t>
                          </w:r>
                          <w:r>
                            <w:rPr>
                              <w:rFonts w:ascii="Arial"/>
                              <w:sz w:val="20"/>
                            </w:rPr>
                            <w:t>Reviewed</w:t>
                          </w:r>
                          <w:r>
                            <w:rPr>
                              <w:rFonts w:ascii="Arial"/>
                              <w:spacing w:val="-4"/>
                              <w:sz w:val="20"/>
                            </w:rPr>
                            <w:t> </w:t>
                          </w:r>
                          <w:r>
                            <w:rPr>
                              <w:rFonts w:ascii="Arial"/>
                              <w:sz w:val="20"/>
                            </w:rPr>
                            <w:t>March</w:t>
                          </w:r>
                          <w:r>
                            <w:rPr>
                              <w:rFonts w:ascii="Arial"/>
                              <w:spacing w:val="-6"/>
                              <w:sz w:val="20"/>
                            </w:rPr>
                            <w:t> </w:t>
                          </w:r>
                          <w:r>
                            <w:rPr>
                              <w:rFonts w:ascii="Arial"/>
                              <w:spacing w:val="-4"/>
                              <w:sz w:val="20"/>
                            </w:rPr>
                            <w:t>2026</w:t>
                          </w:r>
                        </w:p>
                      </w:txbxContent>
                    </wps:txbx>
                    <wps:bodyPr wrap="square" lIns="0" tIns="0" rIns="0" bIns="0" rtlCol="0">
                      <a:noAutofit/>
                    </wps:bodyPr>
                  </wps:wsp>
                </a:graphicData>
              </a:graphic>
            </wp:anchor>
          </w:drawing>
        </mc:Choice>
        <mc:Fallback>
          <w:pict>
            <v:shape style="position:absolute;margin-left:416.910004pt;margin-top:727.599487pt;width:129.85pt;height:13.15pt;mso-position-horizontal-relative:page;mso-position-vertical-relative:page;z-index:-15802880" type="#_x0000_t202" id="docshape2" filled="false" stroked="false">
              <v:textbox inset="0,0,0,0">
                <w:txbxContent>
                  <w:p>
                    <w:pPr>
                      <w:spacing w:before="12"/>
                      <w:ind w:left="20" w:right="0" w:firstLine="0"/>
                      <w:jc w:val="left"/>
                      <w:rPr>
                        <w:rFonts w:ascii="Arial"/>
                        <w:sz w:val="20"/>
                      </w:rPr>
                    </w:pPr>
                    <w:r>
                      <w:rPr>
                        <w:rFonts w:ascii="Arial"/>
                        <w:sz w:val="20"/>
                      </w:rPr>
                      <w:t>To</w:t>
                    </w:r>
                    <w:r>
                      <w:rPr>
                        <w:rFonts w:ascii="Arial"/>
                        <w:spacing w:val="-7"/>
                        <w:sz w:val="20"/>
                      </w:rPr>
                      <w:t> </w:t>
                    </w:r>
                    <w:r>
                      <w:rPr>
                        <w:rFonts w:ascii="Arial"/>
                        <w:sz w:val="20"/>
                      </w:rPr>
                      <w:t>be</w:t>
                    </w:r>
                    <w:r>
                      <w:rPr>
                        <w:rFonts w:ascii="Arial"/>
                        <w:spacing w:val="-7"/>
                        <w:sz w:val="20"/>
                      </w:rPr>
                      <w:t> </w:t>
                    </w:r>
                    <w:r>
                      <w:rPr>
                        <w:rFonts w:ascii="Arial"/>
                        <w:sz w:val="20"/>
                      </w:rPr>
                      <w:t>Reviewed</w:t>
                    </w:r>
                    <w:r>
                      <w:rPr>
                        <w:rFonts w:ascii="Arial"/>
                        <w:spacing w:val="-4"/>
                        <w:sz w:val="20"/>
                      </w:rPr>
                      <w:t> </w:t>
                    </w:r>
                    <w:r>
                      <w:rPr>
                        <w:rFonts w:ascii="Arial"/>
                        <w:sz w:val="20"/>
                      </w:rPr>
                      <w:t>March</w:t>
                    </w:r>
                    <w:r>
                      <w:rPr>
                        <w:rFonts w:ascii="Arial"/>
                        <w:spacing w:val="-6"/>
                        <w:sz w:val="20"/>
                      </w:rPr>
                      <w:t> </w:t>
                    </w:r>
                    <w:r>
                      <w:rPr>
                        <w:rFonts w:ascii="Arial"/>
                        <w:spacing w:val="-4"/>
                        <w:sz w:val="20"/>
                      </w:rPr>
                      <w:t>2026</w:t>
                    </w:r>
                  </w:p>
                </w:txbxContent>
              </v:textbox>
              <w10:wrap type="none"/>
            </v:shape>
          </w:pict>
        </mc:Fallback>
      </mc:AlternateContent>
    </w:r>
    <w:r>
      <w:rPr/>
      <mc:AlternateContent>
        <mc:Choice Requires="wps">
          <w:drawing>
            <wp:anchor distT="0" distB="0" distL="0" distR="0" allowOverlap="1" layoutInCell="1" locked="0" behindDoc="1" simplePos="0" relativeHeight="487514112">
              <wp:simplePos x="0" y="0"/>
              <wp:positionH relativeFrom="page">
                <wp:posOffset>6886702</wp:posOffset>
              </wp:positionH>
              <wp:positionV relativeFrom="page">
                <wp:posOffset>9648159</wp:posOffset>
              </wp:positionV>
              <wp:extent cx="146050"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46050" cy="139700"/>
                      </a:xfrm>
                      <a:prstGeom prst="rect">
                        <a:avLst/>
                      </a:prstGeom>
                    </wps:spPr>
                    <wps:txbx>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 style="position:absolute;margin-left:542.26001pt;margin-top:759.697632pt;width:11.5pt;height:11pt;mso-position-horizontal-relative:page;mso-position-vertical-relative:page;z-index:-15802368" type="#_x0000_t202" id="docshape3" filled="false" stroked="false">
              <v:textbox inset="0,0,0,0">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7512576">
          <wp:simplePos x="0" y="0"/>
          <wp:positionH relativeFrom="page">
            <wp:posOffset>720090</wp:posOffset>
          </wp:positionH>
          <wp:positionV relativeFrom="page">
            <wp:posOffset>304800</wp:posOffset>
          </wp:positionV>
          <wp:extent cx="2265553" cy="7696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265553" cy="7696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3" w:hanging="360"/>
        <w:jc w:val="right"/>
      </w:pPr>
      <w:rPr>
        <w:rFonts w:hint="default" w:ascii="Calibri Light" w:hAnsi="Calibri Light" w:eastAsia="Calibri Light" w:cs="Calibri Light"/>
        <w:b w:val="0"/>
        <w:bCs w:val="0"/>
        <w:i w:val="0"/>
        <w:iCs w:val="0"/>
        <w:spacing w:val="0"/>
        <w:w w:val="100"/>
        <w:sz w:val="22"/>
        <w:szCs w:val="22"/>
        <w:lang w:val="en-US" w:eastAsia="en-US" w:bidi="ar-SA"/>
      </w:rPr>
    </w:lvl>
    <w:lvl w:ilvl="1">
      <w:start w:val="0"/>
      <w:numFmt w:val="bullet"/>
      <w:lvlText w:val=""/>
      <w:lvlJc w:val="left"/>
      <w:pPr>
        <w:ind w:left="1593"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51" w:hanging="360"/>
      </w:pPr>
      <w:rPr>
        <w:rFonts w:hint="default"/>
        <w:lang w:val="en-US" w:eastAsia="en-US" w:bidi="ar-SA"/>
      </w:rPr>
    </w:lvl>
    <w:lvl w:ilvl="3">
      <w:start w:val="0"/>
      <w:numFmt w:val="bullet"/>
      <w:lvlText w:val="•"/>
      <w:lvlJc w:val="left"/>
      <w:pPr>
        <w:ind w:left="3502" w:hanging="360"/>
      </w:pPr>
      <w:rPr>
        <w:rFonts w:hint="default"/>
        <w:lang w:val="en-US" w:eastAsia="en-US" w:bidi="ar-SA"/>
      </w:rPr>
    </w:lvl>
    <w:lvl w:ilvl="4">
      <w:start w:val="0"/>
      <w:numFmt w:val="bullet"/>
      <w:lvlText w:val="•"/>
      <w:lvlJc w:val="left"/>
      <w:pPr>
        <w:ind w:left="4453" w:hanging="360"/>
      </w:pPr>
      <w:rPr>
        <w:rFonts w:hint="default"/>
        <w:lang w:val="en-US" w:eastAsia="en-US" w:bidi="ar-SA"/>
      </w:rPr>
    </w:lvl>
    <w:lvl w:ilvl="5">
      <w:start w:val="0"/>
      <w:numFmt w:val="bullet"/>
      <w:lvlText w:val="•"/>
      <w:lvlJc w:val="left"/>
      <w:pPr>
        <w:ind w:left="5404" w:hanging="360"/>
      </w:pPr>
      <w:rPr>
        <w:rFonts w:hint="default"/>
        <w:lang w:val="en-US" w:eastAsia="en-US" w:bidi="ar-SA"/>
      </w:rPr>
    </w:lvl>
    <w:lvl w:ilvl="6">
      <w:start w:val="0"/>
      <w:numFmt w:val="bullet"/>
      <w:lvlText w:val="•"/>
      <w:lvlJc w:val="left"/>
      <w:pPr>
        <w:ind w:left="6355"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5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jc w:val="both"/>
    </w:pPr>
    <w:rPr>
      <w:rFonts w:ascii="Calibri Light" w:hAnsi="Calibri Light" w:eastAsia="Calibri Light" w:cs="Calibri Light"/>
      <w:sz w:val="22"/>
      <w:szCs w:val="22"/>
      <w:lang w:val="en-US" w:eastAsia="en-US" w:bidi="ar-SA"/>
    </w:rPr>
  </w:style>
  <w:style w:styleId="Title" w:type="paragraph">
    <w:name w:val="Title"/>
    <w:basedOn w:val="Normal"/>
    <w:uiPriority w:val="1"/>
    <w:qFormat/>
    <w:pPr>
      <w:spacing w:line="341" w:lineRule="exact"/>
      <w:ind w:right="2"/>
      <w:jc w:val="center"/>
    </w:pPr>
    <w:rPr>
      <w:rFonts w:ascii="Calibri Light" w:hAnsi="Calibri Light" w:eastAsia="Calibri Light" w:cs="Calibri Light"/>
      <w:sz w:val="28"/>
      <w:szCs w:val="28"/>
      <w:lang w:val="en-US" w:eastAsia="en-US" w:bidi="ar-SA"/>
    </w:rPr>
  </w:style>
  <w:style w:styleId="ListParagraph" w:type="paragraph">
    <w:name w:val="List Paragraph"/>
    <w:basedOn w:val="Normal"/>
    <w:uiPriority w:val="1"/>
    <w:qFormat/>
    <w:pPr>
      <w:ind w:left="1593" w:hanging="360"/>
      <w:jc w:val="both"/>
    </w:pPr>
    <w:rPr>
      <w:rFonts w:ascii="Calibri Light" w:hAnsi="Calibri Light" w:eastAsia="Calibri Light" w:cs="Calibri Light"/>
      <w:lang w:val="en-US" w:eastAsia="en-US" w:bidi="ar-SA"/>
    </w:rPr>
  </w:style>
  <w:style w:styleId="TableParagraph" w:type="paragraph">
    <w:name w:val="Table Paragraph"/>
    <w:basedOn w:val="Normal"/>
    <w:uiPriority w:val="1"/>
    <w:qFormat/>
    <w:pPr>
      <w:spacing w:before="47"/>
      <w:ind w:left="422"/>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Lupanko, Rachel 11788</dc:creator>
  <dcterms:created xsi:type="dcterms:W3CDTF">2025-05-06T11:15:58Z</dcterms:created>
  <dcterms:modified xsi:type="dcterms:W3CDTF">2025-05-06T11:15:58Z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for Microsoft 365</vt:lpwstr>
  </property>
  <property fmtid="{D5CDD505-2E9C-101B-9397-08002B2CF9AE}" pid="4" name="LastSaved">
    <vt:filetime>2025-05-06T00:00:00Z</vt:filetime>
  </property>
  <property fmtid="{D5CDD505-2E9C-101B-9397-08002B2CF9AE}" pid="5" name="MSIP_Label_ff2c7813-90f2-4239-a7c9-c54bc1621d1c_ActionId">
    <vt:lpwstr>bf98a46c-6917-4133-a60e-59c10ee52415</vt:lpwstr>
  </property>
  <property fmtid="{D5CDD505-2E9C-101B-9397-08002B2CF9AE}" pid="6" name="MSIP_Label_ff2c7813-90f2-4239-a7c9-c54bc1621d1c_ContentBits">
    <vt:lpwstr>0</vt:lpwstr>
  </property>
  <property fmtid="{D5CDD505-2E9C-101B-9397-08002B2CF9AE}" pid="7" name="MSIP_Label_ff2c7813-90f2-4239-a7c9-c54bc1621d1c_Enabled">
    <vt:lpwstr>true</vt:lpwstr>
  </property>
  <property fmtid="{D5CDD505-2E9C-101B-9397-08002B2CF9AE}" pid="8" name="MSIP_Label_ff2c7813-90f2-4239-a7c9-c54bc1621d1c_Method">
    <vt:lpwstr>Privileged</vt:lpwstr>
  </property>
  <property fmtid="{D5CDD505-2E9C-101B-9397-08002B2CF9AE}" pid="9" name="MSIP_Label_ff2c7813-90f2-4239-a7c9-c54bc1621d1c_Name">
    <vt:lpwstr>OFFICIAL</vt:lpwstr>
  </property>
  <property fmtid="{D5CDD505-2E9C-101B-9397-08002B2CF9AE}" pid="10" name="MSIP_Label_ff2c7813-90f2-4239-a7c9-c54bc1621d1c_SetDate">
    <vt:lpwstr>2024-05-17T10:12:17Z</vt:lpwstr>
  </property>
  <property fmtid="{D5CDD505-2E9C-101B-9397-08002B2CF9AE}" pid="11" name="MSIP_Label_ff2c7813-90f2-4239-a7c9-c54bc1621d1c_SiteId">
    <vt:lpwstr>1c6f5d37-9882-41c7-b911-6c23ee574cec</vt:lpwstr>
  </property>
  <property fmtid="{D5CDD505-2E9C-101B-9397-08002B2CF9AE}" pid="12" name="Producer">
    <vt:lpwstr>Microsoft® Word for Microsoft 365</vt:lpwstr>
  </property>
</Properties>
</file>