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53738" w14:textId="77777777" w:rsidR="00AE3EC0" w:rsidRDefault="00C26202" w:rsidP="009055CC">
      <w:pPr>
        <w:jc w:val="center"/>
        <w:rPr>
          <w:b/>
          <w:sz w:val="56"/>
          <w:szCs w:val="56"/>
          <w:lang w:val="en-AU"/>
        </w:rPr>
      </w:pPr>
      <w:bookmarkStart w:id="0" w:name="_GoBack"/>
      <w:bookmarkEnd w:id="0"/>
      <w:r w:rsidRPr="00B72803">
        <w:rPr>
          <w:noProof/>
          <w:lang w:val="en-GB" w:eastAsia="en-GB"/>
        </w:rPr>
        <w:drawing>
          <wp:inline distT="0" distB="0" distL="0" distR="0" wp14:anchorId="5E42DE23" wp14:editId="4650D901">
            <wp:extent cx="2882547" cy="53483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8170" cy="548869"/>
                    </a:xfrm>
                    <a:prstGeom prst="rect">
                      <a:avLst/>
                    </a:prstGeom>
                    <a:noFill/>
                    <a:ln>
                      <a:noFill/>
                    </a:ln>
                  </pic:spPr>
                </pic:pic>
              </a:graphicData>
            </a:graphic>
          </wp:inline>
        </w:drawing>
      </w:r>
      <w:r>
        <w:rPr>
          <w:b/>
          <w:sz w:val="56"/>
          <w:szCs w:val="56"/>
          <w:lang w:val="en-AU"/>
        </w:rPr>
        <w:t xml:space="preserve"> </w:t>
      </w:r>
      <w:r>
        <w:rPr>
          <w:noProof/>
          <w:lang w:val="en-GB" w:eastAsia="en-GB"/>
        </w:rPr>
        <w:drawing>
          <wp:inline distT="0" distB="0" distL="0" distR="0" wp14:anchorId="26A1D19C" wp14:editId="28F303C6">
            <wp:extent cx="2135025" cy="11904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377" cy="1195102"/>
                    </a:xfrm>
                    <a:prstGeom prst="rect">
                      <a:avLst/>
                    </a:prstGeom>
                    <a:noFill/>
                    <a:ln>
                      <a:noFill/>
                    </a:ln>
                  </pic:spPr>
                </pic:pic>
              </a:graphicData>
            </a:graphic>
          </wp:inline>
        </w:drawing>
      </w:r>
    </w:p>
    <w:p w14:paraId="6A044CA9" w14:textId="77777777" w:rsidR="00AE3EC0" w:rsidRDefault="00AE3EC0" w:rsidP="009055CC">
      <w:pPr>
        <w:jc w:val="center"/>
        <w:rPr>
          <w:b/>
          <w:sz w:val="56"/>
          <w:szCs w:val="56"/>
          <w:lang w:val="en-AU"/>
        </w:rPr>
      </w:pPr>
    </w:p>
    <w:p w14:paraId="41FDF032" w14:textId="77777777" w:rsidR="00C26202" w:rsidRDefault="00C26202" w:rsidP="009055CC">
      <w:pPr>
        <w:jc w:val="center"/>
        <w:rPr>
          <w:b/>
          <w:sz w:val="56"/>
          <w:szCs w:val="56"/>
          <w:lang w:val="en-AU"/>
        </w:rPr>
      </w:pPr>
    </w:p>
    <w:p w14:paraId="45F49138" w14:textId="77777777" w:rsidR="00C26202" w:rsidRDefault="00C26202" w:rsidP="009055CC">
      <w:pPr>
        <w:jc w:val="center"/>
        <w:rPr>
          <w:b/>
          <w:sz w:val="56"/>
          <w:szCs w:val="56"/>
          <w:lang w:val="en-AU"/>
        </w:rPr>
      </w:pPr>
    </w:p>
    <w:p w14:paraId="5273F021" w14:textId="77777777" w:rsidR="00CA6653" w:rsidRPr="009055CC" w:rsidRDefault="009055CC" w:rsidP="009055CC">
      <w:pPr>
        <w:jc w:val="center"/>
        <w:rPr>
          <w:sz w:val="56"/>
          <w:szCs w:val="56"/>
          <w:lang w:val="en-AU"/>
        </w:rPr>
      </w:pPr>
      <w:r w:rsidRPr="009055CC">
        <w:rPr>
          <w:b/>
          <w:sz w:val="56"/>
          <w:szCs w:val="56"/>
          <w:lang w:val="en-AU"/>
        </w:rPr>
        <w:t>T</w:t>
      </w:r>
      <w:r w:rsidR="00EB0E41">
        <w:rPr>
          <w:b/>
          <w:sz w:val="56"/>
          <w:szCs w:val="56"/>
          <w:lang w:val="en-AU"/>
        </w:rPr>
        <w:t xml:space="preserve">HE POLICE AND CRIME COMMISSIONER FOR SURREY AND THE CHIEF CONSTABLE OF SURREY GROUP </w:t>
      </w:r>
    </w:p>
    <w:p w14:paraId="44CFF336" w14:textId="77777777" w:rsidR="009055CC" w:rsidRDefault="009055CC" w:rsidP="009055CC">
      <w:pPr>
        <w:jc w:val="center"/>
        <w:rPr>
          <w:sz w:val="44"/>
          <w:szCs w:val="44"/>
          <w:lang w:val="en-AU"/>
        </w:rPr>
      </w:pPr>
    </w:p>
    <w:p w14:paraId="78B2348F" w14:textId="77777777" w:rsidR="00AE3EC0" w:rsidRDefault="00AE3EC0" w:rsidP="009055CC">
      <w:pPr>
        <w:jc w:val="center"/>
        <w:rPr>
          <w:sz w:val="44"/>
          <w:szCs w:val="44"/>
          <w:lang w:val="en-AU"/>
        </w:rPr>
      </w:pPr>
    </w:p>
    <w:p w14:paraId="679738E6" w14:textId="77777777" w:rsidR="00CA6653" w:rsidRPr="009055CC" w:rsidRDefault="00EB0E41" w:rsidP="009055CC">
      <w:pPr>
        <w:jc w:val="center"/>
        <w:rPr>
          <w:sz w:val="44"/>
          <w:szCs w:val="44"/>
          <w:lang w:val="en-AU"/>
        </w:rPr>
      </w:pPr>
      <w:r>
        <w:rPr>
          <w:b/>
          <w:sz w:val="44"/>
          <w:szCs w:val="44"/>
          <w:lang w:val="en-AU"/>
        </w:rPr>
        <w:t xml:space="preserve">DRAFT </w:t>
      </w:r>
      <w:r w:rsidR="00CA6653" w:rsidRPr="00D91109">
        <w:rPr>
          <w:b/>
          <w:sz w:val="44"/>
          <w:szCs w:val="44"/>
          <w:lang w:val="en-AU"/>
        </w:rPr>
        <w:t xml:space="preserve">Statement of Accounts for the year </w:t>
      </w:r>
      <w:r w:rsidR="00CA6653" w:rsidRPr="009055CC">
        <w:rPr>
          <w:b/>
          <w:sz w:val="44"/>
          <w:szCs w:val="44"/>
          <w:lang w:val="en-AU"/>
        </w:rPr>
        <w:t>20</w:t>
      </w:r>
      <w:r w:rsidR="00DD616F">
        <w:rPr>
          <w:b/>
          <w:sz w:val="44"/>
          <w:szCs w:val="44"/>
          <w:lang w:val="en-AU"/>
        </w:rPr>
        <w:t>20</w:t>
      </w:r>
      <w:r w:rsidR="00CA6653" w:rsidRPr="009055CC">
        <w:rPr>
          <w:b/>
          <w:sz w:val="44"/>
          <w:szCs w:val="44"/>
          <w:lang w:val="en-AU"/>
        </w:rPr>
        <w:t>/2</w:t>
      </w:r>
      <w:r w:rsidR="00DD616F">
        <w:rPr>
          <w:b/>
          <w:sz w:val="44"/>
          <w:szCs w:val="44"/>
          <w:lang w:val="en-AU"/>
        </w:rPr>
        <w:t>1</w:t>
      </w:r>
    </w:p>
    <w:p w14:paraId="2F6EBF93" w14:textId="77777777" w:rsidR="00CA6653" w:rsidRDefault="008154B1" w:rsidP="00D91109">
      <w:pPr>
        <w:tabs>
          <w:tab w:val="left" w:pos="1015"/>
        </w:tabs>
        <w:rPr>
          <w:lang w:val="en-AU"/>
        </w:rPr>
      </w:pPr>
      <w:r>
        <w:rPr>
          <w:lang w:val="en-AU"/>
        </w:rPr>
        <w:tab/>
      </w:r>
    </w:p>
    <w:p w14:paraId="46B83315" w14:textId="77777777" w:rsidR="00CA6653" w:rsidRDefault="00CA6653" w:rsidP="000D6EF8">
      <w:pPr>
        <w:rPr>
          <w:lang w:val="en-AU"/>
        </w:rPr>
      </w:pPr>
    </w:p>
    <w:p w14:paraId="238C8DD0" w14:textId="77777777" w:rsidR="00B72803" w:rsidRDefault="00B72803" w:rsidP="000D6EF8">
      <w:pPr>
        <w:rPr>
          <w:lang w:val="en-AU"/>
        </w:rPr>
      </w:pPr>
    </w:p>
    <w:p w14:paraId="62292E97" w14:textId="77777777" w:rsidR="00CA6653" w:rsidRDefault="00B72803" w:rsidP="000D6EF8">
      <w:pPr>
        <w:rPr>
          <w:lang w:val="en-AU"/>
        </w:rPr>
        <w:sectPr w:rsidR="00CA6653" w:rsidSect="00EB0E41">
          <w:footerReference w:type="default" r:id="rId10"/>
          <w:type w:val="nextColumn"/>
          <w:pgSz w:w="16840" w:h="11900" w:orient="landscape"/>
          <w:pgMar w:top="1440" w:right="1440" w:bottom="1440" w:left="1440" w:header="709" w:footer="709" w:gutter="0"/>
          <w:pgNumType w:start="1"/>
          <w:cols w:space="708"/>
          <w:docGrid w:linePitch="360"/>
        </w:sectPr>
      </w:pPr>
      <w:r>
        <w:rPr>
          <w:lang w:val="en-AU"/>
        </w:rPr>
        <w:t xml:space="preserve"> </w:t>
      </w:r>
      <w:r w:rsidR="002A3942">
        <w:t xml:space="preserve"> </w:t>
      </w:r>
      <w:r>
        <w:t xml:space="preserve">   </w:t>
      </w:r>
    </w:p>
    <w:sdt>
      <w:sdtPr>
        <w:rPr>
          <w:rFonts w:ascii="Verdana" w:eastAsiaTheme="minorHAnsi" w:hAnsi="Verdana" w:cstheme="minorBidi"/>
          <w:b w:val="0"/>
          <w:color w:val="auto"/>
          <w:sz w:val="24"/>
          <w:szCs w:val="24"/>
          <w:lang w:val="en-US"/>
        </w:rPr>
        <w:id w:val="-1029258257"/>
        <w:docPartObj>
          <w:docPartGallery w:val="Table of Contents"/>
          <w:docPartUnique/>
        </w:docPartObj>
      </w:sdtPr>
      <w:sdtEndPr>
        <w:rPr>
          <w:noProof/>
          <w:sz w:val="22"/>
          <w:szCs w:val="22"/>
        </w:rPr>
      </w:sdtEndPr>
      <w:sdtContent>
        <w:p w14:paraId="60ED4260" w14:textId="77777777" w:rsidR="00CA6653" w:rsidRPr="00D52C08" w:rsidRDefault="00CA6653" w:rsidP="00A31A9E">
          <w:pPr>
            <w:pStyle w:val="TOCHeading"/>
            <w:rPr>
              <w:rFonts w:ascii="Verdana" w:hAnsi="Verdana"/>
              <w:color w:val="auto"/>
              <w:sz w:val="28"/>
              <w:szCs w:val="28"/>
            </w:rPr>
          </w:pPr>
          <w:r w:rsidRPr="00D52C08">
            <w:rPr>
              <w:rFonts w:ascii="Verdana" w:hAnsi="Verdana"/>
              <w:color w:val="auto"/>
              <w:sz w:val="28"/>
              <w:szCs w:val="28"/>
            </w:rPr>
            <w:t>Contents</w:t>
          </w:r>
        </w:p>
        <w:p w14:paraId="4DC4C2DB" w14:textId="77777777" w:rsidR="009E10F4" w:rsidRDefault="00CA6653">
          <w:pPr>
            <w:pStyle w:val="TOC1"/>
            <w:tabs>
              <w:tab w:val="right" w:leader="dot" w:pos="13950"/>
            </w:tabs>
            <w:rPr>
              <w:rFonts w:asciiTheme="minorHAnsi" w:eastAsiaTheme="minorEastAsia" w:hAnsiTheme="minorHAnsi"/>
              <w:noProof/>
              <w:lang w:val="en-GB" w:eastAsia="en-GB"/>
            </w:rPr>
          </w:pPr>
          <w:r w:rsidRPr="008615E5">
            <w:fldChar w:fldCharType="begin"/>
          </w:r>
          <w:r w:rsidRPr="008615E5">
            <w:instrText xml:space="preserve"> TOC \o "1-3" \h \z \u </w:instrText>
          </w:r>
          <w:r w:rsidRPr="008615E5">
            <w:fldChar w:fldCharType="separate"/>
          </w:r>
          <w:hyperlink w:anchor="_Toc75122760" w:history="1">
            <w:r w:rsidR="009E10F4" w:rsidRPr="000D1A94">
              <w:rPr>
                <w:rStyle w:val="Hyperlink"/>
                <w:noProof/>
                <w:lang w:eastAsia="en-GB"/>
              </w:rPr>
              <w:t>Preface</w:t>
            </w:r>
            <w:r w:rsidR="009E10F4">
              <w:rPr>
                <w:noProof/>
                <w:webHidden/>
              </w:rPr>
              <w:tab/>
            </w:r>
            <w:r w:rsidR="009E10F4">
              <w:rPr>
                <w:noProof/>
                <w:webHidden/>
              </w:rPr>
              <w:fldChar w:fldCharType="begin"/>
            </w:r>
            <w:r w:rsidR="009E10F4">
              <w:rPr>
                <w:noProof/>
                <w:webHidden/>
              </w:rPr>
              <w:instrText xml:space="preserve"> PAGEREF _Toc75122760 \h </w:instrText>
            </w:r>
            <w:r w:rsidR="009E10F4">
              <w:rPr>
                <w:noProof/>
                <w:webHidden/>
              </w:rPr>
            </w:r>
            <w:r w:rsidR="009E10F4">
              <w:rPr>
                <w:noProof/>
                <w:webHidden/>
              </w:rPr>
              <w:fldChar w:fldCharType="separate"/>
            </w:r>
            <w:r w:rsidR="002032BD">
              <w:rPr>
                <w:noProof/>
                <w:webHidden/>
              </w:rPr>
              <w:t>3</w:t>
            </w:r>
            <w:r w:rsidR="009E10F4">
              <w:rPr>
                <w:noProof/>
                <w:webHidden/>
              </w:rPr>
              <w:fldChar w:fldCharType="end"/>
            </w:r>
          </w:hyperlink>
        </w:p>
        <w:p w14:paraId="1074386F" w14:textId="77777777" w:rsidR="009E10F4" w:rsidRDefault="00017F07">
          <w:pPr>
            <w:pStyle w:val="TOC1"/>
            <w:tabs>
              <w:tab w:val="right" w:leader="dot" w:pos="13950"/>
            </w:tabs>
            <w:rPr>
              <w:rFonts w:asciiTheme="minorHAnsi" w:eastAsiaTheme="minorEastAsia" w:hAnsiTheme="minorHAnsi"/>
              <w:noProof/>
              <w:lang w:val="en-GB" w:eastAsia="en-GB"/>
            </w:rPr>
          </w:pPr>
          <w:hyperlink w:anchor="_Toc75122761" w:history="1">
            <w:r w:rsidR="009E10F4" w:rsidRPr="000D1A94">
              <w:rPr>
                <w:rStyle w:val="Hyperlink"/>
                <w:noProof/>
                <w:lang w:eastAsia="en-GB"/>
              </w:rPr>
              <w:t>Narrative Report</w:t>
            </w:r>
            <w:r w:rsidR="009E10F4">
              <w:rPr>
                <w:noProof/>
                <w:webHidden/>
              </w:rPr>
              <w:tab/>
            </w:r>
            <w:r w:rsidR="009E10F4">
              <w:rPr>
                <w:noProof/>
                <w:webHidden/>
              </w:rPr>
              <w:fldChar w:fldCharType="begin"/>
            </w:r>
            <w:r w:rsidR="009E10F4">
              <w:rPr>
                <w:noProof/>
                <w:webHidden/>
              </w:rPr>
              <w:instrText xml:space="preserve"> PAGEREF _Toc75122761 \h </w:instrText>
            </w:r>
            <w:r w:rsidR="009E10F4">
              <w:rPr>
                <w:noProof/>
                <w:webHidden/>
              </w:rPr>
            </w:r>
            <w:r w:rsidR="009E10F4">
              <w:rPr>
                <w:noProof/>
                <w:webHidden/>
              </w:rPr>
              <w:fldChar w:fldCharType="separate"/>
            </w:r>
            <w:r w:rsidR="002032BD">
              <w:rPr>
                <w:noProof/>
                <w:webHidden/>
              </w:rPr>
              <w:t>11</w:t>
            </w:r>
            <w:r w:rsidR="009E10F4">
              <w:rPr>
                <w:noProof/>
                <w:webHidden/>
              </w:rPr>
              <w:fldChar w:fldCharType="end"/>
            </w:r>
          </w:hyperlink>
        </w:p>
        <w:p w14:paraId="55A5AAE0" w14:textId="77777777" w:rsidR="009E10F4" w:rsidRDefault="00017F07">
          <w:pPr>
            <w:pStyle w:val="TOC1"/>
            <w:tabs>
              <w:tab w:val="right" w:leader="dot" w:pos="13950"/>
            </w:tabs>
            <w:rPr>
              <w:rFonts w:asciiTheme="minorHAnsi" w:eastAsiaTheme="minorEastAsia" w:hAnsiTheme="minorHAnsi"/>
              <w:noProof/>
              <w:lang w:val="en-GB" w:eastAsia="en-GB"/>
            </w:rPr>
          </w:pPr>
          <w:hyperlink w:anchor="_Toc75122762" w:history="1">
            <w:r w:rsidR="009E10F4" w:rsidRPr="000D1A94">
              <w:rPr>
                <w:rStyle w:val="Hyperlink"/>
                <w:noProof/>
                <w:highlight w:val="yellow"/>
              </w:rPr>
              <w:t>External Auditor’s Report</w:t>
            </w:r>
            <w:r w:rsidR="009E10F4">
              <w:rPr>
                <w:noProof/>
                <w:webHidden/>
              </w:rPr>
              <w:tab/>
            </w:r>
            <w:r w:rsidR="009E10F4">
              <w:rPr>
                <w:noProof/>
                <w:webHidden/>
              </w:rPr>
              <w:fldChar w:fldCharType="begin"/>
            </w:r>
            <w:r w:rsidR="009E10F4">
              <w:rPr>
                <w:noProof/>
                <w:webHidden/>
              </w:rPr>
              <w:instrText xml:space="preserve"> PAGEREF _Toc75122762 \h </w:instrText>
            </w:r>
            <w:r w:rsidR="009E10F4">
              <w:rPr>
                <w:noProof/>
                <w:webHidden/>
              </w:rPr>
            </w:r>
            <w:r w:rsidR="009E10F4">
              <w:rPr>
                <w:noProof/>
                <w:webHidden/>
              </w:rPr>
              <w:fldChar w:fldCharType="separate"/>
            </w:r>
            <w:r w:rsidR="002032BD">
              <w:rPr>
                <w:noProof/>
                <w:webHidden/>
              </w:rPr>
              <w:t>38</w:t>
            </w:r>
            <w:r w:rsidR="009E10F4">
              <w:rPr>
                <w:noProof/>
                <w:webHidden/>
              </w:rPr>
              <w:fldChar w:fldCharType="end"/>
            </w:r>
          </w:hyperlink>
        </w:p>
        <w:p w14:paraId="4F994830" w14:textId="77777777" w:rsidR="009E10F4" w:rsidRDefault="00017F07">
          <w:pPr>
            <w:pStyle w:val="TOC1"/>
            <w:tabs>
              <w:tab w:val="right" w:leader="dot" w:pos="13950"/>
            </w:tabs>
            <w:rPr>
              <w:rFonts w:asciiTheme="minorHAnsi" w:eastAsiaTheme="minorEastAsia" w:hAnsiTheme="minorHAnsi"/>
              <w:noProof/>
              <w:lang w:val="en-GB" w:eastAsia="en-GB"/>
            </w:rPr>
          </w:pPr>
          <w:hyperlink w:anchor="_Toc75122763" w:history="1">
            <w:r w:rsidR="009E10F4" w:rsidRPr="000D1A94">
              <w:rPr>
                <w:rStyle w:val="Hyperlink"/>
                <w:noProof/>
              </w:rPr>
              <w:t>Statements of Responsibilities</w:t>
            </w:r>
            <w:r w:rsidR="009E10F4">
              <w:rPr>
                <w:noProof/>
                <w:webHidden/>
              </w:rPr>
              <w:tab/>
            </w:r>
            <w:r w:rsidR="009E10F4">
              <w:rPr>
                <w:noProof/>
                <w:webHidden/>
              </w:rPr>
              <w:fldChar w:fldCharType="begin"/>
            </w:r>
            <w:r w:rsidR="009E10F4">
              <w:rPr>
                <w:noProof/>
                <w:webHidden/>
              </w:rPr>
              <w:instrText xml:space="preserve"> PAGEREF _Toc75122763 \h </w:instrText>
            </w:r>
            <w:r w:rsidR="009E10F4">
              <w:rPr>
                <w:noProof/>
                <w:webHidden/>
              </w:rPr>
            </w:r>
            <w:r w:rsidR="009E10F4">
              <w:rPr>
                <w:noProof/>
                <w:webHidden/>
              </w:rPr>
              <w:fldChar w:fldCharType="separate"/>
            </w:r>
            <w:r w:rsidR="002032BD">
              <w:rPr>
                <w:noProof/>
                <w:webHidden/>
              </w:rPr>
              <w:t>39</w:t>
            </w:r>
            <w:r w:rsidR="009E10F4">
              <w:rPr>
                <w:noProof/>
                <w:webHidden/>
              </w:rPr>
              <w:fldChar w:fldCharType="end"/>
            </w:r>
          </w:hyperlink>
        </w:p>
        <w:p w14:paraId="46733A18" w14:textId="77777777" w:rsidR="009E10F4" w:rsidRDefault="00017F07">
          <w:pPr>
            <w:pStyle w:val="TOC1"/>
            <w:tabs>
              <w:tab w:val="right" w:leader="dot" w:pos="13950"/>
            </w:tabs>
            <w:rPr>
              <w:rFonts w:asciiTheme="minorHAnsi" w:eastAsiaTheme="minorEastAsia" w:hAnsiTheme="minorHAnsi"/>
              <w:noProof/>
              <w:lang w:val="en-GB" w:eastAsia="en-GB"/>
            </w:rPr>
          </w:pPr>
          <w:hyperlink w:anchor="_Toc75122764" w:history="1">
            <w:r w:rsidR="009E10F4" w:rsidRPr="000D1A94">
              <w:rPr>
                <w:rStyle w:val="Hyperlink"/>
                <w:noProof/>
              </w:rPr>
              <w:t>Annual Governance Statement</w:t>
            </w:r>
            <w:r w:rsidR="009E10F4">
              <w:rPr>
                <w:noProof/>
                <w:webHidden/>
              </w:rPr>
              <w:tab/>
            </w:r>
            <w:r w:rsidR="009E10F4">
              <w:rPr>
                <w:noProof/>
                <w:webHidden/>
              </w:rPr>
              <w:fldChar w:fldCharType="begin"/>
            </w:r>
            <w:r w:rsidR="009E10F4">
              <w:rPr>
                <w:noProof/>
                <w:webHidden/>
              </w:rPr>
              <w:instrText xml:space="preserve"> PAGEREF _Toc75122764 \h </w:instrText>
            </w:r>
            <w:r w:rsidR="009E10F4">
              <w:rPr>
                <w:noProof/>
                <w:webHidden/>
              </w:rPr>
            </w:r>
            <w:r w:rsidR="009E10F4">
              <w:rPr>
                <w:noProof/>
                <w:webHidden/>
              </w:rPr>
              <w:fldChar w:fldCharType="separate"/>
            </w:r>
            <w:r w:rsidR="002032BD">
              <w:rPr>
                <w:noProof/>
                <w:webHidden/>
              </w:rPr>
              <w:t>40</w:t>
            </w:r>
            <w:r w:rsidR="009E10F4">
              <w:rPr>
                <w:noProof/>
                <w:webHidden/>
              </w:rPr>
              <w:fldChar w:fldCharType="end"/>
            </w:r>
          </w:hyperlink>
        </w:p>
        <w:p w14:paraId="4D8890B2" w14:textId="5BF510D9" w:rsidR="009E10F4" w:rsidRDefault="00255B41">
          <w:pPr>
            <w:pStyle w:val="TOC1"/>
            <w:tabs>
              <w:tab w:val="right" w:leader="dot" w:pos="13950"/>
            </w:tabs>
            <w:rPr>
              <w:rFonts w:asciiTheme="minorHAnsi" w:eastAsiaTheme="minorEastAsia" w:hAnsiTheme="minorHAnsi"/>
              <w:noProof/>
              <w:lang w:val="en-GB" w:eastAsia="en-GB"/>
            </w:rPr>
          </w:pPr>
          <w:hyperlink w:anchor="_Toc75122765" w:history="1">
            <w:r w:rsidR="009E10F4" w:rsidRPr="000D1A94">
              <w:rPr>
                <w:rStyle w:val="Hyperlink"/>
                <w:noProof/>
              </w:rPr>
              <w:t>Movement in Reserves Statement</w:t>
            </w:r>
            <w:r w:rsidR="009E10F4">
              <w:rPr>
                <w:noProof/>
                <w:webHidden/>
              </w:rPr>
              <w:tab/>
            </w:r>
            <w:r w:rsidR="009E10F4">
              <w:rPr>
                <w:noProof/>
                <w:webHidden/>
              </w:rPr>
              <w:fldChar w:fldCharType="begin"/>
            </w:r>
            <w:r w:rsidR="009E10F4">
              <w:rPr>
                <w:noProof/>
                <w:webHidden/>
              </w:rPr>
              <w:instrText xml:space="preserve"> PAGEREF _Toc75122765 \h </w:instrText>
            </w:r>
            <w:r w:rsidR="009E10F4">
              <w:rPr>
                <w:noProof/>
                <w:webHidden/>
              </w:rPr>
            </w:r>
            <w:r w:rsidR="009E10F4">
              <w:rPr>
                <w:noProof/>
                <w:webHidden/>
              </w:rPr>
              <w:fldChar w:fldCharType="separate"/>
            </w:r>
            <w:r w:rsidR="002032BD">
              <w:rPr>
                <w:noProof/>
                <w:webHidden/>
              </w:rPr>
              <w:t>55</w:t>
            </w:r>
            <w:r w:rsidR="009E10F4">
              <w:rPr>
                <w:noProof/>
                <w:webHidden/>
              </w:rPr>
              <w:fldChar w:fldCharType="end"/>
            </w:r>
          </w:hyperlink>
        </w:p>
        <w:p w14:paraId="0B23DEAC" w14:textId="63943616" w:rsidR="009E10F4" w:rsidRDefault="00255B41">
          <w:pPr>
            <w:pStyle w:val="TOC1"/>
            <w:tabs>
              <w:tab w:val="right" w:leader="dot" w:pos="13950"/>
            </w:tabs>
            <w:rPr>
              <w:rFonts w:asciiTheme="minorHAnsi" w:eastAsiaTheme="minorEastAsia" w:hAnsiTheme="minorHAnsi"/>
              <w:noProof/>
              <w:lang w:val="en-GB" w:eastAsia="en-GB"/>
            </w:rPr>
          </w:pPr>
          <w:hyperlink w:anchor="_Toc75122766" w:history="1">
            <w:r w:rsidR="009E10F4" w:rsidRPr="000D1A94">
              <w:rPr>
                <w:rStyle w:val="Hyperlink"/>
                <w:noProof/>
              </w:rPr>
              <w:t>Comprehensive Income and Expenditure Statement</w:t>
            </w:r>
            <w:r w:rsidR="009E10F4">
              <w:rPr>
                <w:noProof/>
                <w:webHidden/>
              </w:rPr>
              <w:tab/>
            </w:r>
            <w:r w:rsidR="009E10F4">
              <w:rPr>
                <w:noProof/>
                <w:webHidden/>
              </w:rPr>
              <w:fldChar w:fldCharType="begin"/>
            </w:r>
            <w:r w:rsidR="009E10F4">
              <w:rPr>
                <w:noProof/>
                <w:webHidden/>
              </w:rPr>
              <w:instrText xml:space="preserve"> PAGEREF _Toc75122766 \h </w:instrText>
            </w:r>
            <w:r w:rsidR="009E10F4">
              <w:rPr>
                <w:noProof/>
                <w:webHidden/>
              </w:rPr>
            </w:r>
            <w:r w:rsidR="009E10F4">
              <w:rPr>
                <w:noProof/>
                <w:webHidden/>
              </w:rPr>
              <w:fldChar w:fldCharType="separate"/>
            </w:r>
            <w:r w:rsidR="002032BD">
              <w:rPr>
                <w:noProof/>
                <w:webHidden/>
              </w:rPr>
              <w:t>59</w:t>
            </w:r>
            <w:r w:rsidR="009E10F4">
              <w:rPr>
                <w:noProof/>
                <w:webHidden/>
              </w:rPr>
              <w:fldChar w:fldCharType="end"/>
            </w:r>
          </w:hyperlink>
        </w:p>
        <w:p w14:paraId="7A22366F" w14:textId="47EBE15A" w:rsidR="009E10F4" w:rsidRDefault="00255B41">
          <w:pPr>
            <w:pStyle w:val="TOC1"/>
            <w:tabs>
              <w:tab w:val="right" w:leader="dot" w:pos="13950"/>
            </w:tabs>
            <w:rPr>
              <w:rFonts w:asciiTheme="minorHAnsi" w:eastAsiaTheme="minorEastAsia" w:hAnsiTheme="minorHAnsi"/>
              <w:noProof/>
              <w:lang w:val="en-GB" w:eastAsia="en-GB"/>
            </w:rPr>
          </w:pPr>
          <w:hyperlink w:anchor="_Toc75122767" w:history="1">
            <w:r w:rsidR="009E10F4" w:rsidRPr="000D1A94">
              <w:rPr>
                <w:rStyle w:val="Hyperlink"/>
                <w:noProof/>
              </w:rPr>
              <w:t>Balance Sheet</w:t>
            </w:r>
            <w:r w:rsidR="009E10F4">
              <w:rPr>
                <w:noProof/>
                <w:webHidden/>
              </w:rPr>
              <w:tab/>
            </w:r>
            <w:r w:rsidR="009E10F4">
              <w:rPr>
                <w:noProof/>
                <w:webHidden/>
              </w:rPr>
              <w:fldChar w:fldCharType="begin"/>
            </w:r>
            <w:r w:rsidR="009E10F4">
              <w:rPr>
                <w:noProof/>
                <w:webHidden/>
              </w:rPr>
              <w:instrText xml:space="preserve"> PAGEREF _Toc75122767 \h </w:instrText>
            </w:r>
            <w:r w:rsidR="009E10F4">
              <w:rPr>
                <w:noProof/>
                <w:webHidden/>
              </w:rPr>
            </w:r>
            <w:r w:rsidR="009E10F4">
              <w:rPr>
                <w:noProof/>
                <w:webHidden/>
              </w:rPr>
              <w:fldChar w:fldCharType="separate"/>
            </w:r>
            <w:r w:rsidR="002032BD">
              <w:rPr>
                <w:noProof/>
                <w:webHidden/>
              </w:rPr>
              <w:t>61</w:t>
            </w:r>
            <w:r w:rsidR="009E10F4">
              <w:rPr>
                <w:noProof/>
                <w:webHidden/>
              </w:rPr>
              <w:fldChar w:fldCharType="end"/>
            </w:r>
          </w:hyperlink>
        </w:p>
        <w:p w14:paraId="0D8F4B3F" w14:textId="3F312119" w:rsidR="009E10F4" w:rsidRDefault="00255B41">
          <w:pPr>
            <w:pStyle w:val="TOC1"/>
            <w:tabs>
              <w:tab w:val="right" w:leader="dot" w:pos="13950"/>
            </w:tabs>
            <w:rPr>
              <w:rFonts w:asciiTheme="minorHAnsi" w:eastAsiaTheme="minorEastAsia" w:hAnsiTheme="minorHAnsi"/>
              <w:noProof/>
              <w:lang w:val="en-GB" w:eastAsia="en-GB"/>
            </w:rPr>
          </w:pPr>
          <w:hyperlink w:anchor="_Toc75122768" w:history="1">
            <w:r w:rsidR="009E10F4" w:rsidRPr="000D1A94">
              <w:rPr>
                <w:rStyle w:val="Hyperlink"/>
                <w:noProof/>
              </w:rPr>
              <w:t>Cash Flow Statement</w:t>
            </w:r>
            <w:r w:rsidR="009E10F4">
              <w:rPr>
                <w:noProof/>
                <w:webHidden/>
              </w:rPr>
              <w:tab/>
            </w:r>
            <w:r w:rsidR="009E10F4">
              <w:rPr>
                <w:noProof/>
                <w:webHidden/>
              </w:rPr>
              <w:fldChar w:fldCharType="begin"/>
            </w:r>
            <w:r w:rsidR="009E10F4">
              <w:rPr>
                <w:noProof/>
                <w:webHidden/>
              </w:rPr>
              <w:instrText xml:space="preserve"> PAGEREF _Toc75122768 \h </w:instrText>
            </w:r>
            <w:r w:rsidR="009E10F4">
              <w:rPr>
                <w:noProof/>
                <w:webHidden/>
              </w:rPr>
            </w:r>
            <w:r w:rsidR="009E10F4">
              <w:rPr>
                <w:noProof/>
                <w:webHidden/>
              </w:rPr>
              <w:fldChar w:fldCharType="separate"/>
            </w:r>
            <w:r w:rsidR="002032BD">
              <w:rPr>
                <w:noProof/>
                <w:webHidden/>
              </w:rPr>
              <w:t>63</w:t>
            </w:r>
            <w:r w:rsidR="009E10F4">
              <w:rPr>
                <w:noProof/>
                <w:webHidden/>
              </w:rPr>
              <w:fldChar w:fldCharType="end"/>
            </w:r>
          </w:hyperlink>
        </w:p>
        <w:p w14:paraId="4D465A5F" w14:textId="5ACF8908" w:rsidR="009E10F4" w:rsidRDefault="00255B41">
          <w:pPr>
            <w:pStyle w:val="TOC1"/>
            <w:tabs>
              <w:tab w:val="right" w:leader="dot" w:pos="13950"/>
            </w:tabs>
            <w:rPr>
              <w:rFonts w:asciiTheme="minorHAnsi" w:eastAsiaTheme="minorEastAsia" w:hAnsiTheme="minorHAnsi"/>
              <w:noProof/>
              <w:lang w:val="en-GB" w:eastAsia="en-GB"/>
            </w:rPr>
          </w:pPr>
          <w:hyperlink w:anchor="_Toc75122769" w:history="1">
            <w:r w:rsidR="009E10F4" w:rsidRPr="000D1A94">
              <w:rPr>
                <w:rStyle w:val="Hyperlink"/>
                <w:noProof/>
              </w:rPr>
              <w:t>Note 1 - Critical Judgements in Applying Accounting Policies</w:t>
            </w:r>
            <w:r w:rsidR="009E10F4">
              <w:rPr>
                <w:noProof/>
                <w:webHidden/>
              </w:rPr>
              <w:tab/>
            </w:r>
            <w:r w:rsidR="009E10F4">
              <w:rPr>
                <w:noProof/>
                <w:webHidden/>
              </w:rPr>
              <w:fldChar w:fldCharType="begin"/>
            </w:r>
            <w:r w:rsidR="009E10F4">
              <w:rPr>
                <w:noProof/>
                <w:webHidden/>
              </w:rPr>
              <w:instrText xml:space="preserve"> PAGEREF _Toc75122769 \h </w:instrText>
            </w:r>
            <w:r w:rsidR="009E10F4">
              <w:rPr>
                <w:noProof/>
                <w:webHidden/>
              </w:rPr>
            </w:r>
            <w:r w:rsidR="009E10F4">
              <w:rPr>
                <w:noProof/>
                <w:webHidden/>
              </w:rPr>
              <w:fldChar w:fldCharType="separate"/>
            </w:r>
            <w:r w:rsidR="002032BD">
              <w:rPr>
                <w:noProof/>
                <w:webHidden/>
              </w:rPr>
              <w:t>64</w:t>
            </w:r>
            <w:r w:rsidR="009E10F4">
              <w:rPr>
                <w:noProof/>
                <w:webHidden/>
              </w:rPr>
              <w:fldChar w:fldCharType="end"/>
            </w:r>
          </w:hyperlink>
        </w:p>
        <w:p w14:paraId="1F05C7FA" w14:textId="66C8E6A6" w:rsidR="009E10F4" w:rsidRDefault="00255B41">
          <w:pPr>
            <w:pStyle w:val="TOC1"/>
            <w:tabs>
              <w:tab w:val="right" w:leader="dot" w:pos="13950"/>
            </w:tabs>
            <w:rPr>
              <w:rFonts w:asciiTheme="minorHAnsi" w:eastAsiaTheme="minorEastAsia" w:hAnsiTheme="minorHAnsi"/>
              <w:noProof/>
              <w:lang w:val="en-GB" w:eastAsia="en-GB"/>
            </w:rPr>
          </w:pPr>
          <w:hyperlink w:anchor="_Toc75122770" w:history="1">
            <w:r w:rsidR="009E10F4" w:rsidRPr="000D1A94">
              <w:rPr>
                <w:rStyle w:val="Hyperlink"/>
                <w:noProof/>
              </w:rPr>
              <w:t>Note 2 - Going Concern</w:t>
            </w:r>
            <w:r w:rsidR="009E10F4">
              <w:rPr>
                <w:noProof/>
                <w:webHidden/>
              </w:rPr>
              <w:tab/>
            </w:r>
            <w:r w:rsidR="009E10F4">
              <w:rPr>
                <w:noProof/>
                <w:webHidden/>
              </w:rPr>
              <w:fldChar w:fldCharType="begin"/>
            </w:r>
            <w:r w:rsidR="009E10F4">
              <w:rPr>
                <w:noProof/>
                <w:webHidden/>
              </w:rPr>
              <w:instrText xml:space="preserve"> PAGEREF _Toc75122770 \h </w:instrText>
            </w:r>
            <w:r w:rsidR="009E10F4">
              <w:rPr>
                <w:noProof/>
                <w:webHidden/>
              </w:rPr>
            </w:r>
            <w:r w:rsidR="009E10F4">
              <w:rPr>
                <w:noProof/>
                <w:webHidden/>
              </w:rPr>
              <w:fldChar w:fldCharType="separate"/>
            </w:r>
            <w:r w:rsidR="002032BD">
              <w:rPr>
                <w:noProof/>
                <w:webHidden/>
              </w:rPr>
              <w:t>68</w:t>
            </w:r>
            <w:r w:rsidR="009E10F4">
              <w:rPr>
                <w:noProof/>
                <w:webHidden/>
              </w:rPr>
              <w:fldChar w:fldCharType="end"/>
            </w:r>
          </w:hyperlink>
        </w:p>
        <w:p w14:paraId="3BD59704" w14:textId="444559FA" w:rsidR="009E10F4" w:rsidRDefault="00255B41">
          <w:pPr>
            <w:pStyle w:val="TOC1"/>
            <w:tabs>
              <w:tab w:val="right" w:leader="dot" w:pos="13950"/>
            </w:tabs>
            <w:rPr>
              <w:rFonts w:asciiTheme="minorHAnsi" w:eastAsiaTheme="minorEastAsia" w:hAnsiTheme="minorHAnsi"/>
              <w:noProof/>
              <w:lang w:val="en-GB" w:eastAsia="en-GB"/>
            </w:rPr>
          </w:pPr>
          <w:hyperlink w:anchor="_Toc75122771" w:history="1">
            <w:r w:rsidR="009E10F4" w:rsidRPr="000D1A94">
              <w:rPr>
                <w:rStyle w:val="Hyperlink"/>
                <w:noProof/>
              </w:rPr>
              <w:t>Note 3 - Events After the Balance Sheet Date</w:t>
            </w:r>
            <w:r w:rsidR="009E10F4">
              <w:rPr>
                <w:noProof/>
                <w:webHidden/>
              </w:rPr>
              <w:tab/>
            </w:r>
            <w:r w:rsidR="009E10F4">
              <w:rPr>
                <w:noProof/>
                <w:webHidden/>
              </w:rPr>
              <w:fldChar w:fldCharType="begin"/>
            </w:r>
            <w:r w:rsidR="009E10F4">
              <w:rPr>
                <w:noProof/>
                <w:webHidden/>
              </w:rPr>
              <w:instrText xml:space="preserve"> PAGEREF _Toc75122771 \h </w:instrText>
            </w:r>
            <w:r w:rsidR="009E10F4">
              <w:rPr>
                <w:noProof/>
                <w:webHidden/>
              </w:rPr>
            </w:r>
            <w:r w:rsidR="009E10F4">
              <w:rPr>
                <w:noProof/>
                <w:webHidden/>
              </w:rPr>
              <w:fldChar w:fldCharType="separate"/>
            </w:r>
            <w:r w:rsidR="002032BD">
              <w:rPr>
                <w:noProof/>
                <w:webHidden/>
              </w:rPr>
              <w:t>68</w:t>
            </w:r>
            <w:r w:rsidR="009E10F4">
              <w:rPr>
                <w:noProof/>
                <w:webHidden/>
              </w:rPr>
              <w:fldChar w:fldCharType="end"/>
            </w:r>
          </w:hyperlink>
        </w:p>
        <w:p w14:paraId="0C0F3C17" w14:textId="3399A656" w:rsidR="009E10F4" w:rsidRDefault="00255B41">
          <w:pPr>
            <w:pStyle w:val="TOC1"/>
            <w:tabs>
              <w:tab w:val="right" w:leader="dot" w:pos="13950"/>
            </w:tabs>
            <w:rPr>
              <w:rFonts w:asciiTheme="minorHAnsi" w:eastAsiaTheme="minorEastAsia" w:hAnsiTheme="minorHAnsi"/>
              <w:noProof/>
              <w:lang w:val="en-GB" w:eastAsia="en-GB"/>
            </w:rPr>
          </w:pPr>
          <w:hyperlink w:anchor="_Toc75122772" w:history="1">
            <w:r w:rsidR="009E10F4" w:rsidRPr="000D1A94">
              <w:rPr>
                <w:rStyle w:val="Hyperlink"/>
                <w:noProof/>
              </w:rPr>
              <w:t>Note 4 - Assumptions Made about the Future and Other Major Sources of Estimation Uncertainty</w:t>
            </w:r>
            <w:r w:rsidR="009E10F4">
              <w:rPr>
                <w:noProof/>
                <w:webHidden/>
              </w:rPr>
              <w:tab/>
            </w:r>
            <w:r w:rsidR="009E10F4">
              <w:rPr>
                <w:noProof/>
                <w:webHidden/>
              </w:rPr>
              <w:fldChar w:fldCharType="begin"/>
            </w:r>
            <w:r w:rsidR="009E10F4">
              <w:rPr>
                <w:noProof/>
                <w:webHidden/>
              </w:rPr>
              <w:instrText xml:space="preserve"> PAGEREF _Toc75122772 \h </w:instrText>
            </w:r>
            <w:r w:rsidR="009E10F4">
              <w:rPr>
                <w:noProof/>
                <w:webHidden/>
              </w:rPr>
            </w:r>
            <w:r w:rsidR="009E10F4">
              <w:rPr>
                <w:noProof/>
                <w:webHidden/>
              </w:rPr>
              <w:fldChar w:fldCharType="separate"/>
            </w:r>
            <w:r w:rsidR="002032BD">
              <w:rPr>
                <w:noProof/>
                <w:webHidden/>
              </w:rPr>
              <w:t>69</w:t>
            </w:r>
            <w:r w:rsidR="009E10F4">
              <w:rPr>
                <w:noProof/>
                <w:webHidden/>
              </w:rPr>
              <w:fldChar w:fldCharType="end"/>
            </w:r>
          </w:hyperlink>
        </w:p>
        <w:p w14:paraId="3F80E458" w14:textId="288EF4E7" w:rsidR="009E10F4" w:rsidRDefault="00255B41">
          <w:pPr>
            <w:pStyle w:val="TOC1"/>
            <w:tabs>
              <w:tab w:val="right" w:leader="dot" w:pos="13950"/>
            </w:tabs>
            <w:rPr>
              <w:rFonts w:asciiTheme="minorHAnsi" w:eastAsiaTheme="minorEastAsia" w:hAnsiTheme="minorHAnsi"/>
              <w:noProof/>
              <w:lang w:val="en-GB" w:eastAsia="en-GB"/>
            </w:rPr>
          </w:pPr>
          <w:hyperlink w:anchor="_Toc75122773" w:history="1">
            <w:r w:rsidR="009E10F4" w:rsidRPr="000D1A94">
              <w:rPr>
                <w:rStyle w:val="Hyperlink"/>
                <w:noProof/>
              </w:rPr>
              <w:t>Note 5 -Expenditure and Funding Analysis</w:t>
            </w:r>
            <w:r w:rsidR="009E10F4">
              <w:rPr>
                <w:noProof/>
                <w:webHidden/>
              </w:rPr>
              <w:tab/>
            </w:r>
            <w:r w:rsidR="009E10F4">
              <w:rPr>
                <w:noProof/>
                <w:webHidden/>
              </w:rPr>
              <w:fldChar w:fldCharType="begin"/>
            </w:r>
            <w:r w:rsidR="009E10F4">
              <w:rPr>
                <w:noProof/>
                <w:webHidden/>
              </w:rPr>
              <w:instrText xml:space="preserve"> PAGEREF _Toc75122773 \h </w:instrText>
            </w:r>
            <w:r w:rsidR="009E10F4">
              <w:rPr>
                <w:noProof/>
                <w:webHidden/>
              </w:rPr>
            </w:r>
            <w:r w:rsidR="009E10F4">
              <w:rPr>
                <w:noProof/>
                <w:webHidden/>
              </w:rPr>
              <w:fldChar w:fldCharType="separate"/>
            </w:r>
            <w:r w:rsidR="002032BD">
              <w:rPr>
                <w:noProof/>
                <w:webHidden/>
              </w:rPr>
              <w:t>72</w:t>
            </w:r>
            <w:r w:rsidR="009E10F4">
              <w:rPr>
                <w:noProof/>
                <w:webHidden/>
              </w:rPr>
              <w:fldChar w:fldCharType="end"/>
            </w:r>
          </w:hyperlink>
        </w:p>
        <w:p w14:paraId="4EC4E154" w14:textId="0F561C96" w:rsidR="009E10F4" w:rsidRDefault="00255B41">
          <w:pPr>
            <w:pStyle w:val="TOC1"/>
            <w:tabs>
              <w:tab w:val="right" w:leader="dot" w:pos="13950"/>
            </w:tabs>
            <w:rPr>
              <w:rFonts w:asciiTheme="minorHAnsi" w:eastAsiaTheme="minorEastAsia" w:hAnsiTheme="minorHAnsi"/>
              <w:noProof/>
              <w:lang w:val="en-GB" w:eastAsia="en-GB"/>
            </w:rPr>
          </w:pPr>
          <w:hyperlink w:anchor="_Toc75122774" w:history="1">
            <w:r w:rsidR="009E10F4" w:rsidRPr="000D1A94">
              <w:rPr>
                <w:rStyle w:val="Hyperlink"/>
                <w:noProof/>
              </w:rPr>
              <w:t>Note 6 - Adjustments between Accounting Basis and Funding Basis under Regulations</w:t>
            </w:r>
            <w:r w:rsidR="009E10F4">
              <w:rPr>
                <w:noProof/>
                <w:webHidden/>
              </w:rPr>
              <w:tab/>
            </w:r>
            <w:r w:rsidR="009E10F4">
              <w:rPr>
                <w:noProof/>
                <w:webHidden/>
              </w:rPr>
              <w:fldChar w:fldCharType="begin"/>
            </w:r>
            <w:r w:rsidR="009E10F4">
              <w:rPr>
                <w:noProof/>
                <w:webHidden/>
              </w:rPr>
              <w:instrText xml:space="preserve"> PAGEREF _Toc75122774 \h </w:instrText>
            </w:r>
            <w:r w:rsidR="009E10F4">
              <w:rPr>
                <w:noProof/>
                <w:webHidden/>
              </w:rPr>
            </w:r>
            <w:r w:rsidR="009E10F4">
              <w:rPr>
                <w:noProof/>
                <w:webHidden/>
              </w:rPr>
              <w:fldChar w:fldCharType="separate"/>
            </w:r>
            <w:r w:rsidR="002032BD">
              <w:rPr>
                <w:noProof/>
                <w:webHidden/>
              </w:rPr>
              <w:t>74</w:t>
            </w:r>
            <w:r w:rsidR="009E10F4">
              <w:rPr>
                <w:noProof/>
                <w:webHidden/>
              </w:rPr>
              <w:fldChar w:fldCharType="end"/>
            </w:r>
          </w:hyperlink>
        </w:p>
        <w:p w14:paraId="720539CA" w14:textId="759351B9" w:rsidR="009E10F4" w:rsidRDefault="00255B41">
          <w:pPr>
            <w:pStyle w:val="TOC1"/>
            <w:tabs>
              <w:tab w:val="right" w:leader="dot" w:pos="13950"/>
            </w:tabs>
            <w:rPr>
              <w:rFonts w:asciiTheme="minorHAnsi" w:eastAsiaTheme="minorEastAsia" w:hAnsiTheme="minorHAnsi"/>
              <w:noProof/>
              <w:lang w:val="en-GB" w:eastAsia="en-GB"/>
            </w:rPr>
          </w:pPr>
          <w:hyperlink w:anchor="_Toc75122775" w:history="1">
            <w:r w:rsidR="009E10F4" w:rsidRPr="000D1A94">
              <w:rPr>
                <w:rStyle w:val="Hyperlink"/>
                <w:noProof/>
              </w:rPr>
              <w:t>Note 7 – Transfers to/from Earmarked Reserves</w:t>
            </w:r>
            <w:r w:rsidR="009E10F4">
              <w:rPr>
                <w:noProof/>
                <w:webHidden/>
              </w:rPr>
              <w:tab/>
            </w:r>
            <w:r w:rsidR="009E10F4">
              <w:rPr>
                <w:noProof/>
                <w:webHidden/>
              </w:rPr>
              <w:fldChar w:fldCharType="begin"/>
            </w:r>
            <w:r w:rsidR="009E10F4">
              <w:rPr>
                <w:noProof/>
                <w:webHidden/>
              </w:rPr>
              <w:instrText xml:space="preserve"> PAGEREF _Toc75122775 \h </w:instrText>
            </w:r>
            <w:r w:rsidR="009E10F4">
              <w:rPr>
                <w:noProof/>
                <w:webHidden/>
              </w:rPr>
            </w:r>
            <w:r w:rsidR="009E10F4">
              <w:rPr>
                <w:noProof/>
                <w:webHidden/>
              </w:rPr>
              <w:fldChar w:fldCharType="separate"/>
            </w:r>
            <w:r w:rsidR="002032BD">
              <w:rPr>
                <w:noProof/>
                <w:webHidden/>
              </w:rPr>
              <w:t>78</w:t>
            </w:r>
            <w:r w:rsidR="009E10F4">
              <w:rPr>
                <w:noProof/>
                <w:webHidden/>
              </w:rPr>
              <w:fldChar w:fldCharType="end"/>
            </w:r>
          </w:hyperlink>
        </w:p>
        <w:p w14:paraId="4D86F843" w14:textId="2FB31EFE" w:rsidR="009E10F4" w:rsidRDefault="00255B41">
          <w:pPr>
            <w:pStyle w:val="TOC1"/>
            <w:tabs>
              <w:tab w:val="right" w:leader="dot" w:pos="13950"/>
            </w:tabs>
            <w:rPr>
              <w:rFonts w:asciiTheme="minorHAnsi" w:eastAsiaTheme="minorEastAsia" w:hAnsiTheme="minorHAnsi"/>
              <w:noProof/>
              <w:lang w:val="en-GB" w:eastAsia="en-GB"/>
            </w:rPr>
          </w:pPr>
          <w:hyperlink w:anchor="_Toc75122776" w:history="1">
            <w:r w:rsidR="009E10F4" w:rsidRPr="000D1A94">
              <w:rPr>
                <w:rStyle w:val="Hyperlink"/>
                <w:noProof/>
              </w:rPr>
              <w:t>Note 8 - Taxation and Non-Specific Grant Income</w:t>
            </w:r>
            <w:r w:rsidR="009E10F4">
              <w:rPr>
                <w:noProof/>
                <w:webHidden/>
              </w:rPr>
              <w:tab/>
            </w:r>
            <w:r w:rsidR="009E10F4">
              <w:rPr>
                <w:noProof/>
                <w:webHidden/>
              </w:rPr>
              <w:fldChar w:fldCharType="begin"/>
            </w:r>
            <w:r w:rsidR="009E10F4">
              <w:rPr>
                <w:noProof/>
                <w:webHidden/>
              </w:rPr>
              <w:instrText xml:space="preserve"> PAGEREF _Toc75122776 \h </w:instrText>
            </w:r>
            <w:r w:rsidR="009E10F4">
              <w:rPr>
                <w:noProof/>
                <w:webHidden/>
              </w:rPr>
            </w:r>
            <w:r w:rsidR="009E10F4">
              <w:rPr>
                <w:noProof/>
                <w:webHidden/>
              </w:rPr>
              <w:fldChar w:fldCharType="separate"/>
            </w:r>
            <w:r w:rsidR="002032BD">
              <w:rPr>
                <w:noProof/>
                <w:webHidden/>
              </w:rPr>
              <w:t>80</w:t>
            </w:r>
            <w:r w:rsidR="009E10F4">
              <w:rPr>
                <w:noProof/>
                <w:webHidden/>
              </w:rPr>
              <w:fldChar w:fldCharType="end"/>
            </w:r>
          </w:hyperlink>
        </w:p>
        <w:p w14:paraId="4DEF022C" w14:textId="05B8C8A0" w:rsidR="009E10F4" w:rsidRDefault="00255B41">
          <w:pPr>
            <w:pStyle w:val="TOC1"/>
            <w:tabs>
              <w:tab w:val="right" w:leader="dot" w:pos="13950"/>
            </w:tabs>
            <w:rPr>
              <w:rFonts w:asciiTheme="minorHAnsi" w:eastAsiaTheme="minorEastAsia" w:hAnsiTheme="minorHAnsi"/>
              <w:noProof/>
              <w:lang w:val="en-GB" w:eastAsia="en-GB"/>
            </w:rPr>
          </w:pPr>
          <w:hyperlink w:anchor="_Toc75122777" w:history="1">
            <w:r w:rsidR="009E10F4" w:rsidRPr="000D1A94">
              <w:rPr>
                <w:rStyle w:val="Hyperlink"/>
                <w:noProof/>
              </w:rPr>
              <w:t>Note 9 - Grant Income</w:t>
            </w:r>
            <w:r w:rsidR="009E10F4">
              <w:rPr>
                <w:noProof/>
                <w:webHidden/>
              </w:rPr>
              <w:tab/>
            </w:r>
            <w:r w:rsidR="009E10F4">
              <w:rPr>
                <w:noProof/>
                <w:webHidden/>
              </w:rPr>
              <w:fldChar w:fldCharType="begin"/>
            </w:r>
            <w:r w:rsidR="009E10F4">
              <w:rPr>
                <w:noProof/>
                <w:webHidden/>
              </w:rPr>
              <w:instrText xml:space="preserve"> PAGEREF _Toc75122777 \h </w:instrText>
            </w:r>
            <w:r w:rsidR="009E10F4">
              <w:rPr>
                <w:noProof/>
                <w:webHidden/>
              </w:rPr>
            </w:r>
            <w:r w:rsidR="009E10F4">
              <w:rPr>
                <w:noProof/>
                <w:webHidden/>
              </w:rPr>
              <w:fldChar w:fldCharType="separate"/>
            </w:r>
            <w:r w:rsidR="002032BD">
              <w:rPr>
                <w:noProof/>
                <w:webHidden/>
              </w:rPr>
              <w:t>81</w:t>
            </w:r>
            <w:r w:rsidR="009E10F4">
              <w:rPr>
                <w:noProof/>
                <w:webHidden/>
              </w:rPr>
              <w:fldChar w:fldCharType="end"/>
            </w:r>
          </w:hyperlink>
        </w:p>
        <w:p w14:paraId="65333809" w14:textId="1CF54724" w:rsidR="009E10F4" w:rsidRDefault="00255B41">
          <w:pPr>
            <w:pStyle w:val="TOC1"/>
            <w:tabs>
              <w:tab w:val="right" w:leader="dot" w:pos="13950"/>
            </w:tabs>
            <w:rPr>
              <w:rFonts w:asciiTheme="minorHAnsi" w:eastAsiaTheme="minorEastAsia" w:hAnsiTheme="minorHAnsi"/>
              <w:noProof/>
              <w:lang w:val="en-GB" w:eastAsia="en-GB"/>
            </w:rPr>
          </w:pPr>
          <w:hyperlink w:anchor="_Toc75122778" w:history="1">
            <w:r w:rsidR="009E10F4" w:rsidRPr="000D1A94">
              <w:rPr>
                <w:rStyle w:val="Hyperlink"/>
                <w:noProof/>
              </w:rPr>
              <w:t>Note 10 - Capital Expenditure and Capital Financing</w:t>
            </w:r>
            <w:r w:rsidR="009E10F4">
              <w:rPr>
                <w:noProof/>
                <w:webHidden/>
              </w:rPr>
              <w:tab/>
            </w:r>
            <w:r w:rsidR="009E10F4">
              <w:rPr>
                <w:noProof/>
                <w:webHidden/>
              </w:rPr>
              <w:fldChar w:fldCharType="begin"/>
            </w:r>
            <w:r w:rsidR="009E10F4">
              <w:rPr>
                <w:noProof/>
                <w:webHidden/>
              </w:rPr>
              <w:instrText xml:space="preserve"> PAGEREF _Toc75122778 \h </w:instrText>
            </w:r>
            <w:r w:rsidR="009E10F4">
              <w:rPr>
                <w:noProof/>
                <w:webHidden/>
              </w:rPr>
            </w:r>
            <w:r w:rsidR="009E10F4">
              <w:rPr>
                <w:noProof/>
                <w:webHidden/>
              </w:rPr>
              <w:fldChar w:fldCharType="separate"/>
            </w:r>
            <w:r w:rsidR="002032BD">
              <w:rPr>
                <w:noProof/>
                <w:webHidden/>
              </w:rPr>
              <w:t>83</w:t>
            </w:r>
            <w:r w:rsidR="009E10F4">
              <w:rPr>
                <w:noProof/>
                <w:webHidden/>
              </w:rPr>
              <w:fldChar w:fldCharType="end"/>
            </w:r>
          </w:hyperlink>
        </w:p>
        <w:p w14:paraId="78F99A3E" w14:textId="08B6FF95" w:rsidR="009E10F4" w:rsidRDefault="00255B41">
          <w:pPr>
            <w:pStyle w:val="TOC1"/>
            <w:tabs>
              <w:tab w:val="right" w:leader="dot" w:pos="13950"/>
            </w:tabs>
            <w:rPr>
              <w:rFonts w:asciiTheme="minorHAnsi" w:eastAsiaTheme="minorEastAsia" w:hAnsiTheme="minorHAnsi"/>
              <w:noProof/>
              <w:lang w:val="en-GB" w:eastAsia="en-GB"/>
            </w:rPr>
          </w:pPr>
          <w:hyperlink w:anchor="_Toc75122779" w:history="1">
            <w:r w:rsidR="009E10F4" w:rsidRPr="000D1A94">
              <w:rPr>
                <w:rStyle w:val="Hyperlink"/>
                <w:noProof/>
              </w:rPr>
              <w:t>Note 11 - Property, Plant and Equipment</w:t>
            </w:r>
            <w:r w:rsidR="009E10F4">
              <w:rPr>
                <w:noProof/>
                <w:webHidden/>
              </w:rPr>
              <w:tab/>
            </w:r>
            <w:r w:rsidR="009E10F4">
              <w:rPr>
                <w:noProof/>
                <w:webHidden/>
              </w:rPr>
              <w:fldChar w:fldCharType="begin"/>
            </w:r>
            <w:r w:rsidR="009E10F4">
              <w:rPr>
                <w:noProof/>
                <w:webHidden/>
              </w:rPr>
              <w:instrText xml:space="preserve"> PAGEREF _Toc75122779 \h </w:instrText>
            </w:r>
            <w:r w:rsidR="009E10F4">
              <w:rPr>
                <w:noProof/>
                <w:webHidden/>
              </w:rPr>
            </w:r>
            <w:r w:rsidR="009E10F4">
              <w:rPr>
                <w:noProof/>
                <w:webHidden/>
              </w:rPr>
              <w:fldChar w:fldCharType="separate"/>
            </w:r>
            <w:r w:rsidR="002032BD">
              <w:rPr>
                <w:noProof/>
                <w:webHidden/>
              </w:rPr>
              <w:t>84</w:t>
            </w:r>
            <w:r w:rsidR="009E10F4">
              <w:rPr>
                <w:noProof/>
                <w:webHidden/>
              </w:rPr>
              <w:fldChar w:fldCharType="end"/>
            </w:r>
          </w:hyperlink>
        </w:p>
        <w:p w14:paraId="1A9F28B9" w14:textId="6F779FE3" w:rsidR="009E10F4" w:rsidRDefault="00255B41">
          <w:pPr>
            <w:pStyle w:val="TOC1"/>
            <w:tabs>
              <w:tab w:val="right" w:leader="dot" w:pos="13950"/>
            </w:tabs>
            <w:rPr>
              <w:rFonts w:asciiTheme="minorHAnsi" w:eastAsiaTheme="minorEastAsia" w:hAnsiTheme="minorHAnsi"/>
              <w:noProof/>
              <w:lang w:val="en-GB" w:eastAsia="en-GB"/>
            </w:rPr>
          </w:pPr>
          <w:hyperlink w:anchor="_Toc75122780" w:history="1">
            <w:r w:rsidR="009E10F4" w:rsidRPr="000D1A94">
              <w:rPr>
                <w:rStyle w:val="Hyperlink"/>
                <w:noProof/>
              </w:rPr>
              <w:t>Note 12 - Intangible Assets</w:t>
            </w:r>
            <w:r w:rsidR="009E10F4">
              <w:rPr>
                <w:noProof/>
                <w:webHidden/>
              </w:rPr>
              <w:tab/>
            </w:r>
            <w:r w:rsidR="009E10F4">
              <w:rPr>
                <w:noProof/>
                <w:webHidden/>
              </w:rPr>
              <w:fldChar w:fldCharType="begin"/>
            </w:r>
            <w:r w:rsidR="009E10F4">
              <w:rPr>
                <w:noProof/>
                <w:webHidden/>
              </w:rPr>
              <w:instrText xml:space="preserve"> PAGEREF _Toc75122780 \h </w:instrText>
            </w:r>
            <w:r w:rsidR="009E10F4">
              <w:rPr>
                <w:noProof/>
                <w:webHidden/>
              </w:rPr>
            </w:r>
            <w:r w:rsidR="009E10F4">
              <w:rPr>
                <w:noProof/>
                <w:webHidden/>
              </w:rPr>
              <w:fldChar w:fldCharType="separate"/>
            </w:r>
            <w:r w:rsidR="002032BD">
              <w:rPr>
                <w:noProof/>
                <w:webHidden/>
              </w:rPr>
              <w:t>88</w:t>
            </w:r>
            <w:r w:rsidR="009E10F4">
              <w:rPr>
                <w:noProof/>
                <w:webHidden/>
              </w:rPr>
              <w:fldChar w:fldCharType="end"/>
            </w:r>
          </w:hyperlink>
        </w:p>
        <w:p w14:paraId="66E9FFC5" w14:textId="5B3DC079" w:rsidR="009E10F4" w:rsidRDefault="00255B41">
          <w:pPr>
            <w:pStyle w:val="TOC1"/>
            <w:tabs>
              <w:tab w:val="right" w:leader="dot" w:pos="13950"/>
            </w:tabs>
            <w:rPr>
              <w:rFonts w:asciiTheme="minorHAnsi" w:eastAsiaTheme="minorEastAsia" w:hAnsiTheme="minorHAnsi"/>
              <w:noProof/>
              <w:lang w:val="en-GB" w:eastAsia="en-GB"/>
            </w:rPr>
          </w:pPr>
          <w:hyperlink w:anchor="_Toc75122781" w:history="1">
            <w:r w:rsidR="009E10F4" w:rsidRPr="000D1A94">
              <w:rPr>
                <w:rStyle w:val="Hyperlink"/>
                <w:noProof/>
              </w:rPr>
              <w:t>Note 13 - Debtors</w:t>
            </w:r>
            <w:r w:rsidR="009E10F4">
              <w:rPr>
                <w:noProof/>
                <w:webHidden/>
              </w:rPr>
              <w:tab/>
            </w:r>
            <w:r w:rsidR="009E10F4">
              <w:rPr>
                <w:noProof/>
                <w:webHidden/>
              </w:rPr>
              <w:fldChar w:fldCharType="begin"/>
            </w:r>
            <w:r w:rsidR="009E10F4">
              <w:rPr>
                <w:noProof/>
                <w:webHidden/>
              </w:rPr>
              <w:instrText xml:space="preserve"> PAGEREF _Toc75122781 \h </w:instrText>
            </w:r>
            <w:r w:rsidR="009E10F4">
              <w:rPr>
                <w:noProof/>
                <w:webHidden/>
              </w:rPr>
            </w:r>
            <w:r w:rsidR="009E10F4">
              <w:rPr>
                <w:noProof/>
                <w:webHidden/>
              </w:rPr>
              <w:fldChar w:fldCharType="separate"/>
            </w:r>
            <w:r w:rsidR="002032BD">
              <w:rPr>
                <w:noProof/>
                <w:webHidden/>
              </w:rPr>
              <w:t>90</w:t>
            </w:r>
            <w:r w:rsidR="009E10F4">
              <w:rPr>
                <w:noProof/>
                <w:webHidden/>
              </w:rPr>
              <w:fldChar w:fldCharType="end"/>
            </w:r>
          </w:hyperlink>
        </w:p>
        <w:p w14:paraId="3A061C1B" w14:textId="6B0DC948" w:rsidR="009E10F4" w:rsidRDefault="00255B41">
          <w:pPr>
            <w:pStyle w:val="TOC1"/>
            <w:tabs>
              <w:tab w:val="right" w:leader="dot" w:pos="13950"/>
            </w:tabs>
            <w:rPr>
              <w:rFonts w:asciiTheme="minorHAnsi" w:eastAsiaTheme="minorEastAsia" w:hAnsiTheme="minorHAnsi"/>
              <w:noProof/>
              <w:lang w:val="en-GB" w:eastAsia="en-GB"/>
            </w:rPr>
          </w:pPr>
          <w:hyperlink w:anchor="_Toc75122782" w:history="1">
            <w:r w:rsidR="009E10F4" w:rsidRPr="000D1A94">
              <w:rPr>
                <w:rStyle w:val="Hyperlink"/>
                <w:noProof/>
              </w:rPr>
              <w:t>Note 14 - Cash and Cash Equivalents</w:t>
            </w:r>
            <w:r w:rsidR="009E10F4">
              <w:rPr>
                <w:noProof/>
                <w:webHidden/>
              </w:rPr>
              <w:tab/>
            </w:r>
            <w:r w:rsidR="009E10F4">
              <w:rPr>
                <w:noProof/>
                <w:webHidden/>
              </w:rPr>
              <w:fldChar w:fldCharType="begin"/>
            </w:r>
            <w:r w:rsidR="009E10F4">
              <w:rPr>
                <w:noProof/>
                <w:webHidden/>
              </w:rPr>
              <w:instrText xml:space="preserve"> PAGEREF _Toc75122782 \h </w:instrText>
            </w:r>
            <w:r w:rsidR="009E10F4">
              <w:rPr>
                <w:noProof/>
                <w:webHidden/>
              </w:rPr>
            </w:r>
            <w:r w:rsidR="009E10F4">
              <w:rPr>
                <w:noProof/>
                <w:webHidden/>
              </w:rPr>
              <w:fldChar w:fldCharType="separate"/>
            </w:r>
            <w:r w:rsidR="002032BD">
              <w:rPr>
                <w:noProof/>
                <w:webHidden/>
              </w:rPr>
              <w:t>91</w:t>
            </w:r>
            <w:r w:rsidR="009E10F4">
              <w:rPr>
                <w:noProof/>
                <w:webHidden/>
              </w:rPr>
              <w:fldChar w:fldCharType="end"/>
            </w:r>
          </w:hyperlink>
        </w:p>
        <w:p w14:paraId="17711519" w14:textId="0AEFBB82" w:rsidR="009E10F4" w:rsidRDefault="00255B41">
          <w:pPr>
            <w:pStyle w:val="TOC1"/>
            <w:tabs>
              <w:tab w:val="right" w:leader="dot" w:pos="13950"/>
            </w:tabs>
            <w:rPr>
              <w:rFonts w:asciiTheme="minorHAnsi" w:eastAsiaTheme="minorEastAsia" w:hAnsiTheme="minorHAnsi"/>
              <w:noProof/>
              <w:lang w:val="en-GB" w:eastAsia="en-GB"/>
            </w:rPr>
          </w:pPr>
          <w:hyperlink w:anchor="_Toc75122783" w:history="1">
            <w:r w:rsidR="009E10F4" w:rsidRPr="000D1A94">
              <w:rPr>
                <w:rStyle w:val="Hyperlink"/>
                <w:noProof/>
              </w:rPr>
              <w:t>Note 15 - Assets Held for Sale</w:t>
            </w:r>
            <w:r w:rsidR="009E10F4">
              <w:rPr>
                <w:noProof/>
                <w:webHidden/>
              </w:rPr>
              <w:tab/>
            </w:r>
            <w:r w:rsidR="009E10F4">
              <w:rPr>
                <w:noProof/>
                <w:webHidden/>
              </w:rPr>
              <w:fldChar w:fldCharType="begin"/>
            </w:r>
            <w:r w:rsidR="009E10F4">
              <w:rPr>
                <w:noProof/>
                <w:webHidden/>
              </w:rPr>
              <w:instrText xml:space="preserve"> PAGEREF _Toc75122783 \h </w:instrText>
            </w:r>
            <w:r w:rsidR="009E10F4">
              <w:rPr>
                <w:noProof/>
                <w:webHidden/>
              </w:rPr>
            </w:r>
            <w:r w:rsidR="009E10F4">
              <w:rPr>
                <w:noProof/>
                <w:webHidden/>
              </w:rPr>
              <w:fldChar w:fldCharType="separate"/>
            </w:r>
            <w:r w:rsidR="002032BD">
              <w:rPr>
                <w:noProof/>
                <w:webHidden/>
              </w:rPr>
              <w:t>91</w:t>
            </w:r>
            <w:r w:rsidR="009E10F4">
              <w:rPr>
                <w:noProof/>
                <w:webHidden/>
              </w:rPr>
              <w:fldChar w:fldCharType="end"/>
            </w:r>
          </w:hyperlink>
        </w:p>
        <w:p w14:paraId="68431907" w14:textId="29F91084" w:rsidR="009E10F4" w:rsidRDefault="00255B41">
          <w:pPr>
            <w:pStyle w:val="TOC1"/>
            <w:tabs>
              <w:tab w:val="right" w:leader="dot" w:pos="13950"/>
            </w:tabs>
            <w:rPr>
              <w:rFonts w:asciiTheme="minorHAnsi" w:eastAsiaTheme="minorEastAsia" w:hAnsiTheme="minorHAnsi"/>
              <w:noProof/>
              <w:lang w:val="en-GB" w:eastAsia="en-GB"/>
            </w:rPr>
          </w:pPr>
          <w:hyperlink w:anchor="_Toc75122784" w:history="1">
            <w:r w:rsidR="009E10F4" w:rsidRPr="000D1A94">
              <w:rPr>
                <w:rStyle w:val="Hyperlink"/>
                <w:noProof/>
              </w:rPr>
              <w:t>Note 16 – Investment Properties</w:t>
            </w:r>
            <w:r w:rsidR="009E10F4">
              <w:rPr>
                <w:noProof/>
                <w:webHidden/>
              </w:rPr>
              <w:tab/>
            </w:r>
            <w:r w:rsidR="009E10F4">
              <w:rPr>
                <w:noProof/>
                <w:webHidden/>
              </w:rPr>
              <w:fldChar w:fldCharType="begin"/>
            </w:r>
            <w:r w:rsidR="009E10F4">
              <w:rPr>
                <w:noProof/>
                <w:webHidden/>
              </w:rPr>
              <w:instrText xml:space="preserve"> PAGEREF _Toc75122784 \h </w:instrText>
            </w:r>
            <w:r w:rsidR="009E10F4">
              <w:rPr>
                <w:noProof/>
                <w:webHidden/>
              </w:rPr>
            </w:r>
            <w:r w:rsidR="009E10F4">
              <w:rPr>
                <w:noProof/>
                <w:webHidden/>
              </w:rPr>
              <w:fldChar w:fldCharType="separate"/>
            </w:r>
            <w:r w:rsidR="002032BD">
              <w:rPr>
                <w:noProof/>
                <w:webHidden/>
              </w:rPr>
              <w:t>92</w:t>
            </w:r>
            <w:r w:rsidR="009E10F4">
              <w:rPr>
                <w:noProof/>
                <w:webHidden/>
              </w:rPr>
              <w:fldChar w:fldCharType="end"/>
            </w:r>
          </w:hyperlink>
        </w:p>
        <w:p w14:paraId="7123FD2D" w14:textId="52FB6AD3" w:rsidR="009E10F4" w:rsidRDefault="00255B41">
          <w:pPr>
            <w:pStyle w:val="TOC1"/>
            <w:tabs>
              <w:tab w:val="right" w:leader="dot" w:pos="13950"/>
            </w:tabs>
            <w:rPr>
              <w:rFonts w:asciiTheme="minorHAnsi" w:eastAsiaTheme="minorEastAsia" w:hAnsiTheme="minorHAnsi"/>
              <w:noProof/>
              <w:lang w:val="en-GB" w:eastAsia="en-GB"/>
            </w:rPr>
          </w:pPr>
          <w:hyperlink w:anchor="_Toc75122785" w:history="1">
            <w:r w:rsidR="009E10F4" w:rsidRPr="000D1A94">
              <w:rPr>
                <w:rStyle w:val="Hyperlink"/>
                <w:noProof/>
              </w:rPr>
              <w:t>Note 17 - Creditors</w:t>
            </w:r>
            <w:r w:rsidR="009E10F4">
              <w:rPr>
                <w:noProof/>
                <w:webHidden/>
              </w:rPr>
              <w:tab/>
            </w:r>
            <w:r w:rsidR="009E10F4">
              <w:rPr>
                <w:noProof/>
                <w:webHidden/>
              </w:rPr>
              <w:fldChar w:fldCharType="begin"/>
            </w:r>
            <w:r w:rsidR="009E10F4">
              <w:rPr>
                <w:noProof/>
                <w:webHidden/>
              </w:rPr>
              <w:instrText xml:space="preserve"> PAGEREF _Toc75122785 \h </w:instrText>
            </w:r>
            <w:r w:rsidR="009E10F4">
              <w:rPr>
                <w:noProof/>
                <w:webHidden/>
              </w:rPr>
            </w:r>
            <w:r w:rsidR="009E10F4">
              <w:rPr>
                <w:noProof/>
                <w:webHidden/>
              </w:rPr>
              <w:fldChar w:fldCharType="separate"/>
            </w:r>
            <w:r w:rsidR="002032BD">
              <w:rPr>
                <w:noProof/>
                <w:webHidden/>
              </w:rPr>
              <w:t>93</w:t>
            </w:r>
            <w:r w:rsidR="009E10F4">
              <w:rPr>
                <w:noProof/>
                <w:webHidden/>
              </w:rPr>
              <w:fldChar w:fldCharType="end"/>
            </w:r>
          </w:hyperlink>
        </w:p>
        <w:p w14:paraId="0CB4AD2C" w14:textId="123DF673" w:rsidR="009E10F4" w:rsidRDefault="00255B41">
          <w:pPr>
            <w:pStyle w:val="TOC1"/>
            <w:tabs>
              <w:tab w:val="right" w:leader="dot" w:pos="13950"/>
            </w:tabs>
            <w:rPr>
              <w:rFonts w:asciiTheme="minorHAnsi" w:eastAsiaTheme="minorEastAsia" w:hAnsiTheme="minorHAnsi"/>
              <w:noProof/>
              <w:lang w:val="en-GB" w:eastAsia="en-GB"/>
            </w:rPr>
          </w:pPr>
          <w:hyperlink w:anchor="_Toc75122786" w:history="1">
            <w:r w:rsidR="009E10F4" w:rsidRPr="000D1A94">
              <w:rPr>
                <w:rStyle w:val="Hyperlink"/>
                <w:noProof/>
              </w:rPr>
              <w:t>Note 18 - Provisions</w:t>
            </w:r>
            <w:r w:rsidR="009E10F4">
              <w:rPr>
                <w:noProof/>
                <w:webHidden/>
              </w:rPr>
              <w:tab/>
            </w:r>
            <w:r w:rsidR="009E10F4">
              <w:rPr>
                <w:noProof/>
                <w:webHidden/>
              </w:rPr>
              <w:fldChar w:fldCharType="begin"/>
            </w:r>
            <w:r w:rsidR="009E10F4">
              <w:rPr>
                <w:noProof/>
                <w:webHidden/>
              </w:rPr>
              <w:instrText xml:space="preserve"> PAGEREF _Toc75122786 \h </w:instrText>
            </w:r>
            <w:r w:rsidR="009E10F4">
              <w:rPr>
                <w:noProof/>
                <w:webHidden/>
              </w:rPr>
            </w:r>
            <w:r w:rsidR="009E10F4">
              <w:rPr>
                <w:noProof/>
                <w:webHidden/>
              </w:rPr>
              <w:fldChar w:fldCharType="separate"/>
            </w:r>
            <w:r w:rsidR="002032BD">
              <w:rPr>
                <w:noProof/>
                <w:webHidden/>
              </w:rPr>
              <w:t>94</w:t>
            </w:r>
            <w:r w:rsidR="009E10F4">
              <w:rPr>
                <w:noProof/>
                <w:webHidden/>
              </w:rPr>
              <w:fldChar w:fldCharType="end"/>
            </w:r>
          </w:hyperlink>
        </w:p>
        <w:p w14:paraId="0A643459" w14:textId="6E244C6D" w:rsidR="009E10F4" w:rsidRDefault="00255B41">
          <w:pPr>
            <w:pStyle w:val="TOC1"/>
            <w:tabs>
              <w:tab w:val="right" w:leader="dot" w:pos="13950"/>
            </w:tabs>
            <w:rPr>
              <w:rFonts w:asciiTheme="minorHAnsi" w:eastAsiaTheme="minorEastAsia" w:hAnsiTheme="minorHAnsi"/>
              <w:noProof/>
              <w:lang w:val="en-GB" w:eastAsia="en-GB"/>
            </w:rPr>
          </w:pPr>
          <w:hyperlink w:anchor="_Toc75122787" w:history="1">
            <w:r w:rsidR="009E10F4" w:rsidRPr="000D1A94">
              <w:rPr>
                <w:rStyle w:val="Hyperlink"/>
                <w:noProof/>
              </w:rPr>
              <w:t>Note 19 - Usable Reserves</w:t>
            </w:r>
            <w:r w:rsidR="009E10F4">
              <w:rPr>
                <w:noProof/>
                <w:webHidden/>
              </w:rPr>
              <w:tab/>
            </w:r>
            <w:r w:rsidR="009E10F4">
              <w:rPr>
                <w:noProof/>
                <w:webHidden/>
              </w:rPr>
              <w:fldChar w:fldCharType="begin"/>
            </w:r>
            <w:r w:rsidR="009E10F4">
              <w:rPr>
                <w:noProof/>
                <w:webHidden/>
              </w:rPr>
              <w:instrText xml:space="preserve"> PAGEREF _Toc75122787 \h </w:instrText>
            </w:r>
            <w:r w:rsidR="009E10F4">
              <w:rPr>
                <w:noProof/>
                <w:webHidden/>
              </w:rPr>
            </w:r>
            <w:r w:rsidR="009E10F4">
              <w:rPr>
                <w:noProof/>
                <w:webHidden/>
              </w:rPr>
              <w:fldChar w:fldCharType="separate"/>
            </w:r>
            <w:r w:rsidR="002032BD">
              <w:rPr>
                <w:noProof/>
                <w:webHidden/>
              </w:rPr>
              <w:t>95</w:t>
            </w:r>
            <w:r w:rsidR="009E10F4">
              <w:rPr>
                <w:noProof/>
                <w:webHidden/>
              </w:rPr>
              <w:fldChar w:fldCharType="end"/>
            </w:r>
          </w:hyperlink>
        </w:p>
        <w:p w14:paraId="4138F91F" w14:textId="0194E9B6" w:rsidR="009E10F4" w:rsidRDefault="00255B41">
          <w:pPr>
            <w:pStyle w:val="TOC1"/>
            <w:tabs>
              <w:tab w:val="right" w:leader="dot" w:pos="13950"/>
            </w:tabs>
            <w:rPr>
              <w:rFonts w:asciiTheme="minorHAnsi" w:eastAsiaTheme="minorEastAsia" w:hAnsiTheme="minorHAnsi"/>
              <w:noProof/>
              <w:lang w:val="en-GB" w:eastAsia="en-GB"/>
            </w:rPr>
          </w:pPr>
          <w:hyperlink w:anchor="_Toc75122788" w:history="1">
            <w:r w:rsidR="009E10F4" w:rsidRPr="000D1A94">
              <w:rPr>
                <w:rStyle w:val="Hyperlink"/>
                <w:noProof/>
              </w:rPr>
              <w:t>Note 20 - Unusable Reserves</w:t>
            </w:r>
            <w:r w:rsidR="009E10F4">
              <w:rPr>
                <w:noProof/>
                <w:webHidden/>
              </w:rPr>
              <w:tab/>
            </w:r>
            <w:r w:rsidR="009E10F4">
              <w:rPr>
                <w:noProof/>
                <w:webHidden/>
              </w:rPr>
              <w:fldChar w:fldCharType="begin"/>
            </w:r>
            <w:r w:rsidR="009E10F4">
              <w:rPr>
                <w:noProof/>
                <w:webHidden/>
              </w:rPr>
              <w:instrText xml:space="preserve"> PAGEREF _Toc75122788 \h </w:instrText>
            </w:r>
            <w:r w:rsidR="009E10F4">
              <w:rPr>
                <w:noProof/>
                <w:webHidden/>
              </w:rPr>
            </w:r>
            <w:r w:rsidR="009E10F4">
              <w:rPr>
                <w:noProof/>
                <w:webHidden/>
              </w:rPr>
              <w:fldChar w:fldCharType="separate"/>
            </w:r>
            <w:r w:rsidR="002032BD">
              <w:rPr>
                <w:noProof/>
                <w:webHidden/>
              </w:rPr>
              <w:t>96</w:t>
            </w:r>
            <w:r w:rsidR="009E10F4">
              <w:rPr>
                <w:noProof/>
                <w:webHidden/>
              </w:rPr>
              <w:fldChar w:fldCharType="end"/>
            </w:r>
          </w:hyperlink>
        </w:p>
        <w:p w14:paraId="41B9FC58" w14:textId="48D6A530" w:rsidR="009E10F4" w:rsidRDefault="00255B41">
          <w:pPr>
            <w:pStyle w:val="TOC1"/>
            <w:tabs>
              <w:tab w:val="right" w:leader="dot" w:pos="13950"/>
            </w:tabs>
            <w:rPr>
              <w:rFonts w:asciiTheme="minorHAnsi" w:eastAsiaTheme="minorEastAsia" w:hAnsiTheme="minorHAnsi"/>
              <w:noProof/>
              <w:lang w:val="en-GB" w:eastAsia="en-GB"/>
            </w:rPr>
          </w:pPr>
          <w:hyperlink w:anchor="_Toc75122789" w:history="1">
            <w:r w:rsidR="009E10F4" w:rsidRPr="000D1A94">
              <w:rPr>
                <w:rStyle w:val="Hyperlink"/>
                <w:noProof/>
              </w:rPr>
              <w:t>Note 21 - Collaborations</w:t>
            </w:r>
            <w:r w:rsidR="009E10F4">
              <w:rPr>
                <w:noProof/>
                <w:webHidden/>
              </w:rPr>
              <w:tab/>
            </w:r>
            <w:r w:rsidR="009E10F4">
              <w:rPr>
                <w:noProof/>
                <w:webHidden/>
              </w:rPr>
              <w:fldChar w:fldCharType="begin"/>
            </w:r>
            <w:r w:rsidR="009E10F4">
              <w:rPr>
                <w:noProof/>
                <w:webHidden/>
              </w:rPr>
              <w:instrText xml:space="preserve"> PAGEREF _Toc75122789 \h </w:instrText>
            </w:r>
            <w:r w:rsidR="009E10F4">
              <w:rPr>
                <w:noProof/>
                <w:webHidden/>
              </w:rPr>
            </w:r>
            <w:r w:rsidR="009E10F4">
              <w:rPr>
                <w:noProof/>
                <w:webHidden/>
              </w:rPr>
              <w:fldChar w:fldCharType="separate"/>
            </w:r>
            <w:r w:rsidR="002032BD">
              <w:rPr>
                <w:noProof/>
                <w:webHidden/>
              </w:rPr>
              <w:t>100</w:t>
            </w:r>
            <w:r w:rsidR="009E10F4">
              <w:rPr>
                <w:noProof/>
                <w:webHidden/>
              </w:rPr>
              <w:fldChar w:fldCharType="end"/>
            </w:r>
          </w:hyperlink>
        </w:p>
        <w:p w14:paraId="17128CE5" w14:textId="6D8BF382" w:rsidR="009E10F4" w:rsidRDefault="00255B41">
          <w:pPr>
            <w:pStyle w:val="TOC1"/>
            <w:tabs>
              <w:tab w:val="right" w:leader="dot" w:pos="13950"/>
            </w:tabs>
            <w:rPr>
              <w:rFonts w:asciiTheme="minorHAnsi" w:eastAsiaTheme="minorEastAsia" w:hAnsiTheme="minorHAnsi"/>
              <w:noProof/>
              <w:lang w:val="en-GB" w:eastAsia="en-GB"/>
            </w:rPr>
          </w:pPr>
          <w:hyperlink w:anchor="_Toc75122790" w:history="1">
            <w:r w:rsidR="009E10F4" w:rsidRPr="000D1A94">
              <w:rPr>
                <w:rStyle w:val="Hyperlink"/>
                <w:noProof/>
              </w:rPr>
              <w:t>Note 22 - Leases</w:t>
            </w:r>
            <w:r w:rsidR="009E10F4">
              <w:rPr>
                <w:noProof/>
                <w:webHidden/>
              </w:rPr>
              <w:tab/>
            </w:r>
            <w:r w:rsidR="009E10F4">
              <w:rPr>
                <w:noProof/>
                <w:webHidden/>
              </w:rPr>
              <w:fldChar w:fldCharType="begin"/>
            </w:r>
            <w:r w:rsidR="009E10F4">
              <w:rPr>
                <w:noProof/>
                <w:webHidden/>
              </w:rPr>
              <w:instrText xml:space="preserve"> PAGEREF _Toc75122790 \h </w:instrText>
            </w:r>
            <w:r w:rsidR="009E10F4">
              <w:rPr>
                <w:noProof/>
                <w:webHidden/>
              </w:rPr>
            </w:r>
            <w:r w:rsidR="009E10F4">
              <w:rPr>
                <w:noProof/>
                <w:webHidden/>
              </w:rPr>
              <w:fldChar w:fldCharType="separate"/>
            </w:r>
            <w:r w:rsidR="002032BD">
              <w:rPr>
                <w:noProof/>
                <w:webHidden/>
              </w:rPr>
              <w:t>101</w:t>
            </w:r>
            <w:r w:rsidR="009E10F4">
              <w:rPr>
                <w:noProof/>
                <w:webHidden/>
              </w:rPr>
              <w:fldChar w:fldCharType="end"/>
            </w:r>
          </w:hyperlink>
        </w:p>
        <w:p w14:paraId="3DB3E743" w14:textId="2D09BC10" w:rsidR="009E10F4" w:rsidRDefault="00255B41">
          <w:pPr>
            <w:pStyle w:val="TOC1"/>
            <w:tabs>
              <w:tab w:val="right" w:leader="dot" w:pos="13950"/>
            </w:tabs>
            <w:rPr>
              <w:rFonts w:asciiTheme="minorHAnsi" w:eastAsiaTheme="minorEastAsia" w:hAnsiTheme="minorHAnsi"/>
              <w:noProof/>
              <w:lang w:val="en-GB" w:eastAsia="en-GB"/>
            </w:rPr>
          </w:pPr>
          <w:hyperlink w:anchor="_Toc75122791" w:history="1">
            <w:r w:rsidR="009E10F4" w:rsidRPr="000D1A94">
              <w:rPr>
                <w:rStyle w:val="Hyperlink"/>
                <w:noProof/>
              </w:rPr>
              <w:t>Note 23 - Service Concession Arrangements</w:t>
            </w:r>
            <w:r w:rsidR="009E10F4">
              <w:rPr>
                <w:noProof/>
                <w:webHidden/>
              </w:rPr>
              <w:tab/>
            </w:r>
            <w:r w:rsidR="009E10F4">
              <w:rPr>
                <w:noProof/>
                <w:webHidden/>
              </w:rPr>
              <w:fldChar w:fldCharType="begin"/>
            </w:r>
            <w:r w:rsidR="009E10F4">
              <w:rPr>
                <w:noProof/>
                <w:webHidden/>
              </w:rPr>
              <w:instrText xml:space="preserve"> PAGEREF _Toc75122791 \h </w:instrText>
            </w:r>
            <w:r w:rsidR="009E10F4">
              <w:rPr>
                <w:noProof/>
                <w:webHidden/>
              </w:rPr>
            </w:r>
            <w:r w:rsidR="009E10F4">
              <w:rPr>
                <w:noProof/>
                <w:webHidden/>
              </w:rPr>
              <w:fldChar w:fldCharType="separate"/>
            </w:r>
            <w:r w:rsidR="002032BD">
              <w:rPr>
                <w:noProof/>
                <w:webHidden/>
              </w:rPr>
              <w:t>103</w:t>
            </w:r>
            <w:r w:rsidR="009E10F4">
              <w:rPr>
                <w:noProof/>
                <w:webHidden/>
              </w:rPr>
              <w:fldChar w:fldCharType="end"/>
            </w:r>
          </w:hyperlink>
        </w:p>
        <w:p w14:paraId="39BBC66A" w14:textId="698072C6" w:rsidR="009E10F4" w:rsidRDefault="00255B41">
          <w:pPr>
            <w:pStyle w:val="TOC1"/>
            <w:tabs>
              <w:tab w:val="right" w:leader="dot" w:pos="13950"/>
            </w:tabs>
            <w:rPr>
              <w:rFonts w:asciiTheme="minorHAnsi" w:eastAsiaTheme="minorEastAsia" w:hAnsiTheme="minorHAnsi"/>
              <w:noProof/>
              <w:lang w:val="en-GB" w:eastAsia="en-GB"/>
            </w:rPr>
          </w:pPr>
          <w:hyperlink w:anchor="_Toc75122792" w:history="1">
            <w:r w:rsidR="009E10F4" w:rsidRPr="000D1A94">
              <w:rPr>
                <w:rStyle w:val="Hyperlink"/>
                <w:noProof/>
              </w:rPr>
              <w:t>Note 24 - Joint Audit Committee</w:t>
            </w:r>
            <w:r w:rsidR="009E10F4">
              <w:rPr>
                <w:noProof/>
                <w:webHidden/>
              </w:rPr>
              <w:tab/>
            </w:r>
            <w:r w:rsidR="009E10F4">
              <w:rPr>
                <w:noProof/>
                <w:webHidden/>
              </w:rPr>
              <w:fldChar w:fldCharType="begin"/>
            </w:r>
            <w:r w:rsidR="009E10F4">
              <w:rPr>
                <w:noProof/>
                <w:webHidden/>
              </w:rPr>
              <w:instrText xml:space="preserve"> PAGEREF _Toc75122792 \h </w:instrText>
            </w:r>
            <w:r w:rsidR="009E10F4">
              <w:rPr>
                <w:noProof/>
                <w:webHidden/>
              </w:rPr>
            </w:r>
            <w:r w:rsidR="009E10F4">
              <w:rPr>
                <w:noProof/>
                <w:webHidden/>
              </w:rPr>
              <w:fldChar w:fldCharType="separate"/>
            </w:r>
            <w:r w:rsidR="002032BD">
              <w:rPr>
                <w:noProof/>
                <w:webHidden/>
              </w:rPr>
              <w:t>103</w:t>
            </w:r>
            <w:r w:rsidR="009E10F4">
              <w:rPr>
                <w:noProof/>
                <w:webHidden/>
              </w:rPr>
              <w:fldChar w:fldCharType="end"/>
            </w:r>
          </w:hyperlink>
        </w:p>
        <w:p w14:paraId="73B79883" w14:textId="7FC00246" w:rsidR="009E10F4" w:rsidRDefault="00255B41">
          <w:pPr>
            <w:pStyle w:val="TOC1"/>
            <w:tabs>
              <w:tab w:val="right" w:leader="dot" w:pos="13950"/>
            </w:tabs>
            <w:rPr>
              <w:rFonts w:asciiTheme="minorHAnsi" w:eastAsiaTheme="minorEastAsia" w:hAnsiTheme="minorHAnsi"/>
              <w:noProof/>
              <w:lang w:val="en-GB" w:eastAsia="en-GB"/>
            </w:rPr>
          </w:pPr>
          <w:hyperlink w:anchor="_Toc75122793" w:history="1">
            <w:r w:rsidR="009E10F4" w:rsidRPr="000D1A94">
              <w:rPr>
                <w:rStyle w:val="Hyperlink"/>
                <w:noProof/>
              </w:rPr>
              <w:t>Note 25 - Officers’ Remuneration</w:t>
            </w:r>
            <w:r w:rsidR="009E10F4">
              <w:rPr>
                <w:noProof/>
                <w:webHidden/>
              </w:rPr>
              <w:tab/>
            </w:r>
            <w:r w:rsidR="009E10F4">
              <w:rPr>
                <w:noProof/>
                <w:webHidden/>
              </w:rPr>
              <w:fldChar w:fldCharType="begin"/>
            </w:r>
            <w:r w:rsidR="009E10F4">
              <w:rPr>
                <w:noProof/>
                <w:webHidden/>
              </w:rPr>
              <w:instrText xml:space="preserve"> PAGEREF _Toc75122793 \h </w:instrText>
            </w:r>
            <w:r w:rsidR="009E10F4">
              <w:rPr>
                <w:noProof/>
                <w:webHidden/>
              </w:rPr>
            </w:r>
            <w:r w:rsidR="009E10F4">
              <w:rPr>
                <w:noProof/>
                <w:webHidden/>
              </w:rPr>
              <w:fldChar w:fldCharType="separate"/>
            </w:r>
            <w:r w:rsidR="002032BD">
              <w:rPr>
                <w:noProof/>
                <w:webHidden/>
              </w:rPr>
              <w:t>104</w:t>
            </w:r>
            <w:r w:rsidR="009E10F4">
              <w:rPr>
                <w:noProof/>
                <w:webHidden/>
              </w:rPr>
              <w:fldChar w:fldCharType="end"/>
            </w:r>
          </w:hyperlink>
        </w:p>
        <w:p w14:paraId="6562C8C8" w14:textId="04242A4C" w:rsidR="009E10F4" w:rsidRDefault="00255B41">
          <w:pPr>
            <w:pStyle w:val="TOC1"/>
            <w:tabs>
              <w:tab w:val="right" w:leader="dot" w:pos="13950"/>
            </w:tabs>
            <w:rPr>
              <w:rFonts w:asciiTheme="minorHAnsi" w:eastAsiaTheme="minorEastAsia" w:hAnsiTheme="minorHAnsi"/>
              <w:noProof/>
              <w:lang w:val="en-GB" w:eastAsia="en-GB"/>
            </w:rPr>
          </w:pPr>
          <w:hyperlink w:anchor="_Toc75122794" w:history="1">
            <w:r w:rsidR="009E10F4" w:rsidRPr="000D1A94">
              <w:rPr>
                <w:rStyle w:val="Hyperlink"/>
                <w:noProof/>
              </w:rPr>
              <w:t>Note 26 - Defined Benefit Pension Scheme</w:t>
            </w:r>
            <w:r w:rsidR="009E10F4">
              <w:rPr>
                <w:noProof/>
                <w:webHidden/>
              </w:rPr>
              <w:tab/>
            </w:r>
            <w:r w:rsidR="009E10F4">
              <w:rPr>
                <w:noProof/>
                <w:webHidden/>
              </w:rPr>
              <w:fldChar w:fldCharType="begin"/>
            </w:r>
            <w:r w:rsidR="009E10F4">
              <w:rPr>
                <w:noProof/>
                <w:webHidden/>
              </w:rPr>
              <w:instrText xml:space="preserve"> PAGEREF _Toc75122794 \h </w:instrText>
            </w:r>
            <w:r w:rsidR="009E10F4">
              <w:rPr>
                <w:noProof/>
                <w:webHidden/>
              </w:rPr>
            </w:r>
            <w:r w:rsidR="009E10F4">
              <w:rPr>
                <w:noProof/>
                <w:webHidden/>
              </w:rPr>
              <w:fldChar w:fldCharType="separate"/>
            </w:r>
            <w:r w:rsidR="002032BD">
              <w:rPr>
                <w:noProof/>
                <w:webHidden/>
              </w:rPr>
              <w:t>108</w:t>
            </w:r>
            <w:r w:rsidR="009E10F4">
              <w:rPr>
                <w:noProof/>
                <w:webHidden/>
              </w:rPr>
              <w:fldChar w:fldCharType="end"/>
            </w:r>
          </w:hyperlink>
        </w:p>
        <w:p w14:paraId="19BD8FC7" w14:textId="7A776A9D" w:rsidR="009E10F4" w:rsidRDefault="00255B41">
          <w:pPr>
            <w:pStyle w:val="TOC1"/>
            <w:tabs>
              <w:tab w:val="right" w:leader="dot" w:pos="13950"/>
            </w:tabs>
            <w:rPr>
              <w:rFonts w:asciiTheme="minorHAnsi" w:eastAsiaTheme="minorEastAsia" w:hAnsiTheme="minorHAnsi"/>
              <w:noProof/>
              <w:lang w:val="en-GB" w:eastAsia="en-GB"/>
            </w:rPr>
          </w:pPr>
          <w:hyperlink w:anchor="_Toc75122795" w:history="1">
            <w:r w:rsidR="009E10F4" w:rsidRPr="000D1A94">
              <w:rPr>
                <w:rStyle w:val="Hyperlink"/>
                <w:noProof/>
              </w:rPr>
              <w:t>Note 27 - External Audit Costs</w:t>
            </w:r>
            <w:r w:rsidR="009E10F4">
              <w:rPr>
                <w:noProof/>
                <w:webHidden/>
              </w:rPr>
              <w:tab/>
            </w:r>
            <w:r w:rsidR="009E10F4">
              <w:rPr>
                <w:noProof/>
                <w:webHidden/>
              </w:rPr>
              <w:fldChar w:fldCharType="begin"/>
            </w:r>
            <w:r w:rsidR="009E10F4">
              <w:rPr>
                <w:noProof/>
                <w:webHidden/>
              </w:rPr>
              <w:instrText xml:space="preserve"> PAGEREF _Toc75122795 \h </w:instrText>
            </w:r>
            <w:r w:rsidR="009E10F4">
              <w:rPr>
                <w:noProof/>
                <w:webHidden/>
              </w:rPr>
            </w:r>
            <w:r w:rsidR="009E10F4">
              <w:rPr>
                <w:noProof/>
                <w:webHidden/>
              </w:rPr>
              <w:fldChar w:fldCharType="separate"/>
            </w:r>
            <w:r w:rsidR="002032BD">
              <w:rPr>
                <w:noProof/>
                <w:webHidden/>
              </w:rPr>
              <w:t>118</w:t>
            </w:r>
            <w:r w:rsidR="009E10F4">
              <w:rPr>
                <w:noProof/>
                <w:webHidden/>
              </w:rPr>
              <w:fldChar w:fldCharType="end"/>
            </w:r>
          </w:hyperlink>
        </w:p>
        <w:p w14:paraId="18418715" w14:textId="52421467" w:rsidR="009E10F4" w:rsidRDefault="00255B41">
          <w:pPr>
            <w:pStyle w:val="TOC1"/>
            <w:tabs>
              <w:tab w:val="right" w:leader="dot" w:pos="13950"/>
            </w:tabs>
            <w:rPr>
              <w:rFonts w:asciiTheme="minorHAnsi" w:eastAsiaTheme="minorEastAsia" w:hAnsiTheme="minorHAnsi"/>
              <w:noProof/>
              <w:lang w:val="en-GB" w:eastAsia="en-GB"/>
            </w:rPr>
          </w:pPr>
          <w:hyperlink w:anchor="_Toc75122796" w:history="1">
            <w:r w:rsidR="009E10F4" w:rsidRPr="000D1A94">
              <w:rPr>
                <w:rStyle w:val="Hyperlink"/>
                <w:noProof/>
              </w:rPr>
              <w:t>Note 28 - Related Parties</w:t>
            </w:r>
            <w:r w:rsidR="009E10F4">
              <w:rPr>
                <w:noProof/>
                <w:webHidden/>
              </w:rPr>
              <w:tab/>
            </w:r>
            <w:r w:rsidR="009E10F4">
              <w:rPr>
                <w:noProof/>
                <w:webHidden/>
              </w:rPr>
              <w:fldChar w:fldCharType="begin"/>
            </w:r>
            <w:r w:rsidR="009E10F4">
              <w:rPr>
                <w:noProof/>
                <w:webHidden/>
              </w:rPr>
              <w:instrText xml:space="preserve"> PAGEREF _Toc75122796 \h </w:instrText>
            </w:r>
            <w:r w:rsidR="009E10F4">
              <w:rPr>
                <w:noProof/>
                <w:webHidden/>
              </w:rPr>
            </w:r>
            <w:r w:rsidR="009E10F4">
              <w:rPr>
                <w:noProof/>
                <w:webHidden/>
              </w:rPr>
              <w:fldChar w:fldCharType="separate"/>
            </w:r>
            <w:r w:rsidR="002032BD">
              <w:rPr>
                <w:noProof/>
                <w:webHidden/>
              </w:rPr>
              <w:t>118</w:t>
            </w:r>
            <w:r w:rsidR="009E10F4">
              <w:rPr>
                <w:noProof/>
                <w:webHidden/>
              </w:rPr>
              <w:fldChar w:fldCharType="end"/>
            </w:r>
          </w:hyperlink>
        </w:p>
        <w:p w14:paraId="24E7F68A" w14:textId="4C158790" w:rsidR="009E10F4" w:rsidRDefault="00255B41">
          <w:pPr>
            <w:pStyle w:val="TOC1"/>
            <w:tabs>
              <w:tab w:val="right" w:leader="dot" w:pos="13950"/>
            </w:tabs>
            <w:rPr>
              <w:rFonts w:asciiTheme="minorHAnsi" w:eastAsiaTheme="minorEastAsia" w:hAnsiTheme="minorHAnsi"/>
              <w:noProof/>
              <w:lang w:val="en-GB" w:eastAsia="en-GB"/>
            </w:rPr>
          </w:pPr>
          <w:hyperlink w:anchor="_Toc75122797" w:history="1">
            <w:r w:rsidR="009E10F4" w:rsidRPr="000D1A94">
              <w:rPr>
                <w:rStyle w:val="Hyperlink"/>
                <w:noProof/>
              </w:rPr>
              <w:t>Note 29 - Contingent Liabilities</w:t>
            </w:r>
            <w:r w:rsidR="009E10F4">
              <w:rPr>
                <w:noProof/>
                <w:webHidden/>
              </w:rPr>
              <w:tab/>
            </w:r>
            <w:r w:rsidR="009E10F4">
              <w:rPr>
                <w:noProof/>
                <w:webHidden/>
              </w:rPr>
              <w:fldChar w:fldCharType="begin"/>
            </w:r>
            <w:r w:rsidR="009E10F4">
              <w:rPr>
                <w:noProof/>
                <w:webHidden/>
              </w:rPr>
              <w:instrText xml:space="preserve"> PAGEREF _Toc75122797 \h </w:instrText>
            </w:r>
            <w:r w:rsidR="009E10F4">
              <w:rPr>
                <w:noProof/>
                <w:webHidden/>
              </w:rPr>
            </w:r>
            <w:r w:rsidR="009E10F4">
              <w:rPr>
                <w:noProof/>
                <w:webHidden/>
              </w:rPr>
              <w:fldChar w:fldCharType="separate"/>
            </w:r>
            <w:r w:rsidR="002032BD">
              <w:rPr>
                <w:noProof/>
                <w:webHidden/>
              </w:rPr>
              <w:t>120</w:t>
            </w:r>
            <w:r w:rsidR="009E10F4">
              <w:rPr>
                <w:noProof/>
                <w:webHidden/>
              </w:rPr>
              <w:fldChar w:fldCharType="end"/>
            </w:r>
          </w:hyperlink>
        </w:p>
        <w:p w14:paraId="71E9D1AA" w14:textId="70FE7879" w:rsidR="009E10F4" w:rsidRDefault="00255B41">
          <w:pPr>
            <w:pStyle w:val="TOC1"/>
            <w:tabs>
              <w:tab w:val="right" w:leader="dot" w:pos="13950"/>
            </w:tabs>
            <w:rPr>
              <w:rFonts w:asciiTheme="minorHAnsi" w:eastAsiaTheme="minorEastAsia" w:hAnsiTheme="minorHAnsi"/>
              <w:noProof/>
              <w:lang w:val="en-GB" w:eastAsia="en-GB"/>
            </w:rPr>
          </w:pPr>
          <w:hyperlink w:anchor="_Toc75122798" w:history="1">
            <w:r w:rsidR="009E10F4" w:rsidRPr="000D1A94">
              <w:rPr>
                <w:rStyle w:val="Hyperlink"/>
                <w:noProof/>
              </w:rPr>
              <w:t>Note 30 - Contingent Assets</w:t>
            </w:r>
            <w:r w:rsidR="009E10F4">
              <w:rPr>
                <w:noProof/>
                <w:webHidden/>
              </w:rPr>
              <w:tab/>
            </w:r>
            <w:r w:rsidR="009E10F4">
              <w:rPr>
                <w:noProof/>
                <w:webHidden/>
              </w:rPr>
              <w:fldChar w:fldCharType="begin"/>
            </w:r>
            <w:r w:rsidR="009E10F4">
              <w:rPr>
                <w:noProof/>
                <w:webHidden/>
              </w:rPr>
              <w:instrText xml:space="preserve"> PAGEREF _Toc75122798 \h </w:instrText>
            </w:r>
            <w:r w:rsidR="009E10F4">
              <w:rPr>
                <w:noProof/>
                <w:webHidden/>
              </w:rPr>
            </w:r>
            <w:r w:rsidR="009E10F4">
              <w:rPr>
                <w:noProof/>
                <w:webHidden/>
              </w:rPr>
              <w:fldChar w:fldCharType="separate"/>
            </w:r>
            <w:r w:rsidR="002032BD">
              <w:rPr>
                <w:noProof/>
                <w:webHidden/>
              </w:rPr>
              <w:t>120</w:t>
            </w:r>
            <w:r w:rsidR="009E10F4">
              <w:rPr>
                <w:noProof/>
                <w:webHidden/>
              </w:rPr>
              <w:fldChar w:fldCharType="end"/>
            </w:r>
          </w:hyperlink>
        </w:p>
        <w:p w14:paraId="321D562D" w14:textId="6D60C000" w:rsidR="009E10F4" w:rsidRDefault="00255B41">
          <w:pPr>
            <w:pStyle w:val="TOC1"/>
            <w:tabs>
              <w:tab w:val="right" w:leader="dot" w:pos="13950"/>
            </w:tabs>
            <w:rPr>
              <w:rFonts w:asciiTheme="minorHAnsi" w:eastAsiaTheme="minorEastAsia" w:hAnsiTheme="minorHAnsi"/>
              <w:noProof/>
              <w:lang w:val="en-GB" w:eastAsia="en-GB"/>
            </w:rPr>
          </w:pPr>
          <w:hyperlink w:anchor="_Toc75122799" w:history="1">
            <w:r w:rsidR="009E10F4" w:rsidRPr="000D1A94">
              <w:rPr>
                <w:rStyle w:val="Hyperlink"/>
                <w:noProof/>
              </w:rPr>
              <w:t>Note 31 - Financial Instruments</w:t>
            </w:r>
            <w:r w:rsidR="009E10F4">
              <w:rPr>
                <w:noProof/>
                <w:webHidden/>
              </w:rPr>
              <w:tab/>
            </w:r>
            <w:r w:rsidR="009E10F4">
              <w:rPr>
                <w:noProof/>
                <w:webHidden/>
              </w:rPr>
              <w:fldChar w:fldCharType="begin"/>
            </w:r>
            <w:r w:rsidR="009E10F4">
              <w:rPr>
                <w:noProof/>
                <w:webHidden/>
              </w:rPr>
              <w:instrText xml:space="preserve"> PAGEREF _Toc75122799 \h </w:instrText>
            </w:r>
            <w:r w:rsidR="009E10F4">
              <w:rPr>
                <w:noProof/>
                <w:webHidden/>
              </w:rPr>
            </w:r>
            <w:r w:rsidR="009E10F4">
              <w:rPr>
                <w:noProof/>
                <w:webHidden/>
              </w:rPr>
              <w:fldChar w:fldCharType="separate"/>
            </w:r>
            <w:r w:rsidR="002032BD">
              <w:rPr>
                <w:noProof/>
                <w:webHidden/>
              </w:rPr>
              <w:t>121</w:t>
            </w:r>
            <w:r w:rsidR="009E10F4">
              <w:rPr>
                <w:noProof/>
                <w:webHidden/>
              </w:rPr>
              <w:fldChar w:fldCharType="end"/>
            </w:r>
          </w:hyperlink>
        </w:p>
        <w:p w14:paraId="2A7FDA16" w14:textId="33B2BE8E" w:rsidR="009E10F4" w:rsidRDefault="00255B41">
          <w:pPr>
            <w:pStyle w:val="TOC1"/>
            <w:tabs>
              <w:tab w:val="right" w:leader="dot" w:pos="13950"/>
            </w:tabs>
            <w:rPr>
              <w:rFonts w:asciiTheme="minorHAnsi" w:eastAsiaTheme="minorEastAsia" w:hAnsiTheme="minorHAnsi"/>
              <w:noProof/>
              <w:lang w:val="en-GB" w:eastAsia="en-GB"/>
            </w:rPr>
          </w:pPr>
          <w:hyperlink w:anchor="_Toc75122800" w:history="1">
            <w:r w:rsidR="009E10F4" w:rsidRPr="000D1A94">
              <w:rPr>
                <w:rStyle w:val="Hyperlink"/>
                <w:noProof/>
              </w:rPr>
              <w:t>Note 32 - Nature and Extent of Risks Arising from Financial Instruments</w:t>
            </w:r>
            <w:r w:rsidR="009E10F4">
              <w:rPr>
                <w:noProof/>
                <w:webHidden/>
              </w:rPr>
              <w:tab/>
            </w:r>
            <w:r w:rsidR="009E10F4">
              <w:rPr>
                <w:noProof/>
                <w:webHidden/>
              </w:rPr>
              <w:fldChar w:fldCharType="begin"/>
            </w:r>
            <w:r w:rsidR="009E10F4">
              <w:rPr>
                <w:noProof/>
                <w:webHidden/>
              </w:rPr>
              <w:instrText xml:space="preserve"> PAGEREF _Toc75122800 \h </w:instrText>
            </w:r>
            <w:r w:rsidR="009E10F4">
              <w:rPr>
                <w:noProof/>
                <w:webHidden/>
              </w:rPr>
            </w:r>
            <w:r w:rsidR="009E10F4">
              <w:rPr>
                <w:noProof/>
                <w:webHidden/>
              </w:rPr>
              <w:fldChar w:fldCharType="separate"/>
            </w:r>
            <w:r w:rsidR="002032BD">
              <w:rPr>
                <w:noProof/>
                <w:webHidden/>
              </w:rPr>
              <w:t>123</w:t>
            </w:r>
            <w:r w:rsidR="009E10F4">
              <w:rPr>
                <w:noProof/>
                <w:webHidden/>
              </w:rPr>
              <w:fldChar w:fldCharType="end"/>
            </w:r>
          </w:hyperlink>
        </w:p>
        <w:p w14:paraId="05DE3A63" w14:textId="6B451F7B" w:rsidR="009E10F4" w:rsidRDefault="00255B41">
          <w:pPr>
            <w:pStyle w:val="TOC1"/>
            <w:tabs>
              <w:tab w:val="right" w:leader="dot" w:pos="13950"/>
            </w:tabs>
            <w:rPr>
              <w:rFonts w:asciiTheme="minorHAnsi" w:eastAsiaTheme="minorEastAsia" w:hAnsiTheme="minorHAnsi"/>
              <w:noProof/>
              <w:lang w:val="en-GB" w:eastAsia="en-GB"/>
            </w:rPr>
          </w:pPr>
          <w:hyperlink w:anchor="_Toc75122801" w:history="1">
            <w:r w:rsidR="009E10F4" w:rsidRPr="000D1A94">
              <w:rPr>
                <w:rStyle w:val="Hyperlink"/>
                <w:noProof/>
              </w:rPr>
              <w:t>Note 33 - Financing and Investment Income and Expenditure</w:t>
            </w:r>
            <w:r w:rsidR="009E10F4">
              <w:rPr>
                <w:noProof/>
                <w:webHidden/>
              </w:rPr>
              <w:tab/>
            </w:r>
            <w:r w:rsidR="009E10F4">
              <w:rPr>
                <w:noProof/>
                <w:webHidden/>
              </w:rPr>
              <w:fldChar w:fldCharType="begin"/>
            </w:r>
            <w:r w:rsidR="009E10F4">
              <w:rPr>
                <w:noProof/>
                <w:webHidden/>
              </w:rPr>
              <w:instrText xml:space="preserve"> PAGEREF _Toc75122801 \h </w:instrText>
            </w:r>
            <w:r w:rsidR="009E10F4">
              <w:rPr>
                <w:noProof/>
                <w:webHidden/>
              </w:rPr>
            </w:r>
            <w:r w:rsidR="009E10F4">
              <w:rPr>
                <w:noProof/>
                <w:webHidden/>
              </w:rPr>
              <w:fldChar w:fldCharType="separate"/>
            </w:r>
            <w:r w:rsidR="002032BD">
              <w:rPr>
                <w:noProof/>
                <w:webHidden/>
              </w:rPr>
              <w:t>125</w:t>
            </w:r>
            <w:r w:rsidR="009E10F4">
              <w:rPr>
                <w:noProof/>
                <w:webHidden/>
              </w:rPr>
              <w:fldChar w:fldCharType="end"/>
            </w:r>
          </w:hyperlink>
        </w:p>
        <w:p w14:paraId="3972AAE0" w14:textId="55D59FFA" w:rsidR="009E10F4" w:rsidRDefault="00255B41">
          <w:pPr>
            <w:pStyle w:val="TOC1"/>
            <w:tabs>
              <w:tab w:val="right" w:leader="dot" w:pos="13950"/>
            </w:tabs>
            <w:rPr>
              <w:rFonts w:asciiTheme="minorHAnsi" w:eastAsiaTheme="minorEastAsia" w:hAnsiTheme="minorHAnsi"/>
              <w:noProof/>
              <w:lang w:val="en-GB" w:eastAsia="en-GB"/>
            </w:rPr>
          </w:pPr>
          <w:hyperlink w:anchor="_Toc75122802" w:history="1">
            <w:r w:rsidR="009E10F4" w:rsidRPr="000D1A94">
              <w:rPr>
                <w:rStyle w:val="Hyperlink"/>
                <w:noProof/>
              </w:rPr>
              <w:t>Note 34 - Other Operating Expenditure</w:t>
            </w:r>
            <w:r w:rsidR="009E10F4">
              <w:rPr>
                <w:noProof/>
                <w:webHidden/>
              </w:rPr>
              <w:tab/>
            </w:r>
            <w:r w:rsidR="009E10F4">
              <w:rPr>
                <w:noProof/>
                <w:webHidden/>
              </w:rPr>
              <w:fldChar w:fldCharType="begin"/>
            </w:r>
            <w:r w:rsidR="009E10F4">
              <w:rPr>
                <w:noProof/>
                <w:webHidden/>
              </w:rPr>
              <w:instrText xml:space="preserve"> PAGEREF _Toc75122802 \h </w:instrText>
            </w:r>
            <w:r w:rsidR="009E10F4">
              <w:rPr>
                <w:noProof/>
                <w:webHidden/>
              </w:rPr>
            </w:r>
            <w:r w:rsidR="009E10F4">
              <w:rPr>
                <w:noProof/>
                <w:webHidden/>
              </w:rPr>
              <w:fldChar w:fldCharType="separate"/>
            </w:r>
            <w:r w:rsidR="002032BD">
              <w:rPr>
                <w:noProof/>
                <w:webHidden/>
              </w:rPr>
              <w:t>126</w:t>
            </w:r>
            <w:r w:rsidR="009E10F4">
              <w:rPr>
                <w:noProof/>
                <w:webHidden/>
              </w:rPr>
              <w:fldChar w:fldCharType="end"/>
            </w:r>
          </w:hyperlink>
        </w:p>
        <w:p w14:paraId="7F123514" w14:textId="7F67220B" w:rsidR="009E10F4" w:rsidRDefault="00255B41">
          <w:pPr>
            <w:pStyle w:val="TOC1"/>
            <w:tabs>
              <w:tab w:val="right" w:leader="dot" w:pos="13950"/>
            </w:tabs>
            <w:rPr>
              <w:rFonts w:asciiTheme="minorHAnsi" w:eastAsiaTheme="minorEastAsia" w:hAnsiTheme="minorHAnsi"/>
              <w:noProof/>
              <w:lang w:val="en-GB" w:eastAsia="en-GB"/>
            </w:rPr>
          </w:pPr>
          <w:hyperlink w:anchor="_Toc75122803" w:history="1">
            <w:r w:rsidR="009E10F4" w:rsidRPr="000D1A94">
              <w:rPr>
                <w:rStyle w:val="Hyperlink"/>
                <w:noProof/>
              </w:rPr>
              <w:t>Note 35 - Cash Flow from Operating Activities</w:t>
            </w:r>
            <w:r w:rsidR="009E10F4">
              <w:rPr>
                <w:noProof/>
                <w:webHidden/>
              </w:rPr>
              <w:tab/>
            </w:r>
            <w:r w:rsidR="009E10F4">
              <w:rPr>
                <w:noProof/>
                <w:webHidden/>
              </w:rPr>
              <w:fldChar w:fldCharType="begin"/>
            </w:r>
            <w:r w:rsidR="009E10F4">
              <w:rPr>
                <w:noProof/>
                <w:webHidden/>
              </w:rPr>
              <w:instrText xml:space="preserve"> PAGEREF _Toc75122803 \h </w:instrText>
            </w:r>
            <w:r w:rsidR="009E10F4">
              <w:rPr>
                <w:noProof/>
                <w:webHidden/>
              </w:rPr>
            </w:r>
            <w:r w:rsidR="009E10F4">
              <w:rPr>
                <w:noProof/>
                <w:webHidden/>
              </w:rPr>
              <w:fldChar w:fldCharType="separate"/>
            </w:r>
            <w:r w:rsidR="002032BD">
              <w:rPr>
                <w:noProof/>
                <w:webHidden/>
              </w:rPr>
              <w:t>126</w:t>
            </w:r>
            <w:r w:rsidR="009E10F4">
              <w:rPr>
                <w:noProof/>
                <w:webHidden/>
              </w:rPr>
              <w:fldChar w:fldCharType="end"/>
            </w:r>
          </w:hyperlink>
        </w:p>
        <w:p w14:paraId="788B3B12" w14:textId="3291F33D" w:rsidR="009E10F4" w:rsidRDefault="00255B41">
          <w:pPr>
            <w:pStyle w:val="TOC1"/>
            <w:tabs>
              <w:tab w:val="right" w:leader="dot" w:pos="13950"/>
            </w:tabs>
            <w:rPr>
              <w:rFonts w:asciiTheme="minorHAnsi" w:eastAsiaTheme="minorEastAsia" w:hAnsiTheme="minorHAnsi"/>
              <w:noProof/>
              <w:lang w:val="en-GB" w:eastAsia="en-GB"/>
            </w:rPr>
          </w:pPr>
          <w:hyperlink w:anchor="_Toc75122804" w:history="1">
            <w:r w:rsidR="009E10F4" w:rsidRPr="000D1A94">
              <w:rPr>
                <w:rStyle w:val="Hyperlink"/>
                <w:noProof/>
              </w:rPr>
              <w:t>Note 36 - Cash Flow from Investing Activities</w:t>
            </w:r>
            <w:r w:rsidR="009E10F4">
              <w:rPr>
                <w:noProof/>
                <w:webHidden/>
              </w:rPr>
              <w:tab/>
            </w:r>
            <w:r w:rsidR="009E10F4">
              <w:rPr>
                <w:noProof/>
                <w:webHidden/>
              </w:rPr>
              <w:fldChar w:fldCharType="begin"/>
            </w:r>
            <w:r w:rsidR="009E10F4">
              <w:rPr>
                <w:noProof/>
                <w:webHidden/>
              </w:rPr>
              <w:instrText xml:space="preserve"> PAGEREF _Toc75122804 \h </w:instrText>
            </w:r>
            <w:r w:rsidR="009E10F4">
              <w:rPr>
                <w:noProof/>
                <w:webHidden/>
              </w:rPr>
            </w:r>
            <w:r w:rsidR="009E10F4">
              <w:rPr>
                <w:noProof/>
                <w:webHidden/>
              </w:rPr>
              <w:fldChar w:fldCharType="separate"/>
            </w:r>
            <w:r w:rsidR="002032BD">
              <w:rPr>
                <w:noProof/>
                <w:webHidden/>
              </w:rPr>
              <w:t>128</w:t>
            </w:r>
            <w:r w:rsidR="009E10F4">
              <w:rPr>
                <w:noProof/>
                <w:webHidden/>
              </w:rPr>
              <w:fldChar w:fldCharType="end"/>
            </w:r>
          </w:hyperlink>
        </w:p>
        <w:p w14:paraId="106616A8" w14:textId="242D2CB9" w:rsidR="009E10F4" w:rsidRDefault="00255B41">
          <w:pPr>
            <w:pStyle w:val="TOC1"/>
            <w:tabs>
              <w:tab w:val="right" w:leader="dot" w:pos="13950"/>
            </w:tabs>
            <w:rPr>
              <w:rFonts w:asciiTheme="minorHAnsi" w:eastAsiaTheme="minorEastAsia" w:hAnsiTheme="minorHAnsi"/>
              <w:noProof/>
              <w:lang w:val="en-GB" w:eastAsia="en-GB"/>
            </w:rPr>
          </w:pPr>
          <w:hyperlink w:anchor="_Toc75122805" w:history="1">
            <w:r w:rsidR="009E10F4" w:rsidRPr="000D1A94">
              <w:rPr>
                <w:rStyle w:val="Hyperlink"/>
                <w:noProof/>
              </w:rPr>
              <w:t>Note 37 - Cash Flow from Financing Activities</w:t>
            </w:r>
            <w:r w:rsidR="009E10F4">
              <w:rPr>
                <w:noProof/>
                <w:webHidden/>
              </w:rPr>
              <w:tab/>
            </w:r>
            <w:r w:rsidR="009E10F4">
              <w:rPr>
                <w:noProof/>
                <w:webHidden/>
              </w:rPr>
              <w:fldChar w:fldCharType="begin"/>
            </w:r>
            <w:r w:rsidR="009E10F4">
              <w:rPr>
                <w:noProof/>
                <w:webHidden/>
              </w:rPr>
              <w:instrText xml:space="preserve"> PAGEREF _Toc75122805 \h </w:instrText>
            </w:r>
            <w:r w:rsidR="009E10F4">
              <w:rPr>
                <w:noProof/>
                <w:webHidden/>
              </w:rPr>
            </w:r>
            <w:r w:rsidR="009E10F4">
              <w:rPr>
                <w:noProof/>
                <w:webHidden/>
              </w:rPr>
              <w:fldChar w:fldCharType="separate"/>
            </w:r>
            <w:r w:rsidR="002032BD">
              <w:rPr>
                <w:noProof/>
                <w:webHidden/>
              </w:rPr>
              <w:t>128</w:t>
            </w:r>
            <w:r w:rsidR="009E10F4">
              <w:rPr>
                <w:noProof/>
                <w:webHidden/>
              </w:rPr>
              <w:fldChar w:fldCharType="end"/>
            </w:r>
          </w:hyperlink>
        </w:p>
        <w:p w14:paraId="377FDAE9" w14:textId="74198C92" w:rsidR="009E10F4" w:rsidRDefault="00255B41">
          <w:pPr>
            <w:pStyle w:val="TOC1"/>
            <w:tabs>
              <w:tab w:val="right" w:leader="dot" w:pos="13950"/>
            </w:tabs>
            <w:rPr>
              <w:rFonts w:asciiTheme="minorHAnsi" w:eastAsiaTheme="minorEastAsia" w:hAnsiTheme="minorHAnsi"/>
              <w:noProof/>
              <w:lang w:val="en-GB" w:eastAsia="en-GB"/>
            </w:rPr>
          </w:pPr>
          <w:hyperlink w:anchor="_Toc75122806" w:history="1">
            <w:r w:rsidR="009E10F4" w:rsidRPr="000D1A94">
              <w:rPr>
                <w:rStyle w:val="Hyperlink"/>
                <w:noProof/>
              </w:rPr>
              <w:t>Note 38 - Reconciliation of Liabilities Arising from Financing Activities</w:t>
            </w:r>
            <w:r w:rsidR="009E10F4">
              <w:rPr>
                <w:noProof/>
                <w:webHidden/>
              </w:rPr>
              <w:tab/>
            </w:r>
            <w:r w:rsidR="009E10F4">
              <w:rPr>
                <w:noProof/>
                <w:webHidden/>
              </w:rPr>
              <w:fldChar w:fldCharType="begin"/>
            </w:r>
            <w:r w:rsidR="009E10F4">
              <w:rPr>
                <w:noProof/>
                <w:webHidden/>
              </w:rPr>
              <w:instrText xml:space="preserve"> PAGEREF _Toc75122806 \h </w:instrText>
            </w:r>
            <w:r w:rsidR="009E10F4">
              <w:rPr>
                <w:noProof/>
                <w:webHidden/>
              </w:rPr>
            </w:r>
            <w:r w:rsidR="009E10F4">
              <w:rPr>
                <w:noProof/>
                <w:webHidden/>
              </w:rPr>
              <w:fldChar w:fldCharType="separate"/>
            </w:r>
            <w:r w:rsidR="002032BD">
              <w:rPr>
                <w:noProof/>
                <w:webHidden/>
              </w:rPr>
              <w:t>129</w:t>
            </w:r>
            <w:r w:rsidR="009E10F4">
              <w:rPr>
                <w:noProof/>
                <w:webHidden/>
              </w:rPr>
              <w:fldChar w:fldCharType="end"/>
            </w:r>
          </w:hyperlink>
        </w:p>
        <w:p w14:paraId="3EFDF91B" w14:textId="1332B54D" w:rsidR="009E10F4" w:rsidRDefault="00255B41">
          <w:pPr>
            <w:pStyle w:val="TOC1"/>
            <w:tabs>
              <w:tab w:val="right" w:leader="dot" w:pos="13950"/>
            </w:tabs>
            <w:rPr>
              <w:rFonts w:asciiTheme="minorHAnsi" w:eastAsiaTheme="minorEastAsia" w:hAnsiTheme="minorHAnsi"/>
              <w:noProof/>
              <w:lang w:val="en-GB" w:eastAsia="en-GB"/>
            </w:rPr>
          </w:pPr>
          <w:hyperlink w:anchor="_Toc75122807" w:history="1">
            <w:r w:rsidR="009E10F4" w:rsidRPr="000D1A94">
              <w:rPr>
                <w:rStyle w:val="Hyperlink"/>
                <w:noProof/>
              </w:rPr>
              <w:t xml:space="preserve">Note 39 - </w:t>
            </w:r>
            <w:r w:rsidR="009E10F4" w:rsidRPr="000D1A94">
              <w:rPr>
                <w:rStyle w:val="Hyperlink"/>
                <w:rFonts w:eastAsia="Times New Roman"/>
                <w:noProof/>
                <w:lang w:eastAsia="en-GB"/>
              </w:rPr>
              <w:t>Accounting Policies</w:t>
            </w:r>
            <w:r w:rsidR="009E10F4">
              <w:rPr>
                <w:noProof/>
                <w:webHidden/>
              </w:rPr>
              <w:tab/>
            </w:r>
            <w:r w:rsidR="009E10F4">
              <w:rPr>
                <w:noProof/>
                <w:webHidden/>
              </w:rPr>
              <w:fldChar w:fldCharType="begin"/>
            </w:r>
            <w:r w:rsidR="009E10F4">
              <w:rPr>
                <w:noProof/>
                <w:webHidden/>
              </w:rPr>
              <w:instrText xml:space="preserve"> PAGEREF _Toc75122807 \h </w:instrText>
            </w:r>
            <w:r w:rsidR="009E10F4">
              <w:rPr>
                <w:noProof/>
                <w:webHidden/>
              </w:rPr>
            </w:r>
            <w:r w:rsidR="009E10F4">
              <w:rPr>
                <w:noProof/>
                <w:webHidden/>
              </w:rPr>
              <w:fldChar w:fldCharType="separate"/>
            </w:r>
            <w:r w:rsidR="002032BD">
              <w:rPr>
                <w:noProof/>
                <w:webHidden/>
              </w:rPr>
              <w:t>130</w:t>
            </w:r>
            <w:r w:rsidR="009E10F4">
              <w:rPr>
                <w:noProof/>
                <w:webHidden/>
              </w:rPr>
              <w:fldChar w:fldCharType="end"/>
            </w:r>
          </w:hyperlink>
        </w:p>
        <w:p w14:paraId="304A6032" w14:textId="1B6212FB" w:rsidR="009E10F4" w:rsidRDefault="00255B41">
          <w:pPr>
            <w:pStyle w:val="TOC1"/>
            <w:tabs>
              <w:tab w:val="right" w:leader="dot" w:pos="13950"/>
            </w:tabs>
            <w:rPr>
              <w:rFonts w:asciiTheme="minorHAnsi" w:eastAsiaTheme="minorEastAsia" w:hAnsiTheme="minorHAnsi"/>
              <w:noProof/>
              <w:lang w:val="en-GB" w:eastAsia="en-GB"/>
            </w:rPr>
          </w:pPr>
          <w:hyperlink w:anchor="_Toc75122808" w:history="1">
            <w:r w:rsidR="009E10F4" w:rsidRPr="000D1A94">
              <w:rPr>
                <w:rStyle w:val="Hyperlink"/>
                <w:noProof/>
              </w:rPr>
              <w:t>Note 40 - Accounting Standards issued but not yet adopted</w:t>
            </w:r>
            <w:r w:rsidR="009E10F4">
              <w:rPr>
                <w:noProof/>
                <w:webHidden/>
              </w:rPr>
              <w:tab/>
            </w:r>
            <w:r w:rsidR="009E10F4">
              <w:rPr>
                <w:noProof/>
                <w:webHidden/>
              </w:rPr>
              <w:fldChar w:fldCharType="begin"/>
            </w:r>
            <w:r w:rsidR="009E10F4">
              <w:rPr>
                <w:noProof/>
                <w:webHidden/>
              </w:rPr>
              <w:instrText xml:space="preserve"> PAGEREF _Toc75122808 \h </w:instrText>
            </w:r>
            <w:r w:rsidR="009E10F4">
              <w:rPr>
                <w:noProof/>
                <w:webHidden/>
              </w:rPr>
            </w:r>
            <w:r w:rsidR="009E10F4">
              <w:rPr>
                <w:noProof/>
                <w:webHidden/>
              </w:rPr>
              <w:fldChar w:fldCharType="separate"/>
            </w:r>
            <w:r w:rsidR="002032BD">
              <w:rPr>
                <w:noProof/>
                <w:webHidden/>
              </w:rPr>
              <w:t>155</w:t>
            </w:r>
            <w:r w:rsidR="009E10F4">
              <w:rPr>
                <w:noProof/>
                <w:webHidden/>
              </w:rPr>
              <w:fldChar w:fldCharType="end"/>
            </w:r>
          </w:hyperlink>
        </w:p>
        <w:p w14:paraId="30591A68" w14:textId="1C7EF004" w:rsidR="009E10F4" w:rsidRDefault="00255B41">
          <w:pPr>
            <w:pStyle w:val="TOC1"/>
            <w:tabs>
              <w:tab w:val="right" w:leader="dot" w:pos="13950"/>
            </w:tabs>
            <w:rPr>
              <w:rFonts w:asciiTheme="minorHAnsi" w:eastAsiaTheme="minorEastAsia" w:hAnsiTheme="minorHAnsi"/>
              <w:noProof/>
              <w:lang w:val="en-GB" w:eastAsia="en-GB"/>
            </w:rPr>
          </w:pPr>
          <w:hyperlink w:anchor="_Toc75122809" w:history="1">
            <w:r w:rsidR="009E10F4" w:rsidRPr="000D1A94">
              <w:rPr>
                <w:rStyle w:val="Hyperlink"/>
                <w:noProof/>
              </w:rPr>
              <w:t>Police Pensions Fund Account Statements as at 31 March 2021</w:t>
            </w:r>
            <w:r w:rsidR="009E10F4">
              <w:rPr>
                <w:noProof/>
                <w:webHidden/>
              </w:rPr>
              <w:tab/>
            </w:r>
            <w:r w:rsidR="009E10F4">
              <w:rPr>
                <w:noProof/>
                <w:webHidden/>
              </w:rPr>
              <w:fldChar w:fldCharType="begin"/>
            </w:r>
            <w:r w:rsidR="009E10F4">
              <w:rPr>
                <w:noProof/>
                <w:webHidden/>
              </w:rPr>
              <w:instrText xml:space="preserve"> PAGEREF _Toc75122809 \h </w:instrText>
            </w:r>
            <w:r w:rsidR="009E10F4">
              <w:rPr>
                <w:noProof/>
                <w:webHidden/>
              </w:rPr>
            </w:r>
            <w:r w:rsidR="009E10F4">
              <w:rPr>
                <w:noProof/>
                <w:webHidden/>
              </w:rPr>
              <w:fldChar w:fldCharType="separate"/>
            </w:r>
            <w:r w:rsidR="002032BD">
              <w:rPr>
                <w:noProof/>
                <w:webHidden/>
              </w:rPr>
              <w:t>156</w:t>
            </w:r>
            <w:r w:rsidR="009E10F4">
              <w:rPr>
                <w:noProof/>
                <w:webHidden/>
              </w:rPr>
              <w:fldChar w:fldCharType="end"/>
            </w:r>
          </w:hyperlink>
        </w:p>
        <w:p w14:paraId="6556E31E" w14:textId="4CCA9235" w:rsidR="009E10F4" w:rsidRDefault="00255B41">
          <w:pPr>
            <w:pStyle w:val="TOC1"/>
            <w:tabs>
              <w:tab w:val="right" w:leader="dot" w:pos="13950"/>
            </w:tabs>
            <w:rPr>
              <w:rFonts w:asciiTheme="minorHAnsi" w:eastAsiaTheme="minorEastAsia" w:hAnsiTheme="minorHAnsi"/>
              <w:noProof/>
              <w:lang w:val="en-GB" w:eastAsia="en-GB"/>
            </w:rPr>
          </w:pPr>
          <w:hyperlink w:anchor="_Toc75122810" w:history="1">
            <w:r w:rsidR="009E10F4" w:rsidRPr="000D1A94">
              <w:rPr>
                <w:rStyle w:val="Hyperlink"/>
                <w:noProof/>
                <w:lang w:eastAsia="en-GB"/>
              </w:rPr>
              <w:t>Police Pension Funds - Notes</w:t>
            </w:r>
            <w:r w:rsidR="009E10F4">
              <w:rPr>
                <w:noProof/>
                <w:webHidden/>
              </w:rPr>
              <w:tab/>
            </w:r>
            <w:r w:rsidR="009E10F4">
              <w:rPr>
                <w:noProof/>
                <w:webHidden/>
              </w:rPr>
              <w:fldChar w:fldCharType="begin"/>
            </w:r>
            <w:r w:rsidR="009E10F4">
              <w:rPr>
                <w:noProof/>
                <w:webHidden/>
              </w:rPr>
              <w:instrText xml:space="preserve"> PAGEREF _Toc75122810 \h </w:instrText>
            </w:r>
            <w:r w:rsidR="009E10F4">
              <w:rPr>
                <w:noProof/>
                <w:webHidden/>
              </w:rPr>
            </w:r>
            <w:r w:rsidR="009E10F4">
              <w:rPr>
                <w:noProof/>
                <w:webHidden/>
              </w:rPr>
              <w:fldChar w:fldCharType="separate"/>
            </w:r>
            <w:r w:rsidR="002032BD">
              <w:rPr>
                <w:noProof/>
                <w:webHidden/>
              </w:rPr>
              <w:t>157</w:t>
            </w:r>
            <w:r w:rsidR="009E10F4">
              <w:rPr>
                <w:noProof/>
                <w:webHidden/>
              </w:rPr>
              <w:fldChar w:fldCharType="end"/>
            </w:r>
          </w:hyperlink>
        </w:p>
        <w:p w14:paraId="5153DFD9" w14:textId="1257E368" w:rsidR="009E10F4" w:rsidRDefault="00255B41">
          <w:pPr>
            <w:pStyle w:val="TOC1"/>
            <w:tabs>
              <w:tab w:val="right" w:leader="dot" w:pos="13950"/>
            </w:tabs>
            <w:rPr>
              <w:rFonts w:asciiTheme="minorHAnsi" w:eastAsiaTheme="minorEastAsia" w:hAnsiTheme="minorHAnsi"/>
              <w:noProof/>
              <w:lang w:val="en-GB" w:eastAsia="en-GB"/>
            </w:rPr>
          </w:pPr>
          <w:hyperlink w:anchor="_Toc75122811" w:history="1">
            <w:r w:rsidR="009E10F4" w:rsidRPr="000D1A94">
              <w:rPr>
                <w:rStyle w:val="Hyperlink"/>
                <w:noProof/>
                <w:lang w:eastAsia="en-GB"/>
              </w:rPr>
              <w:t>Glossary of Accounting Terms</w:t>
            </w:r>
            <w:r w:rsidR="009E10F4">
              <w:rPr>
                <w:noProof/>
                <w:webHidden/>
              </w:rPr>
              <w:tab/>
            </w:r>
            <w:r w:rsidR="009E10F4">
              <w:rPr>
                <w:noProof/>
                <w:webHidden/>
              </w:rPr>
              <w:fldChar w:fldCharType="begin"/>
            </w:r>
            <w:r w:rsidR="009E10F4">
              <w:rPr>
                <w:noProof/>
                <w:webHidden/>
              </w:rPr>
              <w:instrText xml:space="preserve"> PAGEREF _Toc75122811 \h </w:instrText>
            </w:r>
            <w:r w:rsidR="009E10F4">
              <w:rPr>
                <w:noProof/>
                <w:webHidden/>
              </w:rPr>
            </w:r>
            <w:r w:rsidR="009E10F4">
              <w:rPr>
                <w:noProof/>
                <w:webHidden/>
              </w:rPr>
              <w:fldChar w:fldCharType="separate"/>
            </w:r>
            <w:r w:rsidR="002032BD">
              <w:rPr>
                <w:noProof/>
                <w:webHidden/>
              </w:rPr>
              <w:t>160</w:t>
            </w:r>
            <w:r w:rsidR="009E10F4">
              <w:rPr>
                <w:noProof/>
                <w:webHidden/>
              </w:rPr>
              <w:fldChar w:fldCharType="end"/>
            </w:r>
          </w:hyperlink>
        </w:p>
        <w:p w14:paraId="63745EB7" w14:textId="35CFD8F2" w:rsidR="004D417B" w:rsidRPr="008615E5" w:rsidRDefault="00CA6653" w:rsidP="000D6EF8">
          <w:pPr>
            <w:rPr>
              <w:noProof/>
            </w:rPr>
          </w:pPr>
          <w:r w:rsidRPr="008615E5">
            <w:rPr>
              <w:noProof/>
            </w:rPr>
            <w:fldChar w:fldCharType="end"/>
          </w:r>
        </w:p>
      </w:sdtContent>
    </w:sdt>
    <w:p w14:paraId="02628619" w14:textId="77777777" w:rsidR="00CA6653" w:rsidRDefault="00CA6653" w:rsidP="000D6EF8">
      <w:pPr>
        <w:rPr>
          <w:lang w:val="en-AU"/>
        </w:rPr>
      </w:pPr>
      <w:r>
        <w:rPr>
          <w:lang w:val="en-AU"/>
        </w:rPr>
        <w:t xml:space="preserve"> </w:t>
      </w:r>
    </w:p>
    <w:p w14:paraId="18BF2AFA" w14:textId="77777777" w:rsidR="00CA6653" w:rsidRDefault="00CA6653" w:rsidP="000D6EF8">
      <w:pPr>
        <w:rPr>
          <w:lang w:val="en-AU"/>
        </w:rPr>
      </w:pPr>
      <w:r>
        <w:rPr>
          <w:lang w:val="en-AU"/>
        </w:rPr>
        <w:br w:type="page"/>
      </w:r>
    </w:p>
    <w:p w14:paraId="78E06DA5" w14:textId="77777777" w:rsidR="00CA6653" w:rsidRDefault="00CA6653" w:rsidP="000D6EF8">
      <w:pPr>
        <w:rPr>
          <w:lang w:val="en-AU"/>
        </w:rPr>
        <w:sectPr w:rsidR="00CA6653" w:rsidSect="00EB0E41">
          <w:footerReference w:type="default" r:id="rId11"/>
          <w:type w:val="nextColumn"/>
          <w:pgSz w:w="16840" w:h="11900" w:orient="landscape"/>
          <w:pgMar w:top="1440" w:right="1440" w:bottom="1440" w:left="1440" w:header="708" w:footer="708" w:gutter="0"/>
          <w:pgNumType w:start="1"/>
          <w:cols w:space="708"/>
          <w:docGrid w:linePitch="360"/>
        </w:sectPr>
      </w:pPr>
    </w:p>
    <w:p w14:paraId="54DB45F5" w14:textId="77777777" w:rsidR="00E4069E" w:rsidRPr="00EF7B6D" w:rsidRDefault="00E4069E" w:rsidP="00A31A9E">
      <w:pPr>
        <w:pStyle w:val="Heading1"/>
        <w:rPr>
          <w:lang w:eastAsia="en-GB"/>
        </w:rPr>
      </w:pPr>
      <w:bookmarkStart w:id="1" w:name="_Toc75122760"/>
      <w:r w:rsidRPr="00EF7B6D">
        <w:rPr>
          <w:lang w:eastAsia="en-GB"/>
        </w:rPr>
        <w:lastRenderedPageBreak/>
        <w:t>Preface</w:t>
      </w:r>
      <w:bookmarkEnd w:id="1"/>
    </w:p>
    <w:p w14:paraId="554BE595" w14:textId="77777777" w:rsidR="00EF7B6D" w:rsidRDefault="00EF7B6D" w:rsidP="00EF7B6D">
      <w:pPr>
        <w:pStyle w:val="Default"/>
        <w:jc w:val="both"/>
        <w:rPr>
          <w:rFonts w:ascii="Verdana" w:hAnsi="Verdana"/>
          <w:sz w:val="22"/>
          <w:szCs w:val="22"/>
        </w:rPr>
      </w:pPr>
      <w:r>
        <w:rPr>
          <w:rFonts w:ascii="Verdana" w:hAnsi="Verdana"/>
          <w:b/>
          <w:bCs/>
          <w:sz w:val="22"/>
          <w:szCs w:val="22"/>
        </w:rPr>
        <w:t xml:space="preserve">Alison Bolton – Chief Executive of Office of the Police and Crime Commissioner for Surrey </w:t>
      </w:r>
    </w:p>
    <w:p w14:paraId="5BB37046" w14:textId="185E3437" w:rsidR="00EF7B6D" w:rsidRDefault="00EF7B6D" w:rsidP="00EF7B6D">
      <w:pPr>
        <w:spacing w:before="100" w:beforeAutospacing="1"/>
        <w:ind w:right="147"/>
        <w:jc w:val="both"/>
        <w:rPr>
          <w:rFonts w:cs="Verdana"/>
          <w:color w:val="000000"/>
          <w:lang w:val="en-GB"/>
        </w:rPr>
      </w:pPr>
      <w:r>
        <w:rPr>
          <w:rFonts w:cs="Verdana"/>
          <w:color w:val="000000"/>
          <w:lang w:val="en-GB"/>
        </w:rPr>
        <w:t>In May 2021 residents of Surrey elected a new Police and Crime Commissioner (PCC) for Surrey. M</w:t>
      </w:r>
      <w:r w:rsidR="008B64FB">
        <w:rPr>
          <w:rFonts w:cs="Verdana"/>
          <w:color w:val="000000"/>
          <w:lang w:val="en-GB"/>
        </w:rPr>
        <w:t>r</w:t>
      </w:r>
      <w:r>
        <w:rPr>
          <w:rFonts w:cs="Verdana"/>
          <w:color w:val="000000"/>
          <w:lang w:val="en-GB"/>
        </w:rPr>
        <w:t>s Lisa Townsend was elected to replace Mr David Munro who had served as PCC for Surrey since 2016. Given that the period covered by these financial statements was under the oversight of Mr Munro I am writing this preface rather than M</w:t>
      </w:r>
      <w:r w:rsidR="008B64FB">
        <w:rPr>
          <w:rFonts w:cs="Verdana"/>
          <w:color w:val="000000"/>
          <w:lang w:val="en-GB"/>
        </w:rPr>
        <w:t>r</w:t>
      </w:r>
      <w:r>
        <w:rPr>
          <w:rFonts w:cs="Verdana"/>
          <w:color w:val="000000"/>
          <w:lang w:val="en-GB"/>
        </w:rPr>
        <w:t xml:space="preserve">s Townsend. </w:t>
      </w:r>
    </w:p>
    <w:p w14:paraId="0DE723E5" w14:textId="7105E3D7" w:rsidR="00EF7B6D" w:rsidRDefault="00EF7B6D" w:rsidP="00EF7B6D">
      <w:pPr>
        <w:spacing w:before="100" w:beforeAutospacing="1"/>
        <w:ind w:right="147"/>
        <w:jc w:val="both"/>
        <w:rPr>
          <w:rFonts w:cs="Verdana"/>
          <w:color w:val="000000"/>
          <w:lang w:val="en-GB"/>
        </w:rPr>
      </w:pPr>
      <w:r>
        <w:rPr>
          <w:rFonts w:cs="Verdana"/>
          <w:color w:val="000000"/>
          <w:lang w:val="en-GB"/>
        </w:rPr>
        <w:t xml:space="preserve">The PCC for Surrey is one of the 41 elected Police and Crime Commissioners across England and Wales. They are elected to ensure that </w:t>
      </w:r>
      <w:r w:rsidR="008B64FB">
        <w:rPr>
          <w:rFonts w:cs="Verdana"/>
          <w:color w:val="000000"/>
          <w:lang w:val="en-GB"/>
        </w:rPr>
        <w:t xml:space="preserve">the </w:t>
      </w:r>
      <w:r>
        <w:rPr>
          <w:rFonts w:cs="Verdana"/>
          <w:color w:val="000000"/>
          <w:lang w:val="en-GB"/>
        </w:rPr>
        <w:t xml:space="preserve">public’s policing priorities and concerns are acted upon and ensure the Chief Constable provides effective and efficient policing across the county. </w:t>
      </w:r>
    </w:p>
    <w:p w14:paraId="7758C255" w14:textId="77777777" w:rsidR="00EF7B6D" w:rsidRDefault="00EF7B6D" w:rsidP="00EF7B6D">
      <w:pPr>
        <w:spacing w:before="100" w:beforeAutospacing="1"/>
        <w:ind w:right="147"/>
        <w:jc w:val="both"/>
        <w:rPr>
          <w:rFonts w:cs="Verdana"/>
          <w:color w:val="000000"/>
          <w:lang w:val="en-GB"/>
        </w:rPr>
      </w:pPr>
      <w:r>
        <w:rPr>
          <w:rFonts w:cs="Verdana"/>
          <w:color w:val="000000"/>
          <w:lang w:val="en-GB"/>
        </w:rPr>
        <w:t xml:space="preserve">This involves holding the Chief Constable and Force to account for local policing issues, as set out in their Police and Crime Plan, but also ensuring that Surrey Police meets its strategic policing requirements in areas such as serious organised crime and terrorism. During the year the PCC monitors the plans the Force has in place on behalf of the Surrey public through public and private performance meetings.  </w:t>
      </w:r>
    </w:p>
    <w:p w14:paraId="23243549" w14:textId="3DBB7BFB" w:rsidR="00EF7B6D" w:rsidRDefault="00EF7B6D" w:rsidP="00EF7B6D">
      <w:pPr>
        <w:spacing w:before="100" w:beforeAutospacing="1"/>
        <w:ind w:right="147"/>
        <w:jc w:val="both"/>
        <w:rPr>
          <w:rFonts w:cs="Verdana"/>
          <w:color w:val="000000"/>
          <w:lang w:val="en-GB"/>
        </w:rPr>
      </w:pPr>
      <w:r>
        <w:rPr>
          <w:rFonts w:cs="Verdana"/>
          <w:color w:val="000000"/>
          <w:lang w:val="en-GB"/>
        </w:rPr>
        <w:t>In addition to holding the Chief Constable to account the PCC works to prevent and reduce crime by working with and funding a number of community safety and criminal justice partners. Funding is also provided to support victims and witnesses through a number of 3</w:t>
      </w:r>
      <w:r>
        <w:rPr>
          <w:rFonts w:cs="Verdana"/>
          <w:color w:val="000000"/>
          <w:vertAlign w:val="superscript"/>
          <w:lang w:val="en-GB"/>
        </w:rPr>
        <w:t>rd</w:t>
      </w:r>
      <w:r>
        <w:rPr>
          <w:rFonts w:cs="Verdana"/>
          <w:color w:val="000000"/>
          <w:lang w:val="en-GB"/>
        </w:rPr>
        <w:t xml:space="preserve"> sector partners. The PCCs office has also been successful in bidding for additional funding for initiatives such as Safer Streets, to not only reduce crime</w:t>
      </w:r>
      <w:r w:rsidR="008B64FB">
        <w:rPr>
          <w:rFonts w:cs="Verdana"/>
          <w:color w:val="000000"/>
          <w:lang w:val="en-GB"/>
        </w:rPr>
        <w:t xml:space="preserve"> itself,</w:t>
      </w:r>
      <w:r>
        <w:rPr>
          <w:rFonts w:cs="Verdana"/>
          <w:color w:val="000000"/>
          <w:lang w:val="en-GB"/>
        </w:rPr>
        <w:t xml:space="preserve"> but also importantly the fear of crime. </w:t>
      </w:r>
    </w:p>
    <w:p w14:paraId="3F1CF57B" w14:textId="77777777" w:rsidR="00EF7B6D" w:rsidRDefault="00EF7B6D" w:rsidP="00EF7B6D">
      <w:pPr>
        <w:ind w:right="147"/>
        <w:jc w:val="both"/>
        <w:rPr>
          <w:rFonts w:cs="Verdana"/>
          <w:color w:val="000000"/>
          <w:lang w:val="en-GB"/>
        </w:rPr>
      </w:pPr>
    </w:p>
    <w:p w14:paraId="55023FDB" w14:textId="754800D8" w:rsidR="00EF7B6D" w:rsidRDefault="00EF7B6D" w:rsidP="00EF7B6D">
      <w:pPr>
        <w:ind w:right="147"/>
        <w:jc w:val="both"/>
        <w:rPr>
          <w:rFonts w:cs="Verdana"/>
          <w:color w:val="000000"/>
          <w:lang w:val="en-GB"/>
        </w:rPr>
      </w:pPr>
      <w:r>
        <w:rPr>
          <w:rFonts w:cs="Verdana"/>
          <w:color w:val="000000"/>
          <w:lang w:val="en-GB"/>
        </w:rPr>
        <w:t>For the last year Covid has dominated our lives. The Force has risen well to the challenge that this has presented and on the whole residents have cooperated with the restrictions and been satisfied with the approach the force took to enforcement. As a result satisfaction with and confidence in the Force remains high. However despite investment solve rates remain low and this is something that will be a continuing focus through the coming year</w:t>
      </w:r>
      <w:r w:rsidR="008B64FB">
        <w:rPr>
          <w:rFonts w:cs="Verdana"/>
          <w:color w:val="000000"/>
          <w:lang w:val="en-GB"/>
        </w:rPr>
        <w:t>.</w:t>
      </w:r>
    </w:p>
    <w:p w14:paraId="52589C09" w14:textId="77777777" w:rsidR="00EF7B6D" w:rsidRDefault="00EF7B6D" w:rsidP="00EF7B6D">
      <w:pPr>
        <w:ind w:right="147"/>
        <w:jc w:val="both"/>
        <w:rPr>
          <w:rFonts w:cs="Verdana"/>
          <w:color w:val="000000"/>
          <w:highlight w:val="yellow"/>
          <w:lang w:val="en-GB"/>
        </w:rPr>
      </w:pPr>
      <w:r>
        <w:rPr>
          <w:rFonts w:cs="Verdana"/>
          <w:color w:val="000000"/>
          <w:highlight w:val="yellow"/>
          <w:lang w:val="en-GB"/>
        </w:rPr>
        <w:t xml:space="preserve"> </w:t>
      </w:r>
    </w:p>
    <w:p w14:paraId="2C66D931" w14:textId="5C901011" w:rsidR="00EF7B6D" w:rsidRDefault="00EF7B6D" w:rsidP="00EF7B6D">
      <w:pPr>
        <w:ind w:right="147"/>
        <w:jc w:val="both"/>
        <w:rPr>
          <w:rFonts w:cs="Verdana"/>
          <w:color w:val="000000"/>
          <w:lang w:val="en-GB"/>
        </w:rPr>
      </w:pPr>
      <w:r>
        <w:rPr>
          <w:rFonts w:cs="Verdana"/>
          <w:color w:val="000000"/>
          <w:lang w:val="en-GB"/>
        </w:rPr>
        <w:t>Surrey residents continue to be very supportive of their local police with 88% of people surveyed saying they have confidence in their local neighbourhood police.  In 2018 the previous PCC Mr David Munro published his Police and Crime Plan which set out residents</w:t>
      </w:r>
      <w:r w:rsidR="008B64FB">
        <w:rPr>
          <w:rFonts w:cs="Verdana"/>
          <w:color w:val="000000"/>
          <w:lang w:val="en-GB"/>
        </w:rPr>
        <w:t>’</w:t>
      </w:r>
      <w:r>
        <w:rPr>
          <w:rFonts w:cs="Verdana"/>
          <w:color w:val="000000"/>
          <w:lang w:val="en-GB"/>
        </w:rPr>
        <w:t xml:space="preserve"> priorities for the period 2018-20. Following the cancellation of the PCC elections in May 2020 the plan was extended for a further year and hence covers the period covered by these financial statements. The main areas were as follows:</w:t>
      </w:r>
    </w:p>
    <w:p w14:paraId="00A6F111" w14:textId="77777777" w:rsidR="00EF7B6D" w:rsidRDefault="00EF7B6D" w:rsidP="00EF7B6D">
      <w:pPr>
        <w:ind w:right="147"/>
        <w:jc w:val="both"/>
        <w:rPr>
          <w:rFonts w:cs="Verdana"/>
          <w:color w:val="000000"/>
          <w:highlight w:val="yellow"/>
          <w:lang w:val="en-GB"/>
        </w:rPr>
      </w:pPr>
    </w:p>
    <w:p w14:paraId="1F7AB880" w14:textId="77777777" w:rsidR="00EF7B6D" w:rsidRDefault="00EF7B6D" w:rsidP="00EF7B6D">
      <w:pPr>
        <w:spacing w:line="256" w:lineRule="auto"/>
        <w:jc w:val="both"/>
        <w:rPr>
          <w:rFonts w:eastAsia="Calibri" w:cs="Times New Roman"/>
          <w:b/>
          <w:lang w:val="en-GB"/>
        </w:rPr>
      </w:pPr>
      <w:r>
        <w:rPr>
          <w:rFonts w:eastAsia="Calibri" w:cs="Times New Roman"/>
          <w:b/>
          <w:i/>
          <w:lang w:val="en-GB"/>
        </w:rPr>
        <w:t>Tackling Crime and Keeping Surrey Safe</w:t>
      </w:r>
    </w:p>
    <w:p w14:paraId="4204B721" w14:textId="77777777" w:rsidR="00EF7B6D" w:rsidRDefault="00EF7B6D" w:rsidP="00EF7B6D">
      <w:pPr>
        <w:spacing w:line="256" w:lineRule="auto"/>
        <w:jc w:val="both"/>
        <w:rPr>
          <w:rFonts w:eastAsia="Calibri" w:cs="Verdana"/>
          <w:color w:val="000000"/>
          <w:highlight w:val="yellow"/>
          <w:lang w:val="en-GB"/>
        </w:rPr>
      </w:pPr>
    </w:p>
    <w:p w14:paraId="49F24DE8" w14:textId="77777777" w:rsidR="00EF7B6D" w:rsidRDefault="00EF7B6D" w:rsidP="00EF7B6D">
      <w:pPr>
        <w:rPr>
          <w:rFonts w:cs="Arial"/>
        </w:rPr>
      </w:pPr>
      <w:r>
        <w:rPr>
          <w:rFonts w:cs="Arial"/>
        </w:rPr>
        <w:t>The headline actions to achieve this priority were set out in the plan as follows:</w:t>
      </w:r>
    </w:p>
    <w:p w14:paraId="6FA3A86D" w14:textId="77777777" w:rsidR="00EF7B6D" w:rsidRDefault="00EF7B6D" w:rsidP="00EF7B6D">
      <w:pPr>
        <w:pStyle w:val="ListParagraph"/>
        <w:numPr>
          <w:ilvl w:val="0"/>
          <w:numId w:val="14"/>
        </w:numPr>
        <w:rPr>
          <w:sz w:val="22"/>
        </w:rPr>
      </w:pPr>
      <w:r>
        <w:rPr>
          <w:sz w:val="22"/>
        </w:rPr>
        <w:t>Combatting the threat of terrorism</w:t>
      </w:r>
    </w:p>
    <w:p w14:paraId="7481540E" w14:textId="77777777" w:rsidR="00EF7B6D" w:rsidRDefault="00EF7B6D" w:rsidP="00EF7B6D">
      <w:pPr>
        <w:pStyle w:val="ListParagraph"/>
        <w:numPr>
          <w:ilvl w:val="0"/>
          <w:numId w:val="14"/>
        </w:numPr>
        <w:rPr>
          <w:sz w:val="22"/>
        </w:rPr>
      </w:pPr>
      <w:r>
        <w:rPr>
          <w:sz w:val="22"/>
        </w:rPr>
        <w:t>Preventing and solving crimes that cause most harm</w:t>
      </w:r>
    </w:p>
    <w:p w14:paraId="2082A409" w14:textId="77777777" w:rsidR="00EF7B6D" w:rsidRDefault="00EF7B6D" w:rsidP="00EF7B6D">
      <w:pPr>
        <w:pStyle w:val="ListParagraph"/>
        <w:numPr>
          <w:ilvl w:val="0"/>
          <w:numId w:val="14"/>
        </w:numPr>
        <w:rPr>
          <w:sz w:val="22"/>
        </w:rPr>
      </w:pPr>
      <w:r>
        <w:rPr>
          <w:sz w:val="22"/>
        </w:rPr>
        <w:t>Serious and Organised Crime</w:t>
      </w:r>
    </w:p>
    <w:p w14:paraId="4EDBA5FD" w14:textId="77777777" w:rsidR="00EF7B6D" w:rsidRDefault="00EF7B6D" w:rsidP="00EF7B6D">
      <w:pPr>
        <w:pStyle w:val="ListParagraph"/>
        <w:numPr>
          <w:ilvl w:val="0"/>
          <w:numId w:val="14"/>
        </w:numPr>
        <w:rPr>
          <w:sz w:val="22"/>
        </w:rPr>
      </w:pPr>
      <w:r>
        <w:rPr>
          <w:sz w:val="22"/>
        </w:rPr>
        <w:t xml:space="preserve">Problem solving </w:t>
      </w:r>
    </w:p>
    <w:p w14:paraId="5B7BC801" w14:textId="77777777" w:rsidR="00EF7B6D" w:rsidRDefault="00EF7B6D" w:rsidP="00EF7B6D">
      <w:pPr>
        <w:pStyle w:val="ListParagraph"/>
        <w:numPr>
          <w:ilvl w:val="0"/>
          <w:numId w:val="14"/>
        </w:numPr>
        <w:rPr>
          <w:sz w:val="22"/>
        </w:rPr>
      </w:pPr>
      <w:r>
        <w:rPr>
          <w:sz w:val="22"/>
        </w:rPr>
        <w:t>Maintaining a local policing presence</w:t>
      </w:r>
    </w:p>
    <w:p w14:paraId="36B4BA30" w14:textId="77777777" w:rsidR="00EF7B6D" w:rsidRDefault="00EF7B6D" w:rsidP="00EF7B6D">
      <w:pPr>
        <w:pStyle w:val="ListParagraph"/>
        <w:numPr>
          <w:ilvl w:val="0"/>
          <w:numId w:val="14"/>
        </w:numPr>
        <w:rPr>
          <w:sz w:val="22"/>
        </w:rPr>
      </w:pPr>
      <w:r>
        <w:rPr>
          <w:sz w:val="22"/>
        </w:rPr>
        <w:t xml:space="preserve">Dealing with crime and anti-social behaviour </w:t>
      </w:r>
    </w:p>
    <w:p w14:paraId="4E578586" w14:textId="77777777" w:rsidR="00EF7B6D" w:rsidRDefault="00EF7B6D" w:rsidP="00EF7B6D">
      <w:pPr>
        <w:pStyle w:val="ListParagraph"/>
        <w:numPr>
          <w:ilvl w:val="0"/>
          <w:numId w:val="14"/>
        </w:numPr>
        <w:rPr>
          <w:sz w:val="22"/>
        </w:rPr>
      </w:pPr>
      <w:r>
        <w:rPr>
          <w:sz w:val="22"/>
        </w:rPr>
        <w:t xml:space="preserve">Contacting the police </w:t>
      </w:r>
    </w:p>
    <w:p w14:paraId="0EAA4777" w14:textId="77777777" w:rsidR="00EF7B6D" w:rsidRDefault="00EF7B6D" w:rsidP="00EF7B6D">
      <w:pPr>
        <w:pStyle w:val="ListParagraph"/>
        <w:numPr>
          <w:ilvl w:val="0"/>
          <w:numId w:val="14"/>
        </w:numPr>
        <w:rPr>
          <w:sz w:val="22"/>
        </w:rPr>
      </w:pPr>
      <w:r>
        <w:rPr>
          <w:sz w:val="22"/>
        </w:rPr>
        <w:t>Roads policing</w:t>
      </w:r>
    </w:p>
    <w:p w14:paraId="35845548" w14:textId="77777777" w:rsidR="00EF7B6D" w:rsidRDefault="00EF7B6D" w:rsidP="00EF7B6D">
      <w:pPr>
        <w:rPr>
          <w:rFonts w:cs="Arial"/>
        </w:rPr>
      </w:pPr>
    </w:p>
    <w:p w14:paraId="30C875B6" w14:textId="77777777" w:rsidR="00EF7B6D" w:rsidRDefault="00EF7B6D" w:rsidP="00EF7B6D">
      <w:pPr>
        <w:jc w:val="both"/>
        <w:rPr>
          <w:rFonts w:cs="Arial"/>
        </w:rPr>
      </w:pPr>
      <w:r>
        <w:rPr>
          <w:rFonts w:cs="Arial"/>
        </w:rPr>
        <w:t xml:space="preserve">In terms of </w:t>
      </w:r>
      <w:r>
        <w:rPr>
          <w:rFonts w:cs="Arial"/>
          <w:b/>
        </w:rPr>
        <w:t>combatting terrorism</w:t>
      </w:r>
      <w:r>
        <w:rPr>
          <w:rFonts w:cs="Arial"/>
        </w:rPr>
        <w:t xml:space="preserve">, the PCC continues to receive regular briefings and is currently content with plans in place. </w:t>
      </w:r>
    </w:p>
    <w:p w14:paraId="155896B2" w14:textId="77777777" w:rsidR="00EF7B6D" w:rsidRDefault="00EF7B6D" w:rsidP="00EF7B6D">
      <w:pPr>
        <w:jc w:val="both"/>
        <w:rPr>
          <w:rFonts w:cs="Arial"/>
        </w:rPr>
      </w:pPr>
    </w:p>
    <w:p w14:paraId="0299DA66" w14:textId="7CE64E97" w:rsidR="00EF7B6D" w:rsidRDefault="00EF7B6D" w:rsidP="00EF7B6D">
      <w:pPr>
        <w:jc w:val="both"/>
        <w:rPr>
          <w:rFonts w:cs="Arial"/>
        </w:rPr>
      </w:pPr>
      <w:r>
        <w:rPr>
          <w:rFonts w:cs="Arial"/>
        </w:rPr>
        <w:t xml:space="preserve">The solve rate for </w:t>
      </w:r>
      <w:r>
        <w:rPr>
          <w:rFonts w:cs="Arial"/>
          <w:b/>
        </w:rPr>
        <w:t>high harm offences</w:t>
      </w:r>
      <w:r>
        <w:rPr>
          <w:rFonts w:cs="Arial"/>
        </w:rPr>
        <w:t xml:space="preserve"> (domestic abuse, child abuse, sexual offences and hate crime) remains low at 13%.  Surrey Police are bringing in a new investigation model and recruiting more detectives to improve on this rate although they</w:t>
      </w:r>
      <w:r w:rsidR="008B64FB">
        <w:rPr>
          <w:rFonts w:cs="Arial"/>
        </w:rPr>
        <w:t xml:space="preserve"> will need</w:t>
      </w:r>
      <w:r>
        <w:rPr>
          <w:rFonts w:cs="Arial"/>
        </w:rPr>
        <w:t xml:space="preserve"> time to recruit and train to be effective.  </w:t>
      </w:r>
    </w:p>
    <w:p w14:paraId="635C2337" w14:textId="77777777" w:rsidR="00EF7B6D" w:rsidRDefault="00EF7B6D" w:rsidP="00EF7B6D">
      <w:pPr>
        <w:jc w:val="both"/>
        <w:rPr>
          <w:rFonts w:cs="Arial"/>
        </w:rPr>
      </w:pPr>
    </w:p>
    <w:p w14:paraId="60BFDC9B" w14:textId="1DC54BBF" w:rsidR="00EF7B6D" w:rsidRDefault="00EF7B6D" w:rsidP="00EF7B6D">
      <w:pPr>
        <w:jc w:val="both"/>
        <w:rPr>
          <w:rFonts w:cs="Arial"/>
        </w:rPr>
      </w:pPr>
      <w:r>
        <w:rPr>
          <w:rFonts w:cs="Arial"/>
        </w:rPr>
        <w:t xml:space="preserve">The </w:t>
      </w:r>
      <w:r>
        <w:rPr>
          <w:rFonts w:cs="Arial"/>
          <w:b/>
        </w:rPr>
        <w:t>Serious and Organised Crime</w:t>
      </w:r>
      <w:r>
        <w:rPr>
          <w:rFonts w:cs="Arial"/>
        </w:rPr>
        <w:t xml:space="preserve"> </w:t>
      </w:r>
      <w:r>
        <w:rPr>
          <w:rFonts w:cs="Arial"/>
          <w:b/>
        </w:rPr>
        <w:t>Partnership</w:t>
      </w:r>
      <w:r>
        <w:rPr>
          <w:rFonts w:cs="Arial"/>
        </w:rPr>
        <w:t xml:space="preserve"> continues to prioritise Drug related harm and county lines, economic crime including cyber, organised acquisitive crime and modern slavery and human trafficking.  </w:t>
      </w:r>
    </w:p>
    <w:p w14:paraId="3B7F1F2B" w14:textId="77777777" w:rsidR="00EF7B6D" w:rsidRDefault="00EF7B6D" w:rsidP="00EF7B6D">
      <w:pPr>
        <w:jc w:val="both"/>
        <w:rPr>
          <w:rFonts w:cs="Arial"/>
        </w:rPr>
      </w:pPr>
    </w:p>
    <w:p w14:paraId="16DB8DF0" w14:textId="77777777" w:rsidR="00EF7B6D" w:rsidRDefault="00EF7B6D" w:rsidP="00EF7B6D">
      <w:pPr>
        <w:jc w:val="both"/>
        <w:rPr>
          <w:rFonts w:cs="Arial"/>
        </w:rPr>
      </w:pPr>
      <w:r>
        <w:rPr>
          <w:rFonts w:cs="Arial"/>
        </w:rPr>
        <w:t xml:space="preserve">During the year the PCC agreed to fund the two Victim Navigators who support the most vulnerable victims of </w:t>
      </w:r>
      <w:r>
        <w:rPr>
          <w:rFonts w:cs="Arial"/>
          <w:b/>
        </w:rPr>
        <w:t xml:space="preserve">fraud and cybercrime. </w:t>
      </w:r>
      <w:r>
        <w:rPr>
          <w:rFonts w:cs="Arial"/>
        </w:rPr>
        <w:t xml:space="preserve"> The OPCC is working on securing additional funding to increase the number of Navigators so more community and awareness raising work can be achieved to reduce the number of fraud and cybercrime victims in Surrey. </w:t>
      </w:r>
    </w:p>
    <w:p w14:paraId="7FE0F771" w14:textId="77777777" w:rsidR="00EF7B6D" w:rsidRDefault="00EF7B6D" w:rsidP="00EF7B6D">
      <w:pPr>
        <w:jc w:val="both"/>
        <w:rPr>
          <w:rFonts w:cs="Arial"/>
        </w:rPr>
      </w:pPr>
    </w:p>
    <w:p w14:paraId="7481A049" w14:textId="03AE2A0D" w:rsidR="00EF7B6D" w:rsidRDefault="00EF7B6D" w:rsidP="00EF7B6D">
      <w:pPr>
        <w:jc w:val="both"/>
        <w:rPr>
          <w:rFonts w:cs="Arial"/>
        </w:rPr>
      </w:pPr>
      <w:r>
        <w:rPr>
          <w:rFonts w:cs="Arial"/>
          <w:color w:val="000000" w:themeColor="text1"/>
        </w:rPr>
        <w:t xml:space="preserve">The </w:t>
      </w:r>
      <w:r w:rsidR="008B64FB">
        <w:rPr>
          <w:rFonts w:cs="Arial"/>
          <w:color w:val="000000" w:themeColor="text1"/>
        </w:rPr>
        <w:t xml:space="preserve">Force’s </w:t>
      </w:r>
      <w:r>
        <w:rPr>
          <w:rFonts w:cs="Arial"/>
          <w:color w:val="000000" w:themeColor="text1"/>
        </w:rPr>
        <w:t xml:space="preserve">dedicated </w:t>
      </w:r>
      <w:r>
        <w:rPr>
          <w:rFonts w:cs="Arial"/>
          <w:b/>
          <w:color w:val="000000" w:themeColor="text1"/>
        </w:rPr>
        <w:t>problem solving</w:t>
      </w:r>
      <w:r>
        <w:rPr>
          <w:rFonts w:cs="Arial"/>
          <w:color w:val="000000" w:themeColor="text1"/>
        </w:rPr>
        <w:t xml:space="preserve"> team has analysts to provide analysis and research solutions that work</w:t>
      </w:r>
      <w:r w:rsidR="008B64FB">
        <w:rPr>
          <w:rFonts w:cs="Arial"/>
          <w:color w:val="000000" w:themeColor="text1"/>
        </w:rPr>
        <w:t xml:space="preserve"> for communities</w:t>
      </w:r>
      <w:r>
        <w:rPr>
          <w:rFonts w:cs="Arial"/>
          <w:color w:val="000000" w:themeColor="text1"/>
        </w:rPr>
        <w:t>.  In the year to November 2020, 385 problem solving occurrences were recorded in force.  The percentage of people who think that local police tackle crime and anti-social</w:t>
      </w:r>
      <w:r>
        <w:rPr>
          <w:rFonts w:cs="Arial"/>
          <w:color w:val="000000" w:themeColor="text1"/>
          <w:lang w:val="en-GB"/>
        </w:rPr>
        <w:t xml:space="preserve"> behaviour</w:t>
      </w:r>
      <w:r>
        <w:rPr>
          <w:rFonts w:cs="Arial"/>
          <w:color w:val="000000" w:themeColor="text1"/>
        </w:rPr>
        <w:t xml:space="preserve"> sits at 72.6%. The PCC committed almost £20k to assist with </w:t>
      </w:r>
      <w:r>
        <w:rPr>
          <w:rFonts w:cs="Arial"/>
          <w:b/>
        </w:rPr>
        <w:t xml:space="preserve">burglary prevention </w:t>
      </w:r>
      <w:r>
        <w:rPr>
          <w:rFonts w:cs="Arial"/>
        </w:rPr>
        <w:t>and raise community awareness</w:t>
      </w:r>
      <w:r>
        <w:rPr>
          <w:rFonts w:cs="Arial"/>
          <w:b/>
        </w:rPr>
        <w:t xml:space="preserve"> </w:t>
      </w:r>
      <w:r>
        <w:rPr>
          <w:rFonts w:cs="Arial"/>
        </w:rPr>
        <w:t xml:space="preserve">in hot spots such as Runnymede and Reigate and Banstead. The schemes target specific areas and work with local communities to raise awareness. </w:t>
      </w:r>
    </w:p>
    <w:p w14:paraId="2BEF02A3" w14:textId="34F7A39F" w:rsidR="00EF7B6D" w:rsidRDefault="00EF7B6D" w:rsidP="00EF7B6D">
      <w:pPr>
        <w:spacing w:before="100" w:beforeAutospacing="1" w:after="100" w:afterAutospacing="1"/>
        <w:jc w:val="both"/>
        <w:rPr>
          <w:rFonts w:cs="Arial"/>
          <w:lang w:eastAsia="en-GB"/>
        </w:rPr>
      </w:pPr>
      <w:r>
        <w:rPr>
          <w:rFonts w:cs="Arial"/>
          <w:lang w:eastAsia="en-GB"/>
        </w:rPr>
        <w:t>Following an increase in</w:t>
      </w:r>
      <w:r>
        <w:rPr>
          <w:rFonts w:cs="Arial"/>
          <w:b/>
          <w:lang w:eastAsia="en-GB"/>
        </w:rPr>
        <w:t xml:space="preserve"> catalytic converter theft</w:t>
      </w:r>
      <w:r>
        <w:rPr>
          <w:rFonts w:cs="Arial"/>
          <w:lang w:eastAsia="en-GB"/>
        </w:rPr>
        <w:t xml:space="preserve"> the PCC awarded £13,468.80 to increase awareness of the crime and how they can protect the most vulnerable vehicles through the use of marker kits. </w:t>
      </w:r>
    </w:p>
    <w:p w14:paraId="0B44F345" w14:textId="1B4CDE4F" w:rsidR="00EF7B6D" w:rsidRDefault="00EF7B6D" w:rsidP="00EF7B6D">
      <w:pPr>
        <w:jc w:val="both"/>
        <w:rPr>
          <w:rFonts w:cs="Arial"/>
        </w:rPr>
      </w:pPr>
      <w:r>
        <w:rPr>
          <w:rFonts w:cs="Arial"/>
        </w:rPr>
        <w:t xml:space="preserve">The focus on </w:t>
      </w:r>
      <w:r>
        <w:rPr>
          <w:rFonts w:cs="Arial"/>
          <w:b/>
        </w:rPr>
        <w:t>anti-social</w:t>
      </w:r>
      <w:r>
        <w:rPr>
          <w:rFonts w:cs="Arial"/>
          <w:b/>
          <w:lang w:val="en-GB"/>
        </w:rPr>
        <w:t xml:space="preserve"> behaviour</w:t>
      </w:r>
      <w:r>
        <w:rPr>
          <w:rFonts w:cs="Arial"/>
        </w:rPr>
        <w:t xml:space="preserve"> (ASB) moves forward at pace. There has been a significant rise in the number of requests received by Community Safety Partnerships with 30 activations of the Community Trigger since 2019. During the year the PCC has </w:t>
      </w:r>
      <w:r w:rsidR="008B64FB">
        <w:rPr>
          <w:rFonts w:cs="Arial"/>
        </w:rPr>
        <w:t>given</w:t>
      </w:r>
      <w:r>
        <w:rPr>
          <w:rFonts w:cs="Arial"/>
        </w:rPr>
        <w:t xml:space="preserve"> grants to community groups to improve their facilities, e.g. CCTV and youth centre funding as well as Neighbourhood Watch and community safety work.</w:t>
      </w:r>
    </w:p>
    <w:p w14:paraId="6F355F8D" w14:textId="77777777" w:rsidR="00EF7B6D" w:rsidRDefault="00EF7B6D" w:rsidP="00EF7B6D">
      <w:pPr>
        <w:pStyle w:val="NormalWeb"/>
        <w:shd w:val="clear" w:color="auto" w:fill="FFFFFF"/>
        <w:jc w:val="both"/>
        <w:rPr>
          <w:rFonts w:ascii="Verdana" w:hAnsi="Verdana" w:cs="Arial"/>
          <w:sz w:val="22"/>
          <w:szCs w:val="22"/>
          <w:lang w:val="en-US" w:eastAsia="en-US"/>
        </w:rPr>
      </w:pPr>
      <w:r>
        <w:rPr>
          <w:rFonts w:ascii="Verdana" w:hAnsi="Verdana" w:cs="Arial"/>
          <w:sz w:val="22"/>
          <w:szCs w:val="22"/>
          <w:lang w:val="en-US" w:eastAsia="en-US"/>
        </w:rPr>
        <w:t xml:space="preserve">During the year the PCC supported an expansion of Mediation Surrey’s Intergenerational Mediation Service. This service helps young people and their families resolve disagreements through improved communication with the support of a trained mediator. Evidence suggests a strong family unit support helps young people staying away from harm and crime. </w:t>
      </w:r>
    </w:p>
    <w:p w14:paraId="6D9F9AFB" w14:textId="77777777" w:rsidR="00EF7B6D" w:rsidRDefault="00EF7B6D" w:rsidP="00EF7B6D">
      <w:pPr>
        <w:jc w:val="both"/>
        <w:rPr>
          <w:rFonts w:cs="Arial"/>
        </w:rPr>
      </w:pPr>
      <w:r>
        <w:rPr>
          <w:rFonts w:cs="Arial"/>
        </w:rPr>
        <w:t xml:space="preserve">The PCC approved funding to establish a pilot rapid response task force with Runnymede BC to disrupt, deter, and investigate large scale organised environmental waste crime taking place in Surrey. This is a model which could be rolled out across Surrey. </w:t>
      </w:r>
    </w:p>
    <w:p w14:paraId="1F098BA4" w14:textId="77777777" w:rsidR="00EF7B6D" w:rsidRDefault="00EF7B6D" w:rsidP="00EF7B6D">
      <w:pPr>
        <w:jc w:val="both"/>
        <w:rPr>
          <w:rFonts w:cs="Arial"/>
        </w:rPr>
      </w:pPr>
    </w:p>
    <w:p w14:paraId="4C3EE12D" w14:textId="32BBDD79" w:rsidR="00EF7B6D" w:rsidRDefault="00EF7B6D" w:rsidP="00EF7B6D">
      <w:pPr>
        <w:jc w:val="both"/>
        <w:rPr>
          <w:rFonts w:cs="Arial"/>
        </w:rPr>
      </w:pPr>
      <w:r>
        <w:rPr>
          <w:rFonts w:cs="Arial"/>
        </w:rPr>
        <w:t>The PCC continued to focus on</w:t>
      </w:r>
      <w:r w:rsidR="008B64FB">
        <w:rPr>
          <w:rFonts w:cs="Arial"/>
        </w:rPr>
        <w:t xml:space="preserve"> support for tackling</w:t>
      </w:r>
      <w:r>
        <w:rPr>
          <w:rFonts w:cs="Arial"/>
        </w:rPr>
        <w:t xml:space="preserve"> anti-social driving and stopping HGVs on minor roads with the </w:t>
      </w:r>
      <w:r>
        <w:rPr>
          <w:rFonts w:cs="Arial"/>
          <w:b/>
        </w:rPr>
        <w:t>Roads Policing</w:t>
      </w:r>
      <w:r>
        <w:rPr>
          <w:rFonts w:cs="Arial"/>
        </w:rPr>
        <w:t xml:space="preserve"> Team.  Funding was also provided for the purchase of noise monitoring equipment that will allow Roads Policing Officers (RPU) to gather the best evidence against those that have modified their vehicles to such an extent their noise is excessive. The PCC also continued to support Community Speed Watch groups by providing funding for new equipment and pushing for additional volunteers. </w:t>
      </w:r>
    </w:p>
    <w:p w14:paraId="235169F2" w14:textId="77777777" w:rsidR="00EF7B6D" w:rsidRDefault="00EF7B6D" w:rsidP="00EF7B6D">
      <w:pPr>
        <w:rPr>
          <w:rFonts w:cs="Arial"/>
        </w:rPr>
      </w:pPr>
    </w:p>
    <w:p w14:paraId="055A204A" w14:textId="77777777" w:rsidR="00EF7B6D" w:rsidRDefault="00EF7B6D" w:rsidP="00EF7B6D">
      <w:pPr>
        <w:jc w:val="both"/>
        <w:rPr>
          <w:rFonts w:cs="Arial"/>
        </w:rPr>
      </w:pPr>
      <w:r>
        <w:rPr>
          <w:rFonts w:cs="Arial"/>
        </w:rPr>
        <w:t xml:space="preserve">The </w:t>
      </w:r>
      <w:r>
        <w:rPr>
          <w:rFonts w:cs="Arial"/>
          <w:b/>
        </w:rPr>
        <w:t>Safer Streets fund</w:t>
      </w:r>
      <w:r>
        <w:rPr>
          <w:rFonts w:cs="Arial"/>
        </w:rPr>
        <w:t xml:space="preserve"> provided £647K investment into the housing blocks in Stanwell North in order to reduce crime. The OPCC, Borough Commander and the private sector housing provider worked together to use the funding to improve the security of the buildings. The project has recently been completed and the impact on crime levels is being evaluated. </w:t>
      </w:r>
    </w:p>
    <w:p w14:paraId="6D957346" w14:textId="77777777" w:rsidR="00EF7B6D" w:rsidRDefault="00EF7B6D" w:rsidP="00EF7B6D">
      <w:pPr>
        <w:jc w:val="both"/>
        <w:rPr>
          <w:rFonts w:cs="Arial"/>
        </w:rPr>
      </w:pPr>
    </w:p>
    <w:p w14:paraId="19742DB5" w14:textId="77777777" w:rsidR="00EF7B6D" w:rsidRDefault="00EF7B6D" w:rsidP="00EF7B6D">
      <w:pPr>
        <w:jc w:val="both"/>
        <w:rPr>
          <w:rFonts w:cs="Arial"/>
        </w:rPr>
      </w:pPr>
      <w:r>
        <w:rPr>
          <w:rFonts w:cs="Arial"/>
        </w:rPr>
        <w:t xml:space="preserve">Local neighbourhood teams have focused on improving </w:t>
      </w:r>
      <w:r>
        <w:rPr>
          <w:rFonts w:cs="Arial"/>
          <w:b/>
        </w:rPr>
        <w:t>visible presence in communities</w:t>
      </w:r>
      <w:r>
        <w:rPr>
          <w:rFonts w:cs="Arial"/>
        </w:rPr>
        <w:t xml:space="preserve">. Police staff were used to assist with investigations thereby returning officers to the street more quickly.  Confidence with neighbourhood police remained high at 88%.  </w:t>
      </w:r>
    </w:p>
    <w:p w14:paraId="190A342D" w14:textId="77777777" w:rsidR="00EF7B6D" w:rsidRDefault="00EF7B6D" w:rsidP="00EF7B6D">
      <w:pPr>
        <w:jc w:val="both"/>
        <w:rPr>
          <w:rFonts w:cs="Arial"/>
        </w:rPr>
      </w:pPr>
    </w:p>
    <w:p w14:paraId="37805766" w14:textId="77777777" w:rsidR="00EF7B6D" w:rsidRDefault="00EF7B6D" w:rsidP="00EF7B6D">
      <w:pPr>
        <w:jc w:val="both"/>
        <w:rPr>
          <w:rFonts w:cs="Arial"/>
          <w:color w:val="000000" w:themeColor="text1"/>
        </w:rPr>
      </w:pPr>
      <w:r>
        <w:rPr>
          <w:rFonts w:cs="Arial"/>
        </w:rPr>
        <w:t xml:space="preserve">The Surrey Police </w:t>
      </w:r>
      <w:r>
        <w:rPr>
          <w:rFonts w:cs="Arial"/>
          <w:b/>
        </w:rPr>
        <w:t>contact centre</w:t>
      </w:r>
      <w:r>
        <w:rPr>
          <w:rFonts w:cs="Arial"/>
        </w:rPr>
        <w:t xml:space="preserve"> continued to answer 999 calls quickly throughout the year with 93</w:t>
      </w:r>
      <w:r>
        <w:rPr>
          <w:rFonts w:cs="Arial"/>
          <w:color w:val="000000" w:themeColor="text1"/>
        </w:rPr>
        <w:t xml:space="preserve">% of calls being answered within 10 seconds.  Answering times for the non-emergency 101 number have been longer at 2m 17s due to Covid. Other forms of contact such as a website form, LiveChat and social media have also been launched. </w:t>
      </w:r>
    </w:p>
    <w:p w14:paraId="51A5AE9C" w14:textId="77777777" w:rsidR="00EF7B6D" w:rsidRDefault="00EF7B6D" w:rsidP="00EF7B6D">
      <w:pPr>
        <w:jc w:val="both"/>
        <w:rPr>
          <w:rFonts w:cs="Arial"/>
          <w:color w:val="000000" w:themeColor="text1"/>
        </w:rPr>
      </w:pPr>
    </w:p>
    <w:p w14:paraId="14E754FB" w14:textId="77777777" w:rsidR="00EF7B6D" w:rsidRDefault="00EF7B6D" w:rsidP="00EF7B6D">
      <w:pPr>
        <w:spacing w:line="256" w:lineRule="auto"/>
        <w:jc w:val="both"/>
        <w:rPr>
          <w:rFonts w:eastAsia="Calibri" w:cs="Verdana"/>
          <w:color w:val="000000"/>
          <w:lang w:val="en-GB"/>
        </w:rPr>
      </w:pPr>
      <w:r>
        <w:rPr>
          <w:rFonts w:eastAsia="Calibri" w:cs="Times New Roman"/>
          <w:b/>
          <w:i/>
          <w:lang w:val="en-GB"/>
        </w:rPr>
        <w:t>Build Confident Communities</w:t>
      </w:r>
    </w:p>
    <w:p w14:paraId="09B3EFB6" w14:textId="77777777" w:rsidR="00EF7B6D" w:rsidRDefault="00EF7B6D" w:rsidP="00EF7B6D">
      <w:pPr>
        <w:spacing w:line="256" w:lineRule="auto"/>
        <w:jc w:val="both"/>
        <w:rPr>
          <w:rFonts w:eastAsia="Calibri" w:cs="Verdana"/>
          <w:color w:val="000000"/>
          <w:lang w:val="en-GB"/>
        </w:rPr>
      </w:pPr>
    </w:p>
    <w:p w14:paraId="30699D19" w14:textId="6EF9447A" w:rsidR="00EF7B6D" w:rsidRPr="00AB60F7" w:rsidRDefault="00EF7B6D" w:rsidP="0041394A">
      <w:pPr>
        <w:jc w:val="both"/>
      </w:pPr>
      <w:r>
        <w:rPr>
          <w:rFonts w:cs="Arial"/>
        </w:rPr>
        <w:t>The headline actions to achieve this priority were as follows:</w:t>
      </w:r>
    </w:p>
    <w:p w14:paraId="5EBC8419" w14:textId="77777777" w:rsidR="00EF7B6D" w:rsidRDefault="00EF7B6D" w:rsidP="00EF7B6D">
      <w:pPr>
        <w:pStyle w:val="ListParagraph"/>
        <w:numPr>
          <w:ilvl w:val="0"/>
          <w:numId w:val="15"/>
        </w:numPr>
        <w:ind w:hanging="654"/>
        <w:jc w:val="both"/>
        <w:rPr>
          <w:sz w:val="22"/>
        </w:rPr>
      </w:pPr>
      <w:r>
        <w:rPr>
          <w:sz w:val="22"/>
        </w:rPr>
        <w:t>Engagement with Surrey Police</w:t>
      </w:r>
    </w:p>
    <w:p w14:paraId="01249FE2" w14:textId="77777777" w:rsidR="00EF7B6D" w:rsidRDefault="00EF7B6D" w:rsidP="00EF7B6D">
      <w:pPr>
        <w:pStyle w:val="ListParagraph"/>
        <w:numPr>
          <w:ilvl w:val="0"/>
          <w:numId w:val="15"/>
        </w:numPr>
        <w:ind w:hanging="654"/>
        <w:jc w:val="both"/>
        <w:rPr>
          <w:sz w:val="22"/>
        </w:rPr>
      </w:pPr>
      <w:r>
        <w:rPr>
          <w:sz w:val="22"/>
        </w:rPr>
        <w:t>Encourage communities to get involved</w:t>
      </w:r>
    </w:p>
    <w:p w14:paraId="75164AAF" w14:textId="77777777" w:rsidR="00EF7B6D" w:rsidRDefault="00EF7B6D" w:rsidP="00EF7B6D">
      <w:pPr>
        <w:pStyle w:val="ListParagraph"/>
        <w:numPr>
          <w:ilvl w:val="0"/>
          <w:numId w:val="15"/>
        </w:numPr>
        <w:ind w:hanging="654"/>
        <w:jc w:val="both"/>
        <w:rPr>
          <w:sz w:val="22"/>
        </w:rPr>
      </w:pPr>
      <w:r>
        <w:rPr>
          <w:sz w:val="22"/>
        </w:rPr>
        <w:t>Working with all of Surrey’s diverse communities</w:t>
      </w:r>
    </w:p>
    <w:p w14:paraId="733C1482" w14:textId="77777777" w:rsidR="00EF7B6D" w:rsidRDefault="00EF7B6D" w:rsidP="00EF7B6D">
      <w:pPr>
        <w:pStyle w:val="ListParagraph"/>
        <w:numPr>
          <w:ilvl w:val="0"/>
          <w:numId w:val="15"/>
        </w:numPr>
        <w:ind w:hanging="654"/>
        <w:jc w:val="both"/>
        <w:rPr>
          <w:sz w:val="22"/>
        </w:rPr>
      </w:pPr>
      <w:r>
        <w:rPr>
          <w:sz w:val="22"/>
        </w:rPr>
        <w:t>Children and young people</w:t>
      </w:r>
    </w:p>
    <w:p w14:paraId="62EBAB0C" w14:textId="77777777" w:rsidR="00EF7B6D" w:rsidRDefault="00EF7B6D" w:rsidP="00EF7B6D">
      <w:pPr>
        <w:pStyle w:val="ListParagraph"/>
        <w:numPr>
          <w:ilvl w:val="0"/>
          <w:numId w:val="15"/>
        </w:numPr>
        <w:ind w:hanging="654"/>
        <w:jc w:val="both"/>
        <w:rPr>
          <w:sz w:val="22"/>
        </w:rPr>
      </w:pPr>
      <w:r>
        <w:rPr>
          <w:sz w:val="22"/>
        </w:rPr>
        <w:t xml:space="preserve">Partnership problem solving </w:t>
      </w:r>
    </w:p>
    <w:p w14:paraId="060DD3E3" w14:textId="77777777" w:rsidR="00EF7B6D" w:rsidRDefault="00EF7B6D" w:rsidP="00EF7B6D">
      <w:pPr>
        <w:jc w:val="both"/>
        <w:rPr>
          <w:rFonts w:cs="Arial"/>
          <w:highlight w:val="yellow"/>
        </w:rPr>
      </w:pPr>
    </w:p>
    <w:p w14:paraId="5B866DDA" w14:textId="77777777" w:rsidR="00EF7B6D" w:rsidRDefault="00EF7B6D" w:rsidP="00EF7B6D">
      <w:pPr>
        <w:pStyle w:val="CommentText"/>
        <w:jc w:val="both"/>
        <w:rPr>
          <w:rFonts w:cs="Arial"/>
          <w:sz w:val="22"/>
          <w:szCs w:val="22"/>
        </w:rPr>
      </w:pPr>
      <w:r>
        <w:rPr>
          <w:rFonts w:cs="Arial"/>
          <w:sz w:val="22"/>
          <w:szCs w:val="22"/>
        </w:rPr>
        <w:t xml:space="preserve">During January and February, the Office of the Police and Crime Commissioner and Surrey Police held a series of public engagement events covering all 11 boroughs and districts.  The ‘Policing Your Community’ events were held virtually for the first time and presentations from the PCC, Chief Constable and the local Borough Commander brought live to people’s homes. They were followed by a live interactive question and answer session for residents to raise any issues or leave any comments. </w:t>
      </w:r>
    </w:p>
    <w:p w14:paraId="4F311B7C" w14:textId="77777777" w:rsidR="00EF7B6D" w:rsidRDefault="00EF7B6D" w:rsidP="00EF7B6D">
      <w:pPr>
        <w:rPr>
          <w:rFonts w:cs="Arial"/>
        </w:rPr>
      </w:pPr>
    </w:p>
    <w:p w14:paraId="29F85557" w14:textId="77777777" w:rsidR="00EF7B6D" w:rsidRDefault="00EF7B6D" w:rsidP="00EF7B6D">
      <w:pPr>
        <w:jc w:val="both"/>
        <w:rPr>
          <w:rFonts w:cs="Arial"/>
        </w:rPr>
      </w:pPr>
      <w:r>
        <w:rPr>
          <w:rFonts w:cs="Arial"/>
        </w:rPr>
        <w:t xml:space="preserve">The </w:t>
      </w:r>
      <w:r>
        <w:rPr>
          <w:rFonts w:cs="Arial"/>
          <w:b/>
        </w:rPr>
        <w:t>PCC’s annual precept consultation</w:t>
      </w:r>
      <w:r>
        <w:rPr>
          <w:rFonts w:cs="Arial"/>
        </w:rPr>
        <w:t xml:space="preserve"> received just under 4,500 responses from the public compared to 3,100 last year. This included around 2,500 comments and the PCC read every single one. </w:t>
      </w:r>
    </w:p>
    <w:p w14:paraId="36EEB6A9" w14:textId="77777777" w:rsidR="00EF7B6D" w:rsidRDefault="00EF7B6D" w:rsidP="00EF7B6D">
      <w:pPr>
        <w:jc w:val="both"/>
        <w:rPr>
          <w:rFonts w:cs="Arial"/>
        </w:rPr>
      </w:pPr>
    </w:p>
    <w:p w14:paraId="7EE232E1" w14:textId="77777777" w:rsidR="00EF7B6D" w:rsidRDefault="00EF7B6D" w:rsidP="00EF7B6D">
      <w:pPr>
        <w:jc w:val="both"/>
        <w:rPr>
          <w:rFonts w:cs="Arial"/>
        </w:rPr>
      </w:pPr>
      <w:r>
        <w:rPr>
          <w:rFonts w:cs="Arial"/>
        </w:rPr>
        <w:t>The OPCC worked to develop closer links between</w:t>
      </w:r>
      <w:r>
        <w:rPr>
          <w:rFonts w:cs="Arial"/>
          <w:b/>
        </w:rPr>
        <w:t xml:space="preserve"> criminal justice and health and social care</w:t>
      </w:r>
      <w:r>
        <w:rPr>
          <w:rFonts w:cs="Arial"/>
        </w:rPr>
        <w:t xml:space="preserve">. This is set out in the Community Safety Agreement which is one of the first agreements of its kind bringing community safety and health together on a shared platform and giving greater recognition of the relationship between health, social care and crime in addressing the wider determinants of health. </w:t>
      </w:r>
    </w:p>
    <w:p w14:paraId="46C6D880" w14:textId="77777777" w:rsidR="00EF7B6D" w:rsidRDefault="00EF7B6D" w:rsidP="00EF7B6D">
      <w:pPr>
        <w:jc w:val="both"/>
        <w:rPr>
          <w:rFonts w:cs="Arial"/>
        </w:rPr>
      </w:pPr>
    </w:p>
    <w:p w14:paraId="556C7C97" w14:textId="77777777" w:rsidR="00EF7B6D" w:rsidRDefault="00EF7B6D" w:rsidP="00EF7B6D">
      <w:pPr>
        <w:jc w:val="both"/>
        <w:rPr>
          <w:rFonts w:cs="Arial"/>
        </w:rPr>
      </w:pPr>
      <w:r>
        <w:rPr>
          <w:rFonts w:cs="Arial"/>
        </w:rPr>
        <w:t xml:space="preserve">The OPCC worked with the </w:t>
      </w:r>
      <w:r>
        <w:rPr>
          <w:rFonts w:cs="Arial"/>
          <w:b/>
        </w:rPr>
        <w:t>Breck Foundation</w:t>
      </w:r>
      <w:r>
        <w:rPr>
          <w:rFonts w:cs="Arial"/>
        </w:rPr>
        <w:t xml:space="preserve"> and Surrey Police’s Citizen Policing Team to establish Surrey Police cadets as Breck Ambassadors across Surrey. This enabled them to be trained to talk in schools about </w:t>
      </w:r>
      <w:r>
        <w:rPr>
          <w:rFonts w:cs="Arial"/>
          <w:b/>
        </w:rPr>
        <w:t>staying safe online</w:t>
      </w:r>
      <w:r>
        <w:rPr>
          <w:rFonts w:cs="Arial"/>
        </w:rPr>
        <w:t xml:space="preserve"> and the key signs of grooming. </w:t>
      </w:r>
    </w:p>
    <w:p w14:paraId="3DF4A1BE" w14:textId="77777777" w:rsidR="00EF7B6D" w:rsidRDefault="00EF7B6D" w:rsidP="00EF7B6D">
      <w:pPr>
        <w:jc w:val="both"/>
        <w:rPr>
          <w:rFonts w:cs="Arial"/>
        </w:rPr>
      </w:pPr>
    </w:p>
    <w:p w14:paraId="6CEDDDA6" w14:textId="77777777" w:rsidR="00EF7B6D" w:rsidRDefault="00EF7B6D" w:rsidP="00EF7B6D">
      <w:pPr>
        <w:jc w:val="both"/>
        <w:rPr>
          <w:rFonts w:cs="Arial"/>
        </w:rPr>
      </w:pPr>
      <w:r>
        <w:rPr>
          <w:rFonts w:cs="Arial"/>
        </w:rPr>
        <w:t xml:space="preserve">During the year £845,000 was given to support community safety initiatives, an increase of 11% on the previous year. </w:t>
      </w:r>
    </w:p>
    <w:p w14:paraId="7C5D0B28" w14:textId="77777777" w:rsidR="00EF7B6D" w:rsidRDefault="00EF7B6D" w:rsidP="00EF7B6D">
      <w:pPr>
        <w:jc w:val="both"/>
        <w:rPr>
          <w:rFonts w:cs="Arial"/>
          <w:highlight w:val="yellow"/>
        </w:rPr>
      </w:pPr>
    </w:p>
    <w:p w14:paraId="014C31F6" w14:textId="77777777" w:rsidR="008B64FB" w:rsidRDefault="008B64FB">
      <w:pPr>
        <w:rPr>
          <w:rFonts w:eastAsia="Calibri" w:cs="Calibri"/>
          <w:b/>
          <w:i/>
          <w:lang w:val="en-GB"/>
        </w:rPr>
      </w:pPr>
      <w:r>
        <w:rPr>
          <w:rFonts w:eastAsia="Calibri" w:cs="Calibri"/>
          <w:b/>
          <w:i/>
          <w:lang w:val="en-GB"/>
        </w:rPr>
        <w:br w:type="page"/>
      </w:r>
    </w:p>
    <w:p w14:paraId="1882066E" w14:textId="42CE597F" w:rsidR="00EF7B6D" w:rsidRDefault="00EF7B6D" w:rsidP="00EF7B6D">
      <w:pPr>
        <w:spacing w:line="256" w:lineRule="auto"/>
        <w:jc w:val="both"/>
        <w:rPr>
          <w:rFonts w:eastAsia="Calibri" w:cs="Calibri"/>
          <w:lang w:val="en-GB"/>
        </w:rPr>
      </w:pPr>
      <w:r>
        <w:rPr>
          <w:rFonts w:eastAsia="Calibri" w:cs="Calibri"/>
          <w:b/>
          <w:i/>
          <w:lang w:val="en-GB"/>
        </w:rPr>
        <w:t>S</w:t>
      </w:r>
      <w:r>
        <w:rPr>
          <w:rFonts w:eastAsia="Calibri" w:cs="Times New Roman"/>
          <w:b/>
          <w:i/>
          <w:lang w:val="en-GB"/>
        </w:rPr>
        <w:t>upporting Victims</w:t>
      </w:r>
    </w:p>
    <w:p w14:paraId="4F3D580B" w14:textId="77777777" w:rsidR="00EF7B6D" w:rsidRDefault="00EF7B6D" w:rsidP="00EF7B6D">
      <w:pPr>
        <w:autoSpaceDE w:val="0"/>
        <w:autoSpaceDN w:val="0"/>
        <w:adjustRightInd w:val="0"/>
        <w:jc w:val="both"/>
        <w:rPr>
          <w:rFonts w:eastAsia="Calibri" w:cs="Verdana"/>
          <w:color w:val="000000"/>
          <w:highlight w:val="yellow"/>
          <w:lang w:val="en-GB"/>
        </w:rPr>
      </w:pPr>
    </w:p>
    <w:p w14:paraId="7F676CAB" w14:textId="77777777" w:rsidR="00EF7B6D" w:rsidRDefault="00EF7B6D" w:rsidP="00EF7B6D">
      <w:pPr>
        <w:jc w:val="both"/>
        <w:rPr>
          <w:rFonts w:cs="Arial"/>
        </w:rPr>
      </w:pPr>
      <w:r>
        <w:rPr>
          <w:rFonts w:cs="Arial"/>
        </w:rPr>
        <w:t>The headline actions to achieve this priority are set out in the plan as follows:</w:t>
      </w:r>
    </w:p>
    <w:p w14:paraId="3DC0D1AF" w14:textId="77777777" w:rsidR="00EF7B6D" w:rsidRDefault="00EF7B6D" w:rsidP="00EF7B6D">
      <w:pPr>
        <w:jc w:val="both"/>
        <w:rPr>
          <w:rFonts w:cs="Arial"/>
        </w:rPr>
      </w:pPr>
    </w:p>
    <w:p w14:paraId="29390044" w14:textId="77777777" w:rsidR="00EF7B6D" w:rsidRDefault="00EF7B6D" w:rsidP="00EF7B6D">
      <w:pPr>
        <w:pStyle w:val="ListParagraph"/>
        <w:numPr>
          <w:ilvl w:val="0"/>
          <w:numId w:val="16"/>
        </w:numPr>
        <w:jc w:val="both"/>
        <w:rPr>
          <w:sz w:val="22"/>
        </w:rPr>
      </w:pPr>
      <w:r>
        <w:rPr>
          <w:sz w:val="22"/>
        </w:rPr>
        <w:t xml:space="preserve">Supporting victims of crime and anti-social behaviour </w:t>
      </w:r>
    </w:p>
    <w:p w14:paraId="0ACBF471" w14:textId="77777777" w:rsidR="00EF7B6D" w:rsidRDefault="00EF7B6D" w:rsidP="00EF7B6D">
      <w:pPr>
        <w:pStyle w:val="ListParagraph"/>
        <w:numPr>
          <w:ilvl w:val="0"/>
          <w:numId w:val="16"/>
        </w:numPr>
        <w:jc w:val="both"/>
        <w:rPr>
          <w:sz w:val="22"/>
        </w:rPr>
      </w:pPr>
      <w:r>
        <w:rPr>
          <w:sz w:val="22"/>
        </w:rPr>
        <w:t>Providing specialist services</w:t>
      </w:r>
    </w:p>
    <w:p w14:paraId="4D6D4E52" w14:textId="77777777" w:rsidR="00EF7B6D" w:rsidRDefault="00EF7B6D" w:rsidP="00EF7B6D">
      <w:pPr>
        <w:pStyle w:val="ListParagraph"/>
        <w:numPr>
          <w:ilvl w:val="0"/>
          <w:numId w:val="16"/>
        </w:numPr>
        <w:jc w:val="both"/>
        <w:rPr>
          <w:sz w:val="22"/>
        </w:rPr>
      </w:pPr>
      <w:r>
        <w:rPr>
          <w:sz w:val="22"/>
        </w:rPr>
        <w:t>Ensuring value for money and collaboration</w:t>
      </w:r>
    </w:p>
    <w:p w14:paraId="75626D43" w14:textId="77777777" w:rsidR="00EF7B6D" w:rsidRDefault="00EF7B6D" w:rsidP="00EF7B6D">
      <w:pPr>
        <w:pStyle w:val="ListParagraph"/>
        <w:numPr>
          <w:ilvl w:val="0"/>
          <w:numId w:val="16"/>
        </w:numPr>
        <w:jc w:val="both"/>
        <w:rPr>
          <w:sz w:val="22"/>
        </w:rPr>
      </w:pPr>
      <w:r>
        <w:rPr>
          <w:sz w:val="22"/>
        </w:rPr>
        <w:t>Supporting victims and witnesses through the Criminal Justice System</w:t>
      </w:r>
    </w:p>
    <w:p w14:paraId="5C069C7F" w14:textId="77777777" w:rsidR="00EF7B6D" w:rsidRDefault="00EF7B6D" w:rsidP="00EF7B6D">
      <w:pPr>
        <w:jc w:val="both"/>
        <w:rPr>
          <w:rFonts w:cs="Arial"/>
        </w:rPr>
      </w:pPr>
    </w:p>
    <w:p w14:paraId="04AEA967" w14:textId="77777777" w:rsidR="00EF7B6D" w:rsidRDefault="00EF7B6D" w:rsidP="00EF7B6D">
      <w:pPr>
        <w:jc w:val="both"/>
        <w:rPr>
          <w:rFonts w:cs="Arial"/>
        </w:rPr>
      </w:pPr>
      <w:r>
        <w:rPr>
          <w:rFonts w:cs="Arial"/>
        </w:rPr>
        <w:t xml:space="preserve">The OPCC has continued to work hard to ensure that all </w:t>
      </w:r>
      <w:r>
        <w:rPr>
          <w:rFonts w:cs="Arial"/>
          <w:b/>
        </w:rPr>
        <w:t xml:space="preserve">victims of crime </w:t>
      </w:r>
      <w:r>
        <w:rPr>
          <w:rFonts w:cs="Arial"/>
        </w:rPr>
        <w:t xml:space="preserve">in Surrey receive appropriate support, to help them cope and recover from their experiences through the Victim and Witness Care Unit which was established in 2019. </w:t>
      </w:r>
    </w:p>
    <w:p w14:paraId="3BA59229" w14:textId="77777777" w:rsidR="00EF7B6D" w:rsidRDefault="00EF7B6D" w:rsidP="00EF7B6D">
      <w:pPr>
        <w:jc w:val="both"/>
        <w:rPr>
          <w:rFonts w:cs="Arial"/>
        </w:rPr>
      </w:pPr>
    </w:p>
    <w:p w14:paraId="59E4FC25" w14:textId="77777777" w:rsidR="00EF7B6D" w:rsidRDefault="00EF7B6D" w:rsidP="00EF7B6D">
      <w:pPr>
        <w:jc w:val="both"/>
        <w:rPr>
          <w:rFonts w:cs="Arial"/>
        </w:rPr>
      </w:pPr>
      <w:r>
        <w:rPr>
          <w:rFonts w:cs="Arial"/>
        </w:rPr>
        <w:t xml:space="preserve">The OPCC also commissioned local </w:t>
      </w:r>
      <w:r>
        <w:rPr>
          <w:rFonts w:cs="Arial"/>
          <w:b/>
        </w:rPr>
        <w:t>specialist services</w:t>
      </w:r>
      <w:r>
        <w:rPr>
          <w:rFonts w:cs="Arial"/>
        </w:rPr>
        <w:t xml:space="preserve"> that provided support for victims of specific, ‘high harm’ offences - including domestic abuse (DA), rape and serious sexual offences - predominately delivered by independent, third sector providers. All these services were available to victims, irrespective of gender and whether the crime has been formally reported to the police or not. The level of need amongst clients, both adult and child, isolated due to the pandemic increased significantly and this impacted the capacity of services to cope with demand. </w:t>
      </w:r>
    </w:p>
    <w:p w14:paraId="40A9FBB2" w14:textId="77777777" w:rsidR="00EF7B6D" w:rsidRDefault="00EF7B6D" w:rsidP="00EF7B6D">
      <w:pPr>
        <w:jc w:val="both"/>
        <w:rPr>
          <w:rFonts w:cs="Arial"/>
        </w:rPr>
      </w:pPr>
    </w:p>
    <w:p w14:paraId="5429B6DA" w14:textId="77777777" w:rsidR="00EF7B6D" w:rsidRDefault="00EF7B6D" w:rsidP="00EF7B6D">
      <w:pPr>
        <w:jc w:val="both"/>
        <w:rPr>
          <w:rFonts w:cs="Arial"/>
        </w:rPr>
      </w:pPr>
      <w:r>
        <w:rPr>
          <w:rFonts w:cs="Arial"/>
        </w:rPr>
        <w:t xml:space="preserve">A second round of </w:t>
      </w:r>
      <w:r>
        <w:rPr>
          <w:rFonts w:cs="Arial"/>
          <w:b/>
        </w:rPr>
        <w:t>Ministry</w:t>
      </w:r>
      <w:r>
        <w:rPr>
          <w:rFonts w:cs="Arial"/>
        </w:rPr>
        <w:t xml:space="preserve"> </w:t>
      </w:r>
      <w:r>
        <w:rPr>
          <w:rFonts w:cs="Arial"/>
          <w:b/>
        </w:rPr>
        <w:t>of Justice</w:t>
      </w:r>
      <w:r>
        <w:rPr>
          <w:rFonts w:cs="Arial"/>
        </w:rPr>
        <w:t xml:space="preserve"> </w:t>
      </w:r>
      <w:r>
        <w:rPr>
          <w:rFonts w:cs="Arial"/>
          <w:b/>
        </w:rPr>
        <w:t>emergency funding totaling £87,000 for DA and SV services</w:t>
      </w:r>
      <w:r>
        <w:rPr>
          <w:rFonts w:cs="Arial"/>
        </w:rPr>
        <w:t xml:space="preserve"> was awarded to the OPCC and the OPCC worked with services to ensure this was used to cope with the increased demand, including psychotherapy support for children and young people affected by domestic abuse, additional counselling for sexual assault and rape survivors and training and support for staff. </w:t>
      </w:r>
    </w:p>
    <w:p w14:paraId="5F58A535" w14:textId="77777777" w:rsidR="00EF7B6D" w:rsidRDefault="00EF7B6D" w:rsidP="00EF7B6D">
      <w:pPr>
        <w:jc w:val="both"/>
        <w:rPr>
          <w:rFonts w:cs="Arial"/>
        </w:rPr>
      </w:pPr>
    </w:p>
    <w:p w14:paraId="66C6BE30" w14:textId="7F29B1A6" w:rsidR="00EF7B6D" w:rsidRDefault="00EF7B6D" w:rsidP="00EF7B6D">
      <w:pPr>
        <w:jc w:val="both"/>
        <w:rPr>
          <w:rFonts w:cs="Arial"/>
        </w:rPr>
      </w:pPr>
      <w:r>
        <w:rPr>
          <w:rFonts w:cs="Arial"/>
        </w:rPr>
        <w:t>The PCC also continued to offer his Coronavirus Support Fund to assist local organi</w:t>
      </w:r>
      <w:r w:rsidR="008B64FB">
        <w:rPr>
          <w:rFonts w:cs="Arial"/>
        </w:rPr>
        <w:t>s</w:t>
      </w:r>
      <w:r>
        <w:rPr>
          <w:rFonts w:cs="Arial"/>
        </w:rPr>
        <w:t>ation</w:t>
      </w:r>
      <w:r w:rsidR="008B64FB">
        <w:rPr>
          <w:rFonts w:cs="Arial"/>
        </w:rPr>
        <w:t>s</w:t>
      </w:r>
      <w:r>
        <w:rPr>
          <w:rFonts w:cs="Arial"/>
        </w:rPr>
        <w:t xml:space="preserve"> and in addition gave £55,000 to commission </w:t>
      </w:r>
      <w:r w:rsidR="008B64FB">
        <w:rPr>
          <w:rFonts w:cs="Arial"/>
        </w:rPr>
        <w:t xml:space="preserve">extra </w:t>
      </w:r>
      <w:r>
        <w:rPr>
          <w:rFonts w:cs="Arial"/>
        </w:rPr>
        <w:t xml:space="preserve">support services such as support for those affected by ‘cuckooing’ (exploitation), care packages of essential items for those fleeing to refuge and additional counselling for rape and sexual violence survivors. </w:t>
      </w:r>
    </w:p>
    <w:p w14:paraId="717B32C4" w14:textId="77777777" w:rsidR="00EF7B6D" w:rsidRDefault="00EF7B6D" w:rsidP="00EF7B6D">
      <w:pPr>
        <w:jc w:val="both"/>
        <w:rPr>
          <w:rFonts w:cs="Arial"/>
        </w:rPr>
      </w:pPr>
    </w:p>
    <w:p w14:paraId="1E5788A9" w14:textId="77777777" w:rsidR="00EF7B6D" w:rsidRDefault="00EF7B6D" w:rsidP="00EF7B6D">
      <w:pPr>
        <w:jc w:val="both"/>
        <w:rPr>
          <w:rFonts w:cs="Arial"/>
          <w:color w:val="000000" w:themeColor="text1"/>
        </w:rPr>
      </w:pPr>
      <w:r>
        <w:rPr>
          <w:rFonts w:cs="Arial"/>
        </w:rPr>
        <w:t xml:space="preserve">The OPCC continued to work with NHS England, regional PCCs </w:t>
      </w:r>
      <w:r>
        <w:rPr>
          <w:rFonts w:cs="Arial"/>
          <w:color w:val="000000" w:themeColor="text1"/>
        </w:rPr>
        <w:t xml:space="preserve">and police forces to re-commission our </w:t>
      </w:r>
      <w:r>
        <w:rPr>
          <w:rFonts w:cs="Arial"/>
          <w:b/>
          <w:color w:val="000000" w:themeColor="text1"/>
        </w:rPr>
        <w:t xml:space="preserve">Sexual Assault and Referral Centre (SARC) </w:t>
      </w:r>
      <w:r>
        <w:rPr>
          <w:rFonts w:cs="Arial"/>
          <w:color w:val="000000" w:themeColor="text1"/>
        </w:rPr>
        <w:t xml:space="preserve">and collaborative work with partners continued to develop the county’s response to high harm crimes such as domestic abuse. </w:t>
      </w:r>
    </w:p>
    <w:p w14:paraId="1F226DD3" w14:textId="77777777" w:rsidR="00EF7B6D" w:rsidRDefault="00EF7B6D" w:rsidP="00EF7B6D">
      <w:pPr>
        <w:jc w:val="both"/>
        <w:rPr>
          <w:rFonts w:cs="Arial"/>
        </w:rPr>
      </w:pPr>
      <w:r>
        <w:rPr>
          <w:rFonts w:cs="Arial"/>
          <w:color w:val="000000" w:themeColor="text1"/>
        </w:rPr>
        <w:t xml:space="preserve"> </w:t>
      </w:r>
    </w:p>
    <w:p w14:paraId="06DBF47F" w14:textId="77777777" w:rsidR="00EF7B6D" w:rsidRDefault="00EF7B6D" w:rsidP="00EF7B6D">
      <w:pPr>
        <w:rPr>
          <w:rFonts w:cs="Arial"/>
          <w:color w:val="000000" w:themeColor="text1"/>
        </w:rPr>
      </w:pPr>
      <w:r>
        <w:rPr>
          <w:rFonts w:cs="Arial"/>
          <w:color w:val="000000" w:themeColor="text1"/>
        </w:rPr>
        <w:t xml:space="preserve">The OPCC worked with Her Majesty’s Courts &amp; Tribunal Service to </w:t>
      </w:r>
      <w:r>
        <w:rPr>
          <w:rFonts w:cs="Arial"/>
          <w:b/>
          <w:color w:val="000000" w:themeColor="text1"/>
        </w:rPr>
        <w:t>review the position in Magistrates and Crown Courts in Surrey and Sussex</w:t>
      </w:r>
      <w:r>
        <w:rPr>
          <w:rFonts w:cs="Arial"/>
          <w:color w:val="000000" w:themeColor="text1"/>
        </w:rPr>
        <w:t xml:space="preserve">, which were significantly impacted by the pandemic. The OPCC Victim and Witness Care unit was given increased funding to meet the needs of victims and witnesses affected by the delays in the justice system. </w:t>
      </w:r>
    </w:p>
    <w:p w14:paraId="3F3F727F" w14:textId="31355CA0" w:rsidR="00EF7B6D" w:rsidRDefault="00EF7B6D" w:rsidP="00EF7B6D">
      <w:pPr>
        <w:rPr>
          <w:rFonts w:cs="Arial"/>
          <w:color w:val="000000" w:themeColor="text1"/>
        </w:rPr>
      </w:pPr>
    </w:p>
    <w:p w14:paraId="3CA0C497" w14:textId="77777777" w:rsidR="00EF7B6D" w:rsidRDefault="00EF7B6D" w:rsidP="00EF7B6D">
      <w:pPr>
        <w:rPr>
          <w:b/>
          <w:i/>
        </w:rPr>
      </w:pPr>
      <w:r>
        <w:rPr>
          <w:b/>
          <w:i/>
        </w:rPr>
        <w:t>Preventing Harm</w:t>
      </w:r>
    </w:p>
    <w:p w14:paraId="7EA2B4C3" w14:textId="77777777" w:rsidR="00EF7B6D" w:rsidRDefault="00EF7B6D" w:rsidP="00EF7B6D">
      <w:pPr>
        <w:rPr>
          <w:rFonts w:cs="Arial"/>
        </w:rPr>
      </w:pPr>
    </w:p>
    <w:p w14:paraId="42FD977F" w14:textId="77777777" w:rsidR="00EF7B6D" w:rsidRDefault="00EF7B6D" w:rsidP="00EF7B6D">
      <w:pPr>
        <w:rPr>
          <w:rFonts w:cs="Arial"/>
        </w:rPr>
      </w:pPr>
      <w:r>
        <w:rPr>
          <w:rFonts w:cs="Arial"/>
        </w:rPr>
        <w:t>The headline actions to achieve this priority are set out in the plan as follows:</w:t>
      </w:r>
    </w:p>
    <w:p w14:paraId="15A9CA51" w14:textId="77777777" w:rsidR="00EF7B6D" w:rsidRDefault="00EF7B6D" w:rsidP="00EF7B6D">
      <w:pPr>
        <w:rPr>
          <w:rFonts w:cs="Arial"/>
        </w:rPr>
      </w:pPr>
    </w:p>
    <w:p w14:paraId="2DC33D79" w14:textId="77777777" w:rsidR="00EF7B6D" w:rsidRDefault="00EF7B6D" w:rsidP="00EF7B6D">
      <w:pPr>
        <w:pStyle w:val="ListParagraph"/>
        <w:numPr>
          <w:ilvl w:val="0"/>
          <w:numId w:val="17"/>
        </w:numPr>
        <w:rPr>
          <w:sz w:val="22"/>
        </w:rPr>
      </w:pPr>
      <w:r>
        <w:rPr>
          <w:sz w:val="22"/>
        </w:rPr>
        <w:t>Identifying vulnerable people and reducing harm</w:t>
      </w:r>
    </w:p>
    <w:p w14:paraId="361A1FB4" w14:textId="77777777" w:rsidR="00EF7B6D" w:rsidRDefault="00EF7B6D" w:rsidP="00EF7B6D">
      <w:pPr>
        <w:pStyle w:val="ListParagraph"/>
        <w:numPr>
          <w:ilvl w:val="0"/>
          <w:numId w:val="17"/>
        </w:numPr>
        <w:rPr>
          <w:sz w:val="22"/>
        </w:rPr>
      </w:pPr>
      <w:r>
        <w:rPr>
          <w:sz w:val="22"/>
        </w:rPr>
        <w:t>Supporting those with mental health needs</w:t>
      </w:r>
    </w:p>
    <w:p w14:paraId="233F0094" w14:textId="77777777" w:rsidR="00EF7B6D" w:rsidRDefault="00EF7B6D" w:rsidP="00EF7B6D">
      <w:pPr>
        <w:pStyle w:val="ListParagraph"/>
        <w:numPr>
          <w:ilvl w:val="0"/>
          <w:numId w:val="17"/>
        </w:numPr>
        <w:rPr>
          <w:sz w:val="22"/>
        </w:rPr>
      </w:pPr>
      <w:r>
        <w:rPr>
          <w:sz w:val="22"/>
        </w:rPr>
        <w:t>Help for those with multiple needs</w:t>
      </w:r>
    </w:p>
    <w:p w14:paraId="4305EC7B" w14:textId="77777777" w:rsidR="00EF7B6D" w:rsidRDefault="00EF7B6D" w:rsidP="00EF7B6D">
      <w:pPr>
        <w:pStyle w:val="ListParagraph"/>
        <w:numPr>
          <w:ilvl w:val="0"/>
          <w:numId w:val="17"/>
        </w:numPr>
        <w:rPr>
          <w:sz w:val="22"/>
        </w:rPr>
      </w:pPr>
      <w:r>
        <w:rPr>
          <w:sz w:val="22"/>
        </w:rPr>
        <w:t>Missing people</w:t>
      </w:r>
    </w:p>
    <w:p w14:paraId="554E05CC" w14:textId="77777777" w:rsidR="00EF7B6D" w:rsidRDefault="00EF7B6D" w:rsidP="00EF7B6D">
      <w:pPr>
        <w:pStyle w:val="ListParagraph"/>
        <w:numPr>
          <w:ilvl w:val="0"/>
          <w:numId w:val="17"/>
        </w:numPr>
        <w:rPr>
          <w:sz w:val="22"/>
        </w:rPr>
      </w:pPr>
      <w:r>
        <w:rPr>
          <w:sz w:val="22"/>
        </w:rPr>
        <w:t xml:space="preserve">Reducing reoffending </w:t>
      </w:r>
    </w:p>
    <w:p w14:paraId="2D413828" w14:textId="77777777" w:rsidR="00EF7B6D" w:rsidRDefault="00EF7B6D" w:rsidP="00EF7B6D">
      <w:pPr>
        <w:spacing w:after="160" w:line="254" w:lineRule="auto"/>
        <w:jc w:val="both"/>
        <w:rPr>
          <w:rFonts w:eastAsia="Calibri" w:cs="Arial"/>
          <w:iCs/>
        </w:rPr>
      </w:pPr>
    </w:p>
    <w:p w14:paraId="3A14103A" w14:textId="7D911B5F" w:rsidR="00EF7B6D" w:rsidRDefault="00EF7B6D" w:rsidP="00EF7B6D">
      <w:pPr>
        <w:spacing w:after="160" w:line="254" w:lineRule="auto"/>
        <w:jc w:val="both"/>
        <w:rPr>
          <w:rFonts w:eastAsia="Calibri" w:cs="Arial"/>
          <w:iCs/>
        </w:rPr>
      </w:pPr>
      <w:r>
        <w:rPr>
          <w:rFonts w:eastAsia="Calibri" w:cs="Arial"/>
          <w:iCs/>
        </w:rPr>
        <w:t xml:space="preserve">The </w:t>
      </w:r>
      <w:r>
        <w:rPr>
          <w:rFonts w:eastAsia="Calibri" w:cs="Arial"/>
          <w:b/>
        </w:rPr>
        <w:t>Surrey High Intensity Partnership Programme</w:t>
      </w:r>
      <w:r>
        <w:rPr>
          <w:rFonts w:eastAsia="Calibri" w:cs="Arial"/>
          <w:iCs/>
        </w:rPr>
        <w:t xml:space="preserve"> (SHIPP) continued to successfully support clients identified as high and/or intensive users of services in Surrey leading to over £600,000 of savings since its initial pilot in 2017. </w:t>
      </w:r>
    </w:p>
    <w:p w14:paraId="2EBF55AA" w14:textId="0CB2AEA1" w:rsidR="00EF7B6D" w:rsidRDefault="00EF7B6D" w:rsidP="00EF7B6D">
      <w:pPr>
        <w:spacing w:after="160" w:line="254" w:lineRule="auto"/>
        <w:jc w:val="both"/>
        <w:rPr>
          <w:rFonts w:eastAsia="Calibri" w:cs="Arial"/>
        </w:rPr>
      </w:pPr>
      <w:r>
        <w:rPr>
          <w:rFonts w:eastAsia="Calibri" w:cs="Arial"/>
        </w:rPr>
        <w:t xml:space="preserve">The </w:t>
      </w:r>
      <w:r>
        <w:rPr>
          <w:rFonts w:eastAsia="Calibri" w:cs="Arial"/>
          <w:b/>
        </w:rPr>
        <w:t>Surrey Adults Matter</w:t>
      </w:r>
      <w:r>
        <w:rPr>
          <w:rFonts w:eastAsia="Calibri" w:cs="Arial"/>
        </w:rPr>
        <w:t xml:space="preserve"> programme made 46 referrals of which 40 were accepted.  SAM has seen a more intense focus around the </w:t>
      </w:r>
      <w:r>
        <w:rPr>
          <w:rFonts w:eastAsia="Calibri" w:cs="Arial"/>
          <w:b/>
        </w:rPr>
        <w:t>lack of suitable accommodation and homelessness</w:t>
      </w:r>
      <w:r>
        <w:rPr>
          <w:rFonts w:eastAsia="Calibri" w:cs="Arial"/>
        </w:rPr>
        <w:t xml:space="preserve"> due to the pandemic. A number of clients requiring supported housing were refused offers of accommodation due to alcohol misuse or substance misuse and supported housing providers deeming the clients’ too high risk. Their other needs, which might include a learning disability, mental health diagnosis or Autism / physical disability are </w:t>
      </w:r>
      <w:r w:rsidR="00732427">
        <w:rPr>
          <w:rFonts w:eastAsia="Calibri" w:cs="Arial"/>
        </w:rPr>
        <w:t xml:space="preserve">sometimes </w:t>
      </w:r>
      <w:r>
        <w:rPr>
          <w:rFonts w:eastAsia="Calibri" w:cs="Arial"/>
        </w:rPr>
        <w:t xml:space="preserve">overlooked because of their addictions. </w:t>
      </w:r>
    </w:p>
    <w:p w14:paraId="7D46375E" w14:textId="42D40545" w:rsidR="00EF7B6D" w:rsidRDefault="00EF7B6D" w:rsidP="00EF7B6D">
      <w:pPr>
        <w:jc w:val="both"/>
        <w:rPr>
          <w:rFonts w:cs="Arial"/>
        </w:rPr>
      </w:pPr>
      <w:r>
        <w:rPr>
          <w:rFonts w:cs="Arial"/>
        </w:rPr>
        <w:t xml:space="preserve">In terms of </w:t>
      </w:r>
      <w:r>
        <w:rPr>
          <w:rFonts w:cs="Arial"/>
          <w:b/>
        </w:rPr>
        <w:t>reducing reoffending</w:t>
      </w:r>
      <w:r>
        <w:rPr>
          <w:rFonts w:cs="Arial"/>
        </w:rPr>
        <w:t xml:space="preserve">, a recent report by the Prison Reform Trust revealed Surrey as having the lowest rate for imprisoning women in the country. This was in part achieved due to the Surrey Police Checkpoint Plus scheme, supported by the PCC through funding for the Navigators working out of the Women’s Support Centre in Woking. The reoffending rate for the Checkpoint and Checkpoint Plus schemes is currently at only 6% </w:t>
      </w:r>
    </w:p>
    <w:p w14:paraId="09C6FE79" w14:textId="77777777" w:rsidR="00EF7B6D" w:rsidRDefault="00EF7B6D" w:rsidP="00EF7B6D">
      <w:pPr>
        <w:jc w:val="both"/>
        <w:rPr>
          <w:rFonts w:cs="Arial"/>
        </w:rPr>
      </w:pPr>
    </w:p>
    <w:p w14:paraId="321D1C09" w14:textId="270093BC" w:rsidR="00EF7B6D" w:rsidRDefault="00EF7B6D" w:rsidP="00EF7B6D">
      <w:pPr>
        <w:jc w:val="both"/>
        <w:rPr>
          <w:rFonts w:cs="Arial"/>
        </w:rPr>
      </w:pPr>
      <w:r>
        <w:rPr>
          <w:rFonts w:cs="Arial"/>
        </w:rPr>
        <w:t>The PCC also supported a further 2 projects</w:t>
      </w:r>
      <w:r w:rsidR="00732427">
        <w:rPr>
          <w:rFonts w:cs="Arial"/>
        </w:rPr>
        <w:t xml:space="preserve"> to help reduce reoffending</w:t>
      </w:r>
      <w:r>
        <w:rPr>
          <w:rFonts w:cs="Arial"/>
        </w:rPr>
        <w:t xml:space="preserve"> during the year. The first was £5,000 for the </w:t>
      </w:r>
      <w:r>
        <w:rPr>
          <w:rFonts w:cs="Arial"/>
          <w:b/>
        </w:rPr>
        <w:t>The Twinning Project</w:t>
      </w:r>
      <w:r>
        <w:rPr>
          <w:rFonts w:cs="Arial"/>
        </w:rPr>
        <w:t xml:space="preserve"> which enables prison inmates to gain football coaching and refereeing qualifications.  The second, £7,500 for the </w:t>
      </w:r>
      <w:r>
        <w:rPr>
          <w:rFonts w:cs="Arial"/>
          <w:b/>
          <w:bCs/>
        </w:rPr>
        <w:t>S</w:t>
      </w:r>
      <w:r>
        <w:rPr>
          <w:rFonts w:cs="Arial"/>
          <w:b/>
        </w:rPr>
        <w:t>kill Mill</w:t>
      </w:r>
      <w:r>
        <w:rPr>
          <w:rFonts w:cs="Arial"/>
        </w:rPr>
        <w:t xml:space="preserve"> was a multi-award-winning social enterprise providing employment opportunities for young people aged between sixteen and eighteen. It employs only ex-offenders, actively reducing reoffending whilst increasing engagement, participation, employability and educational levels of the young people to increase their life chances.</w:t>
      </w:r>
    </w:p>
    <w:p w14:paraId="21C941F7" w14:textId="77777777" w:rsidR="00EF7B6D" w:rsidRDefault="00EF7B6D" w:rsidP="00EF7B6D">
      <w:pPr>
        <w:spacing w:line="256" w:lineRule="auto"/>
        <w:jc w:val="both"/>
        <w:rPr>
          <w:rFonts w:eastAsia="Calibri" w:cs="Times New Roman"/>
          <w:b/>
          <w:i/>
          <w:highlight w:val="yellow"/>
          <w:lang w:val="en-GB"/>
        </w:rPr>
      </w:pPr>
    </w:p>
    <w:p w14:paraId="40F45927" w14:textId="77777777" w:rsidR="00EF7B6D" w:rsidRDefault="00EF7B6D" w:rsidP="00EF7B6D">
      <w:pPr>
        <w:spacing w:line="256" w:lineRule="auto"/>
        <w:jc w:val="both"/>
        <w:rPr>
          <w:rFonts w:eastAsia="Calibri" w:cs="Calibri"/>
          <w:i/>
          <w:lang w:val="en-GB"/>
        </w:rPr>
      </w:pPr>
      <w:r>
        <w:rPr>
          <w:rFonts w:eastAsia="Calibri" w:cs="Times New Roman"/>
          <w:b/>
          <w:i/>
          <w:lang w:val="en-GB"/>
        </w:rPr>
        <w:t>Making Every Pound Count</w:t>
      </w:r>
    </w:p>
    <w:p w14:paraId="790CFE63" w14:textId="77777777" w:rsidR="00EF7B6D" w:rsidRDefault="00EF7B6D" w:rsidP="00EF7B6D">
      <w:pPr>
        <w:rPr>
          <w:rFonts w:cs="Arial"/>
        </w:rPr>
      </w:pPr>
    </w:p>
    <w:p w14:paraId="02881846" w14:textId="77777777" w:rsidR="00EF7B6D" w:rsidRDefault="00EF7B6D" w:rsidP="00EF7B6D">
      <w:pPr>
        <w:rPr>
          <w:rFonts w:cs="Arial"/>
        </w:rPr>
      </w:pPr>
      <w:r>
        <w:rPr>
          <w:rFonts w:cs="Arial"/>
        </w:rPr>
        <w:t>The headline actions to achieve this priority are set out in the plan as follows:</w:t>
      </w:r>
    </w:p>
    <w:p w14:paraId="3A17F618" w14:textId="77777777" w:rsidR="00EF7B6D" w:rsidRDefault="00EF7B6D" w:rsidP="00EF7B6D">
      <w:pPr>
        <w:rPr>
          <w:rFonts w:cs="Arial"/>
          <w:lang w:val="en"/>
        </w:rPr>
      </w:pPr>
    </w:p>
    <w:p w14:paraId="4448C732" w14:textId="77777777" w:rsidR="00EF7B6D" w:rsidRDefault="00EF7B6D" w:rsidP="00EF7B6D">
      <w:pPr>
        <w:pStyle w:val="ListParagraph"/>
        <w:numPr>
          <w:ilvl w:val="0"/>
          <w:numId w:val="18"/>
        </w:numPr>
        <w:rPr>
          <w:sz w:val="22"/>
          <w:lang w:val="en"/>
        </w:rPr>
      </w:pPr>
      <w:r>
        <w:rPr>
          <w:sz w:val="22"/>
          <w:lang w:val="en"/>
        </w:rPr>
        <w:t>Preserving the front-line</w:t>
      </w:r>
    </w:p>
    <w:p w14:paraId="370E96CA" w14:textId="77777777" w:rsidR="00EF7B6D" w:rsidRDefault="00EF7B6D" w:rsidP="00EF7B6D">
      <w:pPr>
        <w:pStyle w:val="ListParagraph"/>
        <w:numPr>
          <w:ilvl w:val="0"/>
          <w:numId w:val="18"/>
        </w:numPr>
        <w:rPr>
          <w:sz w:val="22"/>
          <w:lang w:val="en"/>
        </w:rPr>
      </w:pPr>
      <w:r>
        <w:rPr>
          <w:sz w:val="22"/>
          <w:lang w:val="en"/>
        </w:rPr>
        <w:t>Eliminate waste and inefficiency</w:t>
      </w:r>
    </w:p>
    <w:p w14:paraId="45BBA41D" w14:textId="77777777" w:rsidR="00EF7B6D" w:rsidRDefault="00EF7B6D" w:rsidP="00EF7B6D">
      <w:pPr>
        <w:pStyle w:val="ListParagraph"/>
        <w:numPr>
          <w:ilvl w:val="0"/>
          <w:numId w:val="18"/>
        </w:numPr>
        <w:rPr>
          <w:sz w:val="22"/>
          <w:lang w:val="en"/>
        </w:rPr>
      </w:pPr>
      <w:r>
        <w:rPr>
          <w:sz w:val="22"/>
          <w:lang w:val="en"/>
        </w:rPr>
        <w:t>Collaboration</w:t>
      </w:r>
    </w:p>
    <w:p w14:paraId="4A93D97B" w14:textId="77777777" w:rsidR="00EF7B6D" w:rsidRDefault="00EF7B6D" w:rsidP="00EF7B6D">
      <w:pPr>
        <w:pStyle w:val="ListParagraph"/>
        <w:numPr>
          <w:ilvl w:val="0"/>
          <w:numId w:val="18"/>
        </w:numPr>
        <w:rPr>
          <w:sz w:val="22"/>
          <w:lang w:val="en"/>
        </w:rPr>
      </w:pPr>
      <w:r>
        <w:rPr>
          <w:sz w:val="22"/>
          <w:lang w:val="en"/>
        </w:rPr>
        <w:t>Funding</w:t>
      </w:r>
    </w:p>
    <w:p w14:paraId="250B2192" w14:textId="77777777" w:rsidR="00EF7B6D" w:rsidRDefault="00EF7B6D" w:rsidP="00EF7B6D">
      <w:pPr>
        <w:pStyle w:val="ListParagraph"/>
        <w:numPr>
          <w:ilvl w:val="0"/>
          <w:numId w:val="18"/>
        </w:numPr>
        <w:rPr>
          <w:sz w:val="22"/>
          <w:lang w:val="en"/>
        </w:rPr>
      </w:pPr>
      <w:r>
        <w:rPr>
          <w:sz w:val="22"/>
          <w:lang w:val="en"/>
        </w:rPr>
        <w:t>Effective and efficient Criminal Justice System</w:t>
      </w:r>
    </w:p>
    <w:p w14:paraId="3713A85E" w14:textId="77777777" w:rsidR="00EF7B6D" w:rsidRDefault="00EF7B6D" w:rsidP="00EF7B6D">
      <w:pPr>
        <w:rPr>
          <w:rFonts w:cs="Arial"/>
          <w:lang w:val="en"/>
        </w:rPr>
      </w:pPr>
    </w:p>
    <w:p w14:paraId="082EFF2F" w14:textId="77777777" w:rsidR="00EF7B6D" w:rsidRDefault="00EF7B6D" w:rsidP="00EF7B6D">
      <w:pPr>
        <w:jc w:val="both"/>
        <w:rPr>
          <w:rFonts w:eastAsia="Calibri" w:cs="Verdana"/>
          <w:color w:val="000000"/>
          <w:highlight w:val="yellow"/>
          <w:lang w:val="en-GB"/>
        </w:rPr>
      </w:pPr>
      <w:r>
        <w:rPr>
          <w:rFonts w:cs="Arial"/>
          <w:lang w:val="en"/>
        </w:rPr>
        <w:t xml:space="preserve">Surrey Police officer numbers increased by 104 to 2,021 during the year due to the Government Uplift funding and precept investment.  Throughout the year the Force stayed within budget, delivered the savings it had promised and fulfilled its precept obligations. This is despite absorbing significant costs relating to Covid. The PCC was supportive of the work done by CIPFA to identify longer term financial savings and has also brought up the issue of the inequity of Surrey Police funding with Government. </w:t>
      </w:r>
    </w:p>
    <w:p w14:paraId="0E006A2C" w14:textId="77777777" w:rsidR="00EF7B6D" w:rsidRDefault="00EF7B6D" w:rsidP="00EF7B6D">
      <w:pPr>
        <w:spacing w:line="256" w:lineRule="auto"/>
        <w:jc w:val="both"/>
        <w:rPr>
          <w:rFonts w:eastAsia="Calibri" w:cs="Calibri"/>
          <w:highlight w:val="yellow"/>
          <w:lang w:val="en-GB"/>
        </w:rPr>
      </w:pPr>
    </w:p>
    <w:p w14:paraId="40F5C106" w14:textId="77777777" w:rsidR="00EF7B6D" w:rsidRDefault="00EF7B6D" w:rsidP="00EF7B6D">
      <w:pPr>
        <w:spacing w:line="256" w:lineRule="auto"/>
        <w:jc w:val="both"/>
        <w:rPr>
          <w:rFonts w:eastAsia="Calibri" w:cs="Times New Roman"/>
          <w:b/>
          <w:i/>
          <w:lang w:val="en-GB"/>
        </w:rPr>
      </w:pPr>
      <w:r>
        <w:rPr>
          <w:rFonts w:eastAsia="Calibri" w:cs="Times New Roman"/>
          <w:b/>
          <w:i/>
          <w:lang w:val="en-GB"/>
        </w:rPr>
        <w:t>A Force fit for the Future</w:t>
      </w:r>
    </w:p>
    <w:p w14:paraId="2EFACF02" w14:textId="77777777" w:rsidR="00EF7B6D" w:rsidRDefault="00EF7B6D" w:rsidP="00EF7B6D">
      <w:pPr>
        <w:spacing w:line="256" w:lineRule="auto"/>
        <w:jc w:val="both"/>
        <w:rPr>
          <w:rFonts w:eastAsia="Calibri" w:cs="Calibri"/>
          <w:highlight w:val="yellow"/>
          <w:lang w:val="en-GB"/>
        </w:rPr>
      </w:pPr>
    </w:p>
    <w:p w14:paraId="66E452AC" w14:textId="77777777" w:rsidR="00EF7B6D" w:rsidRDefault="00EF7B6D" w:rsidP="00EF7B6D">
      <w:pPr>
        <w:jc w:val="both"/>
        <w:rPr>
          <w:rFonts w:cs="Arial"/>
        </w:rPr>
      </w:pPr>
      <w:r>
        <w:rPr>
          <w:rFonts w:cs="Arial"/>
        </w:rPr>
        <w:t>The headline actions to achieve this priority are set out in the plan as follows:</w:t>
      </w:r>
    </w:p>
    <w:p w14:paraId="60446D3E" w14:textId="77777777" w:rsidR="00EF7B6D" w:rsidRDefault="00EF7B6D" w:rsidP="00EF7B6D">
      <w:pPr>
        <w:jc w:val="both"/>
        <w:rPr>
          <w:rFonts w:cs="Arial"/>
          <w:b/>
        </w:rPr>
      </w:pPr>
    </w:p>
    <w:p w14:paraId="3C1FDEC8" w14:textId="77777777" w:rsidR="00EF7B6D" w:rsidRDefault="00EF7B6D" w:rsidP="00EF7B6D">
      <w:pPr>
        <w:pStyle w:val="ListParagraph"/>
        <w:numPr>
          <w:ilvl w:val="0"/>
          <w:numId w:val="19"/>
        </w:numPr>
        <w:jc w:val="both"/>
        <w:rPr>
          <w:sz w:val="22"/>
        </w:rPr>
      </w:pPr>
      <w:r>
        <w:rPr>
          <w:sz w:val="22"/>
        </w:rPr>
        <w:t xml:space="preserve">Estates strategy </w:t>
      </w:r>
    </w:p>
    <w:p w14:paraId="2DB270C7" w14:textId="77777777" w:rsidR="00EF7B6D" w:rsidRDefault="00EF7B6D" w:rsidP="00EF7B6D">
      <w:pPr>
        <w:pStyle w:val="ListParagraph"/>
        <w:numPr>
          <w:ilvl w:val="0"/>
          <w:numId w:val="19"/>
        </w:numPr>
        <w:jc w:val="both"/>
        <w:rPr>
          <w:sz w:val="22"/>
        </w:rPr>
      </w:pPr>
      <w:r>
        <w:rPr>
          <w:sz w:val="22"/>
        </w:rPr>
        <w:t>Technology</w:t>
      </w:r>
    </w:p>
    <w:p w14:paraId="319D5F21" w14:textId="77777777" w:rsidR="00EF7B6D" w:rsidRDefault="00EF7B6D" w:rsidP="00EF7B6D">
      <w:pPr>
        <w:pStyle w:val="ListParagraph"/>
        <w:numPr>
          <w:ilvl w:val="0"/>
          <w:numId w:val="19"/>
        </w:numPr>
        <w:jc w:val="both"/>
        <w:rPr>
          <w:sz w:val="22"/>
        </w:rPr>
      </w:pPr>
      <w:r>
        <w:rPr>
          <w:sz w:val="22"/>
        </w:rPr>
        <w:t>Being an attractive employer</w:t>
      </w:r>
    </w:p>
    <w:p w14:paraId="7D5750D9" w14:textId="77777777" w:rsidR="00EF7B6D" w:rsidRDefault="00EF7B6D" w:rsidP="00EF7B6D">
      <w:pPr>
        <w:pStyle w:val="ListParagraph"/>
        <w:numPr>
          <w:ilvl w:val="0"/>
          <w:numId w:val="19"/>
        </w:numPr>
        <w:jc w:val="both"/>
        <w:rPr>
          <w:sz w:val="22"/>
        </w:rPr>
      </w:pPr>
      <w:r>
        <w:rPr>
          <w:sz w:val="22"/>
        </w:rPr>
        <w:t xml:space="preserve">Ability to meet future demands </w:t>
      </w:r>
    </w:p>
    <w:p w14:paraId="19C58933" w14:textId="77777777" w:rsidR="00EF7B6D" w:rsidRDefault="00EF7B6D" w:rsidP="00EF7B6D">
      <w:pPr>
        <w:jc w:val="both"/>
        <w:rPr>
          <w:rFonts w:cs="Arial"/>
          <w:b/>
        </w:rPr>
      </w:pPr>
    </w:p>
    <w:p w14:paraId="4A2D2073" w14:textId="77777777" w:rsidR="00EF7B6D" w:rsidRDefault="00EF7B6D" w:rsidP="00EF7B6D">
      <w:pPr>
        <w:jc w:val="both"/>
        <w:rPr>
          <w:rFonts w:cs="Arial"/>
          <w:color w:val="000000" w:themeColor="text1"/>
        </w:rPr>
      </w:pPr>
      <w:r>
        <w:rPr>
          <w:rFonts w:cs="Arial"/>
          <w:color w:val="000000" w:themeColor="text1"/>
        </w:rPr>
        <w:t xml:space="preserve">The Building the Future </w:t>
      </w:r>
      <w:r>
        <w:rPr>
          <w:rFonts w:cs="Arial"/>
          <w:b/>
          <w:color w:val="000000" w:themeColor="text1"/>
        </w:rPr>
        <w:t>estates strategy</w:t>
      </w:r>
      <w:r>
        <w:rPr>
          <w:rFonts w:cs="Arial"/>
          <w:color w:val="000000" w:themeColor="text1"/>
        </w:rPr>
        <w:t xml:space="preserve">, including the new HQ, continued to be developed with staff and public engagement events taking place during the year.  </w:t>
      </w:r>
    </w:p>
    <w:p w14:paraId="4042BB16" w14:textId="77777777" w:rsidR="00EF7B6D" w:rsidRDefault="00EF7B6D" w:rsidP="00EF7B6D">
      <w:pPr>
        <w:jc w:val="both"/>
        <w:rPr>
          <w:rFonts w:cs="Arial"/>
          <w:color w:val="000000" w:themeColor="text1"/>
        </w:rPr>
      </w:pPr>
    </w:p>
    <w:p w14:paraId="5B1016A1" w14:textId="77777777" w:rsidR="00EF7B6D" w:rsidRDefault="00EF7B6D" w:rsidP="00EF7B6D">
      <w:pPr>
        <w:jc w:val="both"/>
        <w:rPr>
          <w:rFonts w:cs="Arial"/>
          <w:color w:val="000000" w:themeColor="text1"/>
        </w:rPr>
      </w:pPr>
      <w:r>
        <w:rPr>
          <w:rFonts w:cs="Arial"/>
          <w:color w:val="000000" w:themeColor="text1"/>
        </w:rPr>
        <w:t xml:space="preserve">Significant investment was made in </w:t>
      </w:r>
      <w:r>
        <w:rPr>
          <w:rFonts w:cs="Arial"/>
          <w:b/>
          <w:color w:val="000000" w:themeColor="text1"/>
        </w:rPr>
        <w:t xml:space="preserve">Technology </w:t>
      </w:r>
      <w:r>
        <w:rPr>
          <w:rFonts w:cs="Arial"/>
          <w:color w:val="000000" w:themeColor="text1"/>
        </w:rPr>
        <w:t xml:space="preserve">through the year to encourage more agile working and more joined up systems. </w:t>
      </w:r>
    </w:p>
    <w:p w14:paraId="1340FDF3" w14:textId="77777777" w:rsidR="00EF7B6D" w:rsidRDefault="00EF7B6D" w:rsidP="00EF7B6D">
      <w:pPr>
        <w:jc w:val="both"/>
        <w:rPr>
          <w:rFonts w:cs="Arial"/>
          <w:color w:val="000000" w:themeColor="text1"/>
        </w:rPr>
      </w:pPr>
    </w:p>
    <w:p w14:paraId="3F5B167D" w14:textId="77777777" w:rsidR="00EF7B6D" w:rsidRDefault="00EF7B6D" w:rsidP="00EF7B6D">
      <w:pPr>
        <w:jc w:val="both"/>
        <w:rPr>
          <w:rFonts w:cs="Arial"/>
          <w:color w:val="000000" w:themeColor="text1"/>
        </w:rPr>
      </w:pPr>
      <w:r>
        <w:rPr>
          <w:rFonts w:cs="Arial"/>
          <w:color w:val="000000" w:themeColor="text1"/>
        </w:rPr>
        <w:t xml:space="preserve">The strategy to achieve </w:t>
      </w:r>
      <w:r>
        <w:rPr>
          <w:rFonts w:cs="Arial"/>
          <w:b/>
          <w:color w:val="000000" w:themeColor="text1"/>
        </w:rPr>
        <w:t>Net Zero Carbon</w:t>
      </w:r>
      <w:r>
        <w:rPr>
          <w:rFonts w:cs="Arial"/>
          <w:color w:val="000000" w:themeColor="text1"/>
        </w:rPr>
        <w:t xml:space="preserve"> emissions by 2030 is nearing completion, with local consultants assisting on what should be included in the strategy and the changes that need to take place over the next decade to achieve that target.  It is recognised that, as well as helping to tackle climate change and meeting future legislation changes, being an environmentally aware organisation is something that can assist in attracting future employees.</w:t>
      </w:r>
    </w:p>
    <w:p w14:paraId="247A90A1" w14:textId="77777777" w:rsidR="00EF7B6D" w:rsidRDefault="00EF7B6D" w:rsidP="00EF7B6D">
      <w:pPr>
        <w:jc w:val="both"/>
        <w:rPr>
          <w:rFonts w:cs="Arial"/>
          <w:color w:val="000000" w:themeColor="text1"/>
        </w:rPr>
      </w:pPr>
    </w:p>
    <w:p w14:paraId="0D0B3474" w14:textId="77777777" w:rsidR="00EF7B6D" w:rsidRDefault="00EF7B6D" w:rsidP="00EF7B6D">
      <w:pPr>
        <w:autoSpaceDE w:val="0"/>
        <w:autoSpaceDN w:val="0"/>
        <w:adjustRightInd w:val="0"/>
        <w:jc w:val="both"/>
        <w:rPr>
          <w:rFonts w:eastAsia="Calibri" w:cs="Verdana"/>
          <w:color w:val="000000"/>
          <w:lang w:val="en-GB"/>
        </w:rPr>
      </w:pPr>
      <w:r>
        <w:rPr>
          <w:rFonts w:eastAsia="Calibri" w:cs="Verdana"/>
          <w:color w:val="000000"/>
          <w:lang w:val="en-GB"/>
        </w:rPr>
        <w:t xml:space="preserve">Finally none of the programmes and results described in this Statement of Accounts could have been achieved without the dedication and professionalism of my team, police officers and police staff at all ranks and grades nor without the support and hard work of our partners and countless volunteers. </w:t>
      </w:r>
    </w:p>
    <w:p w14:paraId="01E7EFF4" w14:textId="77777777" w:rsidR="00EF7B6D" w:rsidRDefault="00EF7B6D" w:rsidP="00EF7B6D">
      <w:pPr>
        <w:autoSpaceDE w:val="0"/>
        <w:autoSpaceDN w:val="0"/>
        <w:adjustRightInd w:val="0"/>
        <w:jc w:val="both"/>
        <w:rPr>
          <w:rFonts w:eastAsia="Calibri" w:cs="Verdana"/>
          <w:color w:val="000000"/>
          <w:lang w:val="en-GB"/>
        </w:rPr>
      </w:pPr>
    </w:p>
    <w:p w14:paraId="39ED24C1" w14:textId="77777777" w:rsidR="00EF7B6D" w:rsidRDefault="00EF7B6D" w:rsidP="00EF7B6D">
      <w:pPr>
        <w:autoSpaceDE w:val="0"/>
        <w:autoSpaceDN w:val="0"/>
        <w:adjustRightInd w:val="0"/>
        <w:jc w:val="both"/>
        <w:rPr>
          <w:rFonts w:eastAsia="Calibri" w:cs="Verdana"/>
          <w:color w:val="000000"/>
          <w:lang w:val="en-GB"/>
        </w:rPr>
      </w:pPr>
      <w:r>
        <w:rPr>
          <w:rFonts w:eastAsia="Calibri" w:cs="Verdana"/>
          <w:color w:val="000000"/>
          <w:lang w:val="en-GB"/>
        </w:rPr>
        <w:t xml:space="preserve">The OPCC and the Force both work together to keep the county a safe place to live with a trusted police force that responds to resident’s concerns. </w:t>
      </w:r>
    </w:p>
    <w:p w14:paraId="59A7D409" w14:textId="77777777" w:rsidR="00EF7B6D" w:rsidRDefault="00EF7B6D" w:rsidP="00EF7B6D">
      <w:pPr>
        <w:spacing w:line="256" w:lineRule="auto"/>
        <w:jc w:val="both"/>
        <w:rPr>
          <w:rFonts w:eastAsia="Calibri" w:cs="Verdana"/>
          <w:color w:val="000000"/>
          <w:lang w:val="en-GB"/>
        </w:rPr>
      </w:pPr>
    </w:p>
    <w:p w14:paraId="167E3889" w14:textId="77777777" w:rsidR="00EF7B6D" w:rsidRDefault="00EF7B6D" w:rsidP="00EF7B6D">
      <w:pPr>
        <w:autoSpaceDE w:val="0"/>
        <w:autoSpaceDN w:val="0"/>
        <w:adjustRightInd w:val="0"/>
        <w:jc w:val="both"/>
        <w:rPr>
          <w:rFonts w:eastAsia="Calibri" w:cs="Verdana"/>
          <w:color w:val="000000"/>
          <w:lang w:val="en-GB"/>
        </w:rPr>
      </w:pPr>
      <w:r>
        <w:rPr>
          <w:rFonts w:eastAsia="Calibri" w:cs="Verdana"/>
          <w:color w:val="000000"/>
          <w:lang w:val="en-GB"/>
        </w:rPr>
        <w:t>I am sure that the new PCC will work tirelessly during the coming year to ensure that residents have a policing service they can continue to be proud of.</w:t>
      </w:r>
    </w:p>
    <w:p w14:paraId="034B9C64" w14:textId="77777777" w:rsidR="00EF7B6D" w:rsidRDefault="00EF7B6D" w:rsidP="00EF7B6D">
      <w:pPr>
        <w:jc w:val="both"/>
      </w:pPr>
    </w:p>
    <w:p w14:paraId="06BB59C9" w14:textId="77777777" w:rsidR="00EF7B6D" w:rsidRDefault="00EF7B6D" w:rsidP="00EF7B6D">
      <w:pPr>
        <w:jc w:val="both"/>
      </w:pPr>
    </w:p>
    <w:p w14:paraId="5C702300" w14:textId="77777777" w:rsidR="00EF7B6D" w:rsidRDefault="00EF7B6D" w:rsidP="00EF7B6D">
      <w:pPr>
        <w:jc w:val="both"/>
        <w:rPr>
          <w:rFonts w:cs="Verdana"/>
          <w:b/>
          <w:color w:val="000000"/>
        </w:rPr>
      </w:pPr>
      <w:r>
        <w:rPr>
          <w:rFonts w:cs="Verdana"/>
          <w:b/>
          <w:color w:val="000000"/>
        </w:rPr>
        <w:t>Alison Bolton</w:t>
      </w:r>
    </w:p>
    <w:p w14:paraId="54FBA390" w14:textId="77777777" w:rsidR="00EF7B6D" w:rsidRDefault="00EF7B6D" w:rsidP="00EF7B6D">
      <w:pPr>
        <w:jc w:val="both"/>
        <w:rPr>
          <w:rFonts w:cs="Verdana"/>
          <w:b/>
          <w:color w:val="000000"/>
        </w:rPr>
      </w:pPr>
      <w:r>
        <w:rPr>
          <w:rFonts w:cs="Verdana"/>
          <w:b/>
          <w:color w:val="000000"/>
        </w:rPr>
        <w:t>Chief Executive - Office of the Police and Crime Commissioner for Surrey</w:t>
      </w:r>
    </w:p>
    <w:p w14:paraId="0F73EDD4" w14:textId="68F9F664" w:rsidR="00EF7B6D" w:rsidRPr="00EF7B6D" w:rsidRDefault="00EF7B6D" w:rsidP="00D91109">
      <w:pPr>
        <w:pStyle w:val="Default"/>
        <w:jc w:val="both"/>
        <w:rPr>
          <w:rFonts w:ascii="Verdana" w:hAnsi="Verdana"/>
          <w:b/>
          <w:bCs/>
          <w:sz w:val="22"/>
          <w:szCs w:val="22"/>
        </w:rPr>
      </w:pPr>
    </w:p>
    <w:p w14:paraId="586E4D91" w14:textId="1AA29B74" w:rsidR="00EF7B6D" w:rsidRPr="00EF7B6D" w:rsidRDefault="00EF7B6D" w:rsidP="00D91109">
      <w:pPr>
        <w:pStyle w:val="Default"/>
        <w:jc w:val="both"/>
        <w:rPr>
          <w:rFonts w:ascii="Verdana" w:hAnsi="Verdana"/>
          <w:b/>
          <w:bCs/>
          <w:sz w:val="22"/>
          <w:szCs w:val="22"/>
        </w:rPr>
      </w:pPr>
    </w:p>
    <w:p w14:paraId="6B327A91" w14:textId="0A950D2E" w:rsidR="00EF7B6D" w:rsidRPr="00EF7B6D" w:rsidRDefault="00EF7B6D" w:rsidP="00D91109">
      <w:pPr>
        <w:pStyle w:val="Default"/>
        <w:jc w:val="both"/>
        <w:rPr>
          <w:rFonts w:ascii="Verdana" w:hAnsi="Verdana"/>
          <w:b/>
          <w:bCs/>
          <w:sz w:val="22"/>
          <w:szCs w:val="22"/>
        </w:rPr>
      </w:pPr>
    </w:p>
    <w:p w14:paraId="1CF16436" w14:textId="77777777" w:rsidR="00EF7B6D" w:rsidRDefault="00EF7B6D">
      <w:pPr>
        <w:rPr>
          <w:rFonts w:asciiTheme="majorHAnsi" w:eastAsiaTheme="majorEastAsia" w:hAnsiTheme="majorHAnsi" w:cstheme="majorBidi"/>
          <w:color w:val="2E74B5" w:themeColor="accent1" w:themeShade="BF"/>
          <w:sz w:val="32"/>
          <w:szCs w:val="32"/>
          <w:lang w:val="pt-BR" w:eastAsia="en-GB"/>
        </w:rPr>
      </w:pPr>
      <w:bookmarkStart w:id="2" w:name="_Toc71303803"/>
      <w:r>
        <w:rPr>
          <w:lang w:eastAsia="en-GB"/>
        </w:rPr>
        <w:br w:type="page"/>
      </w:r>
    </w:p>
    <w:p w14:paraId="7577D4F0" w14:textId="318380CF" w:rsidR="00EF7B6D" w:rsidRDefault="00EF7B6D" w:rsidP="00EF7B6D">
      <w:pPr>
        <w:pStyle w:val="Heading1"/>
        <w:rPr>
          <w:lang w:eastAsia="en-GB"/>
        </w:rPr>
      </w:pPr>
      <w:bookmarkStart w:id="3" w:name="_Toc75122761"/>
      <w:r>
        <w:rPr>
          <w:lang w:eastAsia="en-GB"/>
        </w:rPr>
        <w:t>Narrative Report</w:t>
      </w:r>
      <w:bookmarkEnd w:id="2"/>
      <w:bookmarkEnd w:id="3"/>
    </w:p>
    <w:p w14:paraId="1130E98F" w14:textId="77777777" w:rsidR="00EF7B6D" w:rsidRDefault="00EF7B6D" w:rsidP="00EF7B6D">
      <w:pPr>
        <w:rPr>
          <w:highlight w:val="yellow"/>
        </w:rPr>
      </w:pPr>
    </w:p>
    <w:p w14:paraId="1C7CDBDB" w14:textId="77777777" w:rsidR="00EF7B6D" w:rsidRDefault="00EF7B6D" w:rsidP="00EF7B6D">
      <w:pPr>
        <w:pStyle w:val="Style1"/>
        <w:numPr>
          <w:ilvl w:val="0"/>
          <w:numId w:val="8"/>
        </w:numPr>
        <w:ind w:left="360"/>
        <w:rPr>
          <w:rFonts w:ascii="Verdana" w:hAnsi="Verdana"/>
          <w:sz w:val="22"/>
          <w:szCs w:val="22"/>
        </w:rPr>
      </w:pPr>
      <w:bookmarkStart w:id="4" w:name="_Toc483386538"/>
      <w:r>
        <w:rPr>
          <w:rFonts w:ascii="Verdana" w:hAnsi="Verdana"/>
          <w:sz w:val="22"/>
          <w:szCs w:val="22"/>
        </w:rPr>
        <w:t>Introduction</w:t>
      </w:r>
      <w:bookmarkEnd w:id="4"/>
    </w:p>
    <w:p w14:paraId="7D0B3047" w14:textId="77777777" w:rsidR="00EF7B6D" w:rsidRDefault="00EF7B6D" w:rsidP="00EF7B6D"/>
    <w:p w14:paraId="31481E30" w14:textId="77777777" w:rsidR="00EF7B6D" w:rsidRDefault="00EF7B6D" w:rsidP="00EF7B6D">
      <w:pPr>
        <w:jc w:val="both"/>
      </w:pPr>
      <w:r>
        <w:t>The Statement of Accounts has been prepared in accordance with the requirements of the Chartered Institute of Public Finance and Accountancy (CIPFA), and sets out the overall financial position of the Police and Crime Commissioner for Surrey and the Group Accounts for the year ending 31 March 2021. The accounts have been prepared using the International Financial Reporting Standards (IFRS), in accordance with the Code of Practice on Local Authority Accounting in the United Kingdom 2020/21.</w:t>
      </w:r>
    </w:p>
    <w:p w14:paraId="36BADDCC" w14:textId="77777777" w:rsidR="00EF7B6D" w:rsidRDefault="00EF7B6D" w:rsidP="00EF7B6D">
      <w:pPr>
        <w:jc w:val="both"/>
      </w:pPr>
    </w:p>
    <w:p w14:paraId="39DBA417" w14:textId="77777777" w:rsidR="00EF7B6D" w:rsidRDefault="00EF7B6D" w:rsidP="00EF7B6D">
      <w:pPr>
        <w:jc w:val="both"/>
      </w:pPr>
      <w:r>
        <w:t>The Statement of Accounts aims to provide information so that members of the public, including electors and residents of Surrey, partners and stakeholders can:</w:t>
      </w:r>
    </w:p>
    <w:p w14:paraId="3A32DD0C" w14:textId="77777777" w:rsidR="00EF7B6D" w:rsidRDefault="00EF7B6D" w:rsidP="00EF7B6D">
      <w:pPr>
        <w:jc w:val="both"/>
      </w:pPr>
    </w:p>
    <w:p w14:paraId="4C56F544" w14:textId="77777777" w:rsidR="00EF7B6D" w:rsidRDefault="00EF7B6D" w:rsidP="00EF7B6D">
      <w:pPr>
        <w:pStyle w:val="ListParagraph"/>
        <w:numPr>
          <w:ilvl w:val="0"/>
          <w:numId w:val="20"/>
        </w:numPr>
        <w:jc w:val="both"/>
        <w:rPr>
          <w:sz w:val="22"/>
        </w:rPr>
      </w:pPr>
      <w:r>
        <w:rPr>
          <w:sz w:val="22"/>
        </w:rPr>
        <w:t>Understand the overarching financial position of the PCC (and the ‘PCC Group’ including Surrey Police);</w:t>
      </w:r>
    </w:p>
    <w:p w14:paraId="3F0C1EB9" w14:textId="77777777" w:rsidR="00EF7B6D" w:rsidRDefault="00EF7B6D" w:rsidP="00EF7B6D">
      <w:pPr>
        <w:pStyle w:val="ListParagraph"/>
        <w:numPr>
          <w:ilvl w:val="0"/>
          <w:numId w:val="20"/>
        </w:numPr>
        <w:jc w:val="both"/>
        <w:rPr>
          <w:sz w:val="22"/>
        </w:rPr>
      </w:pPr>
      <w:r>
        <w:rPr>
          <w:sz w:val="22"/>
        </w:rPr>
        <w:t>Have confidence that the PCC has spent public money wisely and has been accounted for in an appropriate manner;</w:t>
      </w:r>
    </w:p>
    <w:p w14:paraId="4F03840F" w14:textId="77777777" w:rsidR="00EF7B6D" w:rsidRDefault="00EF7B6D" w:rsidP="00EF7B6D">
      <w:pPr>
        <w:pStyle w:val="ListParagraph"/>
        <w:numPr>
          <w:ilvl w:val="0"/>
          <w:numId w:val="20"/>
        </w:numPr>
        <w:jc w:val="both"/>
        <w:rPr>
          <w:sz w:val="22"/>
        </w:rPr>
      </w:pPr>
      <w:r>
        <w:rPr>
          <w:sz w:val="22"/>
        </w:rPr>
        <w:t>Be assured that the financial position of the PCC (and Group) is sound and secure</w:t>
      </w:r>
    </w:p>
    <w:p w14:paraId="54EE2005" w14:textId="77777777" w:rsidR="00EF7B6D" w:rsidRDefault="00EF7B6D" w:rsidP="00EF7B6D">
      <w:pPr>
        <w:jc w:val="both"/>
      </w:pPr>
    </w:p>
    <w:p w14:paraId="4E4F4139" w14:textId="77777777" w:rsidR="00EF7B6D" w:rsidRDefault="00EF7B6D" w:rsidP="00EF7B6D">
      <w:pPr>
        <w:jc w:val="both"/>
      </w:pPr>
      <w:r>
        <w:t>The style and format of the accounts complies with CIPFA standards and is similar to that of previous years. The information contained within these accounts is presented as simply and clearly as possible, but by their nature are both technical and complex.</w:t>
      </w:r>
    </w:p>
    <w:p w14:paraId="518606A4" w14:textId="77777777" w:rsidR="00EF7B6D" w:rsidRDefault="00EF7B6D" w:rsidP="00EF7B6D">
      <w:pPr>
        <w:jc w:val="both"/>
      </w:pPr>
    </w:p>
    <w:p w14:paraId="1DB9A0BD" w14:textId="77777777" w:rsidR="00EF7B6D" w:rsidRDefault="00EF7B6D" w:rsidP="00EF7B6D">
      <w:pPr>
        <w:jc w:val="both"/>
      </w:pPr>
      <w:r>
        <w:t>This narrative report aims to help readers better understand the role of the PCC, and to assist in understanding and interpreting the accounts through an explanation and overview of the financial performance and activities during 2020/21.</w:t>
      </w:r>
    </w:p>
    <w:p w14:paraId="7558405C" w14:textId="77777777" w:rsidR="00EF7B6D" w:rsidRDefault="00EF7B6D" w:rsidP="00EF7B6D">
      <w:pPr>
        <w:rPr>
          <w:highlight w:val="yellow"/>
        </w:rPr>
      </w:pPr>
      <w:r>
        <w:rPr>
          <w:highlight w:val="yellow"/>
        </w:rPr>
        <w:t xml:space="preserve"> </w:t>
      </w:r>
    </w:p>
    <w:p w14:paraId="55A9F11F" w14:textId="77777777" w:rsidR="00EF7B6D" w:rsidRDefault="00EF7B6D" w:rsidP="00EF7B6D">
      <w:pPr>
        <w:pStyle w:val="Style1"/>
        <w:numPr>
          <w:ilvl w:val="0"/>
          <w:numId w:val="21"/>
        </w:numPr>
        <w:ind w:left="360"/>
        <w:rPr>
          <w:rFonts w:ascii="Verdana" w:hAnsi="Verdana"/>
          <w:sz w:val="22"/>
          <w:szCs w:val="22"/>
        </w:rPr>
      </w:pPr>
      <w:r>
        <w:rPr>
          <w:rFonts w:ascii="Verdana" w:hAnsi="Verdana"/>
          <w:sz w:val="22"/>
          <w:szCs w:val="22"/>
        </w:rPr>
        <w:t>Explanation of the PCC and Group</w:t>
      </w:r>
    </w:p>
    <w:p w14:paraId="73941B15" w14:textId="77777777" w:rsidR="00EF7B6D" w:rsidRDefault="00EF7B6D" w:rsidP="00EF7B6D">
      <w:pPr>
        <w:pStyle w:val="Style1"/>
        <w:ind w:left="360" w:firstLine="0"/>
        <w:rPr>
          <w:rFonts w:ascii="Verdana" w:hAnsi="Verdana"/>
          <w:sz w:val="22"/>
          <w:szCs w:val="22"/>
        </w:rPr>
      </w:pPr>
    </w:p>
    <w:p w14:paraId="13DFF941" w14:textId="77777777" w:rsidR="00EF7B6D" w:rsidRDefault="00EF7B6D" w:rsidP="00EF7B6D">
      <w:pPr>
        <w:jc w:val="both"/>
      </w:pPr>
      <w:r>
        <w:t>The Police &amp; Crime Commissioner (PCC) and the Chief Constable are established as separate legal entities or “Corporation Sole” bodies.</w:t>
      </w:r>
    </w:p>
    <w:p w14:paraId="1269F993" w14:textId="77777777" w:rsidR="00EF7B6D" w:rsidRDefault="00EF7B6D" w:rsidP="00EF7B6D">
      <w:pPr>
        <w:jc w:val="both"/>
      </w:pPr>
    </w:p>
    <w:p w14:paraId="06983068" w14:textId="77777777" w:rsidR="00EF7B6D" w:rsidRDefault="00EF7B6D" w:rsidP="00EF7B6D">
      <w:pPr>
        <w:jc w:val="both"/>
      </w:pPr>
      <w:r>
        <w:t>The PCC is usually elected by the public every four years to secure the maintenance of an efficient and effective police force and to hold the chief constable to account for the exercise of his functions and those of persons under his direction and control. However due to the Covid-19 pandemic the PCC elections scheduled for May 2020 were postponed until May 2021 thus extending the term of the PCC, which covers the period of these accounts, to 5 years.</w:t>
      </w:r>
    </w:p>
    <w:p w14:paraId="1785BB82" w14:textId="77777777" w:rsidR="00EF7B6D" w:rsidRDefault="00EF7B6D" w:rsidP="00EF7B6D">
      <w:pPr>
        <w:jc w:val="both"/>
      </w:pPr>
    </w:p>
    <w:p w14:paraId="007726C6" w14:textId="77777777" w:rsidR="00EF7B6D" w:rsidRDefault="00EF7B6D" w:rsidP="00EF7B6D">
      <w:pPr>
        <w:jc w:val="both"/>
      </w:pPr>
      <w:r>
        <w:t>The Chief Constable has a statutory responsibility for the control, direction and delivery of operational policing services in the Surrey Police area.</w:t>
      </w:r>
    </w:p>
    <w:p w14:paraId="76172469" w14:textId="77777777" w:rsidR="00EF7B6D" w:rsidRDefault="00EF7B6D" w:rsidP="00EF7B6D">
      <w:pPr>
        <w:jc w:val="both"/>
      </w:pPr>
    </w:p>
    <w:p w14:paraId="70DCCFF9" w14:textId="77777777" w:rsidR="00EF7B6D" w:rsidRDefault="00EF7B6D" w:rsidP="00EF7B6D">
      <w:pPr>
        <w:jc w:val="both"/>
      </w:pPr>
      <w:r>
        <w:t>This set of accounts focuses on those discrete activities which the PCC is directly responsible for, such as commissioning services for victims and witnesses of crime, as well as the “PCC Group” which includes all aspects of operational policing under the direction and control of the Chief Constable.</w:t>
      </w:r>
    </w:p>
    <w:p w14:paraId="62236430" w14:textId="77777777" w:rsidR="00EF7B6D" w:rsidRDefault="00EF7B6D" w:rsidP="00EF7B6D">
      <w:pPr>
        <w:jc w:val="both"/>
      </w:pPr>
    </w:p>
    <w:p w14:paraId="02C77276" w14:textId="77777777" w:rsidR="00EF7B6D" w:rsidRDefault="00EF7B6D" w:rsidP="00EF7B6D">
      <w:pPr>
        <w:jc w:val="both"/>
      </w:pPr>
      <w:r>
        <w:t>The Chief Constable has produced a separate set of accounts which explains how the resources provided by the PCC have been used to deliver operational policing services.</w:t>
      </w:r>
    </w:p>
    <w:p w14:paraId="387ED75C" w14:textId="77777777" w:rsidR="00EF7B6D" w:rsidRDefault="00EF7B6D" w:rsidP="00EF7B6D">
      <w:pPr>
        <w:jc w:val="both"/>
        <w:rPr>
          <w:highlight w:val="yellow"/>
        </w:rPr>
      </w:pPr>
    </w:p>
    <w:p w14:paraId="7518AAA1" w14:textId="77777777" w:rsidR="00EF7B6D" w:rsidRDefault="00EF7B6D" w:rsidP="00EF7B6D">
      <w:pPr>
        <w:jc w:val="both"/>
      </w:pPr>
      <w:r>
        <w:t>The Net Revenue Budget for the Group for 2020/21 was £250 million, of which £2.1 million was under the PCC’s direct control.</w:t>
      </w:r>
    </w:p>
    <w:p w14:paraId="4E56DAE6" w14:textId="77777777" w:rsidR="00EF7B6D" w:rsidRDefault="00EF7B6D" w:rsidP="00EF7B6D">
      <w:pPr>
        <w:jc w:val="both"/>
        <w:rPr>
          <w:highlight w:val="yellow"/>
        </w:rPr>
      </w:pPr>
    </w:p>
    <w:p w14:paraId="75187F7F" w14:textId="77777777" w:rsidR="00EF7B6D" w:rsidRDefault="00EF7B6D" w:rsidP="00EF7B6D">
      <w:pPr>
        <w:pStyle w:val="Style1"/>
        <w:numPr>
          <w:ilvl w:val="0"/>
          <w:numId w:val="21"/>
        </w:numPr>
        <w:ind w:left="360"/>
        <w:rPr>
          <w:rFonts w:ascii="Verdana" w:hAnsi="Verdana"/>
          <w:sz w:val="22"/>
          <w:szCs w:val="22"/>
        </w:rPr>
      </w:pPr>
      <w:r>
        <w:rPr>
          <w:rFonts w:ascii="Verdana" w:hAnsi="Verdana"/>
          <w:sz w:val="22"/>
          <w:szCs w:val="22"/>
        </w:rPr>
        <w:t>Introduction to Surrey</w:t>
      </w:r>
    </w:p>
    <w:p w14:paraId="47E01217" w14:textId="77777777" w:rsidR="00EF7B6D" w:rsidRDefault="00EF7B6D" w:rsidP="00EF7B6D">
      <w:pPr>
        <w:pStyle w:val="Style1"/>
        <w:ind w:left="360" w:firstLine="0"/>
        <w:rPr>
          <w:rFonts w:ascii="Verdana" w:hAnsi="Verdana"/>
          <w:sz w:val="22"/>
          <w:szCs w:val="22"/>
        </w:rPr>
      </w:pPr>
    </w:p>
    <w:p w14:paraId="7A22C602" w14:textId="77777777" w:rsidR="00EF7B6D" w:rsidRDefault="00EF7B6D" w:rsidP="00EF7B6D">
      <w:pPr>
        <w:spacing w:after="150"/>
        <w:jc w:val="both"/>
      </w:pPr>
      <w:r>
        <w:t>Surrey is a county in the South East of England, covering 644 square-miles, with one county council, 11 boroughs/districts and 6 major hospitals with A&amp;E departments. It has 62 miles of motorway, including the busiest M25 stretch. Surrey’s rivers include the Thames (notable flooding risk); the county is 73% greenbelt. Surrey borders the UK’s busiest two airports. It is the most densely populated county in South East England with a population of 1.2 million. The county borders London and prior to Covid many residents commute to the capital for work and in return residents of the capital travel to Surrey for recreation. Surrey contains many areas of outstanding natural beauty and is home to major sporting events – in particular the Epsom Derby which is the country’s largest one-day sporting event attracting over 100,000 racegoers each year.</w:t>
      </w:r>
    </w:p>
    <w:p w14:paraId="231329C6" w14:textId="77777777" w:rsidR="00EF7B6D" w:rsidRDefault="00EF7B6D" w:rsidP="00EF7B6D">
      <w:pPr>
        <w:jc w:val="both"/>
      </w:pPr>
      <w:r>
        <w:t>The Constabulary delivers a number of services in collaboration with other Police Forces across the south of England. The PCC and Constabulary are also part of a joint working arrangement with Sussex PCC and Constabulary for the provision of professional support services including finance, human resources, facilities management, ICT and across all four organisations. Internal audit is provided in partnership with Hampshire County Council.</w:t>
      </w:r>
    </w:p>
    <w:p w14:paraId="31364BE6" w14:textId="77777777" w:rsidR="00EF7B6D" w:rsidRDefault="00EF7B6D" w:rsidP="00EF7B6D">
      <w:pPr>
        <w:jc w:val="both"/>
      </w:pPr>
    </w:p>
    <w:p w14:paraId="0B0A8E86" w14:textId="77777777" w:rsidR="00EF7B6D" w:rsidRDefault="00EF7B6D" w:rsidP="00EF7B6D">
      <w:pPr>
        <w:pStyle w:val="Style1"/>
        <w:numPr>
          <w:ilvl w:val="0"/>
          <w:numId w:val="21"/>
        </w:numPr>
        <w:ind w:left="360"/>
        <w:rPr>
          <w:rFonts w:ascii="Verdana" w:hAnsi="Verdana"/>
          <w:sz w:val="22"/>
          <w:szCs w:val="22"/>
        </w:rPr>
      </w:pPr>
      <w:r>
        <w:rPr>
          <w:rFonts w:ascii="Verdana" w:hAnsi="Verdana"/>
          <w:sz w:val="22"/>
          <w:szCs w:val="22"/>
        </w:rPr>
        <w:t>The Police and Crime Commissioner (PCC)</w:t>
      </w:r>
    </w:p>
    <w:p w14:paraId="2F0A6799" w14:textId="77777777" w:rsidR="00EF7B6D" w:rsidRDefault="00EF7B6D" w:rsidP="00EF7B6D">
      <w:pPr>
        <w:jc w:val="both"/>
      </w:pPr>
    </w:p>
    <w:p w14:paraId="3D3525E9" w14:textId="77777777" w:rsidR="00EF7B6D" w:rsidRDefault="00EF7B6D" w:rsidP="00EF7B6D">
      <w:pPr>
        <w:jc w:val="both"/>
      </w:pPr>
      <w:r>
        <w:t>The core functions of the PCC for Surrey are to secure the maintenance of the police force for the area and to ensure that the police force is efficient and effective. Other key functions include:</w:t>
      </w:r>
    </w:p>
    <w:p w14:paraId="3AFC2081" w14:textId="77777777" w:rsidR="00EF7B6D" w:rsidRDefault="00EF7B6D" w:rsidP="00EF7B6D">
      <w:pPr>
        <w:jc w:val="both"/>
      </w:pPr>
    </w:p>
    <w:p w14:paraId="7577CBED" w14:textId="77777777" w:rsidR="00EF7B6D" w:rsidRDefault="00EF7B6D" w:rsidP="00EF7B6D">
      <w:pPr>
        <w:pStyle w:val="ListParagraph"/>
        <w:numPr>
          <w:ilvl w:val="0"/>
          <w:numId w:val="20"/>
        </w:numPr>
        <w:jc w:val="both"/>
        <w:rPr>
          <w:sz w:val="22"/>
        </w:rPr>
      </w:pPr>
      <w:r>
        <w:rPr>
          <w:sz w:val="22"/>
        </w:rPr>
        <w:t>Holding the Chief Constable to account</w:t>
      </w:r>
    </w:p>
    <w:p w14:paraId="0FD745DA" w14:textId="77777777" w:rsidR="00EF7B6D" w:rsidRDefault="00EF7B6D" w:rsidP="00EF7B6D">
      <w:pPr>
        <w:pStyle w:val="ListParagraph"/>
        <w:numPr>
          <w:ilvl w:val="0"/>
          <w:numId w:val="20"/>
        </w:numPr>
        <w:jc w:val="both"/>
        <w:rPr>
          <w:sz w:val="22"/>
        </w:rPr>
      </w:pPr>
      <w:r>
        <w:rPr>
          <w:sz w:val="22"/>
        </w:rPr>
        <w:t>Appointment / suspension / removal of the Chief Constable</w:t>
      </w:r>
    </w:p>
    <w:p w14:paraId="509F6E52" w14:textId="77777777" w:rsidR="00EF7B6D" w:rsidRDefault="00EF7B6D" w:rsidP="00EF7B6D">
      <w:pPr>
        <w:pStyle w:val="ListParagraph"/>
        <w:numPr>
          <w:ilvl w:val="0"/>
          <w:numId w:val="20"/>
        </w:numPr>
        <w:jc w:val="both"/>
        <w:rPr>
          <w:sz w:val="22"/>
        </w:rPr>
      </w:pPr>
      <w:r>
        <w:rPr>
          <w:sz w:val="22"/>
        </w:rPr>
        <w:t>Setting the priorities for the Force and producing the Police and Crime Plan</w:t>
      </w:r>
    </w:p>
    <w:p w14:paraId="0F582D7D" w14:textId="77777777" w:rsidR="00EF7B6D" w:rsidRDefault="00EF7B6D" w:rsidP="00EF7B6D">
      <w:pPr>
        <w:pStyle w:val="ListParagraph"/>
        <w:numPr>
          <w:ilvl w:val="0"/>
          <w:numId w:val="20"/>
        </w:numPr>
        <w:jc w:val="both"/>
        <w:rPr>
          <w:sz w:val="22"/>
        </w:rPr>
      </w:pPr>
      <w:r>
        <w:rPr>
          <w:sz w:val="22"/>
        </w:rPr>
        <w:t>Attending the Police and Crime Panel</w:t>
      </w:r>
    </w:p>
    <w:p w14:paraId="44D5C4E4" w14:textId="77777777" w:rsidR="00EF7B6D" w:rsidRDefault="00EF7B6D" w:rsidP="00EF7B6D">
      <w:pPr>
        <w:pStyle w:val="ListParagraph"/>
        <w:numPr>
          <w:ilvl w:val="0"/>
          <w:numId w:val="20"/>
        </w:numPr>
        <w:jc w:val="both"/>
        <w:rPr>
          <w:sz w:val="22"/>
        </w:rPr>
      </w:pPr>
      <w:r>
        <w:rPr>
          <w:sz w:val="22"/>
        </w:rPr>
        <w:t>Setting of the annual budget and Council Tax precept</w:t>
      </w:r>
    </w:p>
    <w:p w14:paraId="57EF264F" w14:textId="77777777" w:rsidR="00EF7B6D" w:rsidRDefault="00EF7B6D" w:rsidP="00EF7B6D">
      <w:pPr>
        <w:pStyle w:val="ListParagraph"/>
        <w:numPr>
          <w:ilvl w:val="0"/>
          <w:numId w:val="20"/>
        </w:numPr>
        <w:jc w:val="both"/>
        <w:rPr>
          <w:sz w:val="22"/>
        </w:rPr>
      </w:pPr>
      <w:r>
        <w:rPr>
          <w:sz w:val="22"/>
        </w:rPr>
        <w:t>Direct engagement with the public</w:t>
      </w:r>
    </w:p>
    <w:p w14:paraId="0C9D897B" w14:textId="77777777" w:rsidR="00EF7B6D" w:rsidRDefault="00EF7B6D" w:rsidP="00EF7B6D">
      <w:pPr>
        <w:pStyle w:val="ListParagraph"/>
        <w:numPr>
          <w:ilvl w:val="0"/>
          <w:numId w:val="20"/>
        </w:numPr>
        <w:jc w:val="both"/>
        <w:rPr>
          <w:sz w:val="22"/>
        </w:rPr>
      </w:pPr>
      <w:r>
        <w:rPr>
          <w:sz w:val="22"/>
        </w:rPr>
        <w:t>Publishing an annual report stating how priorities and targets have been met, and other information as specified by the Secretary of State to enable greater public awareness of police and crime performance in the area</w:t>
      </w:r>
    </w:p>
    <w:p w14:paraId="12AFF2ED" w14:textId="77777777" w:rsidR="00EF7B6D" w:rsidRDefault="00EF7B6D" w:rsidP="00EF7B6D">
      <w:pPr>
        <w:pStyle w:val="ListParagraph"/>
        <w:numPr>
          <w:ilvl w:val="0"/>
          <w:numId w:val="20"/>
        </w:numPr>
        <w:jc w:val="both"/>
        <w:rPr>
          <w:sz w:val="22"/>
        </w:rPr>
      </w:pPr>
      <w:r>
        <w:rPr>
          <w:sz w:val="22"/>
        </w:rPr>
        <w:t>Collaborating for an efficient and effective Criminal Justice System for Surrey with partners such as the Youth Offending Team, Crown Prosecution Service and Prison Service etc.</w:t>
      </w:r>
    </w:p>
    <w:p w14:paraId="03072D44" w14:textId="77777777" w:rsidR="00EF7B6D" w:rsidRDefault="00EF7B6D" w:rsidP="00EF7B6D">
      <w:pPr>
        <w:jc w:val="both"/>
      </w:pPr>
    </w:p>
    <w:p w14:paraId="456041E6" w14:textId="77777777" w:rsidR="00EF7B6D" w:rsidRDefault="00EF7B6D" w:rsidP="00EF7B6D">
      <w:pPr>
        <w:jc w:val="both"/>
      </w:pPr>
      <w:r>
        <w:t>The Commissioner is ultimately accountable to the electorate via the ballot box. A Police and Crime Panel (PCP) is also established under the Police Reform and Social Responsibility Act 2011 and is charged with scrutinising and supporting the work of the Commissioner. The Panel, however, cannot hold the Chief Constable to account.</w:t>
      </w:r>
    </w:p>
    <w:p w14:paraId="18CCF73E" w14:textId="77777777" w:rsidR="00EF7B6D" w:rsidRDefault="00EF7B6D" w:rsidP="00EF7B6D">
      <w:pPr>
        <w:jc w:val="both"/>
        <w:rPr>
          <w:highlight w:val="yellow"/>
        </w:rPr>
      </w:pPr>
    </w:p>
    <w:p w14:paraId="0A35B21C" w14:textId="77777777" w:rsidR="00EF7B6D" w:rsidRDefault="00EF7B6D" w:rsidP="00EF7B6D">
      <w:pPr>
        <w:jc w:val="both"/>
      </w:pPr>
      <w:r>
        <w:t>The PCP’s core functions include:</w:t>
      </w:r>
    </w:p>
    <w:p w14:paraId="48FE9292" w14:textId="77777777" w:rsidR="00EF7B6D" w:rsidRDefault="00EF7B6D" w:rsidP="00EF7B6D">
      <w:pPr>
        <w:jc w:val="both"/>
      </w:pPr>
    </w:p>
    <w:p w14:paraId="6949BFEE" w14:textId="77777777" w:rsidR="00EF7B6D" w:rsidRDefault="00EF7B6D" w:rsidP="00EF7B6D">
      <w:pPr>
        <w:pStyle w:val="ListParagraph"/>
        <w:numPr>
          <w:ilvl w:val="0"/>
          <w:numId w:val="20"/>
        </w:numPr>
        <w:jc w:val="both"/>
        <w:rPr>
          <w:sz w:val="22"/>
        </w:rPr>
      </w:pPr>
      <w:r>
        <w:rPr>
          <w:sz w:val="22"/>
        </w:rPr>
        <w:t>To review the draft Police and Crime Plan;</w:t>
      </w:r>
    </w:p>
    <w:p w14:paraId="4D5505F2" w14:textId="77777777" w:rsidR="00EF7B6D" w:rsidRDefault="00EF7B6D" w:rsidP="00EF7B6D">
      <w:pPr>
        <w:pStyle w:val="ListParagraph"/>
        <w:numPr>
          <w:ilvl w:val="0"/>
          <w:numId w:val="20"/>
        </w:numPr>
        <w:jc w:val="both"/>
        <w:rPr>
          <w:sz w:val="22"/>
        </w:rPr>
      </w:pPr>
      <w:r>
        <w:rPr>
          <w:sz w:val="22"/>
        </w:rPr>
        <w:t>To publicly scrutinise the Commissioner's Annual Report;</w:t>
      </w:r>
    </w:p>
    <w:p w14:paraId="51D1F1C0" w14:textId="77777777" w:rsidR="00EF7B6D" w:rsidRDefault="00EF7B6D" w:rsidP="00EF7B6D">
      <w:pPr>
        <w:pStyle w:val="ListParagraph"/>
        <w:numPr>
          <w:ilvl w:val="0"/>
          <w:numId w:val="20"/>
        </w:numPr>
        <w:jc w:val="both"/>
        <w:rPr>
          <w:sz w:val="22"/>
        </w:rPr>
      </w:pPr>
      <w:r>
        <w:rPr>
          <w:sz w:val="22"/>
        </w:rPr>
        <w:t>To review and scrutinise decisions and actions of the Commissioner;</w:t>
      </w:r>
    </w:p>
    <w:p w14:paraId="7E342E9C" w14:textId="77777777" w:rsidR="00EF7B6D" w:rsidRDefault="00EF7B6D" w:rsidP="00EF7B6D">
      <w:pPr>
        <w:pStyle w:val="ListParagraph"/>
        <w:numPr>
          <w:ilvl w:val="0"/>
          <w:numId w:val="22"/>
        </w:numPr>
        <w:jc w:val="both"/>
        <w:rPr>
          <w:sz w:val="22"/>
        </w:rPr>
      </w:pPr>
      <w:r>
        <w:rPr>
          <w:sz w:val="22"/>
        </w:rPr>
        <w:t>To review and have the power to veto the Commissioner's proposed Council Tax precept levels;</w:t>
      </w:r>
    </w:p>
    <w:p w14:paraId="32ED0B09" w14:textId="77777777" w:rsidR="00EF7B6D" w:rsidRDefault="00EF7B6D" w:rsidP="00EF7B6D">
      <w:pPr>
        <w:pStyle w:val="ListParagraph"/>
        <w:numPr>
          <w:ilvl w:val="0"/>
          <w:numId w:val="22"/>
        </w:numPr>
        <w:jc w:val="both"/>
        <w:rPr>
          <w:sz w:val="22"/>
        </w:rPr>
      </w:pPr>
      <w:r>
        <w:rPr>
          <w:sz w:val="22"/>
        </w:rPr>
        <w:t>To review the Commissioner’s Conduct – If the Commissioner is charged with a minimum of a 2-year imprisonable offence the PCP can suspend the Commissioner and make a report to the Independent Police Complaints Commission, however they cannot remove the Commissioner;</w:t>
      </w:r>
    </w:p>
    <w:p w14:paraId="4ACD358E" w14:textId="77777777" w:rsidR="00EF7B6D" w:rsidRDefault="00EF7B6D" w:rsidP="00EF7B6D">
      <w:pPr>
        <w:pStyle w:val="ListParagraph"/>
        <w:numPr>
          <w:ilvl w:val="0"/>
          <w:numId w:val="22"/>
        </w:numPr>
        <w:jc w:val="both"/>
        <w:rPr>
          <w:sz w:val="22"/>
        </w:rPr>
      </w:pPr>
      <w:r>
        <w:rPr>
          <w:sz w:val="22"/>
        </w:rPr>
        <w:t>To confirm the Chief Constable’s appointment;</w:t>
      </w:r>
    </w:p>
    <w:p w14:paraId="3D8C67E5" w14:textId="77777777" w:rsidR="00EF7B6D" w:rsidRDefault="00EF7B6D" w:rsidP="00EF7B6D">
      <w:pPr>
        <w:pStyle w:val="ListParagraph"/>
        <w:numPr>
          <w:ilvl w:val="0"/>
          <w:numId w:val="22"/>
        </w:numPr>
        <w:jc w:val="both"/>
        <w:rPr>
          <w:sz w:val="22"/>
        </w:rPr>
      </w:pPr>
      <w:r>
        <w:rPr>
          <w:sz w:val="22"/>
        </w:rPr>
        <w:t>To appoint an acting Commissioner, if required;</w:t>
      </w:r>
    </w:p>
    <w:p w14:paraId="4E7A97D4" w14:textId="77777777" w:rsidR="00EF7B6D" w:rsidRDefault="00EF7B6D" w:rsidP="00EF7B6D">
      <w:pPr>
        <w:jc w:val="both"/>
        <w:rPr>
          <w:highlight w:val="yellow"/>
        </w:rPr>
      </w:pPr>
    </w:p>
    <w:p w14:paraId="501F7F79" w14:textId="77777777" w:rsidR="00EF7B6D" w:rsidRDefault="00EF7B6D" w:rsidP="00EF7B6D">
      <w:pPr>
        <w:jc w:val="both"/>
      </w:pPr>
      <w:r>
        <w:t xml:space="preserve">The Police and Crime Panel work have set up a separate Finance Group to review the budget prior to precept setting.  </w:t>
      </w:r>
    </w:p>
    <w:p w14:paraId="636A2E87" w14:textId="77777777" w:rsidR="00EF7B6D" w:rsidRDefault="00EF7B6D" w:rsidP="00EF7B6D">
      <w:pPr>
        <w:jc w:val="both"/>
      </w:pPr>
    </w:p>
    <w:p w14:paraId="7B87EE9F" w14:textId="77777777" w:rsidR="00EF7B6D" w:rsidRDefault="00EF7B6D" w:rsidP="00EF7B6D">
      <w:pPr>
        <w:jc w:val="both"/>
      </w:pPr>
      <w:r>
        <w:t>The PCC has established a Joint Audit Committee with the Chief Constable. A new Chairman and a number of new members were appointed during the year. Its purpose is to provide independent advice on the adequacy of the corporate governance and risk management arrangements in place and the associated control environment, advising according to good governance principles and proper practices. More specifically, this includes the following terms of reference:-</w:t>
      </w:r>
    </w:p>
    <w:p w14:paraId="28DA3416" w14:textId="77777777" w:rsidR="00EF7B6D" w:rsidRDefault="00EF7B6D" w:rsidP="00EF7B6D">
      <w:pPr>
        <w:jc w:val="both"/>
      </w:pPr>
    </w:p>
    <w:p w14:paraId="560D003D" w14:textId="77777777" w:rsidR="00EF7B6D" w:rsidRDefault="00EF7B6D" w:rsidP="00EF7B6D">
      <w:pPr>
        <w:pStyle w:val="ListParagraph"/>
        <w:numPr>
          <w:ilvl w:val="0"/>
          <w:numId w:val="23"/>
        </w:numPr>
        <w:jc w:val="both"/>
        <w:rPr>
          <w:sz w:val="22"/>
        </w:rPr>
      </w:pPr>
      <w:r>
        <w:rPr>
          <w:sz w:val="22"/>
        </w:rPr>
        <w:t>Review the corporate governance arrangements against the good governance framework and consider annual governance reports and assurances</w:t>
      </w:r>
    </w:p>
    <w:p w14:paraId="4BCF129B" w14:textId="77777777" w:rsidR="00EF7B6D" w:rsidRDefault="00EF7B6D" w:rsidP="00EF7B6D">
      <w:pPr>
        <w:pStyle w:val="ListParagraph"/>
        <w:numPr>
          <w:ilvl w:val="0"/>
          <w:numId w:val="23"/>
        </w:numPr>
        <w:jc w:val="both"/>
        <w:rPr>
          <w:sz w:val="22"/>
        </w:rPr>
      </w:pPr>
      <w:r>
        <w:rPr>
          <w:sz w:val="22"/>
        </w:rPr>
        <w:t>Review the Annual Governance Statements (AGS) prior to approval and consider whether they properly reflect the governance, risk and control environment and supporting assurances and identify any actions required for improvement</w:t>
      </w:r>
    </w:p>
    <w:p w14:paraId="6209941B" w14:textId="77777777" w:rsidR="00EF7B6D" w:rsidRDefault="00EF7B6D" w:rsidP="00EF7B6D">
      <w:pPr>
        <w:pStyle w:val="ListParagraph"/>
        <w:numPr>
          <w:ilvl w:val="0"/>
          <w:numId w:val="23"/>
        </w:numPr>
        <w:jc w:val="both"/>
        <w:rPr>
          <w:sz w:val="22"/>
        </w:rPr>
      </w:pPr>
      <w:r>
        <w:rPr>
          <w:sz w:val="22"/>
        </w:rPr>
        <w:t>Consider the arrangements to secure value for money and review assurances and assessments on the effectiveness of these arrangements</w:t>
      </w:r>
    </w:p>
    <w:p w14:paraId="2483BACF" w14:textId="77777777" w:rsidR="00EF7B6D" w:rsidRDefault="00EF7B6D" w:rsidP="00EF7B6D">
      <w:pPr>
        <w:pStyle w:val="ListParagraph"/>
        <w:numPr>
          <w:ilvl w:val="0"/>
          <w:numId w:val="23"/>
        </w:numPr>
        <w:jc w:val="both"/>
        <w:rPr>
          <w:sz w:val="22"/>
        </w:rPr>
      </w:pPr>
      <w:r>
        <w:rPr>
          <w:sz w:val="22"/>
        </w:rPr>
        <w:t>Consider the framework of assurance and ensure that it adequately addresses the risks and priorities of the OPCC and the SC</w:t>
      </w:r>
    </w:p>
    <w:p w14:paraId="6CA2595C" w14:textId="77777777" w:rsidR="00EF7B6D" w:rsidRDefault="00EF7B6D" w:rsidP="00EF7B6D">
      <w:pPr>
        <w:pStyle w:val="ListParagraph"/>
        <w:numPr>
          <w:ilvl w:val="0"/>
          <w:numId w:val="23"/>
        </w:numPr>
        <w:jc w:val="both"/>
        <w:rPr>
          <w:sz w:val="22"/>
        </w:rPr>
      </w:pPr>
      <w:r>
        <w:rPr>
          <w:sz w:val="22"/>
        </w:rPr>
        <w:t>Monitor the effective development and operation of risk management, review the risk profile, and monitor progress of the PCC and the CC in addressing risk-related issues reported to them</w:t>
      </w:r>
    </w:p>
    <w:p w14:paraId="2B4B072C" w14:textId="77777777" w:rsidR="00EF7B6D" w:rsidRDefault="00EF7B6D" w:rsidP="00EF7B6D">
      <w:pPr>
        <w:pStyle w:val="ListParagraph"/>
        <w:numPr>
          <w:ilvl w:val="0"/>
          <w:numId w:val="23"/>
        </w:numPr>
        <w:jc w:val="both"/>
        <w:rPr>
          <w:sz w:val="22"/>
        </w:rPr>
      </w:pPr>
      <w:r>
        <w:rPr>
          <w:sz w:val="22"/>
        </w:rPr>
        <w:t>Consider reports on the effectiveness of internal controls and monitor the implementation of agreed actions</w:t>
      </w:r>
    </w:p>
    <w:p w14:paraId="785EFA6C" w14:textId="77777777" w:rsidR="00EF7B6D" w:rsidRDefault="00EF7B6D" w:rsidP="00EF7B6D">
      <w:pPr>
        <w:pStyle w:val="ListParagraph"/>
        <w:numPr>
          <w:ilvl w:val="0"/>
          <w:numId w:val="23"/>
        </w:numPr>
        <w:jc w:val="both"/>
        <w:rPr>
          <w:sz w:val="22"/>
        </w:rPr>
      </w:pPr>
      <w:r>
        <w:rPr>
          <w:sz w:val="22"/>
        </w:rPr>
        <w:t>Review anti-fraud arrangements (including whistleblowing procedures) and the assessment of fraud risks and potential harm from fraud and corruption and monitor the effectiveness of the counter-fraud strategy actions and resources</w:t>
      </w:r>
    </w:p>
    <w:p w14:paraId="6EBA0076" w14:textId="77777777" w:rsidR="00EF7B6D" w:rsidRDefault="00EF7B6D" w:rsidP="00EF7B6D">
      <w:pPr>
        <w:pStyle w:val="ListParagraph"/>
        <w:numPr>
          <w:ilvl w:val="0"/>
          <w:numId w:val="23"/>
        </w:numPr>
        <w:jc w:val="both"/>
        <w:rPr>
          <w:sz w:val="22"/>
        </w:rPr>
      </w:pPr>
      <w:r>
        <w:rPr>
          <w:sz w:val="22"/>
        </w:rPr>
        <w:t>Further consideration and advice in relation to Internal Audit, External Audit, Financial Reporting, Partnership Governance and Accountability Arrangements.</w:t>
      </w:r>
    </w:p>
    <w:p w14:paraId="70B09930" w14:textId="77777777" w:rsidR="00EF7B6D" w:rsidRDefault="00EF7B6D" w:rsidP="00EF7B6D">
      <w:pPr>
        <w:jc w:val="both"/>
        <w:rPr>
          <w:highlight w:val="yellow"/>
        </w:rPr>
      </w:pPr>
    </w:p>
    <w:p w14:paraId="41F1BD0D" w14:textId="77777777" w:rsidR="00EF7B6D" w:rsidRDefault="00EF7B6D" w:rsidP="00EF7B6D">
      <w:pPr>
        <w:autoSpaceDE w:val="0"/>
        <w:autoSpaceDN w:val="0"/>
        <w:adjustRightInd w:val="0"/>
        <w:jc w:val="both"/>
        <w:rPr>
          <w:rFonts w:cs="Arial"/>
          <w:color w:val="000000"/>
        </w:rPr>
      </w:pPr>
      <w:r>
        <w:rPr>
          <w:rFonts w:cs="Arial"/>
          <w:color w:val="000000"/>
        </w:rPr>
        <w:t>The Commissioner’s vision and priorities for policing and community safety across Surrey during the year covered by these statements is set out in the Police and Crime Plan. It has 6 themes as follows:</w:t>
      </w:r>
    </w:p>
    <w:p w14:paraId="71EE63E0" w14:textId="77777777" w:rsidR="00EF7B6D" w:rsidRDefault="00EF7B6D" w:rsidP="00EF7B6D">
      <w:pPr>
        <w:autoSpaceDE w:val="0"/>
        <w:autoSpaceDN w:val="0"/>
        <w:adjustRightInd w:val="0"/>
        <w:jc w:val="both"/>
        <w:rPr>
          <w:rFonts w:cs="Arial"/>
          <w:color w:val="000000"/>
        </w:rPr>
      </w:pPr>
    </w:p>
    <w:p w14:paraId="617A8581" w14:textId="77777777" w:rsidR="00EF7B6D" w:rsidRDefault="00EF7B6D" w:rsidP="00EF7B6D">
      <w:pPr>
        <w:pStyle w:val="ListParagraph"/>
        <w:numPr>
          <w:ilvl w:val="0"/>
          <w:numId w:val="24"/>
        </w:numPr>
        <w:autoSpaceDE w:val="0"/>
        <w:autoSpaceDN w:val="0"/>
        <w:adjustRightInd w:val="0"/>
        <w:rPr>
          <w:color w:val="000000"/>
          <w:sz w:val="22"/>
        </w:rPr>
      </w:pPr>
      <w:r>
        <w:rPr>
          <w:color w:val="000000"/>
          <w:sz w:val="22"/>
        </w:rPr>
        <w:t>Cutting Crime and Keeping Surrey Safe</w:t>
      </w:r>
    </w:p>
    <w:p w14:paraId="34608CE4" w14:textId="77777777" w:rsidR="00EF7B6D" w:rsidRDefault="00EF7B6D" w:rsidP="00EF7B6D">
      <w:pPr>
        <w:pStyle w:val="ListParagraph"/>
        <w:numPr>
          <w:ilvl w:val="0"/>
          <w:numId w:val="24"/>
        </w:numPr>
        <w:autoSpaceDE w:val="0"/>
        <w:autoSpaceDN w:val="0"/>
        <w:adjustRightInd w:val="0"/>
        <w:rPr>
          <w:color w:val="000000"/>
          <w:sz w:val="22"/>
        </w:rPr>
      </w:pPr>
      <w:r>
        <w:rPr>
          <w:color w:val="000000"/>
          <w:sz w:val="22"/>
        </w:rPr>
        <w:t>Building Confident Communities</w:t>
      </w:r>
    </w:p>
    <w:p w14:paraId="7709D74C" w14:textId="77777777" w:rsidR="00EF7B6D" w:rsidRDefault="00EF7B6D" w:rsidP="00EF7B6D">
      <w:pPr>
        <w:pStyle w:val="ListParagraph"/>
        <w:numPr>
          <w:ilvl w:val="0"/>
          <w:numId w:val="24"/>
        </w:numPr>
        <w:autoSpaceDE w:val="0"/>
        <w:autoSpaceDN w:val="0"/>
        <w:adjustRightInd w:val="0"/>
        <w:rPr>
          <w:color w:val="000000"/>
          <w:sz w:val="22"/>
        </w:rPr>
      </w:pPr>
      <w:r>
        <w:rPr>
          <w:color w:val="000000"/>
          <w:sz w:val="22"/>
        </w:rPr>
        <w:t>Supporting Victims</w:t>
      </w:r>
    </w:p>
    <w:p w14:paraId="4F9581F5" w14:textId="77777777" w:rsidR="00EF7B6D" w:rsidRDefault="00EF7B6D" w:rsidP="00EF7B6D">
      <w:pPr>
        <w:pStyle w:val="ListParagraph"/>
        <w:numPr>
          <w:ilvl w:val="0"/>
          <w:numId w:val="24"/>
        </w:numPr>
        <w:autoSpaceDE w:val="0"/>
        <w:autoSpaceDN w:val="0"/>
        <w:adjustRightInd w:val="0"/>
        <w:rPr>
          <w:color w:val="000000"/>
          <w:sz w:val="22"/>
        </w:rPr>
      </w:pPr>
      <w:r>
        <w:rPr>
          <w:color w:val="000000"/>
          <w:sz w:val="22"/>
        </w:rPr>
        <w:t>Preventing Harm</w:t>
      </w:r>
    </w:p>
    <w:p w14:paraId="35A77DE1" w14:textId="77777777" w:rsidR="00EF7B6D" w:rsidRDefault="00EF7B6D" w:rsidP="00EF7B6D">
      <w:pPr>
        <w:pStyle w:val="ListParagraph"/>
        <w:numPr>
          <w:ilvl w:val="0"/>
          <w:numId w:val="24"/>
        </w:numPr>
        <w:autoSpaceDE w:val="0"/>
        <w:autoSpaceDN w:val="0"/>
        <w:adjustRightInd w:val="0"/>
        <w:rPr>
          <w:color w:val="000000"/>
          <w:sz w:val="22"/>
        </w:rPr>
      </w:pPr>
      <w:r>
        <w:rPr>
          <w:color w:val="000000"/>
          <w:sz w:val="22"/>
        </w:rPr>
        <w:t>Making Every Pound Count</w:t>
      </w:r>
    </w:p>
    <w:p w14:paraId="7594ED76" w14:textId="77777777" w:rsidR="00EF7B6D" w:rsidRDefault="00EF7B6D" w:rsidP="00EF7B6D">
      <w:pPr>
        <w:pStyle w:val="ListParagraph"/>
        <w:numPr>
          <w:ilvl w:val="0"/>
          <w:numId w:val="24"/>
        </w:numPr>
        <w:autoSpaceDE w:val="0"/>
        <w:autoSpaceDN w:val="0"/>
        <w:adjustRightInd w:val="0"/>
        <w:rPr>
          <w:color w:val="000000"/>
          <w:sz w:val="22"/>
        </w:rPr>
      </w:pPr>
      <w:r>
        <w:rPr>
          <w:color w:val="000000"/>
          <w:sz w:val="22"/>
        </w:rPr>
        <w:t>A Force Fit for the Future</w:t>
      </w:r>
    </w:p>
    <w:p w14:paraId="6D66C811" w14:textId="77777777" w:rsidR="00EF7B6D" w:rsidRDefault="00EF7B6D" w:rsidP="00EF7B6D">
      <w:pPr>
        <w:autoSpaceDE w:val="0"/>
        <w:autoSpaceDN w:val="0"/>
        <w:adjustRightInd w:val="0"/>
        <w:rPr>
          <w:rFonts w:cs="Arial"/>
          <w:color w:val="000000"/>
        </w:rPr>
      </w:pPr>
    </w:p>
    <w:p w14:paraId="1B162C4A" w14:textId="77777777" w:rsidR="00EF7B6D" w:rsidRDefault="00EF7B6D" w:rsidP="00EF7B6D">
      <w:pPr>
        <w:autoSpaceDE w:val="0"/>
        <w:autoSpaceDN w:val="0"/>
        <w:adjustRightInd w:val="0"/>
        <w:jc w:val="both"/>
        <w:rPr>
          <w:rFonts w:cs="Arial"/>
          <w:color w:val="000000"/>
        </w:rPr>
      </w:pPr>
      <w:r>
        <w:rPr>
          <w:rFonts w:cs="Arial"/>
          <w:color w:val="000000"/>
        </w:rPr>
        <w:t xml:space="preserve">A full version can be found on the Surrey OPCC website at </w:t>
      </w:r>
      <w:hyperlink r:id="rId12" w:history="1">
        <w:r>
          <w:rPr>
            <w:rStyle w:val="Hyperlink"/>
            <w:rFonts w:cs="Arial"/>
          </w:rPr>
          <w:t>https://www.surrey-pcc.gov.uk/plan/</w:t>
        </w:r>
      </w:hyperlink>
      <w:r>
        <w:rPr>
          <w:rStyle w:val="Hyperlink"/>
          <w:rFonts w:cs="Arial"/>
        </w:rPr>
        <w:t xml:space="preserve">  </w:t>
      </w:r>
      <w:r>
        <w:rPr>
          <w:color w:val="000000"/>
        </w:rPr>
        <w:t>and an assessment as to how the PCC and Force has delivered on these objectives is included in the Preface to these accounts.</w:t>
      </w:r>
    </w:p>
    <w:p w14:paraId="3CADCCF4" w14:textId="77777777" w:rsidR="00EF7B6D" w:rsidRDefault="00EF7B6D" w:rsidP="00EF7B6D">
      <w:pPr>
        <w:autoSpaceDE w:val="0"/>
        <w:autoSpaceDN w:val="0"/>
        <w:adjustRightInd w:val="0"/>
        <w:jc w:val="both"/>
        <w:rPr>
          <w:rFonts w:cs="Arial"/>
          <w:color w:val="000000"/>
          <w:highlight w:val="yellow"/>
        </w:rPr>
      </w:pPr>
    </w:p>
    <w:p w14:paraId="729C7DB6" w14:textId="77777777" w:rsidR="00EF7B6D" w:rsidRDefault="00EF7B6D" w:rsidP="00EF7B6D">
      <w:pPr>
        <w:autoSpaceDE w:val="0"/>
        <w:autoSpaceDN w:val="0"/>
        <w:adjustRightInd w:val="0"/>
        <w:jc w:val="both"/>
        <w:rPr>
          <w:rFonts w:cs="Arial"/>
          <w:color w:val="000000"/>
          <w:highlight w:val="yellow"/>
        </w:rPr>
      </w:pPr>
    </w:p>
    <w:p w14:paraId="788F9D7C" w14:textId="77777777" w:rsidR="00EF7B6D" w:rsidRDefault="00EF7B6D" w:rsidP="00EF7B6D">
      <w:pPr>
        <w:rPr>
          <w:highlight w:val="yellow"/>
        </w:rPr>
      </w:pPr>
    </w:p>
    <w:p w14:paraId="38998D51" w14:textId="77777777" w:rsidR="00EF7B6D" w:rsidRDefault="00EF7B6D" w:rsidP="00EF7B6D">
      <w:pPr>
        <w:pStyle w:val="Style1"/>
        <w:numPr>
          <w:ilvl w:val="0"/>
          <w:numId w:val="21"/>
        </w:numPr>
        <w:ind w:left="360"/>
        <w:rPr>
          <w:rFonts w:ascii="Verdana" w:hAnsi="Verdana"/>
          <w:sz w:val="22"/>
          <w:szCs w:val="22"/>
        </w:rPr>
      </w:pPr>
      <w:r>
        <w:rPr>
          <w:rFonts w:ascii="Verdana" w:hAnsi="Verdana"/>
          <w:sz w:val="22"/>
          <w:szCs w:val="22"/>
        </w:rPr>
        <w:t>Role of the Chief Finance Officer</w:t>
      </w:r>
    </w:p>
    <w:p w14:paraId="75CF2C39" w14:textId="77777777" w:rsidR="00EF7B6D" w:rsidRDefault="00EF7B6D" w:rsidP="00EF7B6D"/>
    <w:p w14:paraId="27E071B5" w14:textId="77777777" w:rsidR="00EF7B6D" w:rsidRDefault="00EF7B6D" w:rsidP="00EF7B6D">
      <w:pPr>
        <w:jc w:val="both"/>
      </w:pPr>
      <w:r>
        <w:t>The Chief Finance Officer is the professional adviser on financial matters to the PCC. The Chief Finance Officer has certain statutory duties in relation to financial administration and stewardship. Statutory responsibilities include securing the production of and signing a statement that the Statement of Accounts provide a true and fair view of the financial position, maintaining financial standing and securing an adequate and effective internal audit function.</w:t>
      </w:r>
    </w:p>
    <w:p w14:paraId="6876EEEA" w14:textId="77777777" w:rsidR="00EF7B6D" w:rsidRDefault="00EF7B6D" w:rsidP="00EF7B6D">
      <w:pPr>
        <w:spacing w:after="160" w:line="254" w:lineRule="auto"/>
        <w:rPr>
          <w:rFonts w:eastAsia="Times New Roman" w:cs="Arial"/>
          <w:b/>
          <w:highlight w:val="yellow"/>
          <w:lang w:eastAsia="en-GB"/>
        </w:rPr>
      </w:pPr>
    </w:p>
    <w:p w14:paraId="35B86FC2" w14:textId="77777777" w:rsidR="00EF7B6D" w:rsidRDefault="00EF7B6D" w:rsidP="00EF7B6D">
      <w:pPr>
        <w:pStyle w:val="Style1"/>
        <w:numPr>
          <w:ilvl w:val="0"/>
          <w:numId w:val="21"/>
        </w:numPr>
        <w:ind w:left="360"/>
        <w:rPr>
          <w:rFonts w:ascii="Verdana" w:hAnsi="Verdana"/>
          <w:sz w:val="22"/>
          <w:szCs w:val="22"/>
        </w:rPr>
      </w:pPr>
      <w:r>
        <w:rPr>
          <w:rFonts w:ascii="Verdana" w:hAnsi="Verdana"/>
          <w:sz w:val="22"/>
          <w:szCs w:val="22"/>
        </w:rPr>
        <w:t>The PCC and Group’s Financial Performance</w:t>
      </w:r>
    </w:p>
    <w:p w14:paraId="7FA43CC4" w14:textId="77777777" w:rsidR="00EF7B6D" w:rsidRDefault="00EF7B6D" w:rsidP="00EF7B6D">
      <w:pPr>
        <w:pStyle w:val="Style1"/>
        <w:ind w:left="360" w:firstLine="0"/>
        <w:rPr>
          <w:rFonts w:ascii="Verdana" w:hAnsi="Verdana"/>
          <w:sz w:val="22"/>
          <w:szCs w:val="22"/>
        </w:rPr>
      </w:pPr>
    </w:p>
    <w:p w14:paraId="5ABC1C7E" w14:textId="77777777" w:rsidR="00EF7B6D" w:rsidRDefault="00EF7B6D" w:rsidP="00EF7B6D">
      <w:pPr>
        <w:pStyle w:val="ListParagraph"/>
        <w:numPr>
          <w:ilvl w:val="0"/>
          <w:numId w:val="0"/>
        </w:numPr>
        <w:autoSpaceDE w:val="0"/>
        <w:autoSpaceDN w:val="0"/>
        <w:adjustRightInd w:val="0"/>
        <w:rPr>
          <w:b/>
          <w:color w:val="000000"/>
          <w:sz w:val="22"/>
        </w:rPr>
      </w:pPr>
      <w:r>
        <w:rPr>
          <w:b/>
          <w:color w:val="000000"/>
          <w:sz w:val="22"/>
        </w:rPr>
        <w:t>Revenue Budget 2020/21</w:t>
      </w:r>
    </w:p>
    <w:p w14:paraId="7D9E002F" w14:textId="77777777" w:rsidR="00EF7B6D" w:rsidRDefault="00EF7B6D" w:rsidP="00EF7B6D">
      <w:pPr>
        <w:pStyle w:val="ListParagraph"/>
        <w:numPr>
          <w:ilvl w:val="0"/>
          <w:numId w:val="0"/>
        </w:numPr>
        <w:autoSpaceDE w:val="0"/>
        <w:autoSpaceDN w:val="0"/>
        <w:adjustRightInd w:val="0"/>
        <w:rPr>
          <w:color w:val="000000"/>
          <w:sz w:val="22"/>
        </w:rPr>
      </w:pPr>
    </w:p>
    <w:p w14:paraId="317A194A" w14:textId="77777777" w:rsidR="00EF7B6D" w:rsidRDefault="00EF7B6D" w:rsidP="00EF7B6D">
      <w:pPr>
        <w:pStyle w:val="ListParagraph"/>
        <w:numPr>
          <w:ilvl w:val="0"/>
          <w:numId w:val="0"/>
        </w:numPr>
        <w:autoSpaceDE w:val="0"/>
        <w:autoSpaceDN w:val="0"/>
        <w:adjustRightInd w:val="0"/>
        <w:jc w:val="both"/>
        <w:rPr>
          <w:color w:val="000000"/>
          <w:sz w:val="22"/>
        </w:rPr>
      </w:pPr>
      <w:r>
        <w:rPr>
          <w:color w:val="000000"/>
          <w:sz w:val="22"/>
        </w:rPr>
        <w:t>In February 2020, the Commissioner approved funding for a net revenue budget for 2020/21 for the Group of £235.1m, an increase of £14.9m on the previous year. This is shown in the table below:</w:t>
      </w:r>
    </w:p>
    <w:p w14:paraId="3428FC6F" w14:textId="77777777" w:rsidR="00EF7B6D" w:rsidRDefault="00EF7B6D" w:rsidP="00EF7B6D">
      <w:pPr>
        <w:pStyle w:val="ListParagraph"/>
        <w:numPr>
          <w:ilvl w:val="0"/>
          <w:numId w:val="0"/>
        </w:numPr>
        <w:autoSpaceDE w:val="0"/>
        <w:autoSpaceDN w:val="0"/>
        <w:adjustRightInd w:val="0"/>
        <w:jc w:val="both"/>
        <w:rPr>
          <w:color w:val="000000"/>
          <w:sz w:val="22"/>
          <w:highlight w:val="yellow"/>
        </w:rPr>
      </w:pPr>
    </w:p>
    <w:tbl>
      <w:tblPr>
        <w:tblW w:w="6534" w:type="dxa"/>
        <w:jc w:val="center"/>
        <w:tblLook w:val="04A0" w:firstRow="1" w:lastRow="0" w:firstColumn="1" w:lastColumn="0" w:noHBand="0" w:noVBand="1"/>
      </w:tblPr>
      <w:tblGrid>
        <w:gridCol w:w="1307"/>
        <w:gridCol w:w="3920"/>
        <w:gridCol w:w="1307"/>
      </w:tblGrid>
      <w:tr w:rsidR="00EF7B6D" w14:paraId="6CD717FA" w14:textId="77777777" w:rsidTr="00EF7B6D">
        <w:trPr>
          <w:trHeight w:val="612"/>
          <w:jc w:val="center"/>
        </w:trPr>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68EBEB" w14:textId="77777777" w:rsidR="00EF7B6D" w:rsidRDefault="00EF7B6D">
            <w:pPr>
              <w:spacing w:line="254" w:lineRule="auto"/>
              <w:jc w:val="center"/>
              <w:rPr>
                <w:b/>
              </w:rPr>
            </w:pPr>
            <w:r>
              <w:rPr>
                <w:b/>
              </w:rPr>
              <w:t>2019/20</w:t>
            </w:r>
            <w:r>
              <w:rPr>
                <w:b/>
              </w:rPr>
              <w:br/>
              <w:t>£m</w:t>
            </w:r>
          </w:p>
        </w:tc>
        <w:tc>
          <w:tcPr>
            <w:tcW w:w="3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2F55B0" w14:textId="77777777" w:rsidR="00EF7B6D" w:rsidRDefault="00EF7B6D">
            <w:pPr>
              <w:spacing w:line="254" w:lineRule="auto"/>
              <w:jc w:val="center"/>
              <w:rPr>
                <w:b/>
              </w:rPr>
            </w:pPr>
            <w:r>
              <w:rPr>
                <w:b/>
              </w:rPr>
              <w:t>Police Funding</w:t>
            </w:r>
          </w:p>
        </w:tc>
        <w:tc>
          <w:tcPr>
            <w:tcW w:w="1307" w:type="dxa"/>
            <w:tcBorders>
              <w:top w:val="single" w:sz="4" w:space="0" w:color="auto"/>
              <w:left w:val="nil"/>
              <w:bottom w:val="single" w:sz="4" w:space="0" w:color="auto"/>
              <w:right w:val="single" w:sz="4" w:space="0" w:color="auto"/>
            </w:tcBorders>
            <w:vAlign w:val="center"/>
            <w:hideMark/>
          </w:tcPr>
          <w:p w14:paraId="31F70712" w14:textId="77777777" w:rsidR="00EF7B6D" w:rsidRDefault="00EF7B6D">
            <w:pPr>
              <w:spacing w:line="254" w:lineRule="auto"/>
              <w:jc w:val="center"/>
              <w:rPr>
                <w:b/>
              </w:rPr>
            </w:pPr>
            <w:r>
              <w:rPr>
                <w:b/>
              </w:rPr>
              <w:t>2020/21</w:t>
            </w:r>
            <w:r>
              <w:rPr>
                <w:b/>
              </w:rPr>
              <w:br/>
              <w:t>£m</w:t>
            </w:r>
          </w:p>
        </w:tc>
      </w:tr>
      <w:tr w:rsidR="00EF7B6D" w14:paraId="4C89FA9F" w14:textId="77777777" w:rsidTr="00EF7B6D">
        <w:trPr>
          <w:trHeight w:val="282"/>
          <w:jc w:val="center"/>
        </w:trPr>
        <w:tc>
          <w:tcPr>
            <w:tcW w:w="1307" w:type="dxa"/>
            <w:tcBorders>
              <w:top w:val="nil"/>
              <w:left w:val="single" w:sz="4" w:space="0" w:color="auto"/>
              <w:bottom w:val="nil"/>
              <w:right w:val="single" w:sz="4" w:space="0" w:color="auto"/>
            </w:tcBorders>
            <w:shd w:val="clear" w:color="auto" w:fill="FFFFFF"/>
            <w:vAlign w:val="center"/>
            <w:hideMark/>
          </w:tcPr>
          <w:p w14:paraId="12BFB4E1" w14:textId="77777777" w:rsidR="00EF7B6D" w:rsidRDefault="00EF7B6D">
            <w:pPr>
              <w:spacing w:line="254" w:lineRule="auto"/>
              <w:jc w:val="right"/>
            </w:pPr>
            <w:r>
              <w:t xml:space="preserve">92.0  </w:t>
            </w:r>
          </w:p>
        </w:tc>
        <w:tc>
          <w:tcPr>
            <w:tcW w:w="3920" w:type="dxa"/>
            <w:tcBorders>
              <w:top w:val="nil"/>
              <w:left w:val="single" w:sz="4" w:space="0" w:color="auto"/>
              <w:bottom w:val="nil"/>
              <w:right w:val="single" w:sz="4" w:space="0" w:color="auto"/>
            </w:tcBorders>
            <w:shd w:val="clear" w:color="auto" w:fill="FFFFFF"/>
            <w:noWrap/>
            <w:vAlign w:val="center"/>
            <w:hideMark/>
          </w:tcPr>
          <w:p w14:paraId="5F8AD44F" w14:textId="77777777" w:rsidR="00EF7B6D" w:rsidRDefault="00EF7B6D">
            <w:pPr>
              <w:spacing w:line="254" w:lineRule="auto"/>
            </w:pPr>
            <w:r>
              <w:t>Home Office Police Grants</w:t>
            </w:r>
          </w:p>
        </w:tc>
        <w:tc>
          <w:tcPr>
            <w:tcW w:w="1307" w:type="dxa"/>
            <w:tcBorders>
              <w:top w:val="nil"/>
              <w:left w:val="nil"/>
              <w:bottom w:val="nil"/>
              <w:right w:val="single" w:sz="4" w:space="0" w:color="auto"/>
            </w:tcBorders>
            <w:shd w:val="clear" w:color="auto" w:fill="FFFFFF"/>
            <w:noWrap/>
            <w:vAlign w:val="center"/>
            <w:hideMark/>
          </w:tcPr>
          <w:p w14:paraId="6BFFB9DB" w14:textId="77777777" w:rsidR="00EF7B6D" w:rsidRDefault="00EF7B6D">
            <w:pPr>
              <w:spacing w:line="254" w:lineRule="auto"/>
              <w:jc w:val="right"/>
            </w:pPr>
            <w:r>
              <w:t xml:space="preserve">98.8  </w:t>
            </w:r>
          </w:p>
        </w:tc>
      </w:tr>
      <w:tr w:rsidR="00EF7B6D" w14:paraId="79204F52" w14:textId="77777777" w:rsidTr="00EF7B6D">
        <w:trPr>
          <w:trHeight w:val="282"/>
          <w:jc w:val="center"/>
        </w:trPr>
        <w:tc>
          <w:tcPr>
            <w:tcW w:w="1307" w:type="dxa"/>
            <w:tcBorders>
              <w:top w:val="nil"/>
              <w:left w:val="single" w:sz="4" w:space="0" w:color="auto"/>
              <w:bottom w:val="nil"/>
              <w:right w:val="single" w:sz="4" w:space="0" w:color="auto"/>
            </w:tcBorders>
            <w:shd w:val="clear" w:color="auto" w:fill="FFFFFF"/>
            <w:vAlign w:val="center"/>
            <w:hideMark/>
          </w:tcPr>
          <w:p w14:paraId="64608D89" w14:textId="77777777" w:rsidR="00EF7B6D" w:rsidRDefault="00EF7B6D">
            <w:pPr>
              <w:spacing w:line="254" w:lineRule="auto"/>
              <w:jc w:val="right"/>
            </w:pPr>
            <w:r>
              <w:t xml:space="preserve">9.2  </w:t>
            </w:r>
          </w:p>
        </w:tc>
        <w:tc>
          <w:tcPr>
            <w:tcW w:w="3920" w:type="dxa"/>
            <w:tcBorders>
              <w:top w:val="nil"/>
              <w:left w:val="single" w:sz="4" w:space="0" w:color="auto"/>
              <w:bottom w:val="nil"/>
              <w:right w:val="single" w:sz="4" w:space="0" w:color="auto"/>
            </w:tcBorders>
            <w:shd w:val="clear" w:color="auto" w:fill="FFFFFF"/>
            <w:noWrap/>
            <w:vAlign w:val="center"/>
            <w:hideMark/>
          </w:tcPr>
          <w:p w14:paraId="6722B08F" w14:textId="77777777" w:rsidR="00EF7B6D" w:rsidRDefault="00EF7B6D">
            <w:pPr>
              <w:spacing w:line="254" w:lineRule="auto"/>
            </w:pPr>
            <w:r>
              <w:t>Council Tax Grants</w:t>
            </w:r>
          </w:p>
        </w:tc>
        <w:tc>
          <w:tcPr>
            <w:tcW w:w="1307" w:type="dxa"/>
            <w:tcBorders>
              <w:top w:val="nil"/>
              <w:left w:val="nil"/>
              <w:bottom w:val="nil"/>
              <w:right w:val="single" w:sz="4" w:space="0" w:color="auto"/>
            </w:tcBorders>
            <w:shd w:val="clear" w:color="auto" w:fill="FFFFFF"/>
            <w:noWrap/>
            <w:vAlign w:val="center"/>
            <w:hideMark/>
          </w:tcPr>
          <w:p w14:paraId="38DC5E74" w14:textId="77777777" w:rsidR="00EF7B6D" w:rsidRDefault="00EF7B6D">
            <w:pPr>
              <w:spacing w:line="254" w:lineRule="auto"/>
              <w:jc w:val="right"/>
            </w:pPr>
            <w:r>
              <w:t xml:space="preserve">9.2  </w:t>
            </w:r>
          </w:p>
        </w:tc>
      </w:tr>
      <w:tr w:rsidR="00EF7B6D" w14:paraId="4BE538A0" w14:textId="77777777" w:rsidTr="00EF7B6D">
        <w:trPr>
          <w:trHeight w:val="282"/>
          <w:jc w:val="center"/>
        </w:trPr>
        <w:tc>
          <w:tcPr>
            <w:tcW w:w="1307" w:type="dxa"/>
            <w:tcBorders>
              <w:top w:val="nil"/>
              <w:left w:val="single" w:sz="4" w:space="0" w:color="auto"/>
              <w:bottom w:val="nil"/>
              <w:right w:val="single" w:sz="4" w:space="0" w:color="auto"/>
            </w:tcBorders>
            <w:shd w:val="clear" w:color="auto" w:fill="FFFFFF"/>
            <w:vAlign w:val="center"/>
            <w:hideMark/>
          </w:tcPr>
          <w:p w14:paraId="678FEC0E" w14:textId="77777777" w:rsidR="00EF7B6D" w:rsidRDefault="00EF7B6D">
            <w:pPr>
              <w:spacing w:line="254" w:lineRule="auto"/>
              <w:jc w:val="right"/>
            </w:pPr>
            <w:r>
              <w:t xml:space="preserve">2.0  </w:t>
            </w:r>
          </w:p>
        </w:tc>
        <w:tc>
          <w:tcPr>
            <w:tcW w:w="3920" w:type="dxa"/>
            <w:tcBorders>
              <w:top w:val="nil"/>
              <w:left w:val="single" w:sz="4" w:space="0" w:color="auto"/>
              <w:bottom w:val="nil"/>
              <w:right w:val="single" w:sz="4" w:space="0" w:color="auto"/>
            </w:tcBorders>
            <w:shd w:val="clear" w:color="auto" w:fill="FFFFFF"/>
            <w:noWrap/>
            <w:vAlign w:val="center"/>
            <w:hideMark/>
          </w:tcPr>
          <w:p w14:paraId="175FCB40" w14:textId="77777777" w:rsidR="00EF7B6D" w:rsidRDefault="00EF7B6D">
            <w:pPr>
              <w:spacing w:line="254" w:lineRule="auto"/>
            </w:pPr>
            <w:r>
              <w:t>Police Officer Pension Grant</w:t>
            </w:r>
          </w:p>
        </w:tc>
        <w:tc>
          <w:tcPr>
            <w:tcW w:w="1307" w:type="dxa"/>
            <w:tcBorders>
              <w:top w:val="nil"/>
              <w:left w:val="nil"/>
              <w:bottom w:val="nil"/>
              <w:right w:val="single" w:sz="4" w:space="0" w:color="auto"/>
            </w:tcBorders>
            <w:shd w:val="clear" w:color="auto" w:fill="FFFFFF"/>
            <w:noWrap/>
            <w:vAlign w:val="center"/>
            <w:hideMark/>
          </w:tcPr>
          <w:p w14:paraId="51051AE2" w14:textId="77777777" w:rsidR="00EF7B6D" w:rsidRDefault="00EF7B6D">
            <w:pPr>
              <w:spacing w:line="254" w:lineRule="auto"/>
              <w:jc w:val="right"/>
            </w:pPr>
            <w:r>
              <w:t xml:space="preserve">2.0  </w:t>
            </w:r>
          </w:p>
        </w:tc>
      </w:tr>
      <w:tr w:rsidR="00EF7B6D" w14:paraId="2C1067C7" w14:textId="77777777" w:rsidTr="00EF7B6D">
        <w:trPr>
          <w:trHeight w:val="282"/>
          <w:jc w:val="center"/>
        </w:trPr>
        <w:tc>
          <w:tcPr>
            <w:tcW w:w="1307" w:type="dxa"/>
            <w:tcBorders>
              <w:top w:val="nil"/>
              <w:left w:val="single" w:sz="4" w:space="0" w:color="auto"/>
              <w:bottom w:val="nil"/>
              <w:right w:val="single" w:sz="4" w:space="0" w:color="auto"/>
            </w:tcBorders>
            <w:shd w:val="clear" w:color="auto" w:fill="FFFFFF"/>
            <w:vAlign w:val="center"/>
            <w:hideMark/>
          </w:tcPr>
          <w:p w14:paraId="33BA3AE0" w14:textId="77777777" w:rsidR="00EF7B6D" w:rsidRDefault="00EF7B6D">
            <w:pPr>
              <w:spacing w:line="254" w:lineRule="auto"/>
              <w:jc w:val="right"/>
            </w:pPr>
            <w:r>
              <w:t>0.0</w:t>
            </w:r>
          </w:p>
        </w:tc>
        <w:tc>
          <w:tcPr>
            <w:tcW w:w="3920" w:type="dxa"/>
            <w:tcBorders>
              <w:top w:val="nil"/>
              <w:left w:val="single" w:sz="4" w:space="0" w:color="auto"/>
              <w:bottom w:val="nil"/>
              <w:right w:val="single" w:sz="4" w:space="0" w:color="auto"/>
            </w:tcBorders>
            <w:shd w:val="clear" w:color="auto" w:fill="FFFFFF"/>
            <w:noWrap/>
            <w:vAlign w:val="center"/>
            <w:hideMark/>
          </w:tcPr>
          <w:p w14:paraId="0A717AAC" w14:textId="77777777" w:rsidR="00EF7B6D" w:rsidRDefault="00EF7B6D">
            <w:pPr>
              <w:spacing w:line="254" w:lineRule="auto"/>
            </w:pPr>
            <w:r>
              <w:t>Operation Uplift Grant</w:t>
            </w:r>
          </w:p>
        </w:tc>
        <w:tc>
          <w:tcPr>
            <w:tcW w:w="1307" w:type="dxa"/>
            <w:tcBorders>
              <w:top w:val="nil"/>
              <w:left w:val="nil"/>
              <w:bottom w:val="nil"/>
              <w:right w:val="single" w:sz="4" w:space="0" w:color="auto"/>
            </w:tcBorders>
            <w:shd w:val="clear" w:color="auto" w:fill="FFFFFF"/>
            <w:noWrap/>
            <w:vAlign w:val="center"/>
            <w:hideMark/>
          </w:tcPr>
          <w:p w14:paraId="3E7BBD0D" w14:textId="77777777" w:rsidR="00EF7B6D" w:rsidRDefault="00EF7B6D">
            <w:pPr>
              <w:spacing w:line="254" w:lineRule="auto"/>
              <w:jc w:val="right"/>
            </w:pPr>
            <w:r>
              <w:t>2.2</w:t>
            </w:r>
          </w:p>
        </w:tc>
      </w:tr>
      <w:tr w:rsidR="00EF7B6D" w14:paraId="6F766D5D" w14:textId="77777777" w:rsidTr="00EF7B6D">
        <w:trPr>
          <w:trHeight w:val="120"/>
          <w:jc w:val="center"/>
        </w:trPr>
        <w:tc>
          <w:tcPr>
            <w:tcW w:w="1307" w:type="dxa"/>
            <w:tcBorders>
              <w:top w:val="nil"/>
              <w:left w:val="single" w:sz="4" w:space="0" w:color="auto"/>
              <w:bottom w:val="single" w:sz="4" w:space="0" w:color="auto"/>
              <w:right w:val="single" w:sz="4" w:space="0" w:color="auto"/>
            </w:tcBorders>
            <w:shd w:val="clear" w:color="auto" w:fill="FFFFFF"/>
            <w:vAlign w:val="center"/>
            <w:hideMark/>
          </w:tcPr>
          <w:p w14:paraId="0C69FEC9" w14:textId="77777777" w:rsidR="00EF7B6D" w:rsidRDefault="00EF7B6D">
            <w:pPr>
              <w:spacing w:line="254" w:lineRule="auto"/>
              <w:jc w:val="right"/>
              <w:rPr>
                <w:sz w:val="4"/>
                <w:szCs w:val="4"/>
              </w:rPr>
            </w:pPr>
            <w:r>
              <w:rPr>
                <w:sz w:val="4"/>
                <w:szCs w:val="4"/>
              </w:rPr>
              <w:t> </w:t>
            </w:r>
          </w:p>
        </w:tc>
        <w:tc>
          <w:tcPr>
            <w:tcW w:w="3920" w:type="dxa"/>
            <w:tcBorders>
              <w:top w:val="nil"/>
              <w:left w:val="single" w:sz="4" w:space="0" w:color="auto"/>
              <w:bottom w:val="single" w:sz="4" w:space="0" w:color="auto"/>
              <w:right w:val="single" w:sz="4" w:space="0" w:color="auto"/>
            </w:tcBorders>
            <w:shd w:val="clear" w:color="auto" w:fill="FFFFFF"/>
            <w:noWrap/>
            <w:vAlign w:val="center"/>
            <w:hideMark/>
          </w:tcPr>
          <w:p w14:paraId="59600F0E" w14:textId="77777777" w:rsidR="00EF7B6D" w:rsidRDefault="00EF7B6D">
            <w:pPr>
              <w:spacing w:line="254" w:lineRule="auto"/>
              <w:rPr>
                <w:sz w:val="4"/>
                <w:szCs w:val="4"/>
              </w:rPr>
            </w:pPr>
            <w:r>
              <w:rPr>
                <w:sz w:val="4"/>
                <w:szCs w:val="4"/>
              </w:rPr>
              <w:t> </w:t>
            </w:r>
          </w:p>
        </w:tc>
        <w:tc>
          <w:tcPr>
            <w:tcW w:w="1307" w:type="dxa"/>
            <w:tcBorders>
              <w:top w:val="nil"/>
              <w:left w:val="nil"/>
              <w:bottom w:val="single" w:sz="4" w:space="0" w:color="auto"/>
              <w:right w:val="single" w:sz="4" w:space="0" w:color="auto"/>
            </w:tcBorders>
            <w:shd w:val="clear" w:color="auto" w:fill="FFFFFF"/>
            <w:noWrap/>
            <w:vAlign w:val="center"/>
            <w:hideMark/>
          </w:tcPr>
          <w:p w14:paraId="552E621A" w14:textId="77777777" w:rsidR="00EF7B6D" w:rsidRDefault="00EF7B6D">
            <w:pPr>
              <w:spacing w:line="254" w:lineRule="auto"/>
              <w:jc w:val="right"/>
              <w:rPr>
                <w:sz w:val="4"/>
                <w:szCs w:val="4"/>
              </w:rPr>
            </w:pPr>
            <w:r>
              <w:rPr>
                <w:sz w:val="4"/>
                <w:szCs w:val="4"/>
              </w:rPr>
              <w:t> </w:t>
            </w:r>
          </w:p>
        </w:tc>
      </w:tr>
      <w:tr w:rsidR="00EF7B6D" w14:paraId="306DDCF8" w14:textId="77777777" w:rsidTr="00EF7B6D">
        <w:trPr>
          <w:trHeight w:val="282"/>
          <w:jc w:val="center"/>
        </w:trPr>
        <w:tc>
          <w:tcPr>
            <w:tcW w:w="1307" w:type="dxa"/>
            <w:tcBorders>
              <w:top w:val="nil"/>
              <w:left w:val="single" w:sz="4" w:space="0" w:color="auto"/>
              <w:bottom w:val="single" w:sz="4" w:space="0" w:color="auto"/>
              <w:right w:val="single" w:sz="4" w:space="0" w:color="auto"/>
            </w:tcBorders>
            <w:vAlign w:val="center"/>
            <w:hideMark/>
          </w:tcPr>
          <w:p w14:paraId="2D4E7489" w14:textId="77777777" w:rsidR="00EF7B6D" w:rsidRDefault="00EF7B6D">
            <w:pPr>
              <w:spacing w:line="254" w:lineRule="auto"/>
              <w:jc w:val="right"/>
              <w:rPr>
                <w:b/>
              </w:rPr>
            </w:pPr>
            <w:r>
              <w:rPr>
                <w:b/>
              </w:rPr>
              <w:t xml:space="preserve">103.2  </w:t>
            </w:r>
          </w:p>
        </w:tc>
        <w:tc>
          <w:tcPr>
            <w:tcW w:w="3920" w:type="dxa"/>
            <w:tcBorders>
              <w:top w:val="nil"/>
              <w:left w:val="single" w:sz="4" w:space="0" w:color="auto"/>
              <w:bottom w:val="single" w:sz="4" w:space="0" w:color="auto"/>
              <w:right w:val="single" w:sz="4" w:space="0" w:color="auto"/>
            </w:tcBorders>
            <w:noWrap/>
            <w:vAlign w:val="center"/>
            <w:hideMark/>
          </w:tcPr>
          <w:p w14:paraId="35D9670A" w14:textId="77777777" w:rsidR="00EF7B6D" w:rsidRDefault="00EF7B6D">
            <w:pPr>
              <w:spacing w:line="254" w:lineRule="auto"/>
              <w:rPr>
                <w:b/>
              </w:rPr>
            </w:pPr>
            <w:r>
              <w:rPr>
                <w:b/>
              </w:rPr>
              <w:t>Total Central Support</w:t>
            </w:r>
          </w:p>
        </w:tc>
        <w:tc>
          <w:tcPr>
            <w:tcW w:w="1307" w:type="dxa"/>
            <w:tcBorders>
              <w:top w:val="nil"/>
              <w:left w:val="nil"/>
              <w:bottom w:val="single" w:sz="4" w:space="0" w:color="auto"/>
              <w:right w:val="single" w:sz="4" w:space="0" w:color="auto"/>
            </w:tcBorders>
            <w:noWrap/>
            <w:vAlign w:val="center"/>
            <w:hideMark/>
          </w:tcPr>
          <w:p w14:paraId="7052B81B" w14:textId="77777777" w:rsidR="00EF7B6D" w:rsidRDefault="00EF7B6D">
            <w:pPr>
              <w:spacing w:line="254" w:lineRule="auto"/>
              <w:jc w:val="right"/>
              <w:rPr>
                <w:b/>
              </w:rPr>
            </w:pPr>
            <w:r>
              <w:rPr>
                <w:b/>
              </w:rPr>
              <w:t xml:space="preserve">112.2  </w:t>
            </w:r>
          </w:p>
        </w:tc>
      </w:tr>
      <w:tr w:rsidR="00EF7B6D" w14:paraId="3EE5FCAB" w14:textId="77777777" w:rsidTr="00EF7B6D">
        <w:trPr>
          <w:trHeight w:val="120"/>
          <w:jc w:val="center"/>
        </w:trPr>
        <w:tc>
          <w:tcPr>
            <w:tcW w:w="1307" w:type="dxa"/>
            <w:tcBorders>
              <w:top w:val="nil"/>
              <w:left w:val="single" w:sz="4" w:space="0" w:color="auto"/>
              <w:bottom w:val="nil"/>
              <w:right w:val="single" w:sz="4" w:space="0" w:color="auto"/>
            </w:tcBorders>
            <w:shd w:val="clear" w:color="auto" w:fill="FFFFFF"/>
            <w:vAlign w:val="center"/>
            <w:hideMark/>
          </w:tcPr>
          <w:p w14:paraId="01C2E4FF" w14:textId="77777777" w:rsidR="00EF7B6D" w:rsidRDefault="00EF7B6D">
            <w:pPr>
              <w:spacing w:line="254" w:lineRule="auto"/>
              <w:jc w:val="right"/>
            </w:pPr>
            <w:r>
              <w:t> </w:t>
            </w:r>
          </w:p>
        </w:tc>
        <w:tc>
          <w:tcPr>
            <w:tcW w:w="3920" w:type="dxa"/>
            <w:tcBorders>
              <w:top w:val="nil"/>
              <w:left w:val="single" w:sz="4" w:space="0" w:color="auto"/>
              <w:bottom w:val="nil"/>
              <w:right w:val="single" w:sz="4" w:space="0" w:color="auto"/>
            </w:tcBorders>
            <w:shd w:val="clear" w:color="auto" w:fill="FFFFFF"/>
            <w:noWrap/>
            <w:vAlign w:val="center"/>
            <w:hideMark/>
          </w:tcPr>
          <w:p w14:paraId="2CD7C861" w14:textId="77777777" w:rsidR="00EF7B6D" w:rsidRDefault="00EF7B6D">
            <w:pPr>
              <w:spacing w:line="254" w:lineRule="auto"/>
            </w:pPr>
            <w:r>
              <w:t> </w:t>
            </w:r>
          </w:p>
        </w:tc>
        <w:tc>
          <w:tcPr>
            <w:tcW w:w="1307" w:type="dxa"/>
            <w:tcBorders>
              <w:top w:val="nil"/>
              <w:left w:val="nil"/>
              <w:bottom w:val="nil"/>
              <w:right w:val="single" w:sz="4" w:space="0" w:color="auto"/>
            </w:tcBorders>
            <w:noWrap/>
            <w:vAlign w:val="center"/>
            <w:hideMark/>
          </w:tcPr>
          <w:p w14:paraId="6D2EFE7D" w14:textId="77777777" w:rsidR="00EF7B6D" w:rsidRDefault="00EF7B6D">
            <w:pPr>
              <w:spacing w:line="254" w:lineRule="auto"/>
              <w:jc w:val="right"/>
            </w:pPr>
            <w:r>
              <w:t> </w:t>
            </w:r>
          </w:p>
        </w:tc>
      </w:tr>
      <w:tr w:rsidR="00EF7B6D" w14:paraId="0CB694BA" w14:textId="77777777" w:rsidTr="00EF7B6D">
        <w:trPr>
          <w:trHeight w:val="282"/>
          <w:jc w:val="center"/>
        </w:trPr>
        <w:tc>
          <w:tcPr>
            <w:tcW w:w="1307" w:type="dxa"/>
            <w:tcBorders>
              <w:top w:val="nil"/>
              <w:left w:val="single" w:sz="4" w:space="0" w:color="auto"/>
              <w:bottom w:val="nil"/>
              <w:right w:val="single" w:sz="4" w:space="0" w:color="auto"/>
            </w:tcBorders>
            <w:shd w:val="clear" w:color="auto" w:fill="FFFFFF"/>
            <w:vAlign w:val="center"/>
            <w:hideMark/>
          </w:tcPr>
          <w:p w14:paraId="181AFE52" w14:textId="77777777" w:rsidR="00EF7B6D" w:rsidRDefault="00EF7B6D">
            <w:pPr>
              <w:spacing w:line="254" w:lineRule="auto"/>
              <w:jc w:val="right"/>
            </w:pPr>
            <w:r>
              <w:t xml:space="preserve">130.5  </w:t>
            </w:r>
          </w:p>
        </w:tc>
        <w:tc>
          <w:tcPr>
            <w:tcW w:w="3920" w:type="dxa"/>
            <w:tcBorders>
              <w:top w:val="nil"/>
              <w:left w:val="single" w:sz="4" w:space="0" w:color="auto"/>
              <w:bottom w:val="nil"/>
              <w:right w:val="single" w:sz="4" w:space="0" w:color="auto"/>
            </w:tcBorders>
            <w:shd w:val="clear" w:color="auto" w:fill="FFFFFF"/>
            <w:noWrap/>
            <w:vAlign w:val="center"/>
            <w:hideMark/>
          </w:tcPr>
          <w:p w14:paraId="5E9B4D3B" w14:textId="77777777" w:rsidR="00EF7B6D" w:rsidRDefault="00EF7B6D">
            <w:pPr>
              <w:spacing w:line="254" w:lineRule="auto"/>
            </w:pPr>
            <w:r>
              <w:t>Council Tax Precept</w:t>
            </w:r>
          </w:p>
        </w:tc>
        <w:tc>
          <w:tcPr>
            <w:tcW w:w="1307" w:type="dxa"/>
            <w:tcBorders>
              <w:top w:val="nil"/>
              <w:left w:val="nil"/>
              <w:bottom w:val="nil"/>
              <w:right w:val="single" w:sz="4" w:space="0" w:color="auto"/>
            </w:tcBorders>
            <w:shd w:val="clear" w:color="auto" w:fill="FFFFFF"/>
            <w:noWrap/>
            <w:vAlign w:val="center"/>
            <w:hideMark/>
          </w:tcPr>
          <w:p w14:paraId="06EEA82E" w14:textId="77777777" w:rsidR="00EF7B6D" w:rsidRDefault="00EF7B6D">
            <w:pPr>
              <w:spacing w:line="254" w:lineRule="auto"/>
              <w:jc w:val="right"/>
            </w:pPr>
            <w:r>
              <w:t xml:space="preserve">137.0  </w:t>
            </w:r>
          </w:p>
        </w:tc>
      </w:tr>
      <w:tr w:rsidR="00EF7B6D" w14:paraId="23BFAE6E" w14:textId="77777777" w:rsidTr="00EF7B6D">
        <w:trPr>
          <w:trHeight w:val="282"/>
          <w:jc w:val="center"/>
        </w:trPr>
        <w:tc>
          <w:tcPr>
            <w:tcW w:w="1307" w:type="dxa"/>
            <w:tcBorders>
              <w:top w:val="nil"/>
              <w:left w:val="single" w:sz="4" w:space="0" w:color="auto"/>
              <w:bottom w:val="nil"/>
              <w:right w:val="single" w:sz="4" w:space="0" w:color="auto"/>
            </w:tcBorders>
            <w:shd w:val="clear" w:color="auto" w:fill="FFFFFF"/>
            <w:vAlign w:val="center"/>
            <w:hideMark/>
          </w:tcPr>
          <w:p w14:paraId="537456E5" w14:textId="77777777" w:rsidR="00EF7B6D" w:rsidRDefault="00EF7B6D">
            <w:pPr>
              <w:spacing w:line="254" w:lineRule="auto"/>
              <w:jc w:val="right"/>
            </w:pPr>
            <w:r>
              <w:t xml:space="preserve">0.3  </w:t>
            </w:r>
          </w:p>
        </w:tc>
        <w:tc>
          <w:tcPr>
            <w:tcW w:w="3920" w:type="dxa"/>
            <w:tcBorders>
              <w:top w:val="nil"/>
              <w:left w:val="single" w:sz="4" w:space="0" w:color="auto"/>
              <w:bottom w:val="nil"/>
              <w:right w:val="single" w:sz="4" w:space="0" w:color="auto"/>
            </w:tcBorders>
            <w:shd w:val="clear" w:color="auto" w:fill="FFFFFF"/>
            <w:noWrap/>
            <w:vAlign w:val="center"/>
            <w:hideMark/>
          </w:tcPr>
          <w:p w14:paraId="3136794B" w14:textId="77777777" w:rsidR="00EF7B6D" w:rsidRDefault="00EF7B6D">
            <w:pPr>
              <w:spacing w:line="254" w:lineRule="auto"/>
            </w:pPr>
            <w:r>
              <w:t>Collection Fund surplus</w:t>
            </w:r>
          </w:p>
        </w:tc>
        <w:tc>
          <w:tcPr>
            <w:tcW w:w="1307" w:type="dxa"/>
            <w:tcBorders>
              <w:top w:val="nil"/>
              <w:left w:val="nil"/>
              <w:bottom w:val="nil"/>
              <w:right w:val="single" w:sz="4" w:space="0" w:color="auto"/>
            </w:tcBorders>
            <w:shd w:val="clear" w:color="auto" w:fill="FFFFFF"/>
            <w:noWrap/>
            <w:vAlign w:val="center"/>
            <w:hideMark/>
          </w:tcPr>
          <w:p w14:paraId="11D7ED84" w14:textId="77777777" w:rsidR="00EF7B6D" w:rsidRDefault="00EF7B6D">
            <w:pPr>
              <w:spacing w:line="254" w:lineRule="auto"/>
              <w:jc w:val="right"/>
            </w:pPr>
            <w:r>
              <w:t xml:space="preserve">0.8  </w:t>
            </w:r>
          </w:p>
        </w:tc>
      </w:tr>
      <w:tr w:rsidR="00EF7B6D" w14:paraId="7538AB8B" w14:textId="77777777" w:rsidTr="00EF7B6D">
        <w:trPr>
          <w:trHeight w:val="282"/>
          <w:jc w:val="center"/>
        </w:trPr>
        <w:tc>
          <w:tcPr>
            <w:tcW w:w="1307" w:type="dxa"/>
            <w:tcBorders>
              <w:top w:val="nil"/>
              <w:left w:val="single" w:sz="4" w:space="0" w:color="auto"/>
              <w:bottom w:val="nil"/>
              <w:right w:val="single" w:sz="4" w:space="0" w:color="auto"/>
            </w:tcBorders>
            <w:shd w:val="clear" w:color="auto" w:fill="FFFFFF"/>
            <w:vAlign w:val="center"/>
            <w:hideMark/>
          </w:tcPr>
          <w:p w14:paraId="0B9384C3" w14:textId="77777777" w:rsidR="00EF7B6D" w:rsidRDefault="00EF7B6D">
            <w:pPr>
              <w:spacing w:line="254" w:lineRule="auto"/>
              <w:jc w:val="right"/>
            </w:pPr>
            <w:r>
              <w:t xml:space="preserve">1.1 </w:t>
            </w:r>
          </w:p>
        </w:tc>
        <w:tc>
          <w:tcPr>
            <w:tcW w:w="3920" w:type="dxa"/>
            <w:tcBorders>
              <w:top w:val="nil"/>
              <w:left w:val="single" w:sz="4" w:space="0" w:color="auto"/>
              <w:bottom w:val="nil"/>
              <w:right w:val="single" w:sz="4" w:space="0" w:color="auto"/>
            </w:tcBorders>
            <w:shd w:val="clear" w:color="auto" w:fill="FFFFFF"/>
            <w:noWrap/>
            <w:vAlign w:val="center"/>
            <w:hideMark/>
          </w:tcPr>
          <w:p w14:paraId="3558D54D" w14:textId="77777777" w:rsidR="00EF7B6D" w:rsidRDefault="00EF7B6D">
            <w:pPr>
              <w:spacing w:line="254" w:lineRule="auto"/>
            </w:pPr>
            <w:r>
              <w:t>General Reserves</w:t>
            </w:r>
          </w:p>
        </w:tc>
        <w:tc>
          <w:tcPr>
            <w:tcW w:w="1307" w:type="dxa"/>
            <w:tcBorders>
              <w:top w:val="nil"/>
              <w:left w:val="nil"/>
              <w:bottom w:val="nil"/>
              <w:right w:val="single" w:sz="4" w:space="0" w:color="auto"/>
            </w:tcBorders>
            <w:shd w:val="clear" w:color="auto" w:fill="FFFFFF"/>
            <w:noWrap/>
            <w:vAlign w:val="center"/>
            <w:hideMark/>
          </w:tcPr>
          <w:p w14:paraId="2BFBC81C" w14:textId="77777777" w:rsidR="00EF7B6D" w:rsidRDefault="00EF7B6D">
            <w:pPr>
              <w:spacing w:line="254" w:lineRule="auto"/>
              <w:jc w:val="right"/>
            </w:pPr>
            <w:r>
              <w:t xml:space="preserve">0.0  </w:t>
            </w:r>
          </w:p>
        </w:tc>
      </w:tr>
      <w:tr w:rsidR="00EF7B6D" w14:paraId="6F33D357" w14:textId="77777777" w:rsidTr="00EF7B6D">
        <w:trPr>
          <w:trHeight w:val="120"/>
          <w:jc w:val="center"/>
        </w:trPr>
        <w:tc>
          <w:tcPr>
            <w:tcW w:w="1307" w:type="dxa"/>
            <w:tcBorders>
              <w:top w:val="nil"/>
              <w:left w:val="single" w:sz="4" w:space="0" w:color="auto"/>
              <w:bottom w:val="single" w:sz="4" w:space="0" w:color="auto"/>
              <w:right w:val="single" w:sz="4" w:space="0" w:color="auto"/>
            </w:tcBorders>
            <w:shd w:val="clear" w:color="auto" w:fill="FFFFFF"/>
            <w:vAlign w:val="center"/>
            <w:hideMark/>
          </w:tcPr>
          <w:p w14:paraId="1A19D761" w14:textId="77777777" w:rsidR="00EF7B6D" w:rsidRDefault="00EF7B6D">
            <w:pPr>
              <w:spacing w:line="254" w:lineRule="auto"/>
              <w:jc w:val="right"/>
              <w:rPr>
                <w:sz w:val="4"/>
                <w:szCs w:val="4"/>
              </w:rPr>
            </w:pPr>
            <w:r>
              <w:rPr>
                <w:sz w:val="4"/>
                <w:szCs w:val="4"/>
              </w:rPr>
              <w:t> </w:t>
            </w:r>
          </w:p>
        </w:tc>
        <w:tc>
          <w:tcPr>
            <w:tcW w:w="3920" w:type="dxa"/>
            <w:tcBorders>
              <w:top w:val="nil"/>
              <w:left w:val="single" w:sz="4" w:space="0" w:color="auto"/>
              <w:bottom w:val="single" w:sz="4" w:space="0" w:color="auto"/>
              <w:right w:val="single" w:sz="4" w:space="0" w:color="auto"/>
            </w:tcBorders>
            <w:shd w:val="clear" w:color="auto" w:fill="FFFFFF"/>
            <w:noWrap/>
            <w:vAlign w:val="center"/>
            <w:hideMark/>
          </w:tcPr>
          <w:p w14:paraId="6C685CA8" w14:textId="77777777" w:rsidR="00EF7B6D" w:rsidRDefault="00EF7B6D">
            <w:pPr>
              <w:spacing w:line="254" w:lineRule="auto"/>
              <w:rPr>
                <w:sz w:val="4"/>
                <w:szCs w:val="4"/>
              </w:rPr>
            </w:pPr>
            <w:r>
              <w:rPr>
                <w:sz w:val="4"/>
                <w:szCs w:val="4"/>
              </w:rPr>
              <w:t> </w:t>
            </w:r>
          </w:p>
        </w:tc>
        <w:tc>
          <w:tcPr>
            <w:tcW w:w="1307" w:type="dxa"/>
            <w:tcBorders>
              <w:top w:val="nil"/>
              <w:left w:val="nil"/>
              <w:bottom w:val="single" w:sz="4" w:space="0" w:color="auto"/>
              <w:right w:val="single" w:sz="4" w:space="0" w:color="auto"/>
            </w:tcBorders>
            <w:shd w:val="clear" w:color="auto" w:fill="FFFFFF"/>
            <w:noWrap/>
            <w:vAlign w:val="center"/>
            <w:hideMark/>
          </w:tcPr>
          <w:p w14:paraId="7AB7909D" w14:textId="77777777" w:rsidR="00EF7B6D" w:rsidRDefault="00EF7B6D">
            <w:pPr>
              <w:spacing w:line="254" w:lineRule="auto"/>
              <w:jc w:val="right"/>
              <w:rPr>
                <w:sz w:val="4"/>
                <w:szCs w:val="4"/>
              </w:rPr>
            </w:pPr>
            <w:r>
              <w:rPr>
                <w:sz w:val="4"/>
                <w:szCs w:val="4"/>
              </w:rPr>
              <w:t> </w:t>
            </w:r>
          </w:p>
        </w:tc>
      </w:tr>
      <w:tr w:rsidR="00EF7B6D" w14:paraId="1C478D68" w14:textId="77777777" w:rsidTr="00EF7B6D">
        <w:trPr>
          <w:trHeight w:val="282"/>
          <w:jc w:val="center"/>
        </w:trPr>
        <w:tc>
          <w:tcPr>
            <w:tcW w:w="1307" w:type="dxa"/>
            <w:tcBorders>
              <w:top w:val="nil"/>
              <w:left w:val="single" w:sz="4" w:space="0" w:color="auto"/>
              <w:bottom w:val="single" w:sz="4" w:space="0" w:color="auto"/>
              <w:right w:val="single" w:sz="4" w:space="0" w:color="auto"/>
            </w:tcBorders>
            <w:vAlign w:val="center"/>
            <w:hideMark/>
          </w:tcPr>
          <w:p w14:paraId="323F97A2" w14:textId="77777777" w:rsidR="00EF7B6D" w:rsidRDefault="00EF7B6D">
            <w:pPr>
              <w:spacing w:line="254" w:lineRule="auto"/>
              <w:jc w:val="right"/>
              <w:rPr>
                <w:b/>
              </w:rPr>
            </w:pPr>
            <w:r>
              <w:rPr>
                <w:b/>
              </w:rPr>
              <w:t>131.9</w:t>
            </w:r>
          </w:p>
        </w:tc>
        <w:tc>
          <w:tcPr>
            <w:tcW w:w="3920" w:type="dxa"/>
            <w:tcBorders>
              <w:top w:val="nil"/>
              <w:left w:val="single" w:sz="4" w:space="0" w:color="auto"/>
              <w:bottom w:val="single" w:sz="4" w:space="0" w:color="auto"/>
              <w:right w:val="single" w:sz="4" w:space="0" w:color="auto"/>
            </w:tcBorders>
            <w:noWrap/>
            <w:vAlign w:val="center"/>
            <w:hideMark/>
          </w:tcPr>
          <w:p w14:paraId="4CA8F266" w14:textId="77777777" w:rsidR="00EF7B6D" w:rsidRDefault="00EF7B6D">
            <w:pPr>
              <w:spacing w:line="254" w:lineRule="auto"/>
              <w:rPr>
                <w:b/>
              </w:rPr>
            </w:pPr>
            <w:r>
              <w:rPr>
                <w:b/>
              </w:rPr>
              <w:t>Total Local Funding</w:t>
            </w:r>
          </w:p>
        </w:tc>
        <w:tc>
          <w:tcPr>
            <w:tcW w:w="1307" w:type="dxa"/>
            <w:tcBorders>
              <w:top w:val="nil"/>
              <w:left w:val="nil"/>
              <w:bottom w:val="single" w:sz="4" w:space="0" w:color="auto"/>
              <w:right w:val="single" w:sz="4" w:space="0" w:color="auto"/>
            </w:tcBorders>
            <w:noWrap/>
            <w:vAlign w:val="center"/>
            <w:hideMark/>
          </w:tcPr>
          <w:p w14:paraId="08681703" w14:textId="77777777" w:rsidR="00EF7B6D" w:rsidRDefault="00EF7B6D">
            <w:pPr>
              <w:spacing w:line="254" w:lineRule="auto"/>
              <w:jc w:val="right"/>
              <w:rPr>
                <w:b/>
              </w:rPr>
            </w:pPr>
            <w:r>
              <w:rPr>
                <w:b/>
              </w:rPr>
              <w:t>137.8</w:t>
            </w:r>
          </w:p>
        </w:tc>
      </w:tr>
      <w:tr w:rsidR="00EF7B6D" w14:paraId="25BB6704" w14:textId="77777777" w:rsidTr="00EF7B6D">
        <w:trPr>
          <w:trHeight w:val="282"/>
          <w:jc w:val="center"/>
        </w:trPr>
        <w:tc>
          <w:tcPr>
            <w:tcW w:w="1307" w:type="dxa"/>
            <w:tcBorders>
              <w:top w:val="nil"/>
              <w:left w:val="single" w:sz="4" w:space="0" w:color="auto"/>
              <w:bottom w:val="single" w:sz="4" w:space="0" w:color="auto"/>
              <w:right w:val="single" w:sz="4" w:space="0" w:color="auto"/>
            </w:tcBorders>
            <w:vAlign w:val="center"/>
            <w:hideMark/>
          </w:tcPr>
          <w:p w14:paraId="000894EB" w14:textId="77777777" w:rsidR="00EF7B6D" w:rsidRDefault="00EF7B6D">
            <w:pPr>
              <w:spacing w:line="254" w:lineRule="auto"/>
              <w:jc w:val="right"/>
              <w:rPr>
                <w:b/>
              </w:rPr>
            </w:pPr>
            <w:r>
              <w:rPr>
                <w:b/>
              </w:rPr>
              <w:t xml:space="preserve">235.1  </w:t>
            </w:r>
          </w:p>
        </w:tc>
        <w:tc>
          <w:tcPr>
            <w:tcW w:w="3920" w:type="dxa"/>
            <w:tcBorders>
              <w:top w:val="nil"/>
              <w:left w:val="single" w:sz="4" w:space="0" w:color="auto"/>
              <w:bottom w:val="single" w:sz="4" w:space="0" w:color="auto"/>
              <w:right w:val="single" w:sz="4" w:space="0" w:color="auto"/>
            </w:tcBorders>
            <w:noWrap/>
            <w:vAlign w:val="center"/>
            <w:hideMark/>
          </w:tcPr>
          <w:p w14:paraId="6445AF72" w14:textId="77777777" w:rsidR="00EF7B6D" w:rsidRDefault="00EF7B6D">
            <w:pPr>
              <w:spacing w:line="254" w:lineRule="auto"/>
              <w:rPr>
                <w:b/>
              </w:rPr>
            </w:pPr>
            <w:r>
              <w:rPr>
                <w:b/>
              </w:rPr>
              <w:t>Total Group Funding</w:t>
            </w:r>
          </w:p>
        </w:tc>
        <w:tc>
          <w:tcPr>
            <w:tcW w:w="1307" w:type="dxa"/>
            <w:tcBorders>
              <w:top w:val="nil"/>
              <w:left w:val="nil"/>
              <w:bottom w:val="single" w:sz="4" w:space="0" w:color="auto"/>
              <w:right w:val="single" w:sz="4" w:space="0" w:color="auto"/>
            </w:tcBorders>
            <w:noWrap/>
            <w:vAlign w:val="center"/>
            <w:hideMark/>
          </w:tcPr>
          <w:p w14:paraId="60688B78" w14:textId="77777777" w:rsidR="00EF7B6D" w:rsidRDefault="00EF7B6D">
            <w:pPr>
              <w:spacing w:line="254" w:lineRule="auto"/>
              <w:jc w:val="right"/>
              <w:rPr>
                <w:b/>
              </w:rPr>
            </w:pPr>
            <w:r>
              <w:rPr>
                <w:b/>
              </w:rPr>
              <w:t xml:space="preserve">250.0 </w:t>
            </w:r>
          </w:p>
        </w:tc>
      </w:tr>
    </w:tbl>
    <w:p w14:paraId="216BD7ED" w14:textId="77777777" w:rsidR="00EF7B6D" w:rsidRDefault="00EF7B6D" w:rsidP="00EF7B6D">
      <w:pPr>
        <w:pStyle w:val="ListParagraph"/>
        <w:numPr>
          <w:ilvl w:val="0"/>
          <w:numId w:val="0"/>
        </w:numPr>
        <w:autoSpaceDE w:val="0"/>
        <w:autoSpaceDN w:val="0"/>
        <w:adjustRightInd w:val="0"/>
        <w:rPr>
          <w:b/>
          <w:color w:val="000000"/>
          <w:sz w:val="22"/>
          <w:highlight w:val="yellow"/>
          <w:u w:val="single"/>
          <w:lang w:eastAsia="en-US"/>
        </w:rPr>
      </w:pPr>
    </w:p>
    <w:p w14:paraId="50312F7F" w14:textId="77777777" w:rsidR="006D5493" w:rsidRDefault="006D5493" w:rsidP="00EF7B6D">
      <w:pPr>
        <w:pStyle w:val="ListParagraph"/>
        <w:numPr>
          <w:ilvl w:val="0"/>
          <w:numId w:val="0"/>
        </w:numPr>
        <w:autoSpaceDE w:val="0"/>
        <w:autoSpaceDN w:val="0"/>
        <w:adjustRightInd w:val="0"/>
        <w:rPr>
          <w:b/>
          <w:color w:val="000000"/>
          <w:sz w:val="22"/>
        </w:rPr>
      </w:pPr>
    </w:p>
    <w:p w14:paraId="6A374C0D" w14:textId="77777777" w:rsidR="00EF7B6D" w:rsidRDefault="00EF7B6D" w:rsidP="00EF7B6D">
      <w:pPr>
        <w:pStyle w:val="ListParagraph"/>
        <w:numPr>
          <w:ilvl w:val="0"/>
          <w:numId w:val="0"/>
        </w:numPr>
        <w:autoSpaceDE w:val="0"/>
        <w:autoSpaceDN w:val="0"/>
        <w:adjustRightInd w:val="0"/>
        <w:rPr>
          <w:b/>
          <w:color w:val="000000"/>
          <w:sz w:val="22"/>
        </w:rPr>
      </w:pPr>
      <w:r>
        <w:rPr>
          <w:b/>
          <w:color w:val="000000"/>
          <w:sz w:val="22"/>
        </w:rPr>
        <w:t>Revenue Expenditure Outturn</w:t>
      </w:r>
    </w:p>
    <w:p w14:paraId="666D89D4" w14:textId="77777777" w:rsidR="00EF7B6D" w:rsidRDefault="00EF7B6D" w:rsidP="00EF7B6D">
      <w:pPr>
        <w:pStyle w:val="ListParagraph"/>
        <w:numPr>
          <w:ilvl w:val="0"/>
          <w:numId w:val="0"/>
        </w:numPr>
        <w:autoSpaceDE w:val="0"/>
        <w:autoSpaceDN w:val="0"/>
        <w:adjustRightInd w:val="0"/>
        <w:rPr>
          <w:color w:val="000000"/>
          <w:sz w:val="22"/>
        </w:rPr>
      </w:pPr>
    </w:p>
    <w:p w14:paraId="134D7491" w14:textId="77777777" w:rsidR="00EF7B6D" w:rsidRDefault="00EF7B6D" w:rsidP="00EF7B6D">
      <w:pPr>
        <w:pStyle w:val="ListParagraph"/>
        <w:numPr>
          <w:ilvl w:val="0"/>
          <w:numId w:val="0"/>
        </w:numPr>
        <w:autoSpaceDE w:val="0"/>
        <w:autoSpaceDN w:val="0"/>
        <w:adjustRightInd w:val="0"/>
        <w:jc w:val="both"/>
        <w:rPr>
          <w:color w:val="000000"/>
          <w:sz w:val="22"/>
        </w:rPr>
      </w:pPr>
      <w:r>
        <w:rPr>
          <w:color w:val="000000"/>
          <w:sz w:val="22"/>
        </w:rPr>
        <w:t>The financial performance of the group over the year is set out below and more detail is shown in the accounts which follow.</w:t>
      </w:r>
    </w:p>
    <w:p w14:paraId="1D7D9D65" w14:textId="77777777" w:rsidR="00EF7B6D" w:rsidRDefault="00EF7B6D" w:rsidP="00EF7B6D">
      <w:pPr>
        <w:pStyle w:val="ListParagraph"/>
        <w:numPr>
          <w:ilvl w:val="0"/>
          <w:numId w:val="0"/>
        </w:numPr>
        <w:autoSpaceDE w:val="0"/>
        <w:autoSpaceDN w:val="0"/>
        <w:adjustRightInd w:val="0"/>
        <w:jc w:val="both"/>
        <w:rPr>
          <w:color w:val="000000"/>
          <w:sz w:val="22"/>
          <w:highlight w:val="yellow"/>
        </w:rPr>
      </w:pPr>
    </w:p>
    <w:p w14:paraId="770BE070" w14:textId="77777777" w:rsidR="00EF7B6D" w:rsidRDefault="00EF7B6D" w:rsidP="00EF7B6D">
      <w:pPr>
        <w:autoSpaceDE w:val="0"/>
        <w:autoSpaceDN w:val="0"/>
        <w:adjustRightInd w:val="0"/>
        <w:jc w:val="both"/>
        <w:rPr>
          <w:rFonts w:cs="Arial"/>
          <w:b/>
          <w:bCs/>
          <w:color w:val="000000"/>
        </w:rPr>
      </w:pPr>
      <w:r>
        <w:rPr>
          <w:rFonts w:cs="Arial"/>
          <w:b/>
          <w:bCs/>
          <w:color w:val="000000"/>
        </w:rPr>
        <w:t>PCC Controlled Expenditure</w:t>
      </w:r>
    </w:p>
    <w:p w14:paraId="1DAE2419" w14:textId="77777777" w:rsidR="00EF7B6D" w:rsidRDefault="00EF7B6D" w:rsidP="00EF7B6D">
      <w:pPr>
        <w:autoSpaceDE w:val="0"/>
        <w:autoSpaceDN w:val="0"/>
        <w:adjustRightInd w:val="0"/>
        <w:jc w:val="both"/>
        <w:rPr>
          <w:rFonts w:cs="Arial"/>
          <w:color w:val="000000"/>
        </w:rPr>
      </w:pPr>
    </w:p>
    <w:p w14:paraId="3CAB8CDA" w14:textId="77777777" w:rsidR="00EF7B6D" w:rsidRDefault="00EF7B6D" w:rsidP="00EF7B6D">
      <w:pPr>
        <w:autoSpaceDE w:val="0"/>
        <w:autoSpaceDN w:val="0"/>
        <w:adjustRightInd w:val="0"/>
        <w:rPr>
          <w:rFonts w:cs="Arial"/>
          <w:color w:val="000000"/>
        </w:rPr>
      </w:pPr>
      <w:r>
        <w:rPr>
          <w:rFonts w:cs="Arial"/>
          <w:color w:val="000000"/>
        </w:rPr>
        <w:t>The following table provides a high level analysis of income and expenditure directly controlled by the PCC for 2020/21.</w:t>
      </w:r>
    </w:p>
    <w:p w14:paraId="1C4762C3" w14:textId="77777777" w:rsidR="00EF7B6D" w:rsidRDefault="00EF7B6D" w:rsidP="00EF7B6D">
      <w:pPr>
        <w:autoSpaceDE w:val="0"/>
        <w:autoSpaceDN w:val="0"/>
        <w:adjustRightInd w:val="0"/>
        <w:rPr>
          <w:rFonts w:cs="Arial"/>
          <w:color w:val="000000"/>
        </w:rPr>
      </w:pPr>
    </w:p>
    <w:tbl>
      <w:tblPr>
        <w:tblW w:w="11043" w:type="dxa"/>
        <w:jc w:val="center"/>
        <w:tblLook w:val="04A0" w:firstRow="1" w:lastRow="0" w:firstColumn="1" w:lastColumn="0" w:noHBand="0" w:noVBand="1"/>
      </w:tblPr>
      <w:tblGrid>
        <w:gridCol w:w="4817"/>
        <w:gridCol w:w="967"/>
        <w:gridCol w:w="1753"/>
        <w:gridCol w:w="1753"/>
        <w:gridCol w:w="1753"/>
      </w:tblGrid>
      <w:tr w:rsidR="00EF7B6D" w14:paraId="122D15AE" w14:textId="77777777" w:rsidTr="0041394A">
        <w:trPr>
          <w:trHeight w:val="242"/>
          <w:jc w:val="center"/>
        </w:trPr>
        <w:tc>
          <w:tcPr>
            <w:tcW w:w="4817" w:type="dxa"/>
            <w:tcBorders>
              <w:top w:val="single" w:sz="4" w:space="0" w:color="auto"/>
              <w:left w:val="single" w:sz="4" w:space="0" w:color="auto"/>
              <w:bottom w:val="nil"/>
              <w:right w:val="single" w:sz="4" w:space="0" w:color="auto"/>
            </w:tcBorders>
            <w:noWrap/>
            <w:vAlign w:val="center"/>
            <w:hideMark/>
          </w:tcPr>
          <w:p w14:paraId="79A484F7" w14:textId="77777777" w:rsidR="00EF7B6D" w:rsidRPr="0041394A" w:rsidRDefault="00EF7B6D">
            <w:pP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Outturn 2020/21</w:t>
            </w:r>
          </w:p>
        </w:tc>
        <w:tc>
          <w:tcPr>
            <w:tcW w:w="967" w:type="dxa"/>
            <w:tcBorders>
              <w:top w:val="single" w:sz="4" w:space="0" w:color="auto"/>
              <w:left w:val="nil"/>
              <w:bottom w:val="nil"/>
              <w:right w:val="nil"/>
            </w:tcBorders>
            <w:noWrap/>
            <w:vAlign w:val="center"/>
            <w:hideMark/>
          </w:tcPr>
          <w:p w14:paraId="378DE56D" w14:textId="77777777" w:rsidR="00EF7B6D" w:rsidRPr="0041394A" w:rsidRDefault="00EF7B6D">
            <w:pPr>
              <w:jc w:val="cente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Notes</w:t>
            </w:r>
          </w:p>
        </w:tc>
        <w:tc>
          <w:tcPr>
            <w:tcW w:w="1753" w:type="dxa"/>
            <w:tcBorders>
              <w:top w:val="single" w:sz="4" w:space="0" w:color="auto"/>
              <w:left w:val="single" w:sz="4" w:space="0" w:color="auto"/>
              <w:bottom w:val="nil"/>
              <w:right w:val="single" w:sz="4" w:space="0" w:color="auto"/>
            </w:tcBorders>
            <w:noWrap/>
            <w:vAlign w:val="center"/>
            <w:hideMark/>
          </w:tcPr>
          <w:p w14:paraId="59A75D70" w14:textId="77777777" w:rsidR="00EF7B6D" w:rsidRPr="0041394A" w:rsidRDefault="00EF7B6D">
            <w:pPr>
              <w:jc w:val="cente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Budget</w:t>
            </w:r>
          </w:p>
        </w:tc>
        <w:tc>
          <w:tcPr>
            <w:tcW w:w="1753" w:type="dxa"/>
            <w:tcBorders>
              <w:top w:val="single" w:sz="4" w:space="0" w:color="auto"/>
              <w:left w:val="nil"/>
              <w:bottom w:val="nil"/>
              <w:right w:val="single" w:sz="4" w:space="0" w:color="auto"/>
            </w:tcBorders>
            <w:noWrap/>
            <w:vAlign w:val="center"/>
            <w:hideMark/>
          </w:tcPr>
          <w:p w14:paraId="04B87F89" w14:textId="77777777" w:rsidR="00EF7B6D" w:rsidRPr="0041394A" w:rsidRDefault="00EF7B6D">
            <w:pPr>
              <w:jc w:val="cente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Actual</w:t>
            </w:r>
          </w:p>
        </w:tc>
        <w:tc>
          <w:tcPr>
            <w:tcW w:w="1753" w:type="dxa"/>
            <w:tcBorders>
              <w:top w:val="single" w:sz="4" w:space="0" w:color="auto"/>
              <w:left w:val="nil"/>
              <w:bottom w:val="nil"/>
              <w:right w:val="single" w:sz="4" w:space="0" w:color="auto"/>
            </w:tcBorders>
            <w:noWrap/>
            <w:vAlign w:val="center"/>
            <w:hideMark/>
          </w:tcPr>
          <w:p w14:paraId="35016930" w14:textId="77777777" w:rsidR="00EF7B6D" w:rsidRPr="0041394A" w:rsidRDefault="00EF7B6D">
            <w:pPr>
              <w:jc w:val="cente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Variance</w:t>
            </w:r>
          </w:p>
        </w:tc>
      </w:tr>
      <w:tr w:rsidR="00EF7B6D" w14:paraId="12D9623E" w14:textId="77777777" w:rsidTr="0041394A">
        <w:trPr>
          <w:trHeight w:val="242"/>
          <w:jc w:val="center"/>
        </w:trPr>
        <w:tc>
          <w:tcPr>
            <w:tcW w:w="4817" w:type="dxa"/>
            <w:tcBorders>
              <w:top w:val="nil"/>
              <w:left w:val="single" w:sz="4" w:space="0" w:color="auto"/>
              <w:bottom w:val="single" w:sz="4" w:space="0" w:color="auto"/>
              <w:right w:val="single" w:sz="4" w:space="0" w:color="auto"/>
            </w:tcBorders>
            <w:noWrap/>
            <w:vAlign w:val="center"/>
            <w:hideMark/>
          </w:tcPr>
          <w:p w14:paraId="66A57360" w14:textId="77777777" w:rsidR="00EF7B6D" w:rsidRPr="0041394A" w:rsidRDefault="00EF7B6D">
            <w:pP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 </w:t>
            </w:r>
          </w:p>
        </w:tc>
        <w:tc>
          <w:tcPr>
            <w:tcW w:w="967" w:type="dxa"/>
            <w:tcBorders>
              <w:top w:val="nil"/>
              <w:left w:val="nil"/>
              <w:bottom w:val="single" w:sz="4" w:space="0" w:color="auto"/>
              <w:right w:val="nil"/>
            </w:tcBorders>
            <w:noWrap/>
            <w:vAlign w:val="center"/>
            <w:hideMark/>
          </w:tcPr>
          <w:p w14:paraId="7448086E" w14:textId="77777777" w:rsidR="00EF7B6D" w:rsidRPr="0041394A" w:rsidRDefault="00EF7B6D">
            <w:pPr>
              <w:rPr>
                <w:rFonts w:eastAsia="Times New Roman" w:cs="Calibri"/>
                <w:b/>
                <w:bCs/>
                <w:color w:val="000000"/>
                <w:sz w:val="20"/>
                <w:szCs w:val="20"/>
                <w:lang w:val="en-GB" w:eastAsia="en-GB"/>
              </w:rPr>
            </w:pPr>
          </w:p>
        </w:tc>
        <w:tc>
          <w:tcPr>
            <w:tcW w:w="1753" w:type="dxa"/>
            <w:tcBorders>
              <w:top w:val="nil"/>
              <w:left w:val="single" w:sz="4" w:space="0" w:color="auto"/>
              <w:bottom w:val="single" w:sz="4" w:space="0" w:color="auto"/>
              <w:right w:val="single" w:sz="4" w:space="0" w:color="auto"/>
            </w:tcBorders>
            <w:noWrap/>
            <w:vAlign w:val="center"/>
            <w:hideMark/>
          </w:tcPr>
          <w:p w14:paraId="0A786D02" w14:textId="77777777" w:rsidR="00EF7B6D" w:rsidRPr="0041394A" w:rsidRDefault="00EF7B6D">
            <w:pPr>
              <w:jc w:val="cente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w:t>
            </w:r>
          </w:p>
        </w:tc>
        <w:tc>
          <w:tcPr>
            <w:tcW w:w="1753" w:type="dxa"/>
            <w:tcBorders>
              <w:top w:val="nil"/>
              <w:left w:val="nil"/>
              <w:bottom w:val="single" w:sz="4" w:space="0" w:color="auto"/>
              <w:right w:val="single" w:sz="4" w:space="0" w:color="auto"/>
            </w:tcBorders>
            <w:noWrap/>
            <w:vAlign w:val="center"/>
            <w:hideMark/>
          </w:tcPr>
          <w:p w14:paraId="48FAA1BE" w14:textId="77777777" w:rsidR="00EF7B6D" w:rsidRPr="0041394A" w:rsidRDefault="00EF7B6D">
            <w:pPr>
              <w:jc w:val="cente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w:t>
            </w:r>
          </w:p>
        </w:tc>
        <w:tc>
          <w:tcPr>
            <w:tcW w:w="1753" w:type="dxa"/>
            <w:tcBorders>
              <w:top w:val="nil"/>
              <w:left w:val="nil"/>
              <w:bottom w:val="single" w:sz="4" w:space="0" w:color="auto"/>
              <w:right w:val="single" w:sz="4" w:space="0" w:color="auto"/>
            </w:tcBorders>
            <w:noWrap/>
            <w:vAlign w:val="center"/>
            <w:hideMark/>
          </w:tcPr>
          <w:p w14:paraId="521BE2D2" w14:textId="77777777" w:rsidR="00EF7B6D" w:rsidRPr="0041394A" w:rsidRDefault="00EF7B6D">
            <w:pPr>
              <w:jc w:val="cente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w:t>
            </w:r>
          </w:p>
        </w:tc>
      </w:tr>
      <w:tr w:rsidR="00EF7B6D" w14:paraId="2D5B5315" w14:textId="77777777" w:rsidTr="0041394A">
        <w:trPr>
          <w:trHeight w:val="242"/>
          <w:jc w:val="center"/>
        </w:trPr>
        <w:tc>
          <w:tcPr>
            <w:tcW w:w="4817" w:type="dxa"/>
            <w:tcBorders>
              <w:top w:val="single" w:sz="4" w:space="0" w:color="auto"/>
              <w:left w:val="single" w:sz="4" w:space="0" w:color="auto"/>
              <w:bottom w:val="nil"/>
              <w:right w:val="single" w:sz="4" w:space="0" w:color="auto"/>
            </w:tcBorders>
            <w:noWrap/>
            <w:vAlign w:val="center"/>
            <w:hideMark/>
          </w:tcPr>
          <w:p w14:paraId="389A90BB" w14:textId="77777777" w:rsidR="00EF7B6D" w:rsidRPr="0041394A" w:rsidRDefault="00EF7B6D">
            <w:pP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OPCC Operational Costs</w:t>
            </w:r>
          </w:p>
        </w:tc>
        <w:tc>
          <w:tcPr>
            <w:tcW w:w="967" w:type="dxa"/>
            <w:tcBorders>
              <w:top w:val="single" w:sz="4" w:space="0" w:color="auto"/>
              <w:left w:val="nil"/>
              <w:bottom w:val="nil"/>
              <w:right w:val="nil"/>
            </w:tcBorders>
            <w:noWrap/>
            <w:vAlign w:val="center"/>
            <w:hideMark/>
          </w:tcPr>
          <w:p w14:paraId="1CAF3638" w14:textId="77777777" w:rsidR="00EF7B6D" w:rsidRPr="0041394A" w:rsidRDefault="00EF7B6D">
            <w:pPr>
              <w:rPr>
                <w:rFonts w:eastAsia="Times New Roman" w:cs="Calibri"/>
                <w:b/>
                <w:bCs/>
                <w:color w:val="000000"/>
                <w:sz w:val="20"/>
                <w:szCs w:val="20"/>
                <w:lang w:val="en-GB" w:eastAsia="en-GB"/>
              </w:rPr>
            </w:pPr>
          </w:p>
        </w:tc>
        <w:tc>
          <w:tcPr>
            <w:tcW w:w="1753" w:type="dxa"/>
            <w:tcBorders>
              <w:top w:val="single" w:sz="4" w:space="0" w:color="auto"/>
              <w:left w:val="single" w:sz="4" w:space="0" w:color="auto"/>
              <w:bottom w:val="nil"/>
              <w:right w:val="single" w:sz="4" w:space="0" w:color="auto"/>
            </w:tcBorders>
            <w:noWrap/>
            <w:vAlign w:val="center"/>
            <w:hideMark/>
          </w:tcPr>
          <w:p w14:paraId="08BFC57C" w14:textId="77777777" w:rsidR="00EF7B6D" w:rsidRPr="0041394A" w:rsidRDefault="00EF7B6D">
            <w:pP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 </w:t>
            </w:r>
          </w:p>
        </w:tc>
        <w:tc>
          <w:tcPr>
            <w:tcW w:w="1753" w:type="dxa"/>
            <w:tcBorders>
              <w:top w:val="single" w:sz="4" w:space="0" w:color="auto"/>
              <w:left w:val="nil"/>
              <w:bottom w:val="nil"/>
              <w:right w:val="single" w:sz="4" w:space="0" w:color="auto"/>
            </w:tcBorders>
            <w:noWrap/>
            <w:vAlign w:val="center"/>
            <w:hideMark/>
          </w:tcPr>
          <w:p w14:paraId="4007CFEF" w14:textId="77777777" w:rsidR="00EF7B6D" w:rsidRPr="0041394A" w:rsidRDefault="00EF7B6D">
            <w:pP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 </w:t>
            </w:r>
          </w:p>
        </w:tc>
        <w:tc>
          <w:tcPr>
            <w:tcW w:w="1753" w:type="dxa"/>
            <w:tcBorders>
              <w:top w:val="single" w:sz="4" w:space="0" w:color="auto"/>
              <w:left w:val="nil"/>
              <w:bottom w:val="nil"/>
              <w:right w:val="single" w:sz="4" w:space="0" w:color="auto"/>
            </w:tcBorders>
            <w:noWrap/>
            <w:vAlign w:val="center"/>
            <w:hideMark/>
          </w:tcPr>
          <w:p w14:paraId="06C0CBE9" w14:textId="77777777" w:rsidR="00EF7B6D" w:rsidRPr="0041394A" w:rsidRDefault="00EF7B6D">
            <w:pP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 </w:t>
            </w:r>
          </w:p>
        </w:tc>
      </w:tr>
      <w:tr w:rsidR="00EF7B6D" w14:paraId="7DA6BB92" w14:textId="77777777" w:rsidTr="0041394A">
        <w:trPr>
          <w:trHeight w:val="242"/>
          <w:jc w:val="center"/>
        </w:trPr>
        <w:tc>
          <w:tcPr>
            <w:tcW w:w="4817" w:type="dxa"/>
            <w:tcBorders>
              <w:top w:val="nil"/>
              <w:left w:val="single" w:sz="4" w:space="0" w:color="auto"/>
              <w:bottom w:val="nil"/>
              <w:right w:val="single" w:sz="4" w:space="0" w:color="auto"/>
            </w:tcBorders>
            <w:noWrap/>
            <w:vAlign w:val="center"/>
            <w:hideMark/>
          </w:tcPr>
          <w:p w14:paraId="238F1144" w14:textId="77777777" w:rsidR="00EF7B6D" w:rsidRPr="0041394A" w:rsidRDefault="00EF7B6D">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Police and Crime Commissioner</w:t>
            </w:r>
          </w:p>
        </w:tc>
        <w:tc>
          <w:tcPr>
            <w:tcW w:w="967" w:type="dxa"/>
            <w:noWrap/>
            <w:vAlign w:val="center"/>
            <w:hideMark/>
          </w:tcPr>
          <w:p w14:paraId="42961FDD" w14:textId="77777777" w:rsidR="00EF7B6D" w:rsidRPr="0041394A" w:rsidRDefault="00EF7B6D">
            <w:pPr>
              <w:rPr>
                <w:rFonts w:eastAsia="Times New Roman" w:cs="Calibri"/>
                <w:color w:val="000000"/>
                <w:sz w:val="20"/>
                <w:szCs w:val="20"/>
                <w:lang w:val="en-GB" w:eastAsia="en-GB"/>
              </w:rPr>
            </w:pPr>
          </w:p>
        </w:tc>
        <w:tc>
          <w:tcPr>
            <w:tcW w:w="1753" w:type="dxa"/>
            <w:tcBorders>
              <w:top w:val="nil"/>
              <w:left w:val="single" w:sz="4" w:space="0" w:color="auto"/>
              <w:bottom w:val="nil"/>
              <w:right w:val="single" w:sz="4" w:space="0" w:color="auto"/>
            </w:tcBorders>
            <w:noWrap/>
            <w:vAlign w:val="center"/>
            <w:hideMark/>
          </w:tcPr>
          <w:p w14:paraId="14514A0A"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96,700</w:t>
            </w:r>
          </w:p>
        </w:tc>
        <w:tc>
          <w:tcPr>
            <w:tcW w:w="1753" w:type="dxa"/>
            <w:tcBorders>
              <w:top w:val="nil"/>
              <w:left w:val="nil"/>
              <w:bottom w:val="nil"/>
              <w:right w:val="single" w:sz="4" w:space="0" w:color="auto"/>
            </w:tcBorders>
            <w:noWrap/>
            <w:vAlign w:val="center"/>
            <w:hideMark/>
          </w:tcPr>
          <w:p w14:paraId="0D921290"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92,893</w:t>
            </w:r>
          </w:p>
        </w:tc>
        <w:tc>
          <w:tcPr>
            <w:tcW w:w="1753" w:type="dxa"/>
            <w:tcBorders>
              <w:top w:val="nil"/>
              <w:left w:val="nil"/>
              <w:bottom w:val="nil"/>
              <w:right w:val="single" w:sz="4" w:space="0" w:color="auto"/>
            </w:tcBorders>
            <w:noWrap/>
            <w:vAlign w:val="center"/>
            <w:hideMark/>
          </w:tcPr>
          <w:p w14:paraId="37DEE93E"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FF0000"/>
                <w:sz w:val="20"/>
                <w:szCs w:val="20"/>
                <w:lang w:val="en-GB" w:eastAsia="en-GB"/>
              </w:rPr>
              <w:t>(3,807)</w:t>
            </w:r>
          </w:p>
        </w:tc>
      </w:tr>
      <w:tr w:rsidR="00EF7B6D" w14:paraId="1ABC87F6" w14:textId="77777777" w:rsidTr="0041394A">
        <w:trPr>
          <w:trHeight w:val="242"/>
          <w:jc w:val="center"/>
        </w:trPr>
        <w:tc>
          <w:tcPr>
            <w:tcW w:w="4817" w:type="dxa"/>
            <w:tcBorders>
              <w:top w:val="nil"/>
              <w:left w:val="single" w:sz="4" w:space="0" w:color="auto"/>
              <w:bottom w:val="nil"/>
              <w:right w:val="single" w:sz="4" w:space="0" w:color="auto"/>
            </w:tcBorders>
            <w:noWrap/>
            <w:vAlign w:val="center"/>
            <w:hideMark/>
          </w:tcPr>
          <w:p w14:paraId="0076DE42" w14:textId="77777777" w:rsidR="00EF7B6D" w:rsidRPr="0041394A" w:rsidRDefault="00EF7B6D">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Staffing Costs</w:t>
            </w:r>
          </w:p>
        </w:tc>
        <w:tc>
          <w:tcPr>
            <w:tcW w:w="967" w:type="dxa"/>
            <w:noWrap/>
            <w:vAlign w:val="center"/>
            <w:hideMark/>
          </w:tcPr>
          <w:p w14:paraId="6B393429" w14:textId="77777777" w:rsidR="00EF7B6D" w:rsidRPr="0041394A" w:rsidRDefault="00EF7B6D">
            <w:pPr>
              <w:rPr>
                <w:rFonts w:eastAsia="Times New Roman" w:cs="Calibri"/>
                <w:color w:val="000000"/>
                <w:sz w:val="20"/>
                <w:szCs w:val="20"/>
                <w:lang w:val="en-GB" w:eastAsia="en-GB"/>
              </w:rPr>
            </w:pPr>
          </w:p>
        </w:tc>
        <w:tc>
          <w:tcPr>
            <w:tcW w:w="1753" w:type="dxa"/>
            <w:tcBorders>
              <w:top w:val="nil"/>
              <w:left w:val="single" w:sz="4" w:space="0" w:color="auto"/>
              <w:bottom w:val="nil"/>
              <w:right w:val="single" w:sz="4" w:space="0" w:color="auto"/>
            </w:tcBorders>
            <w:noWrap/>
            <w:vAlign w:val="center"/>
            <w:hideMark/>
          </w:tcPr>
          <w:p w14:paraId="0C92ECDA"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631,160</w:t>
            </w:r>
          </w:p>
        </w:tc>
        <w:tc>
          <w:tcPr>
            <w:tcW w:w="1753" w:type="dxa"/>
            <w:tcBorders>
              <w:top w:val="nil"/>
              <w:left w:val="nil"/>
              <w:bottom w:val="nil"/>
              <w:right w:val="single" w:sz="4" w:space="0" w:color="auto"/>
            </w:tcBorders>
            <w:noWrap/>
            <w:vAlign w:val="center"/>
            <w:hideMark/>
          </w:tcPr>
          <w:p w14:paraId="7B95320C"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632,310</w:t>
            </w:r>
          </w:p>
        </w:tc>
        <w:tc>
          <w:tcPr>
            <w:tcW w:w="1753" w:type="dxa"/>
            <w:tcBorders>
              <w:top w:val="nil"/>
              <w:left w:val="nil"/>
              <w:bottom w:val="nil"/>
              <w:right w:val="single" w:sz="4" w:space="0" w:color="auto"/>
            </w:tcBorders>
            <w:noWrap/>
            <w:vAlign w:val="center"/>
            <w:hideMark/>
          </w:tcPr>
          <w:p w14:paraId="25ADE1CF"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1,150</w:t>
            </w:r>
          </w:p>
        </w:tc>
      </w:tr>
      <w:tr w:rsidR="00EF7B6D" w14:paraId="367F3BD4" w14:textId="77777777" w:rsidTr="0041394A">
        <w:trPr>
          <w:trHeight w:val="242"/>
          <w:jc w:val="center"/>
        </w:trPr>
        <w:tc>
          <w:tcPr>
            <w:tcW w:w="4817" w:type="dxa"/>
            <w:tcBorders>
              <w:top w:val="nil"/>
              <w:left w:val="single" w:sz="4" w:space="0" w:color="auto"/>
              <w:bottom w:val="nil"/>
              <w:right w:val="single" w:sz="4" w:space="0" w:color="auto"/>
            </w:tcBorders>
            <w:noWrap/>
            <w:vAlign w:val="center"/>
            <w:hideMark/>
          </w:tcPr>
          <w:p w14:paraId="4DB89FF7" w14:textId="77777777" w:rsidR="00EF7B6D" w:rsidRPr="0041394A" w:rsidRDefault="00EF7B6D">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OPCC Costs</w:t>
            </w:r>
          </w:p>
        </w:tc>
        <w:tc>
          <w:tcPr>
            <w:tcW w:w="967" w:type="dxa"/>
            <w:noWrap/>
            <w:vAlign w:val="center"/>
            <w:hideMark/>
          </w:tcPr>
          <w:p w14:paraId="3EDD9807" w14:textId="77777777" w:rsidR="00EF7B6D" w:rsidRPr="0041394A" w:rsidRDefault="00EF7B6D">
            <w:pPr>
              <w:jc w:val="center"/>
              <w:rPr>
                <w:rFonts w:eastAsia="Times New Roman" w:cs="Calibri"/>
                <w:color w:val="000000"/>
                <w:sz w:val="20"/>
                <w:szCs w:val="20"/>
                <w:lang w:val="en-GB" w:eastAsia="en-GB"/>
              </w:rPr>
            </w:pPr>
            <w:r w:rsidRPr="0041394A">
              <w:rPr>
                <w:rFonts w:eastAsia="Times New Roman" w:cs="Calibri"/>
                <w:color w:val="000000"/>
                <w:sz w:val="20"/>
                <w:szCs w:val="20"/>
                <w:lang w:val="en-GB" w:eastAsia="en-GB"/>
              </w:rPr>
              <w:t>i</w:t>
            </w:r>
          </w:p>
        </w:tc>
        <w:tc>
          <w:tcPr>
            <w:tcW w:w="1753" w:type="dxa"/>
            <w:tcBorders>
              <w:top w:val="nil"/>
              <w:left w:val="single" w:sz="4" w:space="0" w:color="auto"/>
              <w:bottom w:val="nil"/>
              <w:right w:val="single" w:sz="4" w:space="0" w:color="auto"/>
            </w:tcBorders>
            <w:noWrap/>
            <w:vAlign w:val="center"/>
            <w:hideMark/>
          </w:tcPr>
          <w:p w14:paraId="561E2174"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174,200</w:t>
            </w:r>
          </w:p>
        </w:tc>
        <w:tc>
          <w:tcPr>
            <w:tcW w:w="1753" w:type="dxa"/>
            <w:tcBorders>
              <w:top w:val="nil"/>
              <w:left w:val="nil"/>
              <w:bottom w:val="nil"/>
              <w:right w:val="single" w:sz="4" w:space="0" w:color="auto"/>
            </w:tcBorders>
            <w:noWrap/>
            <w:vAlign w:val="center"/>
            <w:hideMark/>
          </w:tcPr>
          <w:p w14:paraId="5CF641F8"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115,958</w:t>
            </w:r>
          </w:p>
        </w:tc>
        <w:tc>
          <w:tcPr>
            <w:tcW w:w="1753" w:type="dxa"/>
            <w:tcBorders>
              <w:top w:val="nil"/>
              <w:left w:val="nil"/>
              <w:bottom w:val="nil"/>
              <w:right w:val="single" w:sz="4" w:space="0" w:color="auto"/>
            </w:tcBorders>
            <w:noWrap/>
            <w:vAlign w:val="center"/>
            <w:hideMark/>
          </w:tcPr>
          <w:p w14:paraId="6E4DB755"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FF0000"/>
                <w:sz w:val="20"/>
                <w:szCs w:val="20"/>
                <w:lang w:val="en-GB" w:eastAsia="en-GB"/>
              </w:rPr>
              <w:t>(58,242)</w:t>
            </w:r>
          </w:p>
        </w:tc>
      </w:tr>
      <w:tr w:rsidR="00EF7B6D" w14:paraId="0D2D5CEE" w14:textId="77777777" w:rsidTr="0041394A">
        <w:trPr>
          <w:trHeight w:val="242"/>
          <w:jc w:val="center"/>
        </w:trPr>
        <w:tc>
          <w:tcPr>
            <w:tcW w:w="4817" w:type="dxa"/>
            <w:tcBorders>
              <w:top w:val="nil"/>
              <w:left w:val="single" w:sz="4" w:space="0" w:color="auto"/>
              <w:bottom w:val="nil"/>
              <w:right w:val="single" w:sz="4" w:space="0" w:color="auto"/>
            </w:tcBorders>
            <w:noWrap/>
            <w:vAlign w:val="center"/>
            <w:hideMark/>
          </w:tcPr>
          <w:p w14:paraId="4A2708E9" w14:textId="77777777" w:rsidR="00EF7B6D" w:rsidRPr="0041394A" w:rsidRDefault="00EF7B6D">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Subscriptions</w:t>
            </w:r>
          </w:p>
        </w:tc>
        <w:tc>
          <w:tcPr>
            <w:tcW w:w="967" w:type="dxa"/>
            <w:noWrap/>
            <w:vAlign w:val="center"/>
            <w:hideMark/>
          </w:tcPr>
          <w:p w14:paraId="568DA4C4" w14:textId="77777777" w:rsidR="00EF7B6D" w:rsidRPr="0041394A" w:rsidRDefault="00EF7B6D">
            <w:pPr>
              <w:rPr>
                <w:rFonts w:eastAsia="Times New Roman" w:cs="Calibri"/>
                <w:color w:val="000000"/>
                <w:sz w:val="20"/>
                <w:szCs w:val="20"/>
                <w:lang w:val="en-GB" w:eastAsia="en-GB"/>
              </w:rPr>
            </w:pPr>
          </w:p>
        </w:tc>
        <w:tc>
          <w:tcPr>
            <w:tcW w:w="1753" w:type="dxa"/>
            <w:tcBorders>
              <w:top w:val="nil"/>
              <w:left w:val="single" w:sz="4" w:space="0" w:color="auto"/>
              <w:bottom w:val="nil"/>
              <w:right w:val="single" w:sz="4" w:space="0" w:color="auto"/>
            </w:tcBorders>
            <w:noWrap/>
            <w:vAlign w:val="center"/>
            <w:hideMark/>
          </w:tcPr>
          <w:p w14:paraId="12F6D00B"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37,900</w:t>
            </w:r>
          </w:p>
        </w:tc>
        <w:tc>
          <w:tcPr>
            <w:tcW w:w="1753" w:type="dxa"/>
            <w:tcBorders>
              <w:top w:val="nil"/>
              <w:left w:val="nil"/>
              <w:bottom w:val="nil"/>
              <w:right w:val="single" w:sz="4" w:space="0" w:color="auto"/>
            </w:tcBorders>
            <w:noWrap/>
            <w:vAlign w:val="center"/>
            <w:hideMark/>
          </w:tcPr>
          <w:p w14:paraId="2197EB7F"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37,648</w:t>
            </w:r>
          </w:p>
        </w:tc>
        <w:tc>
          <w:tcPr>
            <w:tcW w:w="1753" w:type="dxa"/>
            <w:tcBorders>
              <w:top w:val="nil"/>
              <w:left w:val="nil"/>
              <w:bottom w:val="nil"/>
              <w:right w:val="single" w:sz="4" w:space="0" w:color="auto"/>
            </w:tcBorders>
            <w:noWrap/>
            <w:vAlign w:val="center"/>
            <w:hideMark/>
          </w:tcPr>
          <w:p w14:paraId="5C323523"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FF0000"/>
                <w:sz w:val="20"/>
                <w:szCs w:val="20"/>
                <w:lang w:val="en-GB" w:eastAsia="en-GB"/>
              </w:rPr>
              <w:t>(252)</w:t>
            </w:r>
          </w:p>
        </w:tc>
      </w:tr>
      <w:tr w:rsidR="00EF7B6D" w14:paraId="1F6FEE11" w14:textId="77777777" w:rsidTr="0041394A">
        <w:trPr>
          <w:trHeight w:val="242"/>
          <w:jc w:val="center"/>
        </w:trPr>
        <w:tc>
          <w:tcPr>
            <w:tcW w:w="4817" w:type="dxa"/>
            <w:tcBorders>
              <w:top w:val="nil"/>
              <w:left w:val="single" w:sz="4" w:space="0" w:color="auto"/>
              <w:bottom w:val="nil"/>
              <w:right w:val="single" w:sz="4" w:space="0" w:color="auto"/>
            </w:tcBorders>
            <w:noWrap/>
            <w:vAlign w:val="center"/>
            <w:hideMark/>
          </w:tcPr>
          <w:p w14:paraId="2052C871" w14:textId="77777777" w:rsidR="00EF7B6D" w:rsidRPr="0041394A" w:rsidRDefault="00EF7B6D">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Office Running Costs</w:t>
            </w:r>
          </w:p>
        </w:tc>
        <w:tc>
          <w:tcPr>
            <w:tcW w:w="967" w:type="dxa"/>
            <w:noWrap/>
            <w:vAlign w:val="center"/>
            <w:hideMark/>
          </w:tcPr>
          <w:p w14:paraId="22E05073" w14:textId="77777777" w:rsidR="00EF7B6D" w:rsidRPr="0041394A" w:rsidRDefault="00EF7B6D">
            <w:pPr>
              <w:rPr>
                <w:rFonts w:eastAsia="Times New Roman" w:cs="Calibri"/>
                <w:color w:val="000000"/>
                <w:sz w:val="20"/>
                <w:szCs w:val="20"/>
                <w:lang w:val="en-GB" w:eastAsia="en-GB"/>
              </w:rPr>
            </w:pPr>
          </w:p>
        </w:tc>
        <w:tc>
          <w:tcPr>
            <w:tcW w:w="1753" w:type="dxa"/>
            <w:tcBorders>
              <w:top w:val="nil"/>
              <w:left w:val="single" w:sz="4" w:space="0" w:color="auto"/>
              <w:bottom w:val="nil"/>
              <w:right w:val="single" w:sz="4" w:space="0" w:color="auto"/>
            </w:tcBorders>
            <w:noWrap/>
            <w:vAlign w:val="center"/>
            <w:hideMark/>
          </w:tcPr>
          <w:p w14:paraId="127B0480"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59,260</w:t>
            </w:r>
          </w:p>
        </w:tc>
        <w:tc>
          <w:tcPr>
            <w:tcW w:w="1753" w:type="dxa"/>
            <w:tcBorders>
              <w:top w:val="nil"/>
              <w:left w:val="nil"/>
              <w:bottom w:val="nil"/>
              <w:right w:val="single" w:sz="4" w:space="0" w:color="auto"/>
            </w:tcBorders>
            <w:noWrap/>
            <w:vAlign w:val="center"/>
            <w:hideMark/>
          </w:tcPr>
          <w:p w14:paraId="1468693C"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57,948</w:t>
            </w:r>
          </w:p>
        </w:tc>
        <w:tc>
          <w:tcPr>
            <w:tcW w:w="1753" w:type="dxa"/>
            <w:tcBorders>
              <w:top w:val="nil"/>
              <w:left w:val="nil"/>
              <w:bottom w:val="nil"/>
              <w:right w:val="single" w:sz="4" w:space="0" w:color="auto"/>
            </w:tcBorders>
            <w:noWrap/>
            <w:vAlign w:val="center"/>
            <w:hideMark/>
          </w:tcPr>
          <w:p w14:paraId="0499E842"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FF0000"/>
                <w:sz w:val="20"/>
                <w:szCs w:val="20"/>
                <w:lang w:val="en-GB" w:eastAsia="en-GB"/>
              </w:rPr>
              <w:t>(1,312)</w:t>
            </w:r>
          </w:p>
        </w:tc>
      </w:tr>
      <w:tr w:rsidR="00EF7B6D" w14:paraId="6B66386F" w14:textId="77777777" w:rsidTr="0041394A">
        <w:trPr>
          <w:trHeight w:val="242"/>
          <w:jc w:val="center"/>
        </w:trPr>
        <w:tc>
          <w:tcPr>
            <w:tcW w:w="4817" w:type="dxa"/>
            <w:tcBorders>
              <w:top w:val="nil"/>
              <w:left w:val="single" w:sz="4" w:space="0" w:color="auto"/>
              <w:bottom w:val="nil"/>
              <w:right w:val="single" w:sz="4" w:space="0" w:color="auto"/>
            </w:tcBorders>
            <w:noWrap/>
            <w:vAlign w:val="center"/>
            <w:hideMark/>
          </w:tcPr>
          <w:p w14:paraId="240CBD99" w14:textId="77777777" w:rsidR="00EF7B6D" w:rsidRPr="0041394A" w:rsidRDefault="00EF7B6D">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Governance and Audit</w:t>
            </w:r>
          </w:p>
        </w:tc>
        <w:tc>
          <w:tcPr>
            <w:tcW w:w="967" w:type="dxa"/>
            <w:noWrap/>
            <w:vAlign w:val="center"/>
            <w:hideMark/>
          </w:tcPr>
          <w:p w14:paraId="17D24BA2" w14:textId="77777777" w:rsidR="00EF7B6D" w:rsidRPr="0041394A" w:rsidRDefault="00EF7B6D">
            <w:pPr>
              <w:jc w:val="center"/>
              <w:rPr>
                <w:rFonts w:eastAsia="Times New Roman" w:cs="Calibri"/>
                <w:color w:val="000000"/>
                <w:sz w:val="20"/>
                <w:szCs w:val="20"/>
                <w:lang w:val="en-GB" w:eastAsia="en-GB"/>
              </w:rPr>
            </w:pPr>
            <w:r w:rsidRPr="0041394A">
              <w:rPr>
                <w:rFonts w:eastAsia="Times New Roman" w:cs="Calibri"/>
                <w:color w:val="000000"/>
                <w:sz w:val="20"/>
                <w:szCs w:val="20"/>
                <w:lang w:val="en-GB" w:eastAsia="en-GB"/>
              </w:rPr>
              <w:t>ii</w:t>
            </w:r>
          </w:p>
        </w:tc>
        <w:tc>
          <w:tcPr>
            <w:tcW w:w="1753" w:type="dxa"/>
            <w:tcBorders>
              <w:top w:val="nil"/>
              <w:left w:val="single" w:sz="4" w:space="0" w:color="auto"/>
              <w:bottom w:val="nil"/>
              <w:right w:val="single" w:sz="4" w:space="0" w:color="auto"/>
            </w:tcBorders>
            <w:noWrap/>
            <w:vAlign w:val="center"/>
            <w:hideMark/>
          </w:tcPr>
          <w:p w14:paraId="79AC5067"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152,960</w:t>
            </w:r>
          </w:p>
        </w:tc>
        <w:tc>
          <w:tcPr>
            <w:tcW w:w="1753" w:type="dxa"/>
            <w:tcBorders>
              <w:top w:val="nil"/>
              <w:left w:val="nil"/>
              <w:bottom w:val="nil"/>
              <w:right w:val="single" w:sz="4" w:space="0" w:color="auto"/>
            </w:tcBorders>
            <w:noWrap/>
            <w:vAlign w:val="center"/>
            <w:hideMark/>
          </w:tcPr>
          <w:p w14:paraId="6295755A"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57,738</w:t>
            </w:r>
          </w:p>
        </w:tc>
        <w:tc>
          <w:tcPr>
            <w:tcW w:w="1753" w:type="dxa"/>
            <w:tcBorders>
              <w:top w:val="nil"/>
              <w:left w:val="nil"/>
              <w:bottom w:val="nil"/>
              <w:right w:val="single" w:sz="4" w:space="0" w:color="auto"/>
            </w:tcBorders>
            <w:noWrap/>
            <w:vAlign w:val="center"/>
            <w:hideMark/>
          </w:tcPr>
          <w:p w14:paraId="1AC3FA4E"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FF0000"/>
                <w:sz w:val="20"/>
                <w:szCs w:val="20"/>
                <w:lang w:val="en-GB" w:eastAsia="en-GB"/>
              </w:rPr>
              <w:t>(95,222)</w:t>
            </w:r>
          </w:p>
        </w:tc>
      </w:tr>
      <w:tr w:rsidR="00EF7B6D" w14:paraId="440E6655" w14:textId="77777777" w:rsidTr="0041394A">
        <w:trPr>
          <w:trHeight w:val="242"/>
          <w:jc w:val="center"/>
        </w:trPr>
        <w:tc>
          <w:tcPr>
            <w:tcW w:w="4817" w:type="dxa"/>
            <w:tcBorders>
              <w:top w:val="single" w:sz="4" w:space="0" w:color="auto"/>
              <w:left w:val="single" w:sz="4" w:space="0" w:color="auto"/>
              <w:bottom w:val="single" w:sz="4" w:space="0" w:color="auto"/>
              <w:right w:val="single" w:sz="4" w:space="0" w:color="auto"/>
            </w:tcBorders>
            <w:noWrap/>
            <w:vAlign w:val="center"/>
            <w:hideMark/>
          </w:tcPr>
          <w:p w14:paraId="4B8FD9B5" w14:textId="77777777" w:rsidR="00EF7B6D" w:rsidRPr="0041394A" w:rsidRDefault="00EF7B6D">
            <w:pP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Total OPCC Operational Costs</w:t>
            </w:r>
          </w:p>
        </w:tc>
        <w:tc>
          <w:tcPr>
            <w:tcW w:w="967" w:type="dxa"/>
            <w:tcBorders>
              <w:top w:val="single" w:sz="4" w:space="0" w:color="auto"/>
              <w:left w:val="nil"/>
              <w:bottom w:val="single" w:sz="4" w:space="0" w:color="auto"/>
              <w:right w:val="single" w:sz="4" w:space="0" w:color="auto"/>
            </w:tcBorders>
            <w:noWrap/>
            <w:vAlign w:val="center"/>
            <w:hideMark/>
          </w:tcPr>
          <w:p w14:paraId="689FD76F" w14:textId="77777777" w:rsidR="00EF7B6D" w:rsidRPr="0041394A" w:rsidRDefault="00EF7B6D">
            <w:pPr>
              <w:jc w:val="center"/>
              <w:rPr>
                <w:rFonts w:eastAsia="Times New Roman" w:cs="Calibri"/>
                <w:color w:val="000000"/>
                <w:sz w:val="20"/>
                <w:szCs w:val="20"/>
                <w:lang w:val="en-GB" w:eastAsia="en-GB"/>
              </w:rPr>
            </w:pPr>
            <w:r w:rsidRPr="0041394A">
              <w:rPr>
                <w:rFonts w:eastAsia="Times New Roman" w:cs="Calibri"/>
                <w:color w:val="000000"/>
                <w:sz w:val="20"/>
                <w:szCs w:val="20"/>
                <w:lang w:val="en-GB" w:eastAsia="en-GB"/>
              </w:rPr>
              <w:t> </w:t>
            </w:r>
          </w:p>
        </w:tc>
        <w:tc>
          <w:tcPr>
            <w:tcW w:w="1753" w:type="dxa"/>
            <w:tcBorders>
              <w:top w:val="single" w:sz="4" w:space="0" w:color="auto"/>
              <w:left w:val="nil"/>
              <w:bottom w:val="single" w:sz="4" w:space="0" w:color="auto"/>
              <w:right w:val="single" w:sz="4" w:space="0" w:color="auto"/>
            </w:tcBorders>
            <w:noWrap/>
            <w:vAlign w:val="center"/>
            <w:hideMark/>
          </w:tcPr>
          <w:p w14:paraId="57189FA1" w14:textId="77777777" w:rsidR="00EF7B6D" w:rsidRPr="0041394A" w:rsidRDefault="00EF7B6D">
            <w:pPr>
              <w:jc w:val="right"/>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1,152,180</w:t>
            </w:r>
          </w:p>
        </w:tc>
        <w:tc>
          <w:tcPr>
            <w:tcW w:w="1753" w:type="dxa"/>
            <w:tcBorders>
              <w:top w:val="single" w:sz="4" w:space="0" w:color="auto"/>
              <w:left w:val="nil"/>
              <w:bottom w:val="single" w:sz="4" w:space="0" w:color="auto"/>
              <w:right w:val="single" w:sz="4" w:space="0" w:color="auto"/>
            </w:tcBorders>
            <w:noWrap/>
            <w:vAlign w:val="center"/>
            <w:hideMark/>
          </w:tcPr>
          <w:p w14:paraId="66B0C950" w14:textId="77777777" w:rsidR="00EF7B6D" w:rsidRPr="0041394A" w:rsidRDefault="00EF7B6D">
            <w:pPr>
              <w:jc w:val="right"/>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994,495</w:t>
            </w:r>
          </w:p>
        </w:tc>
        <w:tc>
          <w:tcPr>
            <w:tcW w:w="1753" w:type="dxa"/>
            <w:tcBorders>
              <w:top w:val="single" w:sz="4" w:space="0" w:color="auto"/>
              <w:left w:val="nil"/>
              <w:bottom w:val="single" w:sz="4" w:space="0" w:color="auto"/>
              <w:right w:val="single" w:sz="4" w:space="0" w:color="auto"/>
            </w:tcBorders>
            <w:noWrap/>
            <w:vAlign w:val="center"/>
            <w:hideMark/>
          </w:tcPr>
          <w:p w14:paraId="2727FC7F" w14:textId="77777777" w:rsidR="00EF7B6D" w:rsidRPr="0041394A" w:rsidRDefault="00EF7B6D">
            <w:pPr>
              <w:jc w:val="right"/>
              <w:rPr>
                <w:rFonts w:eastAsia="Times New Roman" w:cs="Calibri"/>
                <w:b/>
                <w:bCs/>
                <w:color w:val="000000"/>
                <w:sz w:val="20"/>
                <w:szCs w:val="20"/>
                <w:lang w:val="en-GB" w:eastAsia="en-GB"/>
              </w:rPr>
            </w:pPr>
            <w:r w:rsidRPr="0041394A">
              <w:rPr>
                <w:rFonts w:eastAsia="Times New Roman" w:cs="Calibri"/>
                <w:b/>
                <w:bCs/>
                <w:color w:val="FF0000"/>
                <w:sz w:val="20"/>
                <w:szCs w:val="20"/>
                <w:lang w:val="en-GB" w:eastAsia="en-GB"/>
              </w:rPr>
              <w:t>(157,685)</w:t>
            </w:r>
          </w:p>
        </w:tc>
      </w:tr>
      <w:tr w:rsidR="00EF7B6D" w14:paraId="4CC9EFDE" w14:textId="77777777" w:rsidTr="0041394A">
        <w:trPr>
          <w:trHeight w:val="242"/>
          <w:jc w:val="center"/>
        </w:trPr>
        <w:tc>
          <w:tcPr>
            <w:tcW w:w="4817" w:type="dxa"/>
            <w:tcBorders>
              <w:top w:val="nil"/>
              <w:left w:val="single" w:sz="4" w:space="0" w:color="auto"/>
              <w:bottom w:val="nil"/>
              <w:right w:val="single" w:sz="4" w:space="0" w:color="auto"/>
            </w:tcBorders>
            <w:noWrap/>
            <w:vAlign w:val="center"/>
            <w:hideMark/>
          </w:tcPr>
          <w:p w14:paraId="7778AEAE" w14:textId="7D9D4225" w:rsidR="00EF7B6D" w:rsidRPr="0041394A" w:rsidRDefault="006D5493">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OPCC Commissioned Services</w:t>
            </w:r>
            <w:r w:rsidR="00EF7B6D" w:rsidRPr="0041394A">
              <w:rPr>
                <w:rFonts w:eastAsia="Times New Roman" w:cs="Calibri"/>
                <w:color w:val="000000"/>
                <w:sz w:val="20"/>
                <w:szCs w:val="20"/>
                <w:lang w:val="en-GB" w:eastAsia="en-GB"/>
              </w:rPr>
              <w:t> </w:t>
            </w:r>
          </w:p>
        </w:tc>
        <w:tc>
          <w:tcPr>
            <w:tcW w:w="967" w:type="dxa"/>
            <w:noWrap/>
            <w:vAlign w:val="center"/>
            <w:hideMark/>
          </w:tcPr>
          <w:p w14:paraId="6BD24750" w14:textId="77777777" w:rsidR="00EF7B6D" w:rsidRPr="0041394A" w:rsidRDefault="00EF7B6D">
            <w:pPr>
              <w:rPr>
                <w:rFonts w:eastAsia="Times New Roman" w:cs="Calibri"/>
                <w:color w:val="000000"/>
                <w:sz w:val="20"/>
                <w:szCs w:val="20"/>
                <w:lang w:val="en-GB" w:eastAsia="en-GB"/>
              </w:rPr>
            </w:pPr>
          </w:p>
        </w:tc>
        <w:tc>
          <w:tcPr>
            <w:tcW w:w="1753" w:type="dxa"/>
            <w:tcBorders>
              <w:top w:val="nil"/>
              <w:left w:val="single" w:sz="4" w:space="0" w:color="auto"/>
              <w:bottom w:val="nil"/>
              <w:right w:val="single" w:sz="4" w:space="0" w:color="auto"/>
            </w:tcBorders>
            <w:noWrap/>
            <w:vAlign w:val="center"/>
            <w:hideMark/>
          </w:tcPr>
          <w:p w14:paraId="7D06BCDF" w14:textId="77777777" w:rsidR="00EF7B6D" w:rsidRPr="0041394A" w:rsidRDefault="00EF7B6D">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 </w:t>
            </w:r>
          </w:p>
        </w:tc>
        <w:tc>
          <w:tcPr>
            <w:tcW w:w="1753" w:type="dxa"/>
            <w:tcBorders>
              <w:top w:val="nil"/>
              <w:left w:val="nil"/>
              <w:bottom w:val="nil"/>
              <w:right w:val="single" w:sz="4" w:space="0" w:color="auto"/>
            </w:tcBorders>
            <w:noWrap/>
            <w:vAlign w:val="center"/>
            <w:hideMark/>
          </w:tcPr>
          <w:p w14:paraId="0688BE1C" w14:textId="77777777" w:rsidR="00EF7B6D" w:rsidRPr="0041394A" w:rsidRDefault="00EF7B6D">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 </w:t>
            </w:r>
          </w:p>
        </w:tc>
        <w:tc>
          <w:tcPr>
            <w:tcW w:w="1753" w:type="dxa"/>
            <w:tcBorders>
              <w:top w:val="nil"/>
              <w:left w:val="nil"/>
              <w:bottom w:val="nil"/>
              <w:right w:val="single" w:sz="4" w:space="0" w:color="auto"/>
            </w:tcBorders>
            <w:noWrap/>
            <w:vAlign w:val="center"/>
            <w:hideMark/>
          </w:tcPr>
          <w:p w14:paraId="46F1FED4" w14:textId="77777777" w:rsidR="00EF7B6D" w:rsidRPr="0041394A" w:rsidRDefault="00EF7B6D">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 </w:t>
            </w:r>
          </w:p>
        </w:tc>
      </w:tr>
      <w:tr w:rsidR="006D5493" w14:paraId="4C2DA869" w14:textId="77777777" w:rsidTr="0041394A">
        <w:trPr>
          <w:trHeight w:val="242"/>
          <w:jc w:val="center"/>
        </w:trPr>
        <w:tc>
          <w:tcPr>
            <w:tcW w:w="4817" w:type="dxa"/>
            <w:tcBorders>
              <w:top w:val="nil"/>
              <w:left w:val="single" w:sz="4" w:space="0" w:color="auto"/>
              <w:bottom w:val="nil"/>
              <w:right w:val="single" w:sz="4" w:space="0" w:color="auto"/>
            </w:tcBorders>
            <w:noWrap/>
            <w:vAlign w:val="center"/>
            <w:hideMark/>
          </w:tcPr>
          <w:p w14:paraId="7A040437" w14:textId="5ADB0859" w:rsidR="006D5493" w:rsidRPr="0041394A" w:rsidRDefault="006D5493" w:rsidP="006D5493">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Community Safety Grants</w:t>
            </w:r>
          </w:p>
        </w:tc>
        <w:tc>
          <w:tcPr>
            <w:tcW w:w="967" w:type="dxa"/>
            <w:noWrap/>
            <w:vAlign w:val="center"/>
            <w:hideMark/>
          </w:tcPr>
          <w:p w14:paraId="0722B9C1" w14:textId="77777777" w:rsidR="006D5493" w:rsidRPr="0041394A" w:rsidRDefault="006D5493" w:rsidP="006D5493">
            <w:pPr>
              <w:rPr>
                <w:rFonts w:eastAsia="Times New Roman" w:cs="Calibri"/>
                <w:color w:val="000000"/>
                <w:sz w:val="20"/>
                <w:szCs w:val="20"/>
                <w:lang w:val="en-GB" w:eastAsia="en-GB"/>
              </w:rPr>
            </w:pPr>
          </w:p>
        </w:tc>
        <w:tc>
          <w:tcPr>
            <w:tcW w:w="1753" w:type="dxa"/>
            <w:tcBorders>
              <w:top w:val="nil"/>
              <w:left w:val="single" w:sz="4" w:space="0" w:color="auto"/>
              <w:bottom w:val="nil"/>
              <w:right w:val="single" w:sz="4" w:space="0" w:color="auto"/>
            </w:tcBorders>
            <w:noWrap/>
            <w:vAlign w:val="center"/>
            <w:hideMark/>
          </w:tcPr>
          <w:p w14:paraId="5A3CD9AF"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800,000</w:t>
            </w:r>
          </w:p>
        </w:tc>
        <w:tc>
          <w:tcPr>
            <w:tcW w:w="1753" w:type="dxa"/>
            <w:tcBorders>
              <w:top w:val="nil"/>
              <w:left w:val="nil"/>
              <w:bottom w:val="nil"/>
              <w:right w:val="single" w:sz="4" w:space="0" w:color="auto"/>
            </w:tcBorders>
            <w:noWrap/>
            <w:vAlign w:val="center"/>
            <w:hideMark/>
          </w:tcPr>
          <w:p w14:paraId="6B77EDBB"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798,696</w:t>
            </w:r>
          </w:p>
        </w:tc>
        <w:tc>
          <w:tcPr>
            <w:tcW w:w="1753" w:type="dxa"/>
            <w:tcBorders>
              <w:top w:val="nil"/>
              <w:left w:val="nil"/>
              <w:bottom w:val="nil"/>
              <w:right w:val="single" w:sz="4" w:space="0" w:color="auto"/>
            </w:tcBorders>
            <w:noWrap/>
            <w:vAlign w:val="center"/>
            <w:hideMark/>
          </w:tcPr>
          <w:p w14:paraId="72E812FF"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FF0000"/>
                <w:sz w:val="20"/>
                <w:szCs w:val="20"/>
                <w:lang w:val="en-GB" w:eastAsia="en-GB"/>
              </w:rPr>
              <w:t>(1,304)</w:t>
            </w:r>
          </w:p>
        </w:tc>
      </w:tr>
      <w:tr w:rsidR="006D5493" w14:paraId="58A61DDE" w14:textId="77777777" w:rsidTr="0041394A">
        <w:trPr>
          <w:trHeight w:val="242"/>
          <w:jc w:val="center"/>
        </w:trPr>
        <w:tc>
          <w:tcPr>
            <w:tcW w:w="4817" w:type="dxa"/>
            <w:tcBorders>
              <w:top w:val="nil"/>
              <w:left w:val="single" w:sz="4" w:space="0" w:color="auto"/>
              <w:bottom w:val="nil"/>
              <w:right w:val="single" w:sz="4" w:space="0" w:color="auto"/>
            </w:tcBorders>
            <w:noWrap/>
            <w:vAlign w:val="center"/>
            <w:hideMark/>
          </w:tcPr>
          <w:p w14:paraId="0EA2B404" w14:textId="1FDC27D5" w:rsidR="006D5493" w:rsidRPr="0041394A" w:rsidRDefault="006D5493" w:rsidP="006D5493">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Abuse and Assault Services</w:t>
            </w:r>
          </w:p>
        </w:tc>
        <w:tc>
          <w:tcPr>
            <w:tcW w:w="967" w:type="dxa"/>
            <w:noWrap/>
            <w:vAlign w:val="center"/>
            <w:hideMark/>
          </w:tcPr>
          <w:p w14:paraId="12E0B833" w14:textId="77777777" w:rsidR="006D5493" w:rsidRPr="0041394A" w:rsidRDefault="006D5493" w:rsidP="006D5493">
            <w:pPr>
              <w:jc w:val="center"/>
              <w:rPr>
                <w:rFonts w:eastAsia="Times New Roman" w:cs="Calibri"/>
                <w:color w:val="000000"/>
                <w:sz w:val="20"/>
                <w:szCs w:val="20"/>
                <w:lang w:val="en-GB" w:eastAsia="en-GB"/>
              </w:rPr>
            </w:pPr>
            <w:r w:rsidRPr="0041394A">
              <w:rPr>
                <w:rFonts w:eastAsia="Times New Roman" w:cs="Calibri"/>
                <w:color w:val="000000"/>
                <w:sz w:val="20"/>
                <w:szCs w:val="20"/>
                <w:lang w:val="en-GB" w:eastAsia="en-GB"/>
              </w:rPr>
              <w:t>iii</w:t>
            </w:r>
          </w:p>
        </w:tc>
        <w:tc>
          <w:tcPr>
            <w:tcW w:w="1753" w:type="dxa"/>
            <w:tcBorders>
              <w:top w:val="nil"/>
              <w:left w:val="single" w:sz="4" w:space="0" w:color="auto"/>
              <w:bottom w:val="nil"/>
              <w:right w:val="single" w:sz="4" w:space="0" w:color="auto"/>
            </w:tcBorders>
            <w:noWrap/>
            <w:vAlign w:val="center"/>
            <w:hideMark/>
          </w:tcPr>
          <w:p w14:paraId="52073F96"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754,940</w:t>
            </w:r>
          </w:p>
        </w:tc>
        <w:tc>
          <w:tcPr>
            <w:tcW w:w="1753" w:type="dxa"/>
            <w:tcBorders>
              <w:top w:val="nil"/>
              <w:left w:val="nil"/>
              <w:bottom w:val="nil"/>
              <w:right w:val="single" w:sz="4" w:space="0" w:color="auto"/>
            </w:tcBorders>
            <w:noWrap/>
            <w:vAlign w:val="center"/>
            <w:hideMark/>
          </w:tcPr>
          <w:p w14:paraId="7B1F4D22"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909,328</w:t>
            </w:r>
          </w:p>
        </w:tc>
        <w:tc>
          <w:tcPr>
            <w:tcW w:w="1753" w:type="dxa"/>
            <w:tcBorders>
              <w:top w:val="nil"/>
              <w:left w:val="nil"/>
              <w:bottom w:val="nil"/>
              <w:right w:val="single" w:sz="4" w:space="0" w:color="auto"/>
            </w:tcBorders>
            <w:noWrap/>
            <w:vAlign w:val="center"/>
            <w:hideMark/>
          </w:tcPr>
          <w:p w14:paraId="7ADF03EA"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154,388</w:t>
            </w:r>
          </w:p>
        </w:tc>
      </w:tr>
      <w:tr w:rsidR="006D5493" w14:paraId="2FFD8330" w14:textId="77777777" w:rsidTr="0041394A">
        <w:trPr>
          <w:trHeight w:val="242"/>
          <w:jc w:val="center"/>
        </w:trPr>
        <w:tc>
          <w:tcPr>
            <w:tcW w:w="4817" w:type="dxa"/>
            <w:tcBorders>
              <w:top w:val="nil"/>
              <w:left w:val="single" w:sz="4" w:space="0" w:color="auto"/>
              <w:bottom w:val="nil"/>
              <w:right w:val="single" w:sz="4" w:space="0" w:color="auto"/>
            </w:tcBorders>
            <w:noWrap/>
            <w:vAlign w:val="center"/>
            <w:hideMark/>
          </w:tcPr>
          <w:p w14:paraId="77D4C335" w14:textId="5BF0E6A0" w:rsidR="006D5493" w:rsidRPr="0041394A" w:rsidRDefault="006D5493" w:rsidP="006D5493">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Victim and Witness Care Unit</w:t>
            </w:r>
          </w:p>
        </w:tc>
        <w:tc>
          <w:tcPr>
            <w:tcW w:w="967" w:type="dxa"/>
            <w:noWrap/>
            <w:vAlign w:val="center"/>
            <w:hideMark/>
          </w:tcPr>
          <w:p w14:paraId="3851C83B" w14:textId="77777777" w:rsidR="006D5493" w:rsidRPr="0041394A" w:rsidRDefault="006D5493" w:rsidP="006D5493">
            <w:pPr>
              <w:rPr>
                <w:rFonts w:eastAsia="Times New Roman" w:cs="Calibri"/>
                <w:color w:val="000000"/>
                <w:sz w:val="20"/>
                <w:szCs w:val="20"/>
                <w:lang w:val="en-GB" w:eastAsia="en-GB"/>
              </w:rPr>
            </w:pPr>
          </w:p>
        </w:tc>
        <w:tc>
          <w:tcPr>
            <w:tcW w:w="1753" w:type="dxa"/>
            <w:tcBorders>
              <w:top w:val="nil"/>
              <w:left w:val="single" w:sz="4" w:space="0" w:color="auto"/>
              <w:bottom w:val="nil"/>
              <w:right w:val="single" w:sz="4" w:space="0" w:color="auto"/>
            </w:tcBorders>
            <w:noWrap/>
            <w:vAlign w:val="center"/>
            <w:hideMark/>
          </w:tcPr>
          <w:p w14:paraId="347B6291"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465,090</w:t>
            </w:r>
          </w:p>
        </w:tc>
        <w:tc>
          <w:tcPr>
            <w:tcW w:w="1753" w:type="dxa"/>
            <w:tcBorders>
              <w:top w:val="nil"/>
              <w:left w:val="nil"/>
              <w:bottom w:val="nil"/>
              <w:right w:val="single" w:sz="4" w:space="0" w:color="auto"/>
            </w:tcBorders>
            <w:noWrap/>
            <w:vAlign w:val="center"/>
            <w:hideMark/>
          </w:tcPr>
          <w:p w14:paraId="7C811410"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468,086</w:t>
            </w:r>
          </w:p>
        </w:tc>
        <w:tc>
          <w:tcPr>
            <w:tcW w:w="1753" w:type="dxa"/>
            <w:tcBorders>
              <w:top w:val="nil"/>
              <w:left w:val="nil"/>
              <w:bottom w:val="nil"/>
              <w:right w:val="single" w:sz="4" w:space="0" w:color="auto"/>
            </w:tcBorders>
            <w:noWrap/>
            <w:vAlign w:val="center"/>
            <w:hideMark/>
          </w:tcPr>
          <w:p w14:paraId="7EEB9D46"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2,996</w:t>
            </w:r>
          </w:p>
        </w:tc>
      </w:tr>
      <w:tr w:rsidR="006D5493" w14:paraId="7C14F3E8" w14:textId="77777777" w:rsidTr="0041394A">
        <w:trPr>
          <w:trHeight w:val="242"/>
          <w:jc w:val="center"/>
        </w:trPr>
        <w:tc>
          <w:tcPr>
            <w:tcW w:w="4817" w:type="dxa"/>
            <w:tcBorders>
              <w:top w:val="nil"/>
              <w:left w:val="single" w:sz="4" w:space="0" w:color="auto"/>
              <w:bottom w:val="nil"/>
              <w:right w:val="single" w:sz="4" w:space="0" w:color="auto"/>
            </w:tcBorders>
            <w:noWrap/>
            <w:vAlign w:val="center"/>
            <w:hideMark/>
          </w:tcPr>
          <w:p w14:paraId="2B9E8C8D" w14:textId="43CC7692" w:rsidR="006D5493" w:rsidRPr="0041394A" w:rsidRDefault="006D5493" w:rsidP="006D5493">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MOJ Coronavirus Grants</w:t>
            </w:r>
          </w:p>
        </w:tc>
        <w:tc>
          <w:tcPr>
            <w:tcW w:w="967" w:type="dxa"/>
            <w:noWrap/>
            <w:vAlign w:val="center"/>
            <w:hideMark/>
          </w:tcPr>
          <w:p w14:paraId="7C82B4F7" w14:textId="77777777" w:rsidR="006D5493" w:rsidRPr="0041394A" w:rsidRDefault="006D5493" w:rsidP="006D5493">
            <w:pPr>
              <w:jc w:val="center"/>
              <w:rPr>
                <w:rFonts w:eastAsia="Times New Roman" w:cs="Calibri"/>
                <w:color w:val="000000"/>
                <w:sz w:val="20"/>
                <w:szCs w:val="20"/>
                <w:lang w:val="en-GB" w:eastAsia="en-GB"/>
              </w:rPr>
            </w:pPr>
            <w:r w:rsidRPr="0041394A">
              <w:rPr>
                <w:rFonts w:eastAsia="Times New Roman" w:cs="Calibri"/>
                <w:color w:val="000000"/>
                <w:sz w:val="20"/>
                <w:szCs w:val="20"/>
                <w:lang w:val="en-GB" w:eastAsia="en-GB"/>
              </w:rPr>
              <w:t>iv</w:t>
            </w:r>
          </w:p>
        </w:tc>
        <w:tc>
          <w:tcPr>
            <w:tcW w:w="1753" w:type="dxa"/>
            <w:tcBorders>
              <w:top w:val="nil"/>
              <w:left w:val="single" w:sz="4" w:space="0" w:color="auto"/>
              <w:bottom w:val="nil"/>
              <w:right w:val="single" w:sz="4" w:space="0" w:color="auto"/>
            </w:tcBorders>
            <w:noWrap/>
            <w:vAlign w:val="center"/>
            <w:hideMark/>
          </w:tcPr>
          <w:p w14:paraId="3D656D54"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0</w:t>
            </w:r>
          </w:p>
        </w:tc>
        <w:tc>
          <w:tcPr>
            <w:tcW w:w="1753" w:type="dxa"/>
            <w:tcBorders>
              <w:top w:val="nil"/>
              <w:left w:val="nil"/>
              <w:bottom w:val="nil"/>
              <w:right w:val="single" w:sz="4" w:space="0" w:color="auto"/>
            </w:tcBorders>
            <w:noWrap/>
            <w:vAlign w:val="center"/>
            <w:hideMark/>
          </w:tcPr>
          <w:p w14:paraId="77200442"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424,858</w:t>
            </w:r>
          </w:p>
        </w:tc>
        <w:tc>
          <w:tcPr>
            <w:tcW w:w="1753" w:type="dxa"/>
            <w:tcBorders>
              <w:top w:val="nil"/>
              <w:left w:val="nil"/>
              <w:bottom w:val="nil"/>
              <w:right w:val="single" w:sz="4" w:space="0" w:color="auto"/>
            </w:tcBorders>
            <w:noWrap/>
            <w:vAlign w:val="center"/>
            <w:hideMark/>
          </w:tcPr>
          <w:p w14:paraId="22504287"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424,858</w:t>
            </w:r>
          </w:p>
        </w:tc>
      </w:tr>
      <w:tr w:rsidR="006D5493" w14:paraId="31797365" w14:textId="77777777" w:rsidTr="0041394A">
        <w:trPr>
          <w:trHeight w:val="242"/>
          <w:jc w:val="center"/>
        </w:trPr>
        <w:tc>
          <w:tcPr>
            <w:tcW w:w="4817" w:type="dxa"/>
            <w:tcBorders>
              <w:top w:val="nil"/>
              <w:left w:val="single" w:sz="4" w:space="0" w:color="auto"/>
              <w:bottom w:val="nil"/>
              <w:right w:val="single" w:sz="4" w:space="0" w:color="auto"/>
            </w:tcBorders>
            <w:noWrap/>
            <w:vAlign w:val="center"/>
            <w:hideMark/>
          </w:tcPr>
          <w:p w14:paraId="4ADDF455" w14:textId="15ED8ED7" w:rsidR="006D5493" w:rsidRPr="0041394A" w:rsidRDefault="006D5493" w:rsidP="006D5493">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PCC Coronavirus Grants</w:t>
            </w:r>
          </w:p>
        </w:tc>
        <w:tc>
          <w:tcPr>
            <w:tcW w:w="967" w:type="dxa"/>
            <w:noWrap/>
            <w:vAlign w:val="center"/>
            <w:hideMark/>
          </w:tcPr>
          <w:p w14:paraId="3FF32DD5" w14:textId="77777777" w:rsidR="006D5493" w:rsidRPr="0041394A" w:rsidRDefault="006D5493" w:rsidP="006D5493">
            <w:pPr>
              <w:jc w:val="center"/>
              <w:rPr>
                <w:rFonts w:eastAsia="Times New Roman" w:cs="Calibri"/>
                <w:color w:val="000000"/>
                <w:sz w:val="20"/>
                <w:szCs w:val="20"/>
                <w:lang w:val="en-GB" w:eastAsia="en-GB"/>
              </w:rPr>
            </w:pPr>
            <w:r w:rsidRPr="0041394A">
              <w:rPr>
                <w:rFonts w:eastAsia="Times New Roman" w:cs="Calibri"/>
                <w:color w:val="000000"/>
                <w:sz w:val="20"/>
                <w:szCs w:val="20"/>
                <w:lang w:val="en-GB" w:eastAsia="en-GB"/>
              </w:rPr>
              <w:t>v</w:t>
            </w:r>
          </w:p>
        </w:tc>
        <w:tc>
          <w:tcPr>
            <w:tcW w:w="1753" w:type="dxa"/>
            <w:tcBorders>
              <w:top w:val="nil"/>
              <w:left w:val="single" w:sz="4" w:space="0" w:color="auto"/>
              <w:bottom w:val="nil"/>
              <w:right w:val="single" w:sz="4" w:space="0" w:color="auto"/>
            </w:tcBorders>
            <w:noWrap/>
            <w:vAlign w:val="center"/>
            <w:hideMark/>
          </w:tcPr>
          <w:p w14:paraId="6F320CC2"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0</w:t>
            </w:r>
          </w:p>
        </w:tc>
        <w:tc>
          <w:tcPr>
            <w:tcW w:w="1753" w:type="dxa"/>
            <w:tcBorders>
              <w:top w:val="nil"/>
              <w:left w:val="nil"/>
              <w:bottom w:val="nil"/>
              <w:right w:val="single" w:sz="4" w:space="0" w:color="auto"/>
            </w:tcBorders>
            <w:noWrap/>
            <w:vAlign w:val="center"/>
            <w:hideMark/>
          </w:tcPr>
          <w:p w14:paraId="6E205A25"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461,193</w:t>
            </w:r>
          </w:p>
        </w:tc>
        <w:tc>
          <w:tcPr>
            <w:tcW w:w="1753" w:type="dxa"/>
            <w:tcBorders>
              <w:top w:val="nil"/>
              <w:left w:val="nil"/>
              <w:bottom w:val="nil"/>
              <w:right w:val="single" w:sz="4" w:space="0" w:color="auto"/>
            </w:tcBorders>
            <w:noWrap/>
            <w:vAlign w:val="center"/>
            <w:hideMark/>
          </w:tcPr>
          <w:p w14:paraId="6A2F3E64"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461,193</w:t>
            </w:r>
          </w:p>
        </w:tc>
      </w:tr>
      <w:tr w:rsidR="006D5493" w14:paraId="29947C1D" w14:textId="77777777" w:rsidTr="0041394A">
        <w:trPr>
          <w:trHeight w:val="242"/>
          <w:jc w:val="center"/>
        </w:trPr>
        <w:tc>
          <w:tcPr>
            <w:tcW w:w="4817" w:type="dxa"/>
            <w:tcBorders>
              <w:top w:val="nil"/>
              <w:left w:val="single" w:sz="4" w:space="0" w:color="auto"/>
              <w:bottom w:val="nil"/>
              <w:right w:val="single" w:sz="4" w:space="0" w:color="auto"/>
            </w:tcBorders>
            <w:noWrap/>
            <w:vAlign w:val="center"/>
            <w:hideMark/>
          </w:tcPr>
          <w:p w14:paraId="1B4CC734" w14:textId="558D92BD" w:rsidR="006D5493" w:rsidRPr="0041394A" w:rsidRDefault="006D5493" w:rsidP="006D5493">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Other Grants</w:t>
            </w:r>
          </w:p>
        </w:tc>
        <w:tc>
          <w:tcPr>
            <w:tcW w:w="967" w:type="dxa"/>
            <w:noWrap/>
            <w:vAlign w:val="center"/>
            <w:hideMark/>
          </w:tcPr>
          <w:p w14:paraId="6B82E3BD" w14:textId="77777777" w:rsidR="006D5493" w:rsidRPr="0041394A" w:rsidRDefault="006D5493" w:rsidP="006D5493">
            <w:pPr>
              <w:rPr>
                <w:rFonts w:eastAsia="Times New Roman" w:cs="Calibri"/>
                <w:color w:val="000000"/>
                <w:sz w:val="20"/>
                <w:szCs w:val="20"/>
                <w:lang w:val="en-GB" w:eastAsia="en-GB"/>
              </w:rPr>
            </w:pPr>
          </w:p>
        </w:tc>
        <w:tc>
          <w:tcPr>
            <w:tcW w:w="1753" w:type="dxa"/>
            <w:tcBorders>
              <w:top w:val="nil"/>
              <w:left w:val="single" w:sz="4" w:space="0" w:color="auto"/>
              <w:bottom w:val="nil"/>
              <w:right w:val="single" w:sz="4" w:space="0" w:color="auto"/>
            </w:tcBorders>
            <w:noWrap/>
            <w:vAlign w:val="center"/>
            <w:hideMark/>
          </w:tcPr>
          <w:p w14:paraId="1767BF4D"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64,180</w:t>
            </w:r>
          </w:p>
        </w:tc>
        <w:tc>
          <w:tcPr>
            <w:tcW w:w="1753" w:type="dxa"/>
            <w:tcBorders>
              <w:top w:val="nil"/>
              <w:left w:val="nil"/>
              <w:bottom w:val="nil"/>
              <w:right w:val="single" w:sz="4" w:space="0" w:color="auto"/>
            </w:tcBorders>
            <w:noWrap/>
            <w:vAlign w:val="center"/>
            <w:hideMark/>
          </w:tcPr>
          <w:p w14:paraId="0222A759"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19,612</w:t>
            </w:r>
          </w:p>
        </w:tc>
        <w:tc>
          <w:tcPr>
            <w:tcW w:w="1753" w:type="dxa"/>
            <w:tcBorders>
              <w:top w:val="nil"/>
              <w:left w:val="nil"/>
              <w:bottom w:val="nil"/>
              <w:right w:val="single" w:sz="4" w:space="0" w:color="auto"/>
            </w:tcBorders>
            <w:noWrap/>
            <w:vAlign w:val="center"/>
            <w:hideMark/>
          </w:tcPr>
          <w:p w14:paraId="067AA18E"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FF0000"/>
                <w:sz w:val="20"/>
                <w:szCs w:val="20"/>
                <w:lang w:val="en-GB" w:eastAsia="en-GB"/>
              </w:rPr>
              <w:t>(44,568)</w:t>
            </w:r>
          </w:p>
        </w:tc>
      </w:tr>
      <w:tr w:rsidR="006D5493" w14:paraId="3FA0013C" w14:textId="77777777" w:rsidTr="0041394A">
        <w:trPr>
          <w:trHeight w:val="242"/>
          <w:jc w:val="center"/>
        </w:trPr>
        <w:tc>
          <w:tcPr>
            <w:tcW w:w="4817" w:type="dxa"/>
            <w:tcBorders>
              <w:top w:val="nil"/>
              <w:left w:val="single" w:sz="4" w:space="0" w:color="auto"/>
              <w:bottom w:val="nil"/>
              <w:right w:val="single" w:sz="4" w:space="0" w:color="auto"/>
            </w:tcBorders>
            <w:noWrap/>
            <w:vAlign w:val="center"/>
            <w:hideMark/>
          </w:tcPr>
          <w:p w14:paraId="406A1F7F" w14:textId="33434530" w:rsidR="006D5493" w:rsidRPr="0041394A" w:rsidRDefault="006D5493" w:rsidP="006D5493">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Staff to Support Commissioned Services</w:t>
            </w:r>
          </w:p>
        </w:tc>
        <w:tc>
          <w:tcPr>
            <w:tcW w:w="967" w:type="dxa"/>
            <w:noWrap/>
            <w:vAlign w:val="center"/>
            <w:hideMark/>
          </w:tcPr>
          <w:p w14:paraId="424713DB" w14:textId="77777777" w:rsidR="006D5493" w:rsidRPr="0041394A" w:rsidRDefault="006D5493" w:rsidP="006D5493">
            <w:pPr>
              <w:rPr>
                <w:rFonts w:eastAsia="Times New Roman" w:cs="Calibri"/>
                <w:color w:val="000000"/>
                <w:sz w:val="20"/>
                <w:szCs w:val="20"/>
                <w:lang w:val="en-GB" w:eastAsia="en-GB"/>
              </w:rPr>
            </w:pPr>
          </w:p>
        </w:tc>
        <w:tc>
          <w:tcPr>
            <w:tcW w:w="1753" w:type="dxa"/>
            <w:tcBorders>
              <w:top w:val="nil"/>
              <w:left w:val="single" w:sz="4" w:space="0" w:color="auto"/>
              <w:bottom w:val="nil"/>
              <w:right w:val="single" w:sz="4" w:space="0" w:color="auto"/>
            </w:tcBorders>
            <w:noWrap/>
            <w:vAlign w:val="center"/>
            <w:hideMark/>
          </w:tcPr>
          <w:p w14:paraId="3BD18A15"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281,810</w:t>
            </w:r>
          </w:p>
        </w:tc>
        <w:tc>
          <w:tcPr>
            <w:tcW w:w="1753" w:type="dxa"/>
            <w:tcBorders>
              <w:top w:val="nil"/>
              <w:left w:val="nil"/>
              <w:bottom w:val="nil"/>
              <w:right w:val="single" w:sz="4" w:space="0" w:color="auto"/>
            </w:tcBorders>
            <w:noWrap/>
            <w:vAlign w:val="center"/>
            <w:hideMark/>
          </w:tcPr>
          <w:p w14:paraId="70AB1314"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280,421</w:t>
            </w:r>
          </w:p>
        </w:tc>
        <w:tc>
          <w:tcPr>
            <w:tcW w:w="1753" w:type="dxa"/>
            <w:tcBorders>
              <w:top w:val="nil"/>
              <w:left w:val="nil"/>
              <w:bottom w:val="nil"/>
              <w:right w:val="single" w:sz="4" w:space="0" w:color="auto"/>
            </w:tcBorders>
            <w:noWrap/>
            <w:vAlign w:val="center"/>
            <w:hideMark/>
          </w:tcPr>
          <w:p w14:paraId="6E07E318"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FF0000"/>
                <w:sz w:val="20"/>
                <w:szCs w:val="20"/>
                <w:lang w:val="en-GB" w:eastAsia="en-GB"/>
              </w:rPr>
              <w:t>(1,389)</w:t>
            </w:r>
          </w:p>
        </w:tc>
      </w:tr>
      <w:tr w:rsidR="006D5493" w14:paraId="581C1B68" w14:textId="77777777" w:rsidTr="0041394A">
        <w:trPr>
          <w:trHeight w:val="242"/>
          <w:jc w:val="center"/>
        </w:trPr>
        <w:tc>
          <w:tcPr>
            <w:tcW w:w="4817" w:type="dxa"/>
            <w:tcBorders>
              <w:top w:val="nil"/>
              <w:left w:val="single" w:sz="4" w:space="0" w:color="auto"/>
              <w:bottom w:val="nil"/>
              <w:right w:val="single" w:sz="4" w:space="0" w:color="auto"/>
            </w:tcBorders>
            <w:noWrap/>
            <w:vAlign w:val="center"/>
            <w:hideMark/>
          </w:tcPr>
          <w:p w14:paraId="785C3BD3" w14:textId="36C204D3" w:rsidR="006D5493" w:rsidRPr="0041394A" w:rsidRDefault="006D5493" w:rsidP="006D5493">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Less: MOJ Covid Grant Funding</w:t>
            </w:r>
          </w:p>
        </w:tc>
        <w:tc>
          <w:tcPr>
            <w:tcW w:w="967" w:type="dxa"/>
            <w:noWrap/>
            <w:vAlign w:val="center"/>
            <w:hideMark/>
          </w:tcPr>
          <w:p w14:paraId="0570167A" w14:textId="77777777" w:rsidR="006D5493" w:rsidRPr="0041394A" w:rsidRDefault="006D5493" w:rsidP="006D5493">
            <w:pPr>
              <w:rPr>
                <w:rFonts w:eastAsia="Times New Roman" w:cs="Calibri"/>
                <w:color w:val="000000"/>
                <w:sz w:val="20"/>
                <w:szCs w:val="20"/>
                <w:lang w:val="en-GB" w:eastAsia="en-GB"/>
              </w:rPr>
            </w:pPr>
          </w:p>
        </w:tc>
        <w:tc>
          <w:tcPr>
            <w:tcW w:w="1753" w:type="dxa"/>
            <w:tcBorders>
              <w:top w:val="nil"/>
              <w:left w:val="single" w:sz="4" w:space="0" w:color="auto"/>
              <w:bottom w:val="nil"/>
              <w:right w:val="single" w:sz="4" w:space="0" w:color="auto"/>
            </w:tcBorders>
            <w:noWrap/>
            <w:vAlign w:val="center"/>
            <w:hideMark/>
          </w:tcPr>
          <w:p w14:paraId="381AED82"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0</w:t>
            </w:r>
          </w:p>
        </w:tc>
        <w:tc>
          <w:tcPr>
            <w:tcW w:w="1753" w:type="dxa"/>
            <w:tcBorders>
              <w:top w:val="nil"/>
              <w:left w:val="nil"/>
              <w:bottom w:val="nil"/>
              <w:right w:val="single" w:sz="4" w:space="0" w:color="auto"/>
            </w:tcBorders>
            <w:noWrap/>
            <w:vAlign w:val="center"/>
            <w:hideMark/>
          </w:tcPr>
          <w:p w14:paraId="7C166DFD"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FF0000"/>
                <w:sz w:val="20"/>
                <w:szCs w:val="20"/>
                <w:lang w:val="en-GB" w:eastAsia="en-GB"/>
              </w:rPr>
              <w:t>(424,858)</w:t>
            </w:r>
          </w:p>
        </w:tc>
        <w:tc>
          <w:tcPr>
            <w:tcW w:w="1753" w:type="dxa"/>
            <w:tcBorders>
              <w:top w:val="nil"/>
              <w:left w:val="nil"/>
              <w:bottom w:val="nil"/>
              <w:right w:val="single" w:sz="4" w:space="0" w:color="auto"/>
            </w:tcBorders>
            <w:noWrap/>
            <w:vAlign w:val="center"/>
            <w:hideMark/>
          </w:tcPr>
          <w:p w14:paraId="038673FB"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FF0000"/>
                <w:sz w:val="20"/>
                <w:szCs w:val="20"/>
                <w:lang w:val="en-GB" w:eastAsia="en-GB"/>
              </w:rPr>
              <w:t>(424,858)</w:t>
            </w:r>
          </w:p>
        </w:tc>
      </w:tr>
      <w:tr w:rsidR="006D5493" w14:paraId="1AA52F7A" w14:textId="77777777" w:rsidTr="0041394A">
        <w:trPr>
          <w:trHeight w:val="242"/>
          <w:jc w:val="center"/>
        </w:trPr>
        <w:tc>
          <w:tcPr>
            <w:tcW w:w="4817" w:type="dxa"/>
            <w:tcBorders>
              <w:top w:val="nil"/>
              <w:left w:val="single" w:sz="4" w:space="0" w:color="auto"/>
              <w:bottom w:val="nil"/>
              <w:right w:val="single" w:sz="4" w:space="0" w:color="auto"/>
            </w:tcBorders>
            <w:noWrap/>
            <w:vAlign w:val="center"/>
            <w:hideMark/>
          </w:tcPr>
          <w:p w14:paraId="4954399A" w14:textId="4C3FE9F2" w:rsidR="006D5493" w:rsidRPr="0041394A" w:rsidRDefault="006D5493" w:rsidP="006D5493">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Less: Grants for Victim's Services</w:t>
            </w:r>
          </w:p>
        </w:tc>
        <w:tc>
          <w:tcPr>
            <w:tcW w:w="967" w:type="dxa"/>
            <w:noWrap/>
            <w:vAlign w:val="center"/>
            <w:hideMark/>
          </w:tcPr>
          <w:p w14:paraId="3F329419" w14:textId="77777777" w:rsidR="006D5493" w:rsidRPr="0041394A" w:rsidRDefault="006D5493" w:rsidP="006D5493">
            <w:pPr>
              <w:rPr>
                <w:rFonts w:eastAsia="Times New Roman" w:cs="Calibri"/>
                <w:color w:val="000000"/>
                <w:sz w:val="20"/>
                <w:szCs w:val="20"/>
                <w:lang w:val="en-GB" w:eastAsia="en-GB"/>
              </w:rPr>
            </w:pPr>
          </w:p>
        </w:tc>
        <w:tc>
          <w:tcPr>
            <w:tcW w:w="1753" w:type="dxa"/>
            <w:tcBorders>
              <w:top w:val="nil"/>
              <w:left w:val="single" w:sz="4" w:space="0" w:color="auto"/>
              <w:bottom w:val="nil"/>
              <w:right w:val="single" w:sz="4" w:space="0" w:color="auto"/>
            </w:tcBorders>
            <w:noWrap/>
            <w:vAlign w:val="center"/>
            <w:hideMark/>
          </w:tcPr>
          <w:p w14:paraId="1268640B"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FF0000"/>
                <w:sz w:val="20"/>
                <w:szCs w:val="20"/>
                <w:lang w:val="en-GB" w:eastAsia="en-GB"/>
              </w:rPr>
              <w:t>(1,369,137)</w:t>
            </w:r>
          </w:p>
        </w:tc>
        <w:tc>
          <w:tcPr>
            <w:tcW w:w="1753" w:type="dxa"/>
            <w:tcBorders>
              <w:top w:val="nil"/>
              <w:left w:val="nil"/>
              <w:bottom w:val="nil"/>
              <w:right w:val="single" w:sz="4" w:space="0" w:color="auto"/>
            </w:tcBorders>
            <w:noWrap/>
            <w:vAlign w:val="center"/>
            <w:hideMark/>
          </w:tcPr>
          <w:p w14:paraId="49D2AF1F"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FF0000"/>
                <w:sz w:val="20"/>
                <w:szCs w:val="20"/>
                <w:lang w:val="en-GB" w:eastAsia="en-GB"/>
              </w:rPr>
              <w:t>(1,437,576)</w:t>
            </w:r>
          </w:p>
        </w:tc>
        <w:tc>
          <w:tcPr>
            <w:tcW w:w="1753" w:type="dxa"/>
            <w:tcBorders>
              <w:top w:val="nil"/>
              <w:left w:val="nil"/>
              <w:bottom w:val="nil"/>
              <w:right w:val="single" w:sz="4" w:space="0" w:color="auto"/>
            </w:tcBorders>
            <w:noWrap/>
            <w:vAlign w:val="center"/>
            <w:hideMark/>
          </w:tcPr>
          <w:p w14:paraId="329509C9" w14:textId="77777777" w:rsidR="006D5493" w:rsidRPr="0041394A" w:rsidRDefault="006D5493" w:rsidP="006D5493">
            <w:pPr>
              <w:jc w:val="right"/>
              <w:rPr>
                <w:rFonts w:eastAsia="Times New Roman" w:cs="Calibri"/>
                <w:color w:val="000000"/>
                <w:sz w:val="20"/>
                <w:szCs w:val="20"/>
                <w:lang w:val="en-GB" w:eastAsia="en-GB"/>
              </w:rPr>
            </w:pPr>
            <w:r w:rsidRPr="0041394A">
              <w:rPr>
                <w:rFonts w:eastAsia="Times New Roman" w:cs="Calibri"/>
                <w:color w:val="FF0000"/>
                <w:sz w:val="20"/>
                <w:szCs w:val="20"/>
                <w:lang w:val="en-GB" w:eastAsia="en-GB"/>
              </w:rPr>
              <w:t>(68,439)</w:t>
            </w:r>
          </w:p>
        </w:tc>
      </w:tr>
      <w:tr w:rsidR="00EF7B6D" w14:paraId="2BF4B513" w14:textId="77777777" w:rsidTr="0041394A">
        <w:trPr>
          <w:trHeight w:val="242"/>
          <w:jc w:val="center"/>
        </w:trPr>
        <w:tc>
          <w:tcPr>
            <w:tcW w:w="4817" w:type="dxa"/>
            <w:tcBorders>
              <w:top w:val="nil"/>
              <w:left w:val="single" w:sz="4" w:space="0" w:color="auto"/>
              <w:bottom w:val="nil"/>
              <w:right w:val="single" w:sz="4" w:space="0" w:color="auto"/>
            </w:tcBorders>
            <w:noWrap/>
            <w:vAlign w:val="center"/>
            <w:hideMark/>
          </w:tcPr>
          <w:p w14:paraId="4E1B0B6C" w14:textId="28463186" w:rsidR="00EF7B6D" w:rsidRPr="0041394A" w:rsidRDefault="006D5493">
            <w:pPr>
              <w:rPr>
                <w:rFonts w:eastAsia="Times New Roman" w:cs="Calibri"/>
                <w:color w:val="000000"/>
                <w:sz w:val="20"/>
                <w:szCs w:val="20"/>
                <w:lang w:val="en-GB" w:eastAsia="en-GB"/>
              </w:rPr>
            </w:pPr>
            <w:r w:rsidRPr="0041394A">
              <w:rPr>
                <w:rFonts w:eastAsia="Times New Roman" w:cs="Calibri"/>
                <w:color w:val="000000"/>
                <w:sz w:val="20"/>
                <w:szCs w:val="20"/>
                <w:lang w:val="en-GB" w:eastAsia="en-GB"/>
              </w:rPr>
              <w:t>Funded by group underspend, grants or contributions</w:t>
            </w:r>
          </w:p>
        </w:tc>
        <w:tc>
          <w:tcPr>
            <w:tcW w:w="967" w:type="dxa"/>
            <w:noWrap/>
            <w:vAlign w:val="center"/>
            <w:hideMark/>
          </w:tcPr>
          <w:p w14:paraId="7E921F99" w14:textId="77777777" w:rsidR="00EF7B6D" w:rsidRPr="0041394A" w:rsidRDefault="00EF7B6D">
            <w:pPr>
              <w:rPr>
                <w:rFonts w:eastAsia="Times New Roman" w:cs="Calibri"/>
                <w:color w:val="000000"/>
                <w:sz w:val="20"/>
                <w:szCs w:val="20"/>
                <w:lang w:val="en-GB" w:eastAsia="en-GB"/>
              </w:rPr>
            </w:pPr>
          </w:p>
        </w:tc>
        <w:tc>
          <w:tcPr>
            <w:tcW w:w="1753" w:type="dxa"/>
            <w:tcBorders>
              <w:top w:val="nil"/>
              <w:left w:val="single" w:sz="4" w:space="0" w:color="auto"/>
              <w:bottom w:val="nil"/>
              <w:right w:val="single" w:sz="4" w:space="0" w:color="auto"/>
            </w:tcBorders>
            <w:noWrap/>
            <w:vAlign w:val="center"/>
            <w:hideMark/>
          </w:tcPr>
          <w:p w14:paraId="46D329F7"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000000"/>
                <w:sz w:val="20"/>
                <w:szCs w:val="20"/>
                <w:lang w:val="en-GB" w:eastAsia="en-GB"/>
              </w:rPr>
              <w:t>0</w:t>
            </w:r>
          </w:p>
        </w:tc>
        <w:tc>
          <w:tcPr>
            <w:tcW w:w="1753" w:type="dxa"/>
            <w:tcBorders>
              <w:top w:val="nil"/>
              <w:left w:val="nil"/>
              <w:bottom w:val="nil"/>
              <w:right w:val="single" w:sz="4" w:space="0" w:color="auto"/>
            </w:tcBorders>
            <w:noWrap/>
            <w:vAlign w:val="center"/>
            <w:hideMark/>
          </w:tcPr>
          <w:p w14:paraId="2DFDCC76"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FF0000"/>
                <w:sz w:val="20"/>
                <w:szCs w:val="20"/>
                <w:lang w:val="en-GB" w:eastAsia="en-GB"/>
              </w:rPr>
              <w:t>(444,892)</w:t>
            </w:r>
          </w:p>
        </w:tc>
        <w:tc>
          <w:tcPr>
            <w:tcW w:w="1753" w:type="dxa"/>
            <w:tcBorders>
              <w:top w:val="nil"/>
              <w:left w:val="nil"/>
              <w:bottom w:val="nil"/>
              <w:right w:val="single" w:sz="4" w:space="0" w:color="auto"/>
            </w:tcBorders>
            <w:noWrap/>
            <w:vAlign w:val="center"/>
            <w:hideMark/>
          </w:tcPr>
          <w:p w14:paraId="7C999BA3" w14:textId="77777777" w:rsidR="00EF7B6D" w:rsidRPr="0041394A" w:rsidRDefault="00EF7B6D">
            <w:pPr>
              <w:jc w:val="right"/>
              <w:rPr>
                <w:rFonts w:eastAsia="Times New Roman" w:cs="Calibri"/>
                <w:color w:val="000000"/>
                <w:sz w:val="20"/>
                <w:szCs w:val="20"/>
                <w:lang w:val="en-GB" w:eastAsia="en-GB"/>
              </w:rPr>
            </w:pPr>
            <w:r w:rsidRPr="0041394A">
              <w:rPr>
                <w:rFonts w:eastAsia="Times New Roman" w:cs="Calibri"/>
                <w:color w:val="FF0000"/>
                <w:sz w:val="20"/>
                <w:szCs w:val="20"/>
                <w:lang w:val="en-GB" w:eastAsia="en-GB"/>
              </w:rPr>
              <w:t>(444,892)</w:t>
            </w:r>
          </w:p>
        </w:tc>
      </w:tr>
      <w:tr w:rsidR="00EF7B6D" w14:paraId="10227C5C" w14:textId="77777777" w:rsidTr="0041394A">
        <w:trPr>
          <w:trHeight w:val="242"/>
          <w:jc w:val="center"/>
        </w:trPr>
        <w:tc>
          <w:tcPr>
            <w:tcW w:w="4817" w:type="dxa"/>
            <w:tcBorders>
              <w:top w:val="single" w:sz="4" w:space="0" w:color="auto"/>
              <w:left w:val="single" w:sz="4" w:space="0" w:color="auto"/>
              <w:bottom w:val="single" w:sz="4" w:space="0" w:color="auto"/>
              <w:right w:val="single" w:sz="4" w:space="0" w:color="auto"/>
            </w:tcBorders>
            <w:noWrap/>
            <w:vAlign w:val="center"/>
            <w:hideMark/>
          </w:tcPr>
          <w:p w14:paraId="65D3734A" w14:textId="77777777" w:rsidR="00EF7B6D" w:rsidRPr="0041394A" w:rsidRDefault="00EF7B6D">
            <w:pP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Total OPCC Commissioned Services</w:t>
            </w:r>
          </w:p>
        </w:tc>
        <w:tc>
          <w:tcPr>
            <w:tcW w:w="967" w:type="dxa"/>
            <w:tcBorders>
              <w:top w:val="single" w:sz="4" w:space="0" w:color="auto"/>
              <w:left w:val="nil"/>
              <w:bottom w:val="single" w:sz="4" w:space="0" w:color="auto"/>
              <w:right w:val="single" w:sz="4" w:space="0" w:color="auto"/>
            </w:tcBorders>
            <w:noWrap/>
            <w:vAlign w:val="center"/>
            <w:hideMark/>
          </w:tcPr>
          <w:p w14:paraId="7BFAD278" w14:textId="77777777" w:rsidR="00EF7B6D" w:rsidRPr="0041394A" w:rsidRDefault="00EF7B6D">
            <w:pPr>
              <w:jc w:val="cente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 </w:t>
            </w:r>
          </w:p>
        </w:tc>
        <w:tc>
          <w:tcPr>
            <w:tcW w:w="1753" w:type="dxa"/>
            <w:tcBorders>
              <w:top w:val="single" w:sz="4" w:space="0" w:color="auto"/>
              <w:left w:val="nil"/>
              <w:bottom w:val="single" w:sz="4" w:space="0" w:color="auto"/>
              <w:right w:val="single" w:sz="4" w:space="0" w:color="auto"/>
            </w:tcBorders>
            <w:noWrap/>
            <w:vAlign w:val="center"/>
            <w:hideMark/>
          </w:tcPr>
          <w:p w14:paraId="606937B5" w14:textId="77777777" w:rsidR="00EF7B6D" w:rsidRPr="0041394A" w:rsidRDefault="00EF7B6D">
            <w:pPr>
              <w:jc w:val="right"/>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996,883</w:t>
            </w:r>
          </w:p>
        </w:tc>
        <w:tc>
          <w:tcPr>
            <w:tcW w:w="1753" w:type="dxa"/>
            <w:tcBorders>
              <w:top w:val="single" w:sz="4" w:space="0" w:color="auto"/>
              <w:left w:val="nil"/>
              <w:bottom w:val="single" w:sz="4" w:space="0" w:color="auto"/>
              <w:right w:val="single" w:sz="4" w:space="0" w:color="auto"/>
            </w:tcBorders>
            <w:noWrap/>
            <w:vAlign w:val="center"/>
            <w:hideMark/>
          </w:tcPr>
          <w:p w14:paraId="3F8B0D2B" w14:textId="77777777" w:rsidR="00EF7B6D" w:rsidRPr="0041394A" w:rsidRDefault="00EF7B6D">
            <w:pPr>
              <w:jc w:val="right"/>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1,054,868</w:t>
            </w:r>
          </w:p>
        </w:tc>
        <w:tc>
          <w:tcPr>
            <w:tcW w:w="1753" w:type="dxa"/>
            <w:tcBorders>
              <w:top w:val="single" w:sz="4" w:space="0" w:color="auto"/>
              <w:left w:val="nil"/>
              <w:bottom w:val="single" w:sz="4" w:space="0" w:color="auto"/>
              <w:right w:val="single" w:sz="4" w:space="0" w:color="auto"/>
            </w:tcBorders>
            <w:noWrap/>
            <w:vAlign w:val="center"/>
            <w:hideMark/>
          </w:tcPr>
          <w:p w14:paraId="54851279" w14:textId="77777777" w:rsidR="00EF7B6D" w:rsidRPr="0041394A" w:rsidRDefault="00EF7B6D">
            <w:pPr>
              <w:jc w:val="right"/>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57,985</w:t>
            </w:r>
          </w:p>
        </w:tc>
      </w:tr>
      <w:tr w:rsidR="00EF7B6D" w14:paraId="4AAD45B5" w14:textId="77777777" w:rsidTr="0041394A">
        <w:trPr>
          <w:trHeight w:val="59"/>
          <w:jc w:val="center"/>
        </w:trPr>
        <w:tc>
          <w:tcPr>
            <w:tcW w:w="4817" w:type="dxa"/>
            <w:tcBorders>
              <w:top w:val="nil"/>
              <w:left w:val="single" w:sz="4" w:space="0" w:color="auto"/>
              <w:bottom w:val="nil"/>
              <w:right w:val="single" w:sz="4" w:space="0" w:color="auto"/>
            </w:tcBorders>
            <w:noWrap/>
            <w:vAlign w:val="center"/>
            <w:hideMark/>
          </w:tcPr>
          <w:p w14:paraId="16098514" w14:textId="77777777" w:rsidR="00EF7B6D" w:rsidRPr="0041394A" w:rsidRDefault="00EF7B6D">
            <w:pP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 </w:t>
            </w:r>
          </w:p>
        </w:tc>
        <w:tc>
          <w:tcPr>
            <w:tcW w:w="967" w:type="dxa"/>
            <w:noWrap/>
            <w:vAlign w:val="center"/>
            <w:hideMark/>
          </w:tcPr>
          <w:p w14:paraId="064317D3" w14:textId="77777777" w:rsidR="00EF7B6D" w:rsidRPr="0041394A" w:rsidRDefault="00EF7B6D">
            <w:pPr>
              <w:rPr>
                <w:rFonts w:eastAsia="Times New Roman" w:cs="Calibri"/>
                <w:b/>
                <w:bCs/>
                <w:color w:val="000000"/>
                <w:sz w:val="20"/>
                <w:szCs w:val="20"/>
                <w:lang w:val="en-GB" w:eastAsia="en-GB"/>
              </w:rPr>
            </w:pPr>
          </w:p>
        </w:tc>
        <w:tc>
          <w:tcPr>
            <w:tcW w:w="1753" w:type="dxa"/>
            <w:tcBorders>
              <w:top w:val="nil"/>
              <w:left w:val="single" w:sz="4" w:space="0" w:color="auto"/>
              <w:bottom w:val="nil"/>
              <w:right w:val="single" w:sz="4" w:space="0" w:color="auto"/>
            </w:tcBorders>
            <w:noWrap/>
            <w:vAlign w:val="center"/>
            <w:hideMark/>
          </w:tcPr>
          <w:p w14:paraId="56F5BF09" w14:textId="77777777" w:rsidR="00EF7B6D" w:rsidRPr="0041394A" w:rsidRDefault="00EF7B6D">
            <w:pP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 </w:t>
            </w:r>
          </w:p>
        </w:tc>
        <w:tc>
          <w:tcPr>
            <w:tcW w:w="1753" w:type="dxa"/>
            <w:tcBorders>
              <w:top w:val="nil"/>
              <w:left w:val="nil"/>
              <w:bottom w:val="nil"/>
              <w:right w:val="single" w:sz="4" w:space="0" w:color="auto"/>
            </w:tcBorders>
            <w:noWrap/>
            <w:vAlign w:val="center"/>
            <w:hideMark/>
          </w:tcPr>
          <w:p w14:paraId="2CAE9DC1" w14:textId="77777777" w:rsidR="00EF7B6D" w:rsidRPr="0041394A" w:rsidRDefault="00EF7B6D">
            <w:pP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 </w:t>
            </w:r>
          </w:p>
        </w:tc>
        <w:tc>
          <w:tcPr>
            <w:tcW w:w="1753" w:type="dxa"/>
            <w:tcBorders>
              <w:top w:val="nil"/>
              <w:left w:val="nil"/>
              <w:bottom w:val="nil"/>
              <w:right w:val="single" w:sz="4" w:space="0" w:color="auto"/>
            </w:tcBorders>
            <w:noWrap/>
            <w:vAlign w:val="center"/>
            <w:hideMark/>
          </w:tcPr>
          <w:p w14:paraId="41E6B4A7" w14:textId="77777777" w:rsidR="00EF7B6D" w:rsidRPr="0041394A" w:rsidRDefault="00EF7B6D">
            <w:pP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 </w:t>
            </w:r>
          </w:p>
        </w:tc>
      </w:tr>
      <w:tr w:rsidR="00EF7B6D" w14:paraId="10D3F561" w14:textId="77777777" w:rsidTr="0041394A">
        <w:trPr>
          <w:trHeight w:val="242"/>
          <w:jc w:val="center"/>
        </w:trPr>
        <w:tc>
          <w:tcPr>
            <w:tcW w:w="4817" w:type="dxa"/>
            <w:tcBorders>
              <w:top w:val="single" w:sz="4" w:space="0" w:color="auto"/>
              <w:left w:val="single" w:sz="4" w:space="0" w:color="auto"/>
              <w:bottom w:val="single" w:sz="4" w:space="0" w:color="auto"/>
              <w:right w:val="single" w:sz="4" w:space="0" w:color="auto"/>
            </w:tcBorders>
            <w:noWrap/>
            <w:vAlign w:val="center"/>
            <w:hideMark/>
          </w:tcPr>
          <w:p w14:paraId="7457FED4" w14:textId="77777777" w:rsidR="00EF7B6D" w:rsidRPr="0041394A" w:rsidRDefault="00EF7B6D">
            <w:pP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NET OPCC EXPENDITURE</w:t>
            </w:r>
          </w:p>
        </w:tc>
        <w:tc>
          <w:tcPr>
            <w:tcW w:w="967" w:type="dxa"/>
            <w:tcBorders>
              <w:top w:val="single" w:sz="4" w:space="0" w:color="auto"/>
              <w:left w:val="nil"/>
              <w:bottom w:val="single" w:sz="4" w:space="0" w:color="auto"/>
              <w:right w:val="single" w:sz="4" w:space="0" w:color="auto"/>
            </w:tcBorders>
            <w:noWrap/>
            <w:vAlign w:val="center"/>
            <w:hideMark/>
          </w:tcPr>
          <w:p w14:paraId="6ED7EF31" w14:textId="77777777" w:rsidR="00EF7B6D" w:rsidRPr="0041394A" w:rsidRDefault="00EF7B6D">
            <w:pPr>
              <w:jc w:val="center"/>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 </w:t>
            </w:r>
          </w:p>
        </w:tc>
        <w:tc>
          <w:tcPr>
            <w:tcW w:w="1753" w:type="dxa"/>
            <w:tcBorders>
              <w:top w:val="single" w:sz="4" w:space="0" w:color="auto"/>
              <w:left w:val="nil"/>
              <w:bottom w:val="single" w:sz="4" w:space="0" w:color="auto"/>
              <w:right w:val="single" w:sz="4" w:space="0" w:color="auto"/>
            </w:tcBorders>
            <w:noWrap/>
            <w:vAlign w:val="center"/>
            <w:hideMark/>
          </w:tcPr>
          <w:p w14:paraId="6D002575" w14:textId="77777777" w:rsidR="00EF7B6D" w:rsidRPr="0041394A" w:rsidRDefault="00EF7B6D">
            <w:pPr>
              <w:jc w:val="right"/>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2,149,063</w:t>
            </w:r>
          </w:p>
        </w:tc>
        <w:tc>
          <w:tcPr>
            <w:tcW w:w="1753" w:type="dxa"/>
            <w:tcBorders>
              <w:top w:val="single" w:sz="4" w:space="0" w:color="auto"/>
              <w:left w:val="nil"/>
              <w:bottom w:val="single" w:sz="4" w:space="0" w:color="auto"/>
              <w:right w:val="single" w:sz="4" w:space="0" w:color="auto"/>
            </w:tcBorders>
            <w:noWrap/>
            <w:vAlign w:val="center"/>
            <w:hideMark/>
          </w:tcPr>
          <w:p w14:paraId="39A9E0AE" w14:textId="77777777" w:rsidR="00EF7B6D" w:rsidRPr="0041394A" w:rsidRDefault="00EF7B6D">
            <w:pPr>
              <w:jc w:val="right"/>
              <w:rPr>
                <w:rFonts w:eastAsia="Times New Roman" w:cs="Calibri"/>
                <w:b/>
                <w:bCs/>
                <w:color w:val="000000"/>
                <w:sz w:val="20"/>
                <w:szCs w:val="20"/>
                <w:lang w:val="en-GB" w:eastAsia="en-GB"/>
              </w:rPr>
            </w:pPr>
            <w:r w:rsidRPr="0041394A">
              <w:rPr>
                <w:rFonts w:eastAsia="Times New Roman" w:cs="Calibri"/>
                <w:b/>
                <w:bCs/>
                <w:color w:val="000000"/>
                <w:sz w:val="20"/>
                <w:szCs w:val="20"/>
                <w:lang w:val="en-GB" w:eastAsia="en-GB"/>
              </w:rPr>
              <w:t>2,049,363</w:t>
            </w:r>
          </w:p>
        </w:tc>
        <w:tc>
          <w:tcPr>
            <w:tcW w:w="1753" w:type="dxa"/>
            <w:tcBorders>
              <w:top w:val="single" w:sz="4" w:space="0" w:color="auto"/>
              <w:left w:val="nil"/>
              <w:bottom w:val="single" w:sz="4" w:space="0" w:color="auto"/>
              <w:right w:val="single" w:sz="4" w:space="0" w:color="auto"/>
            </w:tcBorders>
            <w:noWrap/>
            <w:vAlign w:val="center"/>
            <w:hideMark/>
          </w:tcPr>
          <w:p w14:paraId="451D51B2" w14:textId="77777777" w:rsidR="00EF7B6D" w:rsidRPr="0041394A" w:rsidRDefault="00EF7B6D">
            <w:pPr>
              <w:jc w:val="right"/>
              <w:rPr>
                <w:rFonts w:eastAsia="Times New Roman" w:cs="Calibri"/>
                <w:b/>
                <w:bCs/>
                <w:color w:val="000000"/>
                <w:sz w:val="20"/>
                <w:szCs w:val="20"/>
                <w:lang w:val="en-GB" w:eastAsia="en-GB"/>
              </w:rPr>
            </w:pPr>
            <w:r w:rsidRPr="0041394A">
              <w:rPr>
                <w:rFonts w:eastAsia="Times New Roman" w:cs="Calibri"/>
                <w:b/>
                <w:bCs/>
                <w:color w:val="FF0000"/>
                <w:sz w:val="20"/>
                <w:szCs w:val="20"/>
                <w:lang w:val="en-GB" w:eastAsia="en-GB"/>
              </w:rPr>
              <w:t>(99,700)</w:t>
            </w:r>
          </w:p>
        </w:tc>
      </w:tr>
    </w:tbl>
    <w:p w14:paraId="1580B8E7" w14:textId="77777777" w:rsidR="006D5493" w:rsidRDefault="006D5493" w:rsidP="00EF7B6D">
      <w:pPr>
        <w:autoSpaceDE w:val="0"/>
        <w:autoSpaceDN w:val="0"/>
        <w:adjustRightInd w:val="0"/>
        <w:rPr>
          <w:bCs/>
          <w:color w:val="000000"/>
          <w:u w:val="single"/>
        </w:rPr>
      </w:pPr>
    </w:p>
    <w:p w14:paraId="0642214E" w14:textId="77777777" w:rsidR="006D5493" w:rsidRDefault="006D5493" w:rsidP="00EF7B6D">
      <w:pPr>
        <w:autoSpaceDE w:val="0"/>
        <w:autoSpaceDN w:val="0"/>
        <w:adjustRightInd w:val="0"/>
        <w:rPr>
          <w:bCs/>
          <w:color w:val="000000"/>
          <w:u w:val="single"/>
        </w:rPr>
      </w:pPr>
    </w:p>
    <w:p w14:paraId="2E794A4E" w14:textId="77777777" w:rsidR="00EF7B6D" w:rsidRDefault="00EF7B6D" w:rsidP="00EF7B6D">
      <w:pPr>
        <w:autoSpaceDE w:val="0"/>
        <w:autoSpaceDN w:val="0"/>
        <w:adjustRightInd w:val="0"/>
        <w:rPr>
          <w:rFonts w:cs="Arial"/>
          <w:bCs/>
          <w:color w:val="000000"/>
          <w:u w:val="single"/>
        </w:rPr>
      </w:pPr>
      <w:r>
        <w:rPr>
          <w:bCs/>
          <w:color w:val="000000"/>
          <w:u w:val="single"/>
        </w:rPr>
        <w:t>Explanation of Significant variances</w:t>
      </w:r>
    </w:p>
    <w:p w14:paraId="7E24516C" w14:textId="77777777" w:rsidR="00EF7B6D" w:rsidRDefault="00EF7B6D" w:rsidP="00EF7B6D">
      <w:pPr>
        <w:autoSpaceDE w:val="0"/>
        <w:autoSpaceDN w:val="0"/>
        <w:adjustRightInd w:val="0"/>
        <w:rPr>
          <w:rFonts w:cs="Arial"/>
          <w:bCs/>
          <w:color w:val="000000"/>
        </w:rPr>
      </w:pPr>
    </w:p>
    <w:p w14:paraId="52549A30" w14:textId="77777777" w:rsidR="00EF7B6D" w:rsidRDefault="00EF7B6D" w:rsidP="00EF7B6D">
      <w:pPr>
        <w:pStyle w:val="ListParagraph"/>
        <w:numPr>
          <w:ilvl w:val="0"/>
          <w:numId w:val="25"/>
        </w:numPr>
        <w:autoSpaceDE w:val="0"/>
        <w:autoSpaceDN w:val="0"/>
        <w:adjustRightInd w:val="0"/>
        <w:rPr>
          <w:rFonts w:eastAsiaTheme="minorHAnsi" w:cstheme="minorBidi"/>
          <w:bCs/>
          <w:color w:val="000000"/>
          <w:sz w:val="22"/>
          <w:lang w:val="en-US" w:eastAsia="en-US"/>
        </w:rPr>
      </w:pPr>
      <w:r>
        <w:rPr>
          <w:rFonts w:eastAsiaTheme="minorHAnsi" w:cstheme="minorBidi"/>
          <w:bCs/>
          <w:color w:val="000000"/>
          <w:sz w:val="22"/>
          <w:lang w:val="en-US" w:eastAsia="en-US"/>
        </w:rPr>
        <w:t>The PCC had budgeted £60k to support the Police Cadets. In the end the cost in this year together with future years has been picked up by the Force;</w:t>
      </w:r>
    </w:p>
    <w:p w14:paraId="12AC0A51" w14:textId="77777777" w:rsidR="00EF7B6D" w:rsidRDefault="00EF7B6D" w:rsidP="00EF7B6D">
      <w:pPr>
        <w:pStyle w:val="ListParagraph"/>
        <w:numPr>
          <w:ilvl w:val="0"/>
          <w:numId w:val="25"/>
        </w:numPr>
        <w:autoSpaceDE w:val="0"/>
        <w:autoSpaceDN w:val="0"/>
        <w:adjustRightInd w:val="0"/>
        <w:rPr>
          <w:rFonts w:eastAsiaTheme="minorHAnsi" w:cstheme="minorBidi"/>
          <w:bCs/>
          <w:color w:val="000000"/>
          <w:sz w:val="22"/>
          <w:lang w:val="en-US" w:eastAsia="en-US"/>
        </w:rPr>
      </w:pPr>
      <w:r>
        <w:rPr>
          <w:rFonts w:eastAsiaTheme="minorHAnsi" w:cstheme="minorBidi"/>
          <w:bCs/>
          <w:color w:val="000000"/>
          <w:sz w:val="22"/>
          <w:lang w:val="en-US" w:eastAsia="en-US"/>
        </w:rPr>
        <w:t>Internal audit fees were accrued in error in both the Force and the PCC in 2019/20 and the bill was allocated against the Force accrual. This left a “credit” within the PCC accounts.</w:t>
      </w:r>
    </w:p>
    <w:p w14:paraId="6D1487F6" w14:textId="77777777" w:rsidR="00EF7B6D" w:rsidRDefault="00EF7B6D" w:rsidP="00EF7B6D">
      <w:pPr>
        <w:pStyle w:val="ListParagraph"/>
        <w:numPr>
          <w:ilvl w:val="0"/>
          <w:numId w:val="25"/>
        </w:numPr>
        <w:autoSpaceDE w:val="0"/>
        <w:autoSpaceDN w:val="0"/>
        <w:adjustRightInd w:val="0"/>
        <w:rPr>
          <w:rFonts w:eastAsiaTheme="minorHAnsi" w:cstheme="minorBidi"/>
          <w:bCs/>
          <w:color w:val="000000"/>
          <w:sz w:val="22"/>
          <w:lang w:val="en-US" w:eastAsia="en-US"/>
        </w:rPr>
      </w:pPr>
      <w:r>
        <w:rPr>
          <w:rFonts w:eastAsiaTheme="minorHAnsi" w:cstheme="minorBidi"/>
          <w:bCs/>
          <w:color w:val="000000"/>
          <w:sz w:val="22"/>
          <w:lang w:val="en-US" w:eastAsia="en-US"/>
        </w:rPr>
        <w:t>During the year additional grants were awarded to take account of additional grant from Government and the underspend on the PCC budget.</w:t>
      </w:r>
    </w:p>
    <w:p w14:paraId="47B0CD98" w14:textId="77777777" w:rsidR="00EF7B6D" w:rsidRDefault="00EF7B6D" w:rsidP="00EF7B6D">
      <w:pPr>
        <w:pStyle w:val="ListParagraph"/>
        <w:numPr>
          <w:ilvl w:val="0"/>
          <w:numId w:val="25"/>
        </w:numPr>
        <w:autoSpaceDE w:val="0"/>
        <w:autoSpaceDN w:val="0"/>
        <w:adjustRightInd w:val="0"/>
        <w:rPr>
          <w:rFonts w:eastAsiaTheme="minorHAnsi" w:cstheme="minorBidi"/>
          <w:bCs/>
          <w:color w:val="000000"/>
          <w:sz w:val="22"/>
          <w:lang w:val="en-US" w:eastAsia="en-US"/>
        </w:rPr>
      </w:pPr>
      <w:r>
        <w:rPr>
          <w:rFonts w:eastAsiaTheme="minorHAnsi" w:cstheme="minorBidi"/>
          <w:bCs/>
          <w:color w:val="000000"/>
          <w:sz w:val="22"/>
          <w:lang w:val="en-US" w:eastAsia="en-US"/>
        </w:rPr>
        <w:t>The MoJ provided additional funding during the year to support third sector providers. All of this funding has been given out</w:t>
      </w:r>
    </w:p>
    <w:p w14:paraId="64CC2957" w14:textId="77777777" w:rsidR="00EF7B6D" w:rsidRDefault="00EF7B6D" w:rsidP="00EF7B6D">
      <w:pPr>
        <w:pStyle w:val="ListParagraph"/>
        <w:numPr>
          <w:ilvl w:val="0"/>
          <w:numId w:val="25"/>
        </w:numPr>
        <w:autoSpaceDE w:val="0"/>
        <w:autoSpaceDN w:val="0"/>
        <w:adjustRightInd w:val="0"/>
        <w:rPr>
          <w:rFonts w:eastAsiaTheme="minorHAnsi" w:cstheme="minorBidi"/>
          <w:bCs/>
          <w:color w:val="000000"/>
          <w:sz w:val="22"/>
          <w:lang w:val="en-US" w:eastAsia="en-US"/>
        </w:rPr>
      </w:pPr>
      <w:r>
        <w:rPr>
          <w:rFonts w:eastAsiaTheme="minorHAnsi" w:cstheme="minorBidi"/>
          <w:bCs/>
          <w:color w:val="000000"/>
          <w:sz w:val="22"/>
          <w:lang w:val="en-US" w:eastAsia="en-US"/>
        </w:rPr>
        <w:t xml:space="preserve">The PCC decided to use up to £500k of the PCC Operational reserve to provide grants to organisations that the PCC commissions from that were struggling as a result of the pandemic. At the year-end an amount was transferred back from the Force underspend to cover these grants. </w:t>
      </w:r>
    </w:p>
    <w:p w14:paraId="075AE8BE" w14:textId="77777777" w:rsidR="00EF7B6D" w:rsidRDefault="00EF7B6D" w:rsidP="00EF7B6D">
      <w:pPr>
        <w:autoSpaceDE w:val="0"/>
        <w:autoSpaceDN w:val="0"/>
        <w:adjustRightInd w:val="0"/>
        <w:rPr>
          <w:bCs/>
          <w:color w:val="000000"/>
        </w:rPr>
      </w:pPr>
    </w:p>
    <w:p w14:paraId="459F7759" w14:textId="77777777" w:rsidR="00EF7B6D" w:rsidRDefault="00EF7B6D" w:rsidP="00EF7B6D">
      <w:pPr>
        <w:autoSpaceDE w:val="0"/>
        <w:autoSpaceDN w:val="0"/>
        <w:adjustRightInd w:val="0"/>
        <w:rPr>
          <w:bCs/>
          <w:color w:val="000000"/>
        </w:rPr>
      </w:pPr>
      <w:r>
        <w:rPr>
          <w:bCs/>
          <w:color w:val="000000"/>
        </w:rPr>
        <w:t>Although the PCC at first sight looks to be almost £100k underspent once the audit fee adjustment is taken account of the underspend becomes £30k or 1.4% of the budget for the year</w:t>
      </w:r>
    </w:p>
    <w:p w14:paraId="11B25F43" w14:textId="77777777" w:rsidR="00EF7B6D" w:rsidRDefault="00EF7B6D" w:rsidP="00EF7B6D">
      <w:pPr>
        <w:autoSpaceDE w:val="0"/>
        <w:autoSpaceDN w:val="0"/>
        <w:adjustRightInd w:val="0"/>
        <w:rPr>
          <w:rFonts w:cs="Arial"/>
          <w:b/>
          <w:bCs/>
          <w:color w:val="000000"/>
          <w:highlight w:val="yellow"/>
        </w:rPr>
      </w:pPr>
      <w:r>
        <w:rPr>
          <w:rFonts w:cs="Arial"/>
          <w:b/>
          <w:bCs/>
          <w:color w:val="000000"/>
          <w:highlight w:val="yellow"/>
        </w:rPr>
        <w:t xml:space="preserve"> </w:t>
      </w:r>
    </w:p>
    <w:p w14:paraId="02FD3D39" w14:textId="77777777" w:rsidR="00EF7B6D" w:rsidRDefault="00EF7B6D" w:rsidP="00EF7B6D">
      <w:pPr>
        <w:autoSpaceDE w:val="0"/>
        <w:autoSpaceDN w:val="0"/>
        <w:adjustRightInd w:val="0"/>
        <w:rPr>
          <w:rFonts w:cs="Arial"/>
          <w:b/>
          <w:bCs/>
          <w:color w:val="000000"/>
        </w:rPr>
      </w:pPr>
      <w:r>
        <w:rPr>
          <w:rFonts w:cs="Arial"/>
          <w:b/>
          <w:bCs/>
          <w:color w:val="000000"/>
        </w:rPr>
        <w:t>PCC Group Level</w:t>
      </w:r>
    </w:p>
    <w:p w14:paraId="482269CE" w14:textId="77777777" w:rsidR="00EF7B6D" w:rsidRDefault="00EF7B6D" w:rsidP="00EF7B6D">
      <w:pPr>
        <w:jc w:val="both"/>
        <w:rPr>
          <w:highlight w:val="yellow"/>
        </w:rPr>
      </w:pPr>
    </w:p>
    <w:p w14:paraId="6B41E338" w14:textId="77777777" w:rsidR="00EF7B6D" w:rsidRDefault="00EF7B6D" w:rsidP="00EF7B6D">
      <w:pPr>
        <w:jc w:val="both"/>
      </w:pPr>
      <w:r>
        <w:t>The following table provides a high level comparison between the approved budget for 2020/21 and actual expenditure at the Group Level (i.e. PCC and Chief Constable), and shows at a Group level an overall underspend for the year of £1.6m against a budget of £250m.</w:t>
      </w:r>
    </w:p>
    <w:p w14:paraId="59B6D4F3" w14:textId="77777777" w:rsidR="00EF7B6D" w:rsidRDefault="00EF7B6D" w:rsidP="00EF7B6D">
      <w:pPr>
        <w:jc w:val="both"/>
      </w:pPr>
    </w:p>
    <w:p w14:paraId="561466FC" w14:textId="77777777" w:rsidR="00EF7B6D" w:rsidRDefault="00EF7B6D" w:rsidP="00EF7B6D">
      <w:pPr>
        <w:jc w:val="both"/>
      </w:pPr>
    </w:p>
    <w:p w14:paraId="67BFC349" w14:textId="77777777" w:rsidR="00EF7B6D" w:rsidRDefault="00EF7B6D" w:rsidP="00EF7B6D">
      <w:pPr>
        <w:jc w:val="both"/>
      </w:pPr>
    </w:p>
    <w:p w14:paraId="42B3BD62" w14:textId="77777777" w:rsidR="00EF7B6D" w:rsidRDefault="00EF7B6D" w:rsidP="00EF7B6D">
      <w:pPr>
        <w:jc w:val="both"/>
      </w:pPr>
    </w:p>
    <w:p w14:paraId="047527BB" w14:textId="77777777" w:rsidR="00EF7B6D" w:rsidRDefault="00EF7B6D" w:rsidP="00EF7B6D">
      <w:pPr>
        <w:jc w:val="both"/>
      </w:pPr>
    </w:p>
    <w:p w14:paraId="1D81DD38" w14:textId="77777777" w:rsidR="00EF7B6D" w:rsidRDefault="00EF7B6D" w:rsidP="00EF7B6D">
      <w:pPr>
        <w:jc w:val="both"/>
      </w:pPr>
    </w:p>
    <w:p w14:paraId="1A106E3C" w14:textId="77777777" w:rsidR="00EF7B6D" w:rsidRDefault="00EF7B6D" w:rsidP="00EF7B6D">
      <w:pPr>
        <w:jc w:val="both"/>
      </w:pPr>
    </w:p>
    <w:p w14:paraId="0361B2D1" w14:textId="77777777" w:rsidR="00EF7B6D" w:rsidRDefault="00EF7B6D" w:rsidP="00EF7B6D">
      <w:pPr>
        <w:jc w:val="both"/>
      </w:pPr>
    </w:p>
    <w:p w14:paraId="5615A62F" w14:textId="77777777" w:rsidR="00EF7B6D" w:rsidRDefault="00EF7B6D" w:rsidP="00EF7B6D">
      <w:pPr>
        <w:jc w:val="both"/>
      </w:pPr>
    </w:p>
    <w:p w14:paraId="17954400" w14:textId="77777777" w:rsidR="00EF7B6D" w:rsidRDefault="00EF7B6D" w:rsidP="00EF7B6D">
      <w:pPr>
        <w:jc w:val="both"/>
      </w:pPr>
    </w:p>
    <w:p w14:paraId="545E6F31" w14:textId="77777777" w:rsidR="00EF7B6D" w:rsidRDefault="00EF7B6D" w:rsidP="00EF7B6D">
      <w:pPr>
        <w:jc w:val="both"/>
      </w:pPr>
    </w:p>
    <w:tbl>
      <w:tblPr>
        <w:tblW w:w="7890" w:type="dxa"/>
        <w:jc w:val="center"/>
        <w:tblLook w:val="04A0" w:firstRow="1" w:lastRow="0" w:firstColumn="1" w:lastColumn="0" w:noHBand="0" w:noVBand="1"/>
      </w:tblPr>
      <w:tblGrid>
        <w:gridCol w:w="4504"/>
        <w:gridCol w:w="996"/>
        <w:gridCol w:w="1095"/>
        <w:gridCol w:w="1295"/>
      </w:tblGrid>
      <w:tr w:rsidR="00EF7B6D" w14:paraId="31833D54" w14:textId="77777777" w:rsidTr="00EF7B6D">
        <w:trPr>
          <w:trHeight w:val="253"/>
          <w:jc w:val="center"/>
        </w:trPr>
        <w:tc>
          <w:tcPr>
            <w:tcW w:w="4504" w:type="dxa"/>
            <w:tcBorders>
              <w:top w:val="single" w:sz="4" w:space="0" w:color="auto"/>
              <w:left w:val="single" w:sz="4" w:space="0" w:color="auto"/>
              <w:bottom w:val="single" w:sz="4" w:space="0" w:color="auto"/>
              <w:right w:val="single" w:sz="4" w:space="0" w:color="auto"/>
            </w:tcBorders>
            <w:noWrap/>
            <w:vAlign w:val="center"/>
            <w:hideMark/>
          </w:tcPr>
          <w:p w14:paraId="45DC97AC" w14:textId="77777777" w:rsidR="00EF7B6D" w:rsidRDefault="00EF7B6D">
            <w:pPr>
              <w:spacing w:line="254" w:lineRule="auto"/>
              <w:rPr>
                <w:b/>
                <w:lang w:eastAsia="en-GB"/>
              </w:rPr>
            </w:pPr>
            <w:r>
              <w:rPr>
                <w:b/>
                <w:lang w:eastAsia="en-GB"/>
              </w:rPr>
              <w:t>Outturn 2020/21</w:t>
            </w:r>
          </w:p>
        </w:tc>
        <w:tc>
          <w:tcPr>
            <w:tcW w:w="996" w:type="dxa"/>
            <w:tcBorders>
              <w:top w:val="single" w:sz="4" w:space="0" w:color="auto"/>
              <w:left w:val="nil"/>
              <w:bottom w:val="single" w:sz="4" w:space="0" w:color="auto"/>
              <w:right w:val="single" w:sz="4" w:space="0" w:color="auto"/>
            </w:tcBorders>
            <w:noWrap/>
            <w:vAlign w:val="center"/>
            <w:hideMark/>
          </w:tcPr>
          <w:p w14:paraId="3AB37867" w14:textId="77777777" w:rsidR="00EF7B6D" w:rsidRDefault="00EF7B6D">
            <w:pPr>
              <w:spacing w:line="254" w:lineRule="auto"/>
              <w:jc w:val="center"/>
              <w:rPr>
                <w:b/>
                <w:lang w:eastAsia="en-GB"/>
              </w:rPr>
            </w:pPr>
            <w:r>
              <w:rPr>
                <w:b/>
                <w:lang w:eastAsia="en-GB"/>
              </w:rPr>
              <w:t>Actual</w:t>
            </w:r>
          </w:p>
          <w:p w14:paraId="121ED5DF" w14:textId="77777777" w:rsidR="00EF7B6D" w:rsidRDefault="00EF7B6D">
            <w:pPr>
              <w:spacing w:line="254" w:lineRule="auto"/>
              <w:jc w:val="center"/>
              <w:rPr>
                <w:b/>
                <w:lang w:eastAsia="en-GB"/>
              </w:rPr>
            </w:pPr>
            <w:r>
              <w:rPr>
                <w:b/>
                <w:lang w:eastAsia="en-GB"/>
              </w:rPr>
              <w:t>£000</w:t>
            </w:r>
          </w:p>
        </w:tc>
        <w:tc>
          <w:tcPr>
            <w:tcW w:w="1095" w:type="dxa"/>
            <w:tcBorders>
              <w:top w:val="single" w:sz="4" w:space="0" w:color="auto"/>
              <w:left w:val="nil"/>
              <w:bottom w:val="single" w:sz="4" w:space="0" w:color="auto"/>
              <w:right w:val="nil"/>
            </w:tcBorders>
            <w:noWrap/>
            <w:vAlign w:val="center"/>
            <w:hideMark/>
          </w:tcPr>
          <w:p w14:paraId="43FF864E" w14:textId="77777777" w:rsidR="00EF7B6D" w:rsidRDefault="00EF7B6D">
            <w:pPr>
              <w:spacing w:line="254" w:lineRule="auto"/>
              <w:jc w:val="center"/>
              <w:rPr>
                <w:b/>
                <w:lang w:eastAsia="en-GB"/>
              </w:rPr>
            </w:pPr>
            <w:r>
              <w:rPr>
                <w:b/>
                <w:lang w:eastAsia="en-GB"/>
              </w:rPr>
              <w:t>Budget</w:t>
            </w:r>
          </w:p>
          <w:p w14:paraId="3CD04450" w14:textId="77777777" w:rsidR="00EF7B6D" w:rsidRDefault="00EF7B6D">
            <w:pPr>
              <w:spacing w:line="254" w:lineRule="auto"/>
              <w:jc w:val="center"/>
              <w:rPr>
                <w:b/>
                <w:lang w:eastAsia="en-GB"/>
              </w:rPr>
            </w:pPr>
            <w:r>
              <w:rPr>
                <w:b/>
                <w:lang w:eastAsia="en-GB"/>
              </w:rPr>
              <w:t>£000</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1CD99312" w14:textId="77777777" w:rsidR="00EF7B6D" w:rsidRDefault="00EF7B6D">
            <w:pPr>
              <w:spacing w:line="254" w:lineRule="auto"/>
              <w:jc w:val="center"/>
              <w:rPr>
                <w:b/>
                <w:lang w:eastAsia="en-GB"/>
              </w:rPr>
            </w:pPr>
            <w:r>
              <w:rPr>
                <w:b/>
                <w:lang w:eastAsia="en-GB"/>
              </w:rPr>
              <w:t>Variance</w:t>
            </w:r>
          </w:p>
          <w:p w14:paraId="61EBE37E" w14:textId="77777777" w:rsidR="00EF7B6D" w:rsidRDefault="00EF7B6D">
            <w:pPr>
              <w:spacing w:line="254" w:lineRule="auto"/>
              <w:jc w:val="center"/>
              <w:rPr>
                <w:b/>
                <w:lang w:eastAsia="en-GB"/>
              </w:rPr>
            </w:pPr>
            <w:r>
              <w:rPr>
                <w:b/>
                <w:lang w:eastAsia="en-GB"/>
              </w:rPr>
              <w:t>£000</w:t>
            </w:r>
          </w:p>
        </w:tc>
      </w:tr>
      <w:tr w:rsidR="00EF7B6D" w14:paraId="41D55BD8" w14:textId="77777777" w:rsidTr="00EF7B6D">
        <w:trPr>
          <w:trHeight w:val="253"/>
          <w:jc w:val="center"/>
        </w:trPr>
        <w:tc>
          <w:tcPr>
            <w:tcW w:w="4504" w:type="dxa"/>
            <w:tcBorders>
              <w:top w:val="single" w:sz="4" w:space="0" w:color="auto"/>
              <w:left w:val="single" w:sz="4" w:space="0" w:color="auto"/>
              <w:bottom w:val="nil"/>
              <w:right w:val="single" w:sz="4" w:space="0" w:color="auto"/>
            </w:tcBorders>
            <w:noWrap/>
            <w:vAlign w:val="center"/>
            <w:hideMark/>
          </w:tcPr>
          <w:p w14:paraId="12D49037" w14:textId="77777777" w:rsidR="00EF7B6D" w:rsidRDefault="00EF7B6D">
            <w:pPr>
              <w:spacing w:line="254" w:lineRule="auto"/>
              <w:rPr>
                <w:i/>
                <w:lang w:eastAsia="en-GB"/>
              </w:rPr>
            </w:pPr>
            <w:r>
              <w:rPr>
                <w:i/>
                <w:lang w:eastAsia="en-GB"/>
              </w:rPr>
              <w:t>Police Payroll</w:t>
            </w:r>
          </w:p>
        </w:tc>
        <w:tc>
          <w:tcPr>
            <w:tcW w:w="996" w:type="dxa"/>
            <w:noWrap/>
            <w:vAlign w:val="center"/>
            <w:hideMark/>
          </w:tcPr>
          <w:p w14:paraId="7FAD5981" w14:textId="77777777" w:rsidR="00EF7B6D" w:rsidRDefault="00EF7B6D">
            <w:pPr>
              <w:spacing w:line="254" w:lineRule="auto"/>
              <w:jc w:val="right"/>
              <w:rPr>
                <w:i/>
                <w:lang w:eastAsia="en-GB"/>
              </w:rPr>
            </w:pPr>
            <w:r>
              <w:rPr>
                <w:i/>
                <w:lang w:eastAsia="en-GB"/>
              </w:rPr>
              <w:t>117.8</w:t>
            </w:r>
          </w:p>
        </w:tc>
        <w:tc>
          <w:tcPr>
            <w:tcW w:w="1095" w:type="dxa"/>
            <w:tcBorders>
              <w:top w:val="nil"/>
              <w:left w:val="single" w:sz="4" w:space="0" w:color="auto"/>
              <w:bottom w:val="nil"/>
              <w:right w:val="single" w:sz="4" w:space="0" w:color="auto"/>
            </w:tcBorders>
            <w:noWrap/>
            <w:vAlign w:val="center"/>
            <w:hideMark/>
          </w:tcPr>
          <w:p w14:paraId="384FADAA" w14:textId="77777777" w:rsidR="00EF7B6D" w:rsidRDefault="00EF7B6D">
            <w:pPr>
              <w:spacing w:line="254" w:lineRule="auto"/>
              <w:jc w:val="right"/>
              <w:rPr>
                <w:i/>
                <w:lang w:eastAsia="en-GB"/>
              </w:rPr>
            </w:pPr>
            <w:r>
              <w:rPr>
                <w:i/>
                <w:lang w:eastAsia="en-GB"/>
              </w:rPr>
              <w:t>119.8</w:t>
            </w:r>
          </w:p>
        </w:tc>
        <w:tc>
          <w:tcPr>
            <w:tcW w:w="1295" w:type="dxa"/>
            <w:tcBorders>
              <w:top w:val="nil"/>
              <w:left w:val="nil"/>
              <w:bottom w:val="nil"/>
              <w:right w:val="single" w:sz="4" w:space="0" w:color="auto"/>
            </w:tcBorders>
            <w:noWrap/>
            <w:vAlign w:val="center"/>
            <w:hideMark/>
          </w:tcPr>
          <w:p w14:paraId="63C619B7" w14:textId="77777777" w:rsidR="00EF7B6D" w:rsidRPr="0041394A" w:rsidRDefault="00EF7B6D">
            <w:pPr>
              <w:spacing w:line="254" w:lineRule="auto"/>
              <w:jc w:val="right"/>
              <w:rPr>
                <w:i/>
                <w:lang w:eastAsia="en-GB"/>
              </w:rPr>
            </w:pPr>
            <w:r w:rsidRPr="0041394A">
              <w:rPr>
                <w:i/>
                <w:lang w:eastAsia="en-GB"/>
              </w:rPr>
              <w:t>(2.0)</w:t>
            </w:r>
          </w:p>
        </w:tc>
      </w:tr>
      <w:tr w:rsidR="00EF7B6D" w14:paraId="5D798C44" w14:textId="77777777" w:rsidTr="00EF7B6D">
        <w:trPr>
          <w:trHeight w:val="253"/>
          <w:jc w:val="center"/>
        </w:trPr>
        <w:tc>
          <w:tcPr>
            <w:tcW w:w="4504" w:type="dxa"/>
            <w:tcBorders>
              <w:top w:val="nil"/>
              <w:left w:val="single" w:sz="4" w:space="0" w:color="auto"/>
              <w:bottom w:val="nil"/>
              <w:right w:val="single" w:sz="4" w:space="0" w:color="auto"/>
            </w:tcBorders>
            <w:noWrap/>
            <w:vAlign w:val="center"/>
            <w:hideMark/>
          </w:tcPr>
          <w:p w14:paraId="3131498F" w14:textId="77777777" w:rsidR="00EF7B6D" w:rsidRDefault="00EF7B6D">
            <w:pPr>
              <w:spacing w:line="254" w:lineRule="auto"/>
              <w:rPr>
                <w:i/>
                <w:lang w:eastAsia="en-GB"/>
              </w:rPr>
            </w:pPr>
            <w:r>
              <w:rPr>
                <w:i/>
                <w:lang w:eastAsia="en-GB"/>
              </w:rPr>
              <w:t>Police Overtime</w:t>
            </w:r>
          </w:p>
        </w:tc>
        <w:tc>
          <w:tcPr>
            <w:tcW w:w="996" w:type="dxa"/>
            <w:noWrap/>
            <w:vAlign w:val="center"/>
            <w:hideMark/>
          </w:tcPr>
          <w:p w14:paraId="4ADFAF7E" w14:textId="77777777" w:rsidR="00EF7B6D" w:rsidRDefault="00EF7B6D">
            <w:pPr>
              <w:spacing w:line="254" w:lineRule="auto"/>
              <w:jc w:val="right"/>
              <w:rPr>
                <w:i/>
                <w:lang w:eastAsia="en-GB"/>
              </w:rPr>
            </w:pPr>
            <w:r>
              <w:rPr>
                <w:i/>
                <w:lang w:eastAsia="en-GB"/>
              </w:rPr>
              <w:t>5.6</w:t>
            </w:r>
          </w:p>
        </w:tc>
        <w:tc>
          <w:tcPr>
            <w:tcW w:w="1095" w:type="dxa"/>
            <w:tcBorders>
              <w:top w:val="nil"/>
              <w:left w:val="single" w:sz="4" w:space="0" w:color="auto"/>
              <w:bottom w:val="nil"/>
              <w:right w:val="single" w:sz="4" w:space="0" w:color="auto"/>
            </w:tcBorders>
            <w:noWrap/>
            <w:vAlign w:val="center"/>
            <w:hideMark/>
          </w:tcPr>
          <w:p w14:paraId="025C45A0" w14:textId="77777777" w:rsidR="00EF7B6D" w:rsidRDefault="00EF7B6D">
            <w:pPr>
              <w:spacing w:line="254" w:lineRule="auto"/>
              <w:jc w:val="right"/>
              <w:rPr>
                <w:i/>
                <w:lang w:eastAsia="en-GB"/>
              </w:rPr>
            </w:pPr>
            <w:r>
              <w:rPr>
                <w:i/>
                <w:lang w:eastAsia="en-GB"/>
              </w:rPr>
              <w:t>5.0</w:t>
            </w:r>
          </w:p>
        </w:tc>
        <w:tc>
          <w:tcPr>
            <w:tcW w:w="1295" w:type="dxa"/>
            <w:tcBorders>
              <w:top w:val="nil"/>
              <w:left w:val="nil"/>
              <w:bottom w:val="nil"/>
              <w:right w:val="single" w:sz="4" w:space="0" w:color="auto"/>
            </w:tcBorders>
            <w:noWrap/>
            <w:vAlign w:val="center"/>
            <w:hideMark/>
          </w:tcPr>
          <w:p w14:paraId="28E7BE3A" w14:textId="77777777" w:rsidR="00EF7B6D" w:rsidRPr="0041394A" w:rsidRDefault="00EF7B6D">
            <w:pPr>
              <w:spacing w:line="254" w:lineRule="auto"/>
              <w:jc w:val="right"/>
              <w:rPr>
                <w:i/>
                <w:lang w:eastAsia="en-GB"/>
              </w:rPr>
            </w:pPr>
            <w:r w:rsidRPr="0041394A">
              <w:rPr>
                <w:i/>
                <w:lang w:eastAsia="en-GB"/>
              </w:rPr>
              <w:t>0.6</w:t>
            </w:r>
          </w:p>
        </w:tc>
      </w:tr>
      <w:tr w:rsidR="00EF7B6D" w14:paraId="3ED12ABD" w14:textId="77777777" w:rsidTr="00EF7B6D">
        <w:trPr>
          <w:trHeight w:val="253"/>
          <w:jc w:val="center"/>
        </w:trPr>
        <w:tc>
          <w:tcPr>
            <w:tcW w:w="4504" w:type="dxa"/>
            <w:tcBorders>
              <w:top w:val="nil"/>
              <w:left w:val="single" w:sz="4" w:space="0" w:color="auto"/>
              <w:bottom w:val="nil"/>
              <w:right w:val="single" w:sz="4" w:space="0" w:color="auto"/>
            </w:tcBorders>
            <w:noWrap/>
            <w:vAlign w:val="center"/>
            <w:hideMark/>
          </w:tcPr>
          <w:p w14:paraId="1B06EB57" w14:textId="77777777" w:rsidR="00EF7B6D" w:rsidRDefault="00EF7B6D">
            <w:pPr>
              <w:spacing w:line="254" w:lineRule="auto"/>
              <w:rPr>
                <w:i/>
                <w:lang w:eastAsia="en-GB"/>
              </w:rPr>
            </w:pPr>
            <w:r>
              <w:rPr>
                <w:i/>
                <w:lang w:eastAsia="en-GB"/>
              </w:rPr>
              <w:t>Staff Payroll</w:t>
            </w:r>
          </w:p>
        </w:tc>
        <w:tc>
          <w:tcPr>
            <w:tcW w:w="996" w:type="dxa"/>
            <w:noWrap/>
            <w:vAlign w:val="center"/>
            <w:hideMark/>
          </w:tcPr>
          <w:p w14:paraId="737F2BE3" w14:textId="77777777" w:rsidR="00EF7B6D" w:rsidRDefault="00EF7B6D">
            <w:pPr>
              <w:spacing w:line="254" w:lineRule="auto"/>
              <w:jc w:val="right"/>
              <w:rPr>
                <w:i/>
                <w:lang w:eastAsia="en-GB"/>
              </w:rPr>
            </w:pPr>
            <w:r>
              <w:rPr>
                <w:i/>
                <w:lang w:eastAsia="en-GB"/>
              </w:rPr>
              <w:t>74.8</w:t>
            </w:r>
          </w:p>
        </w:tc>
        <w:tc>
          <w:tcPr>
            <w:tcW w:w="1095" w:type="dxa"/>
            <w:tcBorders>
              <w:top w:val="nil"/>
              <w:left w:val="single" w:sz="4" w:space="0" w:color="auto"/>
              <w:bottom w:val="nil"/>
              <w:right w:val="single" w:sz="4" w:space="0" w:color="auto"/>
            </w:tcBorders>
            <w:noWrap/>
            <w:vAlign w:val="center"/>
            <w:hideMark/>
          </w:tcPr>
          <w:p w14:paraId="70C3A803" w14:textId="77777777" w:rsidR="00EF7B6D" w:rsidRDefault="00EF7B6D">
            <w:pPr>
              <w:spacing w:line="254" w:lineRule="auto"/>
              <w:jc w:val="right"/>
              <w:rPr>
                <w:i/>
                <w:lang w:eastAsia="en-GB"/>
              </w:rPr>
            </w:pPr>
            <w:r>
              <w:rPr>
                <w:i/>
                <w:lang w:eastAsia="en-GB"/>
              </w:rPr>
              <w:t>74.9</w:t>
            </w:r>
          </w:p>
        </w:tc>
        <w:tc>
          <w:tcPr>
            <w:tcW w:w="1295" w:type="dxa"/>
            <w:tcBorders>
              <w:top w:val="nil"/>
              <w:left w:val="nil"/>
              <w:bottom w:val="nil"/>
              <w:right w:val="single" w:sz="4" w:space="0" w:color="auto"/>
            </w:tcBorders>
            <w:noWrap/>
            <w:vAlign w:val="center"/>
            <w:hideMark/>
          </w:tcPr>
          <w:p w14:paraId="1D11615F" w14:textId="77777777" w:rsidR="00EF7B6D" w:rsidRPr="0041394A" w:rsidRDefault="00EF7B6D">
            <w:pPr>
              <w:spacing w:line="254" w:lineRule="auto"/>
              <w:jc w:val="right"/>
              <w:rPr>
                <w:i/>
                <w:lang w:eastAsia="en-GB"/>
              </w:rPr>
            </w:pPr>
            <w:r w:rsidRPr="0041394A">
              <w:rPr>
                <w:i/>
                <w:lang w:eastAsia="en-GB"/>
              </w:rPr>
              <w:t>(0.1)</w:t>
            </w:r>
          </w:p>
        </w:tc>
      </w:tr>
      <w:tr w:rsidR="00EF7B6D" w14:paraId="654CF9EC" w14:textId="77777777" w:rsidTr="00EF7B6D">
        <w:trPr>
          <w:trHeight w:val="253"/>
          <w:jc w:val="center"/>
        </w:trPr>
        <w:tc>
          <w:tcPr>
            <w:tcW w:w="4504" w:type="dxa"/>
            <w:tcBorders>
              <w:top w:val="nil"/>
              <w:left w:val="single" w:sz="4" w:space="0" w:color="auto"/>
              <w:bottom w:val="nil"/>
              <w:right w:val="single" w:sz="4" w:space="0" w:color="auto"/>
            </w:tcBorders>
            <w:noWrap/>
            <w:vAlign w:val="center"/>
            <w:hideMark/>
          </w:tcPr>
          <w:p w14:paraId="79617B75" w14:textId="77777777" w:rsidR="00EF7B6D" w:rsidRDefault="00EF7B6D">
            <w:pPr>
              <w:spacing w:line="254" w:lineRule="auto"/>
              <w:rPr>
                <w:i/>
                <w:lang w:eastAsia="en-GB"/>
              </w:rPr>
            </w:pPr>
            <w:r>
              <w:rPr>
                <w:i/>
                <w:lang w:eastAsia="en-GB"/>
              </w:rPr>
              <w:t>Staff Overtime</w:t>
            </w:r>
          </w:p>
        </w:tc>
        <w:tc>
          <w:tcPr>
            <w:tcW w:w="996" w:type="dxa"/>
            <w:noWrap/>
            <w:vAlign w:val="center"/>
            <w:hideMark/>
          </w:tcPr>
          <w:p w14:paraId="2BCA3FCD" w14:textId="77777777" w:rsidR="00EF7B6D" w:rsidRDefault="00EF7B6D">
            <w:pPr>
              <w:spacing w:line="254" w:lineRule="auto"/>
              <w:jc w:val="right"/>
              <w:rPr>
                <w:i/>
                <w:lang w:eastAsia="en-GB"/>
              </w:rPr>
            </w:pPr>
            <w:r>
              <w:rPr>
                <w:i/>
                <w:lang w:eastAsia="en-GB"/>
              </w:rPr>
              <w:t>1.7</w:t>
            </w:r>
          </w:p>
        </w:tc>
        <w:tc>
          <w:tcPr>
            <w:tcW w:w="1095" w:type="dxa"/>
            <w:tcBorders>
              <w:top w:val="nil"/>
              <w:left w:val="single" w:sz="4" w:space="0" w:color="auto"/>
              <w:bottom w:val="nil"/>
              <w:right w:val="single" w:sz="4" w:space="0" w:color="auto"/>
            </w:tcBorders>
            <w:noWrap/>
            <w:vAlign w:val="center"/>
            <w:hideMark/>
          </w:tcPr>
          <w:p w14:paraId="08FE5E8A" w14:textId="77777777" w:rsidR="00EF7B6D" w:rsidRDefault="00EF7B6D">
            <w:pPr>
              <w:spacing w:line="254" w:lineRule="auto"/>
              <w:jc w:val="right"/>
              <w:rPr>
                <w:i/>
                <w:lang w:eastAsia="en-GB"/>
              </w:rPr>
            </w:pPr>
            <w:r>
              <w:rPr>
                <w:i/>
                <w:lang w:eastAsia="en-GB"/>
              </w:rPr>
              <w:t>1.2</w:t>
            </w:r>
          </w:p>
        </w:tc>
        <w:tc>
          <w:tcPr>
            <w:tcW w:w="1295" w:type="dxa"/>
            <w:tcBorders>
              <w:top w:val="nil"/>
              <w:left w:val="nil"/>
              <w:bottom w:val="nil"/>
              <w:right w:val="single" w:sz="4" w:space="0" w:color="auto"/>
            </w:tcBorders>
            <w:noWrap/>
            <w:vAlign w:val="center"/>
            <w:hideMark/>
          </w:tcPr>
          <w:p w14:paraId="217D770D" w14:textId="77777777" w:rsidR="00EF7B6D" w:rsidRPr="0041394A" w:rsidRDefault="00EF7B6D">
            <w:pPr>
              <w:spacing w:line="254" w:lineRule="auto"/>
              <w:jc w:val="right"/>
              <w:rPr>
                <w:i/>
                <w:lang w:eastAsia="en-GB"/>
              </w:rPr>
            </w:pPr>
            <w:r w:rsidRPr="0041394A">
              <w:rPr>
                <w:i/>
                <w:lang w:eastAsia="en-GB"/>
              </w:rPr>
              <w:t>0.5</w:t>
            </w:r>
          </w:p>
        </w:tc>
      </w:tr>
      <w:tr w:rsidR="00EF7B6D" w14:paraId="72662458" w14:textId="77777777" w:rsidTr="00EF7B6D">
        <w:trPr>
          <w:trHeight w:val="253"/>
          <w:jc w:val="center"/>
        </w:trPr>
        <w:tc>
          <w:tcPr>
            <w:tcW w:w="4504" w:type="dxa"/>
            <w:tcBorders>
              <w:top w:val="nil"/>
              <w:left w:val="single" w:sz="4" w:space="0" w:color="auto"/>
              <w:bottom w:val="nil"/>
              <w:right w:val="single" w:sz="4" w:space="0" w:color="auto"/>
            </w:tcBorders>
            <w:noWrap/>
            <w:vAlign w:val="center"/>
            <w:hideMark/>
          </w:tcPr>
          <w:p w14:paraId="551CC885" w14:textId="77777777" w:rsidR="00EF7B6D" w:rsidRDefault="00EF7B6D">
            <w:pPr>
              <w:spacing w:line="254" w:lineRule="auto"/>
              <w:rPr>
                <w:i/>
                <w:lang w:eastAsia="en-GB"/>
              </w:rPr>
            </w:pPr>
            <w:r>
              <w:rPr>
                <w:i/>
                <w:lang w:eastAsia="en-GB"/>
              </w:rPr>
              <w:t>Other employee costs</w:t>
            </w:r>
          </w:p>
        </w:tc>
        <w:tc>
          <w:tcPr>
            <w:tcW w:w="996" w:type="dxa"/>
            <w:noWrap/>
            <w:vAlign w:val="center"/>
            <w:hideMark/>
          </w:tcPr>
          <w:p w14:paraId="4C4584D6" w14:textId="77777777" w:rsidR="00EF7B6D" w:rsidRDefault="00EF7B6D">
            <w:pPr>
              <w:spacing w:line="254" w:lineRule="auto"/>
              <w:jc w:val="right"/>
              <w:rPr>
                <w:i/>
                <w:lang w:eastAsia="en-GB"/>
              </w:rPr>
            </w:pPr>
            <w:r>
              <w:rPr>
                <w:i/>
                <w:lang w:eastAsia="en-GB"/>
              </w:rPr>
              <w:t>4.4</w:t>
            </w:r>
          </w:p>
        </w:tc>
        <w:tc>
          <w:tcPr>
            <w:tcW w:w="1095" w:type="dxa"/>
            <w:tcBorders>
              <w:top w:val="nil"/>
              <w:left w:val="single" w:sz="4" w:space="0" w:color="auto"/>
              <w:bottom w:val="nil"/>
              <w:right w:val="single" w:sz="4" w:space="0" w:color="auto"/>
            </w:tcBorders>
            <w:noWrap/>
            <w:vAlign w:val="center"/>
            <w:hideMark/>
          </w:tcPr>
          <w:p w14:paraId="2205DC83" w14:textId="77777777" w:rsidR="00EF7B6D" w:rsidRDefault="00EF7B6D">
            <w:pPr>
              <w:spacing w:line="254" w:lineRule="auto"/>
              <w:jc w:val="right"/>
              <w:rPr>
                <w:i/>
                <w:lang w:eastAsia="en-GB"/>
              </w:rPr>
            </w:pPr>
            <w:r>
              <w:rPr>
                <w:i/>
                <w:lang w:eastAsia="en-GB"/>
              </w:rPr>
              <w:t>3.9</w:t>
            </w:r>
          </w:p>
        </w:tc>
        <w:tc>
          <w:tcPr>
            <w:tcW w:w="1295" w:type="dxa"/>
            <w:tcBorders>
              <w:top w:val="nil"/>
              <w:left w:val="nil"/>
              <w:bottom w:val="nil"/>
              <w:right w:val="single" w:sz="4" w:space="0" w:color="auto"/>
            </w:tcBorders>
            <w:noWrap/>
            <w:vAlign w:val="center"/>
            <w:hideMark/>
          </w:tcPr>
          <w:p w14:paraId="55E94E1A" w14:textId="77777777" w:rsidR="00EF7B6D" w:rsidRPr="0041394A" w:rsidRDefault="00EF7B6D">
            <w:pPr>
              <w:spacing w:line="254" w:lineRule="auto"/>
              <w:jc w:val="right"/>
              <w:rPr>
                <w:i/>
                <w:lang w:eastAsia="en-GB"/>
              </w:rPr>
            </w:pPr>
            <w:r w:rsidRPr="0041394A">
              <w:rPr>
                <w:i/>
                <w:lang w:eastAsia="en-GB"/>
              </w:rPr>
              <w:t>0.5</w:t>
            </w:r>
          </w:p>
        </w:tc>
      </w:tr>
      <w:tr w:rsidR="00EF7B6D" w14:paraId="19B41DFD" w14:textId="77777777" w:rsidTr="00EF7B6D">
        <w:trPr>
          <w:trHeight w:val="253"/>
          <w:jc w:val="center"/>
        </w:trPr>
        <w:tc>
          <w:tcPr>
            <w:tcW w:w="4504" w:type="dxa"/>
            <w:tcBorders>
              <w:top w:val="nil"/>
              <w:left w:val="single" w:sz="4" w:space="0" w:color="auto"/>
              <w:bottom w:val="nil"/>
              <w:right w:val="single" w:sz="4" w:space="0" w:color="auto"/>
            </w:tcBorders>
            <w:noWrap/>
            <w:vAlign w:val="center"/>
            <w:hideMark/>
          </w:tcPr>
          <w:p w14:paraId="538D2932" w14:textId="77777777" w:rsidR="00EF7B6D" w:rsidRDefault="00EF7B6D">
            <w:pPr>
              <w:spacing w:line="254" w:lineRule="auto"/>
              <w:rPr>
                <w:i/>
                <w:lang w:eastAsia="en-GB"/>
              </w:rPr>
            </w:pPr>
            <w:r>
              <w:rPr>
                <w:i/>
                <w:lang w:eastAsia="en-GB"/>
              </w:rPr>
              <w:t>Agency and temporary staff</w:t>
            </w:r>
          </w:p>
        </w:tc>
        <w:tc>
          <w:tcPr>
            <w:tcW w:w="996" w:type="dxa"/>
            <w:noWrap/>
            <w:vAlign w:val="center"/>
            <w:hideMark/>
          </w:tcPr>
          <w:p w14:paraId="69724C49" w14:textId="77777777" w:rsidR="00EF7B6D" w:rsidRDefault="00EF7B6D">
            <w:pPr>
              <w:spacing w:line="254" w:lineRule="auto"/>
              <w:jc w:val="right"/>
              <w:rPr>
                <w:i/>
                <w:lang w:eastAsia="en-GB"/>
              </w:rPr>
            </w:pPr>
            <w:r>
              <w:rPr>
                <w:i/>
                <w:lang w:eastAsia="en-GB"/>
              </w:rPr>
              <w:t>3.4</w:t>
            </w:r>
          </w:p>
        </w:tc>
        <w:tc>
          <w:tcPr>
            <w:tcW w:w="1095" w:type="dxa"/>
            <w:tcBorders>
              <w:top w:val="nil"/>
              <w:left w:val="single" w:sz="4" w:space="0" w:color="auto"/>
              <w:bottom w:val="nil"/>
              <w:right w:val="single" w:sz="4" w:space="0" w:color="auto"/>
            </w:tcBorders>
            <w:noWrap/>
            <w:vAlign w:val="center"/>
            <w:hideMark/>
          </w:tcPr>
          <w:p w14:paraId="60E586A7" w14:textId="77777777" w:rsidR="00EF7B6D" w:rsidRDefault="00EF7B6D">
            <w:pPr>
              <w:spacing w:line="254" w:lineRule="auto"/>
              <w:jc w:val="right"/>
              <w:rPr>
                <w:i/>
                <w:lang w:eastAsia="en-GB"/>
              </w:rPr>
            </w:pPr>
            <w:r>
              <w:rPr>
                <w:i/>
                <w:lang w:eastAsia="en-GB"/>
              </w:rPr>
              <w:t>1.2</w:t>
            </w:r>
          </w:p>
        </w:tc>
        <w:tc>
          <w:tcPr>
            <w:tcW w:w="1295" w:type="dxa"/>
            <w:tcBorders>
              <w:top w:val="nil"/>
              <w:left w:val="nil"/>
              <w:bottom w:val="nil"/>
              <w:right w:val="single" w:sz="4" w:space="0" w:color="auto"/>
            </w:tcBorders>
            <w:noWrap/>
            <w:vAlign w:val="center"/>
            <w:hideMark/>
          </w:tcPr>
          <w:p w14:paraId="606B915A" w14:textId="77777777" w:rsidR="00EF7B6D" w:rsidRPr="0041394A" w:rsidRDefault="00EF7B6D">
            <w:pPr>
              <w:spacing w:line="254" w:lineRule="auto"/>
              <w:jc w:val="right"/>
              <w:rPr>
                <w:i/>
                <w:lang w:eastAsia="en-GB"/>
              </w:rPr>
            </w:pPr>
            <w:r w:rsidRPr="0041394A">
              <w:rPr>
                <w:i/>
                <w:lang w:eastAsia="en-GB"/>
              </w:rPr>
              <w:t>2.2</w:t>
            </w:r>
          </w:p>
        </w:tc>
      </w:tr>
      <w:tr w:rsidR="00EF7B6D" w14:paraId="60BC18CF" w14:textId="77777777" w:rsidTr="00EF7B6D">
        <w:trPr>
          <w:trHeight w:val="253"/>
          <w:jc w:val="center"/>
        </w:trPr>
        <w:tc>
          <w:tcPr>
            <w:tcW w:w="4504" w:type="dxa"/>
            <w:tcBorders>
              <w:top w:val="nil"/>
              <w:left w:val="single" w:sz="4" w:space="0" w:color="auto"/>
              <w:bottom w:val="nil"/>
              <w:right w:val="single" w:sz="4" w:space="0" w:color="auto"/>
            </w:tcBorders>
            <w:noWrap/>
            <w:vAlign w:val="center"/>
            <w:hideMark/>
          </w:tcPr>
          <w:p w14:paraId="2DEF22CA" w14:textId="77777777" w:rsidR="00EF7B6D" w:rsidRDefault="00EF7B6D">
            <w:pPr>
              <w:spacing w:line="254" w:lineRule="auto"/>
              <w:rPr>
                <w:i/>
                <w:lang w:eastAsia="en-GB"/>
              </w:rPr>
            </w:pPr>
            <w:r>
              <w:rPr>
                <w:i/>
                <w:lang w:eastAsia="en-GB"/>
              </w:rPr>
              <w:t>Training and other costs</w:t>
            </w:r>
          </w:p>
        </w:tc>
        <w:tc>
          <w:tcPr>
            <w:tcW w:w="996" w:type="dxa"/>
            <w:noWrap/>
            <w:vAlign w:val="center"/>
            <w:hideMark/>
          </w:tcPr>
          <w:p w14:paraId="4A167BD8" w14:textId="77777777" w:rsidR="00EF7B6D" w:rsidRDefault="00EF7B6D">
            <w:pPr>
              <w:spacing w:line="254" w:lineRule="auto"/>
              <w:jc w:val="right"/>
              <w:rPr>
                <w:i/>
                <w:lang w:eastAsia="en-GB"/>
              </w:rPr>
            </w:pPr>
            <w:r>
              <w:rPr>
                <w:i/>
                <w:lang w:eastAsia="en-GB"/>
              </w:rPr>
              <w:t>1.7</w:t>
            </w:r>
          </w:p>
        </w:tc>
        <w:tc>
          <w:tcPr>
            <w:tcW w:w="1095" w:type="dxa"/>
            <w:tcBorders>
              <w:top w:val="nil"/>
              <w:left w:val="single" w:sz="4" w:space="0" w:color="auto"/>
              <w:bottom w:val="nil"/>
              <w:right w:val="single" w:sz="4" w:space="0" w:color="auto"/>
            </w:tcBorders>
            <w:noWrap/>
            <w:vAlign w:val="center"/>
            <w:hideMark/>
          </w:tcPr>
          <w:p w14:paraId="5B99ECDA" w14:textId="77777777" w:rsidR="00EF7B6D" w:rsidRDefault="00EF7B6D">
            <w:pPr>
              <w:spacing w:line="254" w:lineRule="auto"/>
              <w:jc w:val="right"/>
              <w:rPr>
                <w:i/>
                <w:lang w:eastAsia="en-GB"/>
              </w:rPr>
            </w:pPr>
            <w:r>
              <w:rPr>
                <w:i/>
                <w:lang w:eastAsia="en-GB"/>
              </w:rPr>
              <w:t>2.2</w:t>
            </w:r>
          </w:p>
        </w:tc>
        <w:tc>
          <w:tcPr>
            <w:tcW w:w="1295" w:type="dxa"/>
            <w:tcBorders>
              <w:top w:val="nil"/>
              <w:left w:val="nil"/>
              <w:bottom w:val="nil"/>
              <w:right w:val="single" w:sz="4" w:space="0" w:color="auto"/>
            </w:tcBorders>
            <w:noWrap/>
            <w:vAlign w:val="center"/>
            <w:hideMark/>
          </w:tcPr>
          <w:p w14:paraId="3B2049CD" w14:textId="77777777" w:rsidR="00EF7B6D" w:rsidRPr="0041394A" w:rsidRDefault="00EF7B6D">
            <w:pPr>
              <w:spacing w:line="254" w:lineRule="auto"/>
              <w:jc w:val="right"/>
              <w:rPr>
                <w:i/>
                <w:lang w:eastAsia="en-GB"/>
              </w:rPr>
            </w:pPr>
            <w:r w:rsidRPr="0041394A">
              <w:rPr>
                <w:i/>
                <w:lang w:eastAsia="en-GB"/>
              </w:rPr>
              <w:t>(0.5)</w:t>
            </w:r>
          </w:p>
        </w:tc>
      </w:tr>
      <w:tr w:rsidR="00EF7B6D" w14:paraId="5CF98432" w14:textId="77777777" w:rsidTr="00EF7B6D">
        <w:trPr>
          <w:trHeight w:val="253"/>
          <w:jc w:val="center"/>
        </w:trPr>
        <w:tc>
          <w:tcPr>
            <w:tcW w:w="4504" w:type="dxa"/>
            <w:tcBorders>
              <w:top w:val="single" w:sz="4" w:space="0" w:color="auto"/>
              <w:left w:val="single" w:sz="4" w:space="0" w:color="auto"/>
              <w:bottom w:val="nil"/>
              <w:right w:val="single" w:sz="4" w:space="0" w:color="auto"/>
            </w:tcBorders>
            <w:noWrap/>
            <w:vAlign w:val="center"/>
            <w:hideMark/>
          </w:tcPr>
          <w:p w14:paraId="2B10A726" w14:textId="77777777" w:rsidR="00EF7B6D" w:rsidRDefault="00EF7B6D">
            <w:pPr>
              <w:spacing w:line="254" w:lineRule="auto"/>
              <w:rPr>
                <w:lang w:eastAsia="en-GB"/>
              </w:rPr>
            </w:pPr>
            <w:r>
              <w:rPr>
                <w:lang w:eastAsia="en-GB"/>
              </w:rPr>
              <w:t>Total Employee Costs</w:t>
            </w:r>
          </w:p>
        </w:tc>
        <w:tc>
          <w:tcPr>
            <w:tcW w:w="996" w:type="dxa"/>
            <w:tcBorders>
              <w:top w:val="single" w:sz="4" w:space="0" w:color="auto"/>
              <w:left w:val="nil"/>
              <w:bottom w:val="nil"/>
              <w:right w:val="nil"/>
            </w:tcBorders>
            <w:noWrap/>
            <w:vAlign w:val="center"/>
            <w:hideMark/>
          </w:tcPr>
          <w:p w14:paraId="38E93080" w14:textId="77777777" w:rsidR="00EF7B6D" w:rsidRDefault="00EF7B6D">
            <w:pPr>
              <w:spacing w:line="254" w:lineRule="auto"/>
              <w:jc w:val="right"/>
              <w:rPr>
                <w:lang w:eastAsia="en-GB"/>
              </w:rPr>
            </w:pPr>
            <w:r>
              <w:rPr>
                <w:lang w:eastAsia="en-GB"/>
              </w:rPr>
              <w:t>209.4</w:t>
            </w:r>
          </w:p>
        </w:tc>
        <w:tc>
          <w:tcPr>
            <w:tcW w:w="1095" w:type="dxa"/>
            <w:tcBorders>
              <w:top w:val="single" w:sz="4" w:space="0" w:color="auto"/>
              <w:left w:val="single" w:sz="4" w:space="0" w:color="auto"/>
              <w:bottom w:val="nil"/>
              <w:right w:val="single" w:sz="4" w:space="0" w:color="auto"/>
            </w:tcBorders>
            <w:noWrap/>
            <w:vAlign w:val="center"/>
            <w:hideMark/>
          </w:tcPr>
          <w:p w14:paraId="64F67437" w14:textId="77777777" w:rsidR="00EF7B6D" w:rsidRDefault="00EF7B6D">
            <w:pPr>
              <w:spacing w:line="254" w:lineRule="auto"/>
              <w:jc w:val="right"/>
              <w:rPr>
                <w:lang w:eastAsia="en-GB"/>
              </w:rPr>
            </w:pPr>
            <w:r>
              <w:rPr>
                <w:lang w:eastAsia="en-GB"/>
              </w:rPr>
              <w:t>208.2</w:t>
            </w:r>
          </w:p>
        </w:tc>
        <w:tc>
          <w:tcPr>
            <w:tcW w:w="1295" w:type="dxa"/>
            <w:tcBorders>
              <w:top w:val="single" w:sz="4" w:space="0" w:color="auto"/>
              <w:left w:val="nil"/>
              <w:bottom w:val="nil"/>
              <w:right w:val="single" w:sz="4" w:space="0" w:color="auto"/>
            </w:tcBorders>
            <w:noWrap/>
            <w:vAlign w:val="center"/>
            <w:hideMark/>
          </w:tcPr>
          <w:p w14:paraId="5DD55A64" w14:textId="77777777" w:rsidR="00EF7B6D" w:rsidRDefault="00EF7B6D">
            <w:pPr>
              <w:spacing w:line="254" w:lineRule="auto"/>
              <w:jc w:val="right"/>
              <w:rPr>
                <w:lang w:eastAsia="en-GB"/>
              </w:rPr>
            </w:pPr>
            <w:r>
              <w:rPr>
                <w:lang w:eastAsia="en-GB"/>
              </w:rPr>
              <w:t>1.2</w:t>
            </w:r>
          </w:p>
        </w:tc>
      </w:tr>
      <w:tr w:rsidR="00EF7B6D" w14:paraId="2B6CBEC6" w14:textId="77777777" w:rsidTr="00EF7B6D">
        <w:trPr>
          <w:trHeight w:val="253"/>
          <w:jc w:val="center"/>
        </w:trPr>
        <w:tc>
          <w:tcPr>
            <w:tcW w:w="4504" w:type="dxa"/>
            <w:tcBorders>
              <w:top w:val="nil"/>
              <w:left w:val="single" w:sz="4" w:space="0" w:color="auto"/>
              <w:bottom w:val="nil"/>
              <w:right w:val="single" w:sz="4" w:space="0" w:color="auto"/>
            </w:tcBorders>
            <w:noWrap/>
            <w:vAlign w:val="center"/>
            <w:hideMark/>
          </w:tcPr>
          <w:p w14:paraId="6B515225" w14:textId="77777777" w:rsidR="00EF7B6D" w:rsidRDefault="00EF7B6D">
            <w:pPr>
              <w:spacing w:line="254" w:lineRule="auto"/>
              <w:rPr>
                <w:lang w:eastAsia="en-GB"/>
              </w:rPr>
            </w:pPr>
            <w:r>
              <w:rPr>
                <w:lang w:eastAsia="en-GB"/>
              </w:rPr>
              <w:t>Premises</w:t>
            </w:r>
          </w:p>
        </w:tc>
        <w:tc>
          <w:tcPr>
            <w:tcW w:w="996" w:type="dxa"/>
            <w:noWrap/>
            <w:vAlign w:val="center"/>
            <w:hideMark/>
          </w:tcPr>
          <w:p w14:paraId="29C9496F" w14:textId="77777777" w:rsidR="00EF7B6D" w:rsidRDefault="00EF7B6D">
            <w:pPr>
              <w:spacing w:line="254" w:lineRule="auto"/>
              <w:jc w:val="right"/>
              <w:rPr>
                <w:lang w:eastAsia="en-GB"/>
              </w:rPr>
            </w:pPr>
            <w:r>
              <w:rPr>
                <w:lang w:eastAsia="en-GB"/>
              </w:rPr>
              <w:t>9.9</w:t>
            </w:r>
          </w:p>
        </w:tc>
        <w:tc>
          <w:tcPr>
            <w:tcW w:w="1095" w:type="dxa"/>
            <w:tcBorders>
              <w:top w:val="nil"/>
              <w:left w:val="single" w:sz="4" w:space="0" w:color="auto"/>
              <w:bottom w:val="nil"/>
              <w:right w:val="single" w:sz="4" w:space="0" w:color="auto"/>
            </w:tcBorders>
            <w:noWrap/>
            <w:vAlign w:val="center"/>
            <w:hideMark/>
          </w:tcPr>
          <w:p w14:paraId="2A12E1B2" w14:textId="77777777" w:rsidR="00EF7B6D" w:rsidRDefault="00EF7B6D">
            <w:pPr>
              <w:spacing w:line="254" w:lineRule="auto"/>
              <w:jc w:val="right"/>
              <w:rPr>
                <w:lang w:eastAsia="en-GB"/>
              </w:rPr>
            </w:pPr>
            <w:r>
              <w:rPr>
                <w:lang w:eastAsia="en-GB"/>
              </w:rPr>
              <w:t>10.4</w:t>
            </w:r>
          </w:p>
        </w:tc>
        <w:tc>
          <w:tcPr>
            <w:tcW w:w="1295" w:type="dxa"/>
            <w:tcBorders>
              <w:top w:val="nil"/>
              <w:left w:val="nil"/>
              <w:bottom w:val="nil"/>
              <w:right w:val="single" w:sz="4" w:space="0" w:color="auto"/>
            </w:tcBorders>
            <w:noWrap/>
            <w:vAlign w:val="center"/>
            <w:hideMark/>
          </w:tcPr>
          <w:p w14:paraId="3169303F" w14:textId="77777777" w:rsidR="00EF7B6D" w:rsidRDefault="00EF7B6D">
            <w:pPr>
              <w:spacing w:line="254" w:lineRule="auto"/>
              <w:jc w:val="right"/>
              <w:rPr>
                <w:lang w:eastAsia="en-GB"/>
              </w:rPr>
            </w:pPr>
            <w:r>
              <w:rPr>
                <w:lang w:eastAsia="en-GB"/>
              </w:rPr>
              <w:t>(0.5)</w:t>
            </w:r>
          </w:p>
        </w:tc>
      </w:tr>
      <w:tr w:rsidR="00EF7B6D" w14:paraId="54238839" w14:textId="77777777" w:rsidTr="00EF7B6D">
        <w:trPr>
          <w:trHeight w:val="253"/>
          <w:jc w:val="center"/>
        </w:trPr>
        <w:tc>
          <w:tcPr>
            <w:tcW w:w="4504" w:type="dxa"/>
            <w:tcBorders>
              <w:top w:val="nil"/>
              <w:left w:val="single" w:sz="4" w:space="0" w:color="auto"/>
              <w:bottom w:val="nil"/>
              <w:right w:val="single" w:sz="4" w:space="0" w:color="auto"/>
            </w:tcBorders>
            <w:noWrap/>
            <w:vAlign w:val="center"/>
            <w:hideMark/>
          </w:tcPr>
          <w:p w14:paraId="05DF7C43" w14:textId="77777777" w:rsidR="00EF7B6D" w:rsidRDefault="00EF7B6D">
            <w:pPr>
              <w:spacing w:line="254" w:lineRule="auto"/>
              <w:rPr>
                <w:lang w:eastAsia="en-GB"/>
              </w:rPr>
            </w:pPr>
            <w:r>
              <w:rPr>
                <w:lang w:eastAsia="en-GB"/>
              </w:rPr>
              <w:t>Transport</w:t>
            </w:r>
          </w:p>
        </w:tc>
        <w:tc>
          <w:tcPr>
            <w:tcW w:w="996" w:type="dxa"/>
            <w:noWrap/>
            <w:vAlign w:val="center"/>
            <w:hideMark/>
          </w:tcPr>
          <w:p w14:paraId="69AED102" w14:textId="77777777" w:rsidR="00EF7B6D" w:rsidRDefault="00EF7B6D">
            <w:pPr>
              <w:spacing w:line="254" w:lineRule="auto"/>
              <w:jc w:val="right"/>
              <w:rPr>
                <w:lang w:eastAsia="en-GB"/>
              </w:rPr>
            </w:pPr>
            <w:r>
              <w:rPr>
                <w:lang w:eastAsia="en-GB"/>
              </w:rPr>
              <w:t>5.0</w:t>
            </w:r>
          </w:p>
        </w:tc>
        <w:tc>
          <w:tcPr>
            <w:tcW w:w="1095" w:type="dxa"/>
            <w:tcBorders>
              <w:top w:val="nil"/>
              <w:left w:val="single" w:sz="4" w:space="0" w:color="auto"/>
              <w:bottom w:val="nil"/>
              <w:right w:val="single" w:sz="4" w:space="0" w:color="auto"/>
            </w:tcBorders>
            <w:noWrap/>
            <w:vAlign w:val="center"/>
            <w:hideMark/>
          </w:tcPr>
          <w:p w14:paraId="72951C2E" w14:textId="77777777" w:rsidR="00EF7B6D" w:rsidRDefault="00EF7B6D">
            <w:pPr>
              <w:spacing w:line="254" w:lineRule="auto"/>
              <w:jc w:val="right"/>
              <w:rPr>
                <w:lang w:eastAsia="en-GB"/>
              </w:rPr>
            </w:pPr>
            <w:r>
              <w:rPr>
                <w:lang w:eastAsia="en-GB"/>
              </w:rPr>
              <w:t>5.3</w:t>
            </w:r>
          </w:p>
        </w:tc>
        <w:tc>
          <w:tcPr>
            <w:tcW w:w="1295" w:type="dxa"/>
            <w:tcBorders>
              <w:top w:val="nil"/>
              <w:left w:val="nil"/>
              <w:bottom w:val="nil"/>
              <w:right w:val="single" w:sz="4" w:space="0" w:color="auto"/>
            </w:tcBorders>
            <w:noWrap/>
            <w:vAlign w:val="center"/>
            <w:hideMark/>
          </w:tcPr>
          <w:p w14:paraId="5D670479" w14:textId="77777777" w:rsidR="00EF7B6D" w:rsidRDefault="00EF7B6D">
            <w:pPr>
              <w:spacing w:line="254" w:lineRule="auto"/>
              <w:jc w:val="right"/>
              <w:rPr>
                <w:lang w:eastAsia="en-GB"/>
              </w:rPr>
            </w:pPr>
            <w:r>
              <w:rPr>
                <w:lang w:eastAsia="en-GB"/>
              </w:rPr>
              <w:t>(0.3)</w:t>
            </w:r>
          </w:p>
        </w:tc>
      </w:tr>
      <w:tr w:rsidR="00EF7B6D" w14:paraId="316BE241" w14:textId="77777777" w:rsidTr="00EF7B6D">
        <w:trPr>
          <w:trHeight w:val="253"/>
          <w:jc w:val="center"/>
        </w:trPr>
        <w:tc>
          <w:tcPr>
            <w:tcW w:w="4504" w:type="dxa"/>
            <w:tcBorders>
              <w:top w:val="nil"/>
              <w:left w:val="single" w:sz="4" w:space="0" w:color="auto"/>
              <w:bottom w:val="nil"/>
              <w:right w:val="single" w:sz="4" w:space="0" w:color="auto"/>
            </w:tcBorders>
            <w:noWrap/>
            <w:vAlign w:val="center"/>
            <w:hideMark/>
          </w:tcPr>
          <w:p w14:paraId="722DCC9E" w14:textId="77777777" w:rsidR="00EF7B6D" w:rsidRDefault="00EF7B6D">
            <w:pPr>
              <w:spacing w:line="254" w:lineRule="auto"/>
              <w:rPr>
                <w:lang w:eastAsia="en-GB"/>
              </w:rPr>
            </w:pPr>
            <w:r>
              <w:rPr>
                <w:lang w:eastAsia="en-GB"/>
              </w:rPr>
              <w:t>Supplies and Services</w:t>
            </w:r>
          </w:p>
        </w:tc>
        <w:tc>
          <w:tcPr>
            <w:tcW w:w="996" w:type="dxa"/>
            <w:noWrap/>
            <w:vAlign w:val="center"/>
            <w:hideMark/>
          </w:tcPr>
          <w:p w14:paraId="620FC866" w14:textId="77777777" w:rsidR="00EF7B6D" w:rsidRDefault="00EF7B6D">
            <w:pPr>
              <w:spacing w:line="254" w:lineRule="auto"/>
              <w:jc w:val="right"/>
              <w:rPr>
                <w:lang w:eastAsia="en-GB"/>
              </w:rPr>
            </w:pPr>
            <w:r>
              <w:rPr>
                <w:lang w:eastAsia="en-GB"/>
              </w:rPr>
              <w:t>33.8</w:t>
            </w:r>
          </w:p>
        </w:tc>
        <w:tc>
          <w:tcPr>
            <w:tcW w:w="1095" w:type="dxa"/>
            <w:tcBorders>
              <w:top w:val="nil"/>
              <w:left w:val="single" w:sz="4" w:space="0" w:color="auto"/>
              <w:bottom w:val="nil"/>
              <w:right w:val="single" w:sz="4" w:space="0" w:color="auto"/>
            </w:tcBorders>
            <w:noWrap/>
            <w:vAlign w:val="center"/>
            <w:hideMark/>
          </w:tcPr>
          <w:p w14:paraId="1287ECC4" w14:textId="77777777" w:rsidR="00EF7B6D" w:rsidRDefault="00EF7B6D">
            <w:pPr>
              <w:spacing w:line="254" w:lineRule="auto"/>
              <w:jc w:val="right"/>
              <w:rPr>
                <w:lang w:eastAsia="en-GB"/>
              </w:rPr>
            </w:pPr>
            <w:r>
              <w:rPr>
                <w:lang w:eastAsia="en-GB"/>
              </w:rPr>
              <w:t>34.2</w:t>
            </w:r>
          </w:p>
        </w:tc>
        <w:tc>
          <w:tcPr>
            <w:tcW w:w="1295" w:type="dxa"/>
            <w:tcBorders>
              <w:top w:val="nil"/>
              <w:left w:val="nil"/>
              <w:bottom w:val="nil"/>
              <w:right w:val="single" w:sz="4" w:space="0" w:color="auto"/>
            </w:tcBorders>
            <w:noWrap/>
            <w:vAlign w:val="center"/>
            <w:hideMark/>
          </w:tcPr>
          <w:p w14:paraId="0392CA69" w14:textId="77777777" w:rsidR="00EF7B6D" w:rsidRDefault="00EF7B6D">
            <w:pPr>
              <w:spacing w:line="254" w:lineRule="auto"/>
              <w:jc w:val="right"/>
              <w:rPr>
                <w:lang w:eastAsia="en-GB"/>
              </w:rPr>
            </w:pPr>
            <w:r>
              <w:rPr>
                <w:lang w:eastAsia="en-GB"/>
              </w:rPr>
              <w:t>(0.4)</w:t>
            </w:r>
          </w:p>
        </w:tc>
      </w:tr>
      <w:tr w:rsidR="00EF7B6D" w14:paraId="6DDDCE6E" w14:textId="77777777" w:rsidTr="00EF7B6D">
        <w:trPr>
          <w:trHeight w:val="253"/>
          <w:jc w:val="center"/>
        </w:trPr>
        <w:tc>
          <w:tcPr>
            <w:tcW w:w="4504" w:type="dxa"/>
            <w:tcBorders>
              <w:top w:val="nil"/>
              <w:left w:val="single" w:sz="4" w:space="0" w:color="auto"/>
              <w:bottom w:val="nil"/>
              <w:right w:val="single" w:sz="4" w:space="0" w:color="auto"/>
            </w:tcBorders>
            <w:noWrap/>
            <w:vAlign w:val="center"/>
            <w:hideMark/>
          </w:tcPr>
          <w:p w14:paraId="12D3B5BA" w14:textId="77777777" w:rsidR="00EF7B6D" w:rsidRDefault="00EF7B6D">
            <w:pPr>
              <w:spacing w:line="254" w:lineRule="auto"/>
              <w:rPr>
                <w:lang w:eastAsia="en-GB"/>
              </w:rPr>
            </w:pPr>
            <w:r>
              <w:rPr>
                <w:lang w:eastAsia="en-GB"/>
              </w:rPr>
              <w:t>Financing</w:t>
            </w:r>
          </w:p>
        </w:tc>
        <w:tc>
          <w:tcPr>
            <w:tcW w:w="996" w:type="dxa"/>
            <w:noWrap/>
            <w:vAlign w:val="center"/>
            <w:hideMark/>
          </w:tcPr>
          <w:p w14:paraId="5EEF5970" w14:textId="77777777" w:rsidR="00EF7B6D" w:rsidRDefault="00EF7B6D">
            <w:pPr>
              <w:spacing w:line="254" w:lineRule="auto"/>
              <w:jc w:val="right"/>
              <w:rPr>
                <w:lang w:eastAsia="en-GB"/>
              </w:rPr>
            </w:pPr>
            <w:r>
              <w:rPr>
                <w:lang w:eastAsia="en-GB"/>
              </w:rPr>
              <w:t>9.8</w:t>
            </w:r>
          </w:p>
        </w:tc>
        <w:tc>
          <w:tcPr>
            <w:tcW w:w="1095" w:type="dxa"/>
            <w:tcBorders>
              <w:top w:val="nil"/>
              <w:left w:val="single" w:sz="4" w:space="0" w:color="auto"/>
              <w:bottom w:val="nil"/>
              <w:right w:val="single" w:sz="4" w:space="0" w:color="auto"/>
            </w:tcBorders>
            <w:noWrap/>
            <w:vAlign w:val="center"/>
            <w:hideMark/>
          </w:tcPr>
          <w:p w14:paraId="1F4718B9" w14:textId="77777777" w:rsidR="00EF7B6D" w:rsidRDefault="00EF7B6D">
            <w:pPr>
              <w:spacing w:line="254" w:lineRule="auto"/>
              <w:jc w:val="right"/>
              <w:rPr>
                <w:lang w:eastAsia="en-GB"/>
              </w:rPr>
            </w:pPr>
            <w:r>
              <w:rPr>
                <w:lang w:eastAsia="en-GB"/>
              </w:rPr>
              <w:t>6.2</w:t>
            </w:r>
          </w:p>
        </w:tc>
        <w:tc>
          <w:tcPr>
            <w:tcW w:w="1295" w:type="dxa"/>
            <w:tcBorders>
              <w:top w:val="nil"/>
              <w:left w:val="nil"/>
              <w:bottom w:val="nil"/>
              <w:right w:val="single" w:sz="4" w:space="0" w:color="auto"/>
            </w:tcBorders>
            <w:noWrap/>
            <w:vAlign w:val="center"/>
            <w:hideMark/>
          </w:tcPr>
          <w:p w14:paraId="058C2E6D" w14:textId="77777777" w:rsidR="00EF7B6D" w:rsidRDefault="00EF7B6D">
            <w:pPr>
              <w:spacing w:line="254" w:lineRule="auto"/>
              <w:jc w:val="right"/>
              <w:rPr>
                <w:lang w:eastAsia="en-GB"/>
              </w:rPr>
            </w:pPr>
            <w:r>
              <w:rPr>
                <w:lang w:eastAsia="en-GB"/>
              </w:rPr>
              <w:t>3.6</w:t>
            </w:r>
          </w:p>
        </w:tc>
      </w:tr>
      <w:tr w:rsidR="00EF7B6D" w14:paraId="09581B83" w14:textId="77777777" w:rsidTr="00EF7B6D">
        <w:trPr>
          <w:trHeight w:val="253"/>
          <w:jc w:val="center"/>
        </w:trPr>
        <w:tc>
          <w:tcPr>
            <w:tcW w:w="4504" w:type="dxa"/>
            <w:tcBorders>
              <w:top w:val="nil"/>
              <w:left w:val="single" w:sz="4" w:space="0" w:color="auto"/>
              <w:bottom w:val="single" w:sz="4" w:space="0" w:color="auto"/>
              <w:right w:val="single" w:sz="4" w:space="0" w:color="auto"/>
            </w:tcBorders>
            <w:noWrap/>
            <w:vAlign w:val="center"/>
            <w:hideMark/>
          </w:tcPr>
          <w:p w14:paraId="7145530F" w14:textId="77777777" w:rsidR="00EF7B6D" w:rsidRDefault="00EF7B6D">
            <w:pPr>
              <w:spacing w:line="254" w:lineRule="auto"/>
              <w:rPr>
                <w:lang w:eastAsia="en-GB"/>
              </w:rPr>
            </w:pPr>
            <w:r>
              <w:rPr>
                <w:lang w:eastAsia="en-GB"/>
              </w:rPr>
              <w:t>Income and Grants</w:t>
            </w:r>
          </w:p>
        </w:tc>
        <w:tc>
          <w:tcPr>
            <w:tcW w:w="996" w:type="dxa"/>
            <w:tcBorders>
              <w:top w:val="nil"/>
              <w:left w:val="nil"/>
              <w:bottom w:val="single" w:sz="4" w:space="0" w:color="auto"/>
              <w:right w:val="nil"/>
            </w:tcBorders>
            <w:noWrap/>
            <w:vAlign w:val="center"/>
            <w:hideMark/>
          </w:tcPr>
          <w:p w14:paraId="0B906575" w14:textId="77777777" w:rsidR="00EF7B6D" w:rsidRDefault="00EF7B6D">
            <w:pPr>
              <w:spacing w:line="254" w:lineRule="auto"/>
              <w:jc w:val="right"/>
              <w:rPr>
                <w:lang w:eastAsia="en-GB"/>
              </w:rPr>
            </w:pPr>
            <w:r>
              <w:rPr>
                <w:lang w:eastAsia="en-GB"/>
              </w:rPr>
              <w:t>(19.5)</w:t>
            </w:r>
          </w:p>
        </w:tc>
        <w:tc>
          <w:tcPr>
            <w:tcW w:w="1095" w:type="dxa"/>
            <w:tcBorders>
              <w:top w:val="nil"/>
              <w:left w:val="single" w:sz="4" w:space="0" w:color="auto"/>
              <w:bottom w:val="single" w:sz="4" w:space="0" w:color="auto"/>
              <w:right w:val="single" w:sz="4" w:space="0" w:color="auto"/>
            </w:tcBorders>
            <w:noWrap/>
            <w:vAlign w:val="center"/>
            <w:hideMark/>
          </w:tcPr>
          <w:p w14:paraId="3D90E87C" w14:textId="77777777" w:rsidR="00EF7B6D" w:rsidRDefault="00EF7B6D">
            <w:pPr>
              <w:spacing w:line="254" w:lineRule="auto"/>
              <w:jc w:val="right"/>
              <w:rPr>
                <w:lang w:eastAsia="en-GB"/>
              </w:rPr>
            </w:pPr>
            <w:r>
              <w:rPr>
                <w:lang w:eastAsia="en-GB"/>
              </w:rPr>
              <w:t>(14.3)</w:t>
            </w:r>
          </w:p>
        </w:tc>
        <w:tc>
          <w:tcPr>
            <w:tcW w:w="1295" w:type="dxa"/>
            <w:tcBorders>
              <w:top w:val="nil"/>
              <w:left w:val="nil"/>
              <w:bottom w:val="single" w:sz="4" w:space="0" w:color="auto"/>
              <w:right w:val="single" w:sz="4" w:space="0" w:color="auto"/>
            </w:tcBorders>
            <w:noWrap/>
            <w:vAlign w:val="center"/>
            <w:hideMark/>
          </w:tcPr>
          <w:p w14:paraId="7B33B29D" w14:textId="77777777" w:rsidR="00EF7B6D" w:rsidRDefault="00EF7B6D">
            <w:pPr>
              <w:spacing w:line="254" w:lineRule="auto"/>
              <w:jc w:val="right"/>
              <w:rPr>
                <w:lang w:eastAsia="en-GB"/>
              </w:rPr>
            </w:pPr>
            <w:r>
              <w:rPr>
                <w:lang w:eastAsia="en-GB"/>
              </w:rPr>
              <w:t>(5.2)</w:t>
            </w:r>
          </w:p>
        </w:tc>
      </w:tr>
      <w:tr w:rsidR="00EF7B6D" w14:paraId="3F6962FB" w14:textId="77777777" w:rsidTr="00EF7B6D">
        <w:trPr>
          <w:trHeight w:val="253"/>
          <w:jc w:val="center"/>
        </w:trPr>
        <w:tc>
          <w:tcPr>
            <w:tcW w:w="4504"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1424286A" w14:textId="77777777" w:rsidR="00EF7B6D" w:rsidRDefault="00EF7B6D">
            <w:pPr>
              <w:spacing w:line="254" w:lineRule="auto"/>
              <w:rPr>
                <w:b/>
                <w:lang w:eastAsia="en-GB"/>
              </w:rPr>
            </w:pPr>
            <w:r>
              <w:rPr>
                <w:b/>
                <w:lang w:eastAsia="en-GB"/>
              </w:rPr>
              <w:t>Net Group Expenditure</w:t>
            </w:r>
          </w:p>
        </w:tc>
        <w:tc>
          <w:tcPr>
            <w:tcW w:w="996" w:type="dxa"/>
            <w:tcBorders>
              <w:top w:val="single" w:sz="4" w:space="0" w:color="auto"/>
              <w:left w:val="nil"/>
              <w:bottom w:val="single" w:sz="4" w:space="0" w:color="auto"/>
              <w:right w:val="nil"/>
            </w:tcBorders>
            <w:shd w:val="clear" w:color="auto" w:fill="FFFFCC"/>
            <w:noWrap/>
            <w:vAlign w:val="center"/>
            <w:hideMark/>
          </w:tcPr>
          <w:p w14:paraId="4A2F2A59" w14:textId="77777777" w:rsidR="00EF7B6D" w:rsidRDefault="00EF7B6D">
            <w:pPr>
              <w:spacing w:line="254" w:lineRule="auto"/>
              <w:jc w:val="right"/>
              <w:rPr>
                <w:b/>
                <w:lang w:eastAsia="en-GB"/>
              </w:rPr>
            </w:pPr>
            <w:r>
              <w:rPr>
                <w:b/>
                <w:lang w:eastAsia="en-GB"/>
              </w:rPr>
              <w:t xml:space="preserve">248.4 </w:t>
            </w:r>
          </w:p>
        </w:tc>
        <w:tc>
          <w:tcPr>
            <w:tcW w:w="1095"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E7868E2" w14:textId="77777777" w:rsidR="00EF7B6D" w:rsidRDefault="00EF7B6D">
            <w:pPr>
              <w:spacing w:line="254" w:lineRule="auto"/>
              <w:jc w:val="right"/>
              <w:rPr>
                <w:b/>
                <w:lang w:eastAsia="en-GB"/>
              </w:rPr>
            </w:pPr>
            <w:r>
              <w:rPr>
                <w:b/>
                <w:lang w:eastAsia="en-GB"/>
              </w:rPr>
              <w:t xml:space="preserve">  250.0</w:t>
            </w:r>
          </w:p>
        </w:tc>
        <w:tc>
          <w:tcPr>
            <w:tcW w:w="1295" w:type="dxa"/>
            <w:tcBorders>
              <w:top w:val="single" w:sz="4" w:space="0" w:color="auto"/>
              <w:left w:val="nil"/>
              <w:bottom w:val="single" w:sz="4" w:space="0" w:color="auto"/>
              <w:right w:val="single" w:sz="4" w:space="0" w:color="auto"/>
            </w:tcBorders>
            <w:shd w:val="clear" w:color="auto" w:fill="FFFFCC"/>
            <w:noWrap/>
            <w:vAlign w:val="center"/>
            <w:hideMark/>
          </w:tcPr>
          <w:p w14:paraId="3C5C63B1" w14:textId="77777777" w:rsidR="00EF7B6D" w:rsidRDefault="00EF7B6D">
            <w:pPr>
              <w:spacing w:line="254" w:lineRule="auto"/>
              <w:jc w:val="right"/>
              <w:rPr>
                <w:b/>
                <w:lang w:eastAsia="en-GB"/>
              </w:rPr>
            </w:pPr>
            <w:r>
              <w:rPr>
                <w:b/>
                <w:lang w:eastAsia="en-GB"/>
              </w:rPr>
              <w:t>(1.6)</w:t>
            </w:r>
          </w:p>
        </w:tc>
      </w:tr>
    </w:tbl>
    <w:p w14:paraId="4906FD51" w14:textId="77777777" w:rsidR="00EF7B6D" w:rsidRDefault="00EF7B6D" w:rsidP="00EF7B6D">
      <w:pPr>
        <w:jc w:val="both"/>
      </w:pPr>
    </w:p>
    <w:p w14:paraId="2C30E6DE" w14:textId="77777777" w:rsidR="00EF7B6D" w:rsidRDefault="00EF7B6D" w:rsidP="00EF7B6D">
      <w:pPr>
        <w:jc w:val="both"/>
        <w:rPr>
          <w:b/>
        </w:rPr>
      </w:pPr>
      <w:r>
        <w:rPr>
          <w:b/>
        </w:rPr>
        <w:t>Explanation of main variances is as follows:</w:t>
      </w:r>
    </w:p>
    <w:p w14:paraId="6B158F57" w14:textId="77777777" w:rsidR="00EF7B6D" w:rsidRDefault="00EF7B6D" w:rsidP="00EF7B6D">
      <w:pPr>
        <w:jc w:val="both"/>
        <w:rPr>
          <w:highlight w:val="yellow"/>
        </w:rPr>
      </w:pPr>
    </w:p>
    <w:p w14:paraId="3528DB64" w14:textId="77777777" w:rsidR="00EF7B6D" w:rsidRDefault="00EF7B6D" w:rsidP="00EF7B6D">
      <w:pPr>
        <w:jc w:val="both"/>
      </w:pPr>
      <w:r>
        <w:t xml:space="preserve">Police Payroll – </w:t>
      </w:r>
      <w:r>
        <w:tab/>
      </w:r>
      <w:r>
        <w:tab/>
      </w:r>
      <w:r>
        <w:tab/>
        <w:t>phasing of recruitment was slower than budgeted</w:t>
      </w:r>
    </w:p>
    <w:p w14:paraId="7B755C9F" w14:textId="77777777" w:rsidR="00EF7B6D" w:rsidRDefault="00EF7B6D" w:rsidP="00EF7B6D">
      <w:pPr>
        <w:jc w:val="both"/>
      </w:pPr>
      <w:r>
        <w:t xml:space="preserve">Police and Staff Overtime – </w:t>
      </w:r>
      <w:r>
        <w:tab/>
        <w:t>additional overtime required to cope with direct and indirect impacts of Covid</w:t>
      </w:r>
    </w:p>
    <w:p w14:paraId="606F4309" w14:textId="77777777" w:rsidR="00EF7B6D" w:rsidRDefault="00EF7B6D" w:rsidP="00EF7B6D">
      <w:pPr>
        <w:ind w:left="3600" w:hanging="3600"/>
        <w:jc w:val="both"/>
      </w:pPr>
      <w:r>
        <w:t xml:space="preserve">Agency costs – </w:t>
      </w:r>
      <w:r>
        <w:tab/>
        <w:t>temporary staff required to cover for Covid sickness and Covid Cover. In addition, 30 investigative assistants were employed to improve detection rates</w:t>
      </w:r>
    </w:p>
    <w:p w14:paraId="276B931A" w14:textId="77777777" w:rsidR="00EF7B6D" w:rsidRDefault="00EF7B6D" w:rsidP="00EF7B6D">
      <w:pPr>
        <w:jc w:val="both"/>
      </w:pPr>
      <w:r>
        <w:t>Training and other costs</w:t>
      </w:r>
      <w:r>
        <w:tab/>
      </w:r>
      <w:r>
        <w:tab/>
        <w:t>Reduction in training due to Covid</w:t>
      </w:r>
    </w:p>
    <w:p w14:paraId="64F71653" w14:textId="77777777" w:rsidR="00EF7B6D" w:rsidRDefault="00EF7B6D" w:rsidP="00EF7B6D">
      <w:pPr>
        <w:ind w:left="3600" w:hanging="3600"/>
        <w:jc w:val="both"/>
      </w:pPr>
      <w:r>
        <w:t>Financing</w:t>
      </w:r>
      <w:r>
        <w:tab/>
        <w:t>Increase in revenue contributions to fund capital purchases that could not be funded by borrowing or capital receipts</w:t>
      </w:r>
    </w:p>
    <w:p w14:paraId="76204BBC" w14:textId="77777777" w:rsidR="00EF7B6D" w:rsidRDefault="00EF7B6D" w:rsidP="00EF7B6D">
      <w:pPr>
        <w:jc w:val="both"/>
      </w:pPr>
      <w:r>
        <w:t>Income and Grants</w:t>
      </w:r>
      <w:r>
        <w:tab/>
      </w:r>
      <w:r>
        <w:tab/>
      </w:r>
      <w:r>
        <w:tab/>
        <w:t>Covid grants coupled with a greater number of secondments to other forces</w:t>
      </w:r>
    </w:p>
    <w:p w14:paraId="5006667A" w14:textId="77777777" w:rsidR="00EF7B6D" w:rsidRDefault="00EF7B6D" w:rsidP="00EF7B6D">
      <w:pPr>
        <w:jc w:val="both"/>
      </w:pPr>
    </w:p>
    <w:p w14:paraId="209647D7" w14:textId="77777777" w:rsidR="00EF7B6D" w:rsidRDefault="00EF7B6D" w:rsidP="00EF7B6D">
      <w:pPr>
        <w:jc w:val="both"/>
      </w:pPr>
      <w:r>
        <w:t>Detailed analysis of actual expenditure for the year ended 31 March 2021 can also be seen in the Comprehensive Income and Expenditure Statement within these financial statements.</w:t>
      </w:r>
    </w:p>
    <w:p w14:paraId="404EBDB3" w14:textId="77777777" w:rsidR="00EF7B6D" w:rsidRDefault="00EF7B6D" w:rsidP="00EF7B6D">
      <w:pPr>
        <w:jc w:val="both"/>
        <w:rPr>
          <w:highlight w:val="yellow"/>
        </w:rPr>
      </w:pPr>
    </w:p>
    <w:p w14:paraId="27D05784" w14:textId="77777777" w:rsidR="00EF7B6D" w:rsidRDefault="00EF7B6D" w:rsidP="00EF7B6D">
      <w:pPr>
        <w:jc w:val="both"/>
      </w:pPr>
      <w:r>
        <w:t>The Comprehensive Income and Expenditure Statement (CIES) measures the financial performance for the year in terms of resources consumed over the period and the funding provided to finance these resources. The accounting basis used for the CIES is different to the statutory basis used to calculate net expenditure to be funded from local taxation in the form of council tax, as it includes non-cash elements.</w:t>
      </w:r>
    </w:p>
    <w:p w14:paraId="7EBA3479" w14:textId="77777777" w:rsidR="00EF7B6D" w:rsidRDefault="00EF7B6D" w:rsidP="00EF7B6D">
      <w:pPr>
        <w:jc w:val="both"/>
        <w:rPr>
          <w:highlight w:val="yellow"/>
        </w:rPr>
      </w:pPr>
    </w:p>
    <w:p w14:paraId="487BF7C6" w14:textId="77777777" w:rsidR="00EF7B6D" w:rsidRDefault="00EF7B6D" w:rsidP="00EF7B6D">
      <w:pPr>
        <w:jc w:val="both"/>
      </w:pPr>
      <w:r>
        <w:t>The total net expenditure shown in the CIES includes operating income and expenditure along with adjustments for non-cash accounting transactions for depreciation, capital grants and pension costs in accordance with IAS 19 requirements. The intra-group funding is a transfer between the PCC and Chief Constable accounts to offset the financial resources consumed at the request of the Chief Constable on behalf of the Group.</w:t>
      </w:r>
    </w:p>
    <w:p w14:paraId="56DD3D79" w14:textId="77777777" w:rsidR="00EF7B6D" w:rsidRDefault="00EF7B6D" w:rsidP="00EF7B6D">
      <w:pPr>
        <w:jc w:val="both"/>
        <w:rPr>
          <w:highlight w:val="yellow"/>
        </w:rPr>
      </w:pPr>
    </w:p>
    <w:p w14:paraId="008C1CEF" w14:textId="77777777" w:rsidR="00EF7B6D" w:rsidRDefault="00EF7B6D" w:rsidP="00EF7B6D">
      <w:pPr>
        <w:jc w:val="both"/>
      </w:pPr>
      <w:r>
        <w:t>The following table reconciles Group operational expenditure for 2020/21 to the position reported in the CIES by showing how management accounts are adjusted for accounting regulations and other statutory adjustments to arrive at the deficit on provision of services as reported in the Comprehensive Income and Expenditure Statement.</w:t>
      </w:r>
    </w:p>
    <w:p w14:paraId="258AB8EA" w14:textId="77777777" w:rsidR="00D118EC" w:rsidRDefault="00D118EC" w:rsidP="00EF7B6D">
      <w:pPr>
        <w:jc w:val="both"/>
      </w:pPr>
    </w:p>
    <w:tbl>
      <w:tblPr>
        <w:tblW w:w="14626" w:type="dxa"/>
        <w:jc w:val="center"/>
        <w:tblLook w:val="04A0" w:firstRow="1" w:lastRow="0" w:firstColumn="1" w:lastColumn="0" w:noHBand="0" w:noVBand="1"/>
      </w:tblPr>
      <w:tblGrid>
        <w:gridCol w:w="11059"/>
        <w:gridCol w:w="1189"/>
        <w:gridCol w:w="1189"/>
        <w:gridCol w:w="1189"/>
      </w:tblGrid>
      <w:tr w:rsidR="00EF7B6D" w14:paraId="5F8079CB" w14:textId="77777777" w:rsidTr="00EF7B6D">
        <w:trPr>
          <w:trHeight w:val="349"/>
          <w:jc w:val="center"/>
        </w:trPr>
        <w:tc>
          <w:tcPr>
            <w:tcW w:w="11059" w:type="dxa"/>
            <w:tcBorders>
              <w:top w:val="single" w:sz="4" w:space="0" w:color="auto"/>
              <w:left w:val="single" w:sz="4" w:space="0" w:color="auto"/>
              <w:bottom w:val="nil"/>
              <w:right w:val="single" w:sz="4" w:space="0" w:color="auto"/>
            </w:tcBorders>
            <w:shd w:val="clear" w:color="auto" w:fill="FFFFFF"/>
            <w:noWrap/>
            <w:vAlign w:val="bottom"/>
            <w:hideMark/>
          </w:tcPr>
          <w:p w14:paraId="1A3EA55D" w14:textId="77777777" w:rsidR="00EF7B6D" w:rsidRDefault="00EF7B6D">
            <w:pPr>
              <w:rPr>
                <w:rFonts w:eastAsia="Times New Roman" w:cs="Calibri"/>
                <w:color w:val="000000"/>
                <w:sz w:val="21"/>
                <w:szCs w:val="21"/>
                <w:lang w:val="en-GB" w:eastAsia="en-GB"/>
              </w:rPr>
            </w:pPr>
            <w:r>
              <w:rPr>
                <w:rFonts w:eastAsia="Times New Roman" w:cs="Calibri"/>
                <w:color w:val="000000"/>
                <w:sz w:val="21"/>
                <w:szCs w:val="21"/>
                <w:lang w:val="en-GB" w:eastAsia="en-GB"/>
              </w:rPr>
              <w:t> </w:t>
            </w:r>
          </w:p>
        </w:tc>
        <w:tc>
          <w:tcPr>
            <w:tcW w:w="3567" w:type="dxa"/>
            <w:gridSpan w:val="3"/>
            <w:tcBorders>
              <w:top w:val="single" w:sz="4" w:space="0" w:color="auto"/>
              <w:left w:val="nil"/>
              <w:bottom w:val="nil"/>
              <w:right w:val="single" w:sz="4" w:space="0" w:color="000000"/>
            </w:tcBorders>
            <w:shd w:val="clear" w:color="auto" w:fill="FFFFFF"/>
            <w:noWrap/>
            <w:vAlign w:val="center"/>
            <w:hideMark/>
          </w:tcPr>
          <w:p w14:paraId="705A9E86" w14:textId="77777777" w:rsidR="00EF7B6D" w:rsidRDefault="00EF7B6D">
            <w:pPr>
              <w:jc w:val="center"/>
              <w:rPr>
                <w:rFonts w:eastAsia="Times New Roman" w:cs="Calibri"/>
                <w:b/>
                <w:bCs/>
                <w:color w:val="000000"/>
                <w:sz w:val="21"/>
                <w:szCs w:val="21"/>
                <w:lang w:val="en-GB" w:eastAsia="en-GB"/>
              </w:rPr>
            </w:pPr>
            <w:r>
              <w:rPr>
                <w:rFonts w:eastAsia="Times New Roman" w:cs="Calibri"/>
                <w:b/>
                <w:bCs/>
                <w:color w:val="000000"/>
                <w:sz w:val="21"/>
                <w:szCs w:val="21"/>
                <w:lang w:eastAsia="en-GB"/>
              </w:rPr>
              <w:t>2021/21</w:t>
            </w:r>
          </w:p>
        </w:tc>
      </w:tr>
      <w:tr w:rsidR="00EF7B6D" w14:paraId="4B72FB9D" w14:textId="77777777" w:rsidTr="00EF7B6D">
        <w:trPr>
          <w:cantSplit/>
          <w:trHeight w:val="349"/>
          <w:jc w:val="center"/>
        </w:trPr>
        <w:tc>
          <w:tcPr>
            <w:tcW w:w="11059" w:type="dxa"/>
            <w:tcBorders>
              <w:top w:val="nil"/>
              <w:left w:val="single" w:sz="4" w:space="0" w:color="auto"/>
              <w:bottom w:val="single" w:sz="4" w:space="0" w:color="000000"/>
              <w:right w:val="single" w:sz="4" w:space="0" w:color="auto"/>
            </w:tcBorders>
            <w:shd w:val="clear" w:color="auto" w:fill="FFFFFF"/>
            <w:noWrap/>
            <w:vAlign w:val="bottom"/>
            <w:hideMark/>
          </w:tcPr>
          <w:p w14:paraId="5ECD53C2" w14:textId="77777777" w:rsidR="00EF7B6D" w:rsidRDefault="00EF7B6D">
            <w:pPr>
              <w:rPr>
                <w:rFonts w:eastAsia="Times New Roman" w:cs="Calibri"/>
                <w:color w:val="000000"/>
                <w:sz w:val="21"/>
                <w:szCs w:val="21"/>
                <w:lang w:val="en-GB" w:eastAsia="en-GB"/>
              </w:rPr>
            </w:pPr>
            <w:r>
              <w:rPr>
                <w:rFonts w:eastAsia="Times New Roman" w:cs="Calibri"/>
                <w:color w:val="000000"/>
                <w:sz w:val="21"/>
                <w:szCs w:val="21"/>
                <w:lang w:val="en-GB" w:eastAsia="en-GB"/>
              </w:rPr>
              <w:t> </w:t>
            </w:r>
          </w:p>
        </w:tc>
        <w:tc>
          <w:tcPr>
            <w:tcW w:w="1189" w:type="dxa"/>
            <w:tcBorders>
              <w:top w:val="single" w:sz="4" w:space="0" w:color="auto"/>
              <w:left w:val="nil"/>
              <w:bottom w:val="single" w:sz="4" w:space="0" w:color="auto"/>
              <w:right w:val="single" w:sz="4" w:space="0" w:color="auto"/>
            </w:tcBorders>
            <w:shd w:val="clear" w:color="auto" w:fill="FFFFFF"/>
            <w:vAlign w:val="center"/>
            <w:hideMark/>
          </w:tcPr>
          <w:p w14:paraId="061332B7" w14:textId="77777777" w:rsidR="00EF7B6D" w:rsidRDefault="00EF7B6D">
            <w:pPr>
              <w:jc w:val="center"/>
              <w:rPr>
                <w:rFonts w:eastAsia="Times New Roman" w:cs="Calibri"/>
                <w:b/>
                <w:bCs/>
                <w:color w:val="000000"/>
                <w:sz w:val="21"/>
                <w:szCs w:val="21"/>
                <w:lang w:eastAsia="en-GB"/>
              </w:rPr>
            </w:pPr>
            <w:r>
              <w:rPr>
                <w:rFonts w:eastAsia="Times New Roman" w:cs="Calibri"/>
                <w:b/>
                <w:bCs/>
                <w:color w:val="000000"/>
                <w:sz w:val="21"/>
                <w:szCs w:val="21"/>
                <w:lang w:eastAsia="en-GB"/>
              </w:rPr>
              <w:t>Group</w:t>
            </w:r>
          </w:p>
          <w:p w14:paraId="298D45E9" w14:textId="77777777" w:rsidR="00EF7B6D" w:rsidRDefault="00EF7B6D">
            <w:pPr>
              <w:jc w:val="center"/>
              <w:rPr>
                <w:rFonts w:eastAsia="Times New Roman" w:cs="Calibri"/>
                <w:b/>
                <w:bCs/>
                <w:color w:val="000000"/>
                <w:sz w:val="21"/>
                <w:szCs w:val="21"/>
                <w:lang w:val="en-GB" w:eastAsia="en-GB"/>
              </w:rPr>
            </w:pPr>
            <w:r>
              <w:rPr>
                <w:rFonts w:eastAsia="Times New Roman" w:cs="Calibri"/>
                <w:b/>
                <w:bCs/>
                <w:color w:val="000000"/>
                <w:sz w:val="21"/>
                <w:szCs w:val="21"/>
                <w:lang w:val="en-GB" w:eastAsia="en-GB"/>
              </w:rPr>
              <w:t>£m</w:t>
            </w:r>
          </w:p>
        </w:tc>
        <w:tc>
          <w:tcPr>
            <w:tcW w:w="1189" w:type="dxa"/>
            <w:tcBorders>
              <w:top w:val="single" w:sz="4" w:space="0" w:color="auto"/>
              <w:left w:val="nil"/>
              <w:bottom w:val="single" w:sz="4" w:space="0" w:color="auto"/>
              <w:right w:val="single" w:sz="4" w:space="0" w:color="auto"/>
            </w:tcBorders>
            <w:shd w:val="clear" w:color="auto" w:fill="FFFFFF"/>
            <w:vAlign w:val="center"/>
            <w:hideMark/>
          </w:tcPr>
          <w:p w14:paraId="2BBFD4A9" w14:textId="77777777" w:rsidR="00EF7B6D" w:rsidRDefault="00EF7B6D">
            <w:pPr>
              <w:jc w:val="center"/>
              <w:rPr>
                <w:rFonts w:eastAsia="Times New Roman" w:cs="Calibri"/>
                <w:b/>
                <w:bCs/>
                <w:color w:val="000000"/>
                <w:sz w:val="21"/>
                <w:szCs w:val="21"/>
                <w:lang w:eastAsia="en-GB"/>
              </w:rPr>
            </w:pPr>
            <w:r>
              <w:rPr>
                <w:rFonts w:eastAsia="Times New Roman" w:cs="Calibri"/>
                <w:b/>
                <w:bCs/>
                <w:color w:val="000000"/>
                <w:sz w:val="21"/>
                <w:szCs w:val="21"/>
                <w:lang w:eastAsia="en-GB"/>
              </w:rPr>
              <w:t>PCC</w:t>
            </w:r>
          </w:p>
          <w:p w14:paraId="794E2923" w14:textId="77777777" w:rsidR="00EF7B6D" w:rsidRDefault="00EF7B6D">
            <w:pPr>
              <w:jc w:val="center"/>
              <w:rPr>
                <w:rFonts w:eastAsia="Times New Roman" w:cs="Calibri"/>
                <w:b/>
                <w:bCs/>
                <w:color w:val="000000"/>
                <w:sz w:val="21"/>
                <w:szCs w:val="21"/>
                <w:lang w:val="en-GB" w:eastAsia="en-GB"/>
              </w:rPr>
            </w:pPr>
            <w:r>
              <w:rPr>
                <w:rFonts w:eastAsia="Times New Roman" w:cs="Calibri"/>
                <w:b/>
                <w:bCs/>
                <w:color w:val="000000"/>
                <w:sz w:val="21"/>
                <w:szCs w:val="21"/>
                <w:lang w:val="en-GB" w:eastAsia="en-GB"/>
              </w:rPr>
              <w:t>£m</w:t>
            </w:r>
          </w:p>
        </w:tc>
        <w:tc>
          <w:tcPr>
            <w:tcW w:w="1189" w:type="dxa"/>
            <w:tcBorders>
              <w:top w:val="single" w:sz="4" w:space="0" w:color="auto"/>
              <w:left w:val="nil"/>
              <w:bottom w:val="single" w:sz="4" w:space="0" w:color="auto"/>
              <w:right w:val="single" w:sz="4" w:space="0" w:color="auto"/>
            </w:tcBorders>
            <w:shd w:val="clear" w:color="auto" w:fill="FFFFFF"/>
            <w:vAlign w:val="center"/>
            <w:hideMark/>
          </w:tcPr>
          <w:p w14:paraId="468D2A70" w14:textId="77777777" w:rsidR="00EF7B6D" w:rsidRDefault="00EF7B6D">
            <w:pPr>
              <w:jc w:val="center"/>
              <w:rPr>
                <w:rFonts w:eastAsia="Times New Roman" w:cs="Calibri"/>
                <w:b/>
                <w:bCs/>
                <w:color w:val="000000"/>
                <w:sz w:val="21"/>
                <w:szCs w:val="21"/>
                <w:lang w:eastAsia="en-GB"/>
              </w:rPr>
            </w:pPr>
            <w:r>
              <w:rPr>
                <w:rFonts w:eastAsia="Times New Roman" w:cs="Calibri"/>
                <w:b/>
                <w:bCs/>
                <w:color w:val="000000"/>
                <w:sz w:val="21"/>
                <w:szCs w:val="21"/>
                <w:lang w:eastAsia="en-GB"/>
              </w:rPr>
              <w:t>CC</w:t>
            </w:r>
          </w:p>
          <w:p w14:paraId="30A1D4F1" w14:textId="77777777" w:rsidR="00EF7B6D" w:rsidRDefault="00EF7B6D">
            <w:pPr>
              <w:jc w:val="center"/>
              <w:rPr>
                <w:rFonts w:eastAsia="Times New Roman" w:cs="Calibri"/>
                <w:b/>
                <w:bCs/>
                <w:color w:val="000000"/>
                <w:sz w:val="21"/>
                <w:szCs w:val="21"/>
                <w:lang w:val="en-GB" w:eastAsia="en-GB"/>
              </w:rPr>
            </w:pPr>
            <w:r>
              <w:rPr>
                <w:rFonts w:eastAsia="Times New Roman" w:cs="Calibri"/>
                <w:b/>
                <w:bCs/>
                <w:color w:val="000000"/>
                <w:sz w:val="21"/>
                <w:szCs w:val="21"/>
                <w:lang w:val="en-GB" w:eastAsia="en-GB"/>
              </w:rPr>
              <w:t>£m</w:t>
            </w:r>
          </w:p>
        </w:tc>
      </w:tr>
      <w:tr w:rsidR="00EF7B6D" w14:paraId="4296E94D" w14:textId="77777777" w:rsidTr="00EF7B6D">
        <w:trPr>
          <w:cantSplit/>
          <w:trHeight w:val="70"/>
          <w:jc w:val="center"/>
        </w:trPr>
        <w:tc>
          <w:tcPr>
            <w:tcW w:w="11059" w:type="dxa"/>
            <w:tcBorders>
              <w:top w:val="nil"/>
              <w:left w:val="single" w:sz="4" w:space="0" w:color="auto"/>
              <w:bottom w:val="single" w:sz="4" w:space="0" w:color="auto"/>
              <w:right w:val="single" w:sz="4" w:space="0" w:color="auto"/>
            </w:tcBorders>
            <w:shd w:val="clear" w:color="auto" w:fill="FFFFFF"/>
            <w:vAlign w:val="center"/>
            <w:hideMark/>
          </w:tcPr>
          <w:p w14:paraId="152B9C9D" w14:textId="77777777" w:rsidR="00EF7B6D" w:rsidRDefault="00EF7B6D">
            <w:pPr>
              <w:rPr>
                <w:rFonts w:eastAsia="Times New Roman" w:cs="Calibri"/>
                <w:b/>
                <w:bCs/>
                <w:color w:val="000000"/>
                <w:sz w:val="21"/>
                <w:szCs w:val="21"/>
                <w:lang w:val="en-GB" w:eastAsia="en-GB"/>
              </w:rPr>
            </w:pPr>
            <w:r>
              <w:rPr>
                <w:rFonts w:eastAsia="Times New Roman" w:cs="Calibri"/>
                <w:b/>
                <w:bCs/>
                <w:color w:val="000000"/>
                <w:sz w:val="21"/>
                <w:szCs w:val="21"/>
                <w:lang w:eastAsia="en-GB"/>
              </w:rPr>
              <w:t>Total Actual net Expenditure per revenue outturn report 2020/21</w:t>
            </w:r>
          </w:p>
        </w:tc>
        <w:tc>
          <w:tcPr>
            <w:tcW w:w="1189" w:type="dxa"/>
            <w:tcBorders>
              <w:top w:val="single" w:sz="4" w:space="0" w:color="auto"/>
              <w:left w:val="nil"/>
              <w:bottom w:val="single" w:sz="4" w:space="0" w:color="auto"/>
              <w:right w:val="single" w:sz="4" w:space="0" w:color="auto"/>
            </w:tcBorders>
            <w:noWrap/>
            <w:vAlign w:val="center"/>
            <w:hideMark/>
          </w:tcPr>
          <w:p w14:paraId="45240010" w14:textId="77777777" w:rsidR="00EF7B6D" w:rsidRDefault="00EF7B6D">
            <w:pPr>
              <w:jc w:val="right"/>
              <w:rPr>
                <w:rFonts w:eastAsia="Times New Roman" w:cs="Calibri"/>
                <w:b/>
                <w:bCs/>
                <w:color w:val="000000"/>
                <w:sz w:val="21"/>
                <w:szCs w:val="21"/>
                <w:lang w:val="en-GB" w:eastAsia="en-GB"/>
              </w:rPr>
            </w:pPr>
            <w:r>
              <w:rPr>
                <w:rFonts w:eastAsia="Times New Roman" w:cs="Calibri"/>
                <w:b/>
                <w:bCs/>
                <w:color w:val="000000"/>
                <w:sz w:val="21"/>
                <w:szCs w:val="21"/>
                <w:lang w:val="en-GB" w:eastAsia="en-GB"/>
              </w:rPr>
              <w:t>248.4</w:t>
            </w:r>
          </w:p>
        </w:tc>
        <w:tc>
          <w:tcPr>
            <w:tcW w:w="1189" w:type="dxa"/>
            <w:tcBorders>
              <w:top w:val="single" w:sz="4" w:space="0" w:color="auto"/>
              <w:left w:val="nil"/>
              <w:bottom w:val="single" w:sz="4" w:space="0" w:color="auto"/>
              <w:right w:val="single" w:sz="4" w:space="0" w:color="auto"/>
            </w:tcBorders>
            <w:noWrap/>
            <w:vAlign w:val="center"/>
            <w:hideMark/>
          </w:tcPr>
          <w:p w14:paraId="1123352A" w14:textId="77777777" w:rsidR="00EF7B6D" w:rsidRDefault="00EF7B6D">
            <w:pPr>
              <w:jc w:val="right"/>
              <w:rPr>
                <w:rFonts w:eastAsia="Times New Roman" w:cs="Calibri"/>
                <w:b/>
                <w:bCs/>
                <w:color w:val="000000"/>
                <w:sz w:val="21"/>
                <w:szCs w:val="21"/>
                <w:lang w:val="en-GB" w:eastAsia="en-GB"/>
              </w:rPr>
            </w:pPr>
            <w:r>
              <w:rPr>
                <w:rFonts w:eastAsia="Times New Roman" w:cs="Calibri"/>
                <w:b/>
                <w:bCs/>
                <w:color w:val="000000"/>
                <w:sz w:val="21"/>
                <w:szCs w:val="21"/>
                <w:lang w:val="en-GB" w:eastAsia="en-GB"/>
              </w:rPr>
              <w:t>2.5</w:t>
            </w:r>
          </w:p>
        </w:tc>
        <w:tc>
          <w:tcPr>
            <w:tcW w:w="1189" w:type="dxa"/>
            <w:tcBorders>
              <w:top w:val="single" w:sz="4" w:space="0" w:color="auto"/>
              <w:left w:val="nil"/>
              <w:bottom w:val="single" w:sz="4" w:space="0" w:color="auto"/>
              <w:right w:val="single" w:sz="4" w:space="0" w:color="auto"/>
            </w:tcBorders>
            <w:noWrap/>
            <w:vAlign w:val="center"/>
            <w:hideMark/>
          </w:tcPr>
          <w:p w14:paraId="0EBB4D73" w14:textId="77777777" w:rsidR="00EF7B6D" w:rsidRDefault="00EF7B6D">
            <w:pPr>
              <w:jc w:val="right"/>
              <w:rPr>
                <w:rFonts w:eastAsia="Times New Roman" w:cs="Calibri"/>
                <w:b/>
                <w:bCs/>
                <w:color w:val="000000"/>
                <w:sz w:val="21"/>
                <w:szCs w:val="21"/>
                <w:lang w:val="en-GB" w:eastAsia="en-GB"/>
              </w:rPr>
            </w:pPr>
            <w:r>
              <w:rPr>
                <w:rFonts w:eastAsia="Times New Roman" w:cs="Calibri"/>
                <w:b/>
                <w:bCs/>
                <w:color w:val="000000"/>
                <w:sz w:val="21"/>
                <w:szCs w:val="21"/>
                <w:lang w:val="en-GB" w:eastAsia="en-GB"/>
              </w:rPr>
              <w:t>245.9</w:t>
            </w:r>
          </w:p>
        </w:tc>
      </w:tr>
      <w:tr w:rsidR="00EF7B6D" w14:paraId="28665DDF" w14:textId="77777777" w:rsidTr="00EF7B6D">
        <w:trPr>
          <w:cantSplit/>
          <w:trHeight w:val="147"/>
          <w:jc w:val="center"/>
        </w:trPr>
        <w:tc>
          <w:tcPr>
            <w:tcW w:w="11059" w:type="dxa"/>
            <w:tcBorders>
              <w:top w:val="nil"/>
              <w:left w:val="single" w:sz="4" w:space="0" w:color="auto"/>
              <w:bottom w:val="nil"/>
              <w:right w:val="single" w:sz="4" w:space="0" w:color="auto"/>
            </w:tcBorders>
            <w:shd w:val="clear" w:color="auto" w:fill="FFFFFF"/>
            <w:vAlign w:val="center"/>
            <w:hideMark/>
          </w:tcPr>
          <w:p w14:paraId="3281157A" w14:textId="77777777" w:rsidR="00EF7B6D" w:rsidRDefault="00EF7B6D">
            <w:pPr>
              <w:rPr>
                <w:rFonts w:eastAsia="Times New Roman" w:cs="Calibri"/>
                <w:b/>
                <w:bCs/>
                <w:i/>
                <w:iCs/>
                <w:color w:val="000000"/>
                <w:sz w:val="21"/>
                <w:szCs w:val="21"/>
                <w:lang w:val="en-GB" w:eastAsia="en-GB"/>
              </w:rPr>
            </w:pPr>
            <w:r>
              <w:rPr>
                <w:rFonts w:eastAsia="Times New Roman" w:cs="Calibri"/>
                <w:b/>
                <w:bCs/>
                <w:i/>
                <w:iCs/>
                <w:color w:val="000000"/>
                <w:sz w:val="21"/>
                <w:szCs w:val="21"/>
                <w:lang w:eastAsia="en-GB"/>
              </w:rPr>
              <w:t>Reserve and Provision transfers excluded from (Surplus)/Deficit on Provision of Services:</w:t>
            </w:r>
          </w:p>
        </w:tc>
        <w:tc>
          <w:tcPr>
            <w:tcW w:w="1189" w:type="dxa"/>
            <w:tcBorders>
              <w:top w:val="nil"/>
              <w:left w:val="nil"/>
              <w:bottom w:val="nil"/>
              <w:right w:val="single" w:sz="4" w:space="0" w:color="auto"/>
            </w:tcBorders>
            <w:noWrap/>
            <w:vAlign w:val="center"/>
            <w:hideMark/>
          </w:tcPr>
          <w:p w14:paraId="1D21AF61"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eastAsia="en-GB"/>
              </w:rPr>
              <w:t> </w:t>
            </w:r>
          </w:p>
        </w:tc>
        <w:tc>
          <w:tcPr>
            <w:tcW w:w="1189" w:type="dxa"/>
            <w:tcBorders>
              <w:top w:val="nil"/>
              <w:left w:val="nil"/>
              <w:bottom w:val="nil"/>
              <w:right w:val="single" w:sz="4" w:space="0" w:color="auto"/>
            </w:tcBorders>
            <w:noWrap/>
            <w:vAlign w:val="center"/>
            <w:hideMark/>
          </w:tcPr>
          <w:p w14:paraId="3051EFB6"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eastAsia="en-GB"/>
              </w:rPr>
              <w:t> </w:t>
            </w:r>
          </w:p>
        </w:tc>
        <w:tc>
          <w:tcPr>
            <w:tcW w:w="1189" w:type="dxa"/>
            <w:tcBorders>
              <w:top w:val="nil"/>
              <w:left w:val="nil"/>
              <w:bottom w:val="nil"/>
              <w:right w:val="single" w:sz="4" w:space="0" w:color="auto"/>
            </w:tcBorders>
            <w:noWrap/>
            <w:vAlign w:val="center"/>
            <w:hideMark/>
          </w:tcPr>
          <w:p w14:paraId="5265D9EE"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eastAsia="en-GB"/>
              </w:rPr>
              <w:t> </w:t>
            </w:r>
          </w:p>
        </w:tc>
      </w:tr>
      <w:tr w:rsidR="00EF7B6D" w14:paraId="137591B8" w14:textId="77777777" w:rsidTr="00EF7B6D">
        <w:trPr>
          <w:cantSplit/>
          <w:trHeight w:val="102"/>
          <w:jc w:val="center"/>
        </w:trPr>
        <w:tc>
          <w:tcPr>
            <w:tcW w:w="11059" w:type="dxa"/>
            <w:tcBorders>
              <w:top w:val="nil"/>
              <w:left w:val="single" w:sz="4" w:space="0" w:color="auto"/>
              <w:bottom w:val="nil"/>
              <w:right w:val="single" w:sz="4" w:space="0" w:color="auto"/>
            </w:tcBorders>
            <w:shd w:val="clear" w:color="auto" w:fill="FFFFFF"/>
            <w:vAlign w:val="center"/>
            <w:hideMark/>
          </w:tcPr>
          <w:p w14:paraId="61EBBA97" w14:textId="77777777" w:rsidR="00EF7B6D" w:rsidRDefault="00EF7B6D">
            <w:pPr>
              <w:rPr>
                <w:rFonts w:eastAsia="Times New Roman" w:cs="Calibri"/>
                <w:color w:val="000000"/>
                <w:sz w:val="21"/>
                <w:szCs w:val="21"/>
                <w:lang w:val="en-GB" w:eastAsia="en-GB"/>
              </w:rPr>
            </w:pPr>
            <w:r>
              <w:rPr>
                <w:rFonts w:eastAsia="Times New Roman" w:cs="Calibri"/>
                <w:color w:val="000000"/>
                <w:sz w:val="21"/>
                <w:szCs w:val="21"/>
                <w:lang w:eastAsia="en-GB"/>
              </w:rPr>
              <w:t>Financial year end accounting adjustments</w:t>
            </w:r>
          </w:p>
        </w:tc>
        <w:tc>
          <w:tcPr>
            <w:tcW w:w="1189" w:type="dxa"/>
            <w:tcBorders>
              <w:top w:val="nil"/>
              <w:left w:val="nil"/>
              <w:bottom w:val="nil"/>
              <w:right w:val="single" w:sz="4" w:space="0" w:color="auto"/>
            </w:tcBorders>
            <w:noWrap/>
            <w:vAlign w:val="center"/>
            <w:hideMark/>
          </w:tcPr>
          <w:p w14:paraId="2B6226C5" w14:textId="27E6A32B" w:rsidR="00EF7B6D" w:rsidRPr="004B6B67" w:rsidRDefault="00274C7E">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5.4</w:t>
            </w:r>
          </w:p>
        </w:tc>
        <w:tc>
          <w:tcPr>
            <w:tcW w:w="1189" w:type="dxa"/>
            <w:tcBorders>
              <w:top w:val="nil"/>
              <w:left w:val="nil"/>
              <w:bottom w:val="nil"/>
              <w:right w:val="single" w:sz="4" w:space="0" w:color="auto"/>
            </w:tcBorders>
            <w:noWrap/>
            <w:vAlign w:val="center"/>
            <w:hideMark/>
          </w:tcPr>
          <w:p w14:paraId="6F762D54" w14:textId="7AEBFB4C" w:rsidR="00EF7B6D" w:rsidRPr="004B6B67" w:rsidRDefault="00274C7E">
            <w:pPr>
              <w:jc w:val="right"/>
              <w:rPr>
                <w:rFonts w:eastAsia="Times New Roman" w:cs="Calibri"/>
                <w:color w:val="000000"/>
                <w:sz w:val="21"/>
                <w:szCs w:val="21"/>
                <w:lang w:val="en-GB" w:eastAsia="en-GB"/>
              </w:rPr>
            </w:pPr>
            <w:r w:rsidRPr="0041394A">
              <w:rPr>
                <w:rFonts w:eastAsia="Times New Roman" w:cs="Calibri"/>
                <w:sz w:val="21"/>
                <w:szCs w:val="21"/>
                <w:lang w:eastAsia="en-GB"/>
              </w:rPr>
              <w:t>0.0</w:t>
            </w:r>
          </w:p>
        </w:tc>
        <w:tc>
          <w:tcPr>
            <w:tcW w:w="1189" w:type="dxa"/>
            <w:tcBorders>
              <w:top w:val="nil"/>
              <w:left w:val="nil"/>
              <w:bottom w:val="nil"/>
              <w:right w:val="single" w:sz="4" w:space="0" w:color="auto"/>
            </w:tcBorders>
            <w:noWrap/>
            <w:vAlign w:val="center"/>
            <w:hideMark/>
          </w:tcPr>
          <w:p w14:paraId="23B5E096" w14:textId="0F404AB2" w:rsidR="00EF7B6D" w:rsidRPr="004B6B67" w:rsidRDefault="00274C7E">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5.4</w:t>
            </w:r>
          </w:p>
        </w:tc>
      </w:tr>
      <w:tr w:rsidR="00EF7B6D" w14:paraId="4FFB94EB" w14:textId="77777777" w:rsidTr="00EF7B6D">
        <w:trPr>
          <w:cantSplit/>
          <w:trHeight w:val="102"/>
          <w:jc w:val="center"/>
        </w:trPr>
        <w:tc>
          <w:tcPr>
            <w:tcW w:w="11059" w:type="dxa"/>
            <w:tcBorders>
              <w:top w:val="nil"/>
              <w:left w:val="single" w:sz="4" w:space="0" w:color="auto"/>
              <w:bottom w:val="nil"/>
              <w:right w:val="single" w:sz="4" w:space="0" w:color="auto"/>
            </w:tcBorders>
            <w:shd w:val="clear" w:color="auto" w:fill="FFFFFF"/>
            <w:vAlign w:val="center"/>
            <w:hideMark/>
          </w:tcPr>
          <w:p w14:paraId="2063EE4D" w14:textId="77777777" w:rsidR="00EF7B6D" w:rsidRDefault="00EF7B6D">
            <w:pPr>
              <w:rPr>
                <w:rFonts w:eastAsia="Times New Roman" w:cs="Calibri"/>
                <w:b/>
                <w:bCs/>
                <w:i/>
                <w:iCs/>
                <w:color w:val="000000"/>
                <w:sz w:val="21"/>
                <w:szCs w:val="21"/>
                <w:lang w:val="en-GB" w:eastAsia="en-GB"/>
              </w:rPr>
            </w:pPr>
            <w:r>
              <w:rPr>
                <w:rFonts w:eastAsia="Times New Roman" w:cs="Calibri"/>
                <w:b/>
                <w:bCs/>
                <w:i/>
                <w:iCs/>
                <w:color w:val="000000"/>
                <w:sz w:val="21"/>
                <w:szCs w:val="21"/>
                <w:lang w:eastAsia="en-GB"/>
              </w:rPr>
              <w:t>Amounts in the CIES not in the outturn report:</w:t>
            </w:r>
          </w:p>
        </w:tc>
        <w:tc>
          <w:tcPr>
            <w:tcW w:w="1189" w:type="dxa"/>
            <w:tcBorders>
              <w:top w:val="nil"/>
              <w:left w:val="nil"/>
              <w:bottom w:val="nil"/>
              <w:right w:val="single" w:sz="4" w:space="0" w:color="auto"/>
            </w:tcBorders>
            <w:noWrap/>
            <w:vAlign w:val="center"/>
            <w:hideMark/>
          </w:tcPr>
          <w:p w14:paraId="34B9CB20"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eastAsia="en-GB"/>
              </w:rPr>
              <w:t> </w:t>
            </w:r>
          </w:p>
        </w:tc>
        <w:tc>
          <w:tcPr>
            <w:tcW w:w="1189" w:type="dxa"/>
            <w:tcBorders>
              <w:top w:val="nil"/>
              <w:left w:val="nil"/>
              <w:bottom w:val="nil"/>
              <w:right w:val="single" w:sz="4" w:space="0" w:color="auto"/>
            </w:tcBorders>
            <w:noWrap/>
            <w:vAlign w:val="center"/>
            <w:hideMark/>
          </w:tcPr>
          <w:p w14:paraId="56B26B95"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eastAsia="en-GB"/>
              </w:rPr>
              <w:t> </w:t>
            </w:r>
          </w:p>
        </w:tc>
        <w:tc>
          <w:tcPr>
            <w:tcW w:w="1189" w:type="dxa"/>
            <w:tcBorders>
              <w:top w:val="nil"/>
              <w:left w:val="nil"/>
              <w:bottom w:val="nil"/>
              <w:right w:val="single" w:sz="4" w:space="0" w:color="auto"/>
            </w:tcBorders>
            <w:noWrap/>
            <w:vAlign w:val="center"/>
            <w:hideMark/>
          </w:tcPr>
          <w:p w14:paraId="15D60E9F"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 </w:t>
            </w:r>
          </w:p>
        </w:tc>
      </w:tr>
      <w:tr w:rsidR="00EF7B6D" w14:paraId="2A9D8C04" w14:textId="77777777" w:rsidTr="00EF7B6D">
        <w:trPr>
          <w:cantSplit/>
          <w:trHeight w:val="349"/>
          <w:jc w:val="center"/>
        </w:trPr>
        <w:tc>
          <w:tcPr>
            <w:tcW w:w="11059" w:type="dxa"/>
            <w:tcBorders>
              <w:top w:val="nil"/>
              <w:left w:val="single" w:sz="4" w:space="0" w:color="auto"/>
              <w:bottom w:val="nil"/>
              <w:right w:val="single" w:sz="4" w:space="0" w:color="auto"/>
            </w:tcBorders>
            <w:shd w:val="clear" w:color="auto" w:fill="FFFFFF"/>
            <w:vAlign w:val="center"/>
            <w:hideMark/>
          </w:tcPr>
          <w:p w14:paraId="018CED31" w14:textId="77777777" w:rsidR="00EF7B6D" w:rsidRDefault="00EF7B6D">
            <w:pPr>
              <w:rPr>
                <w:rFonts w:eastAsia="Times New Roman" w:cs="Calibri"/>
                <w:color w:val="000000"/>
                <w:sz w:val="21"/>
                <w:szCs w:val="21"/>
                <w:lang w:val="en-GB" w:eastAsia="en-GB"/>
              </w:rPr>
            </w:pPr>
            <w:r>
              <w:rPr>
                <w:rFonts w:eastAsia="Times New Roman" w:cs="Calibri"/>
                <w:color w:val="000000"/>
                <w:sz w:val="21"/>
                <w:szCs w:val="21"/>
                <w:lang w:eastAsia="en-GB"/>
              </w:rPr>
              <w:t>Depreciation &amp; Amortisation</w:t>
            </w:r>
          </w:p>
        </w:tc>
        <w:tc>
          <w:tcPr>
            <w:tcW w:w="1189" w:type="dxa"/>
            <w:tcBorders>
              <w:top w:val="nil"/>
              <w:left w:val="nil"/>
              <w:bottom w:val="nil"/>
              <w:right w:val="single" w:sz="4" w:space="0" w:color="auto"/>
            </w:tcBorders>
            <w:noWrap/>
            <w:vAlign w:val="center"/>
            <w:hideMark/>
          </w:tcPr>
          <w:p w14:paraId="167420E8"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10.5</w:t>
            </w:r>
          </w:p>
        </w:tc>
        <w:tc>
          <w:tcPr>
            <w:tcW w:w="1189" w:type="dxa"/>
            <w:tcBorders>
              <w:top w:val="nil"/>
              <w:left w:val="nil"/>
              <w:bottom w:val="nil"/>
              <w:right w:val="single" w:sz="4" w:space="0" w:color="auto"/>
            </w:tcBorders>
            <w:noWrap/>
            <w:vAlign w:val="center"/>
            <w:hideMark/>
          </w:tcPr>
          <w:p w14:paraId="001F2F4A"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0.0</w:t>
            </w:r>
          </w:p>
        </w:tc>
        <w:tc>
          <w:tcPr>
            <w:tcW w:w="1189" w:type="dxa"/>
            <w:tcBorders>
              <w:top w:val="nil"/>
              <w:left w:val="nil"/>
              <w:bottom w:val="nil"/>
              <w:right w:val="single" w:sz="4" w:space="0" w:color="auto"/>
            </w:tcBorders>
            <w:noWrap/>
            <w:vAlign w:val="center"/>
            <w:hideMark/>
          </w:tcPr>
          <w:p w14:paraId="4765E20B"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10.5</w:t>
            </w:r>
          </w:p>
        </w:tc>
      </w:tr>
      <w:tr w:rsidR="00EF7B6D" w14:paraId="17DB3EFB" w14:textId="77777777" w:rsidTr="00EF7B6D">
        <w:trPr>
          <w:cantSplit/>
          <w:trHeight w:val="80"/>
          <w:jc w:val="center"/>
        </w:trPr>
        <w:tc>
          <w:tcPr>
            <w:tcW w:w="11059" w:type="dxa"/>
            <w:tcBorders>
              <w:top w:val="nil"/>
              <w:left w:val="single" w:sz="4" w:space="0" w:color="auto"/>
              <w:bottom w:val="nil"/>
              <w:right w:val="single" w:sz="4" w:space="0" w:color="auto"/>
            </w:tcBorders>
            <w:shd w:val="clear" w:color="auto" w:fill="FFFFFF"/>
            <w:vAlign w:val="center"/>
            <w:hideMark/>
          </w:tcPr>
          <w:p w14:paraId="79112E9F" w14:textId="77777777" w:rsidR="00EF7B6D" w:rsidRDefault="00EF7B6D">
            <w:pPr>
              <w:rPr>
                <w:rFonts w:eastAsia="Times New Roman" w:cs="Calibri"/>
                <w:color w:val="000000"/>
                <w:sz w:val="21"/>
                <w:szCs w:val="21"/>
                <w:lang w:val="en-GB" w:eastAsia="en-GB"/>
              </w:rPr>
            </w:pPr>
            <w:r>
              <w:rPr>
                <w:rFonts w:eastAsia="Times New Roman" w:cs="Calibri"/>
                <w:color w:val="000000"/>
                <w:sz w:val="21"/>
                <w:szCs w:val="21"/>
                <w:lang w:eastAsia="en-GB"/>
              </w:rPr>
              <w:t>Pensions</w:t>
            </w:r>
          </w:p>
        </w:tc>
        <w:tc>
          <w:tcPr>
            <w:tcW w:w="1189" w:type="dxa"/>
            <w:tcBorders>
              <w:top w:val="nil"/>
              <w:left w:val="nil"/>
              <w:bottom w:val="nil"/>
              <w:right w:val="single" w:sz="4" w:space="0" w:color="auto"/>
            </w:tcBorders>
            <w:noWrap/>
            <w:vAlign w:val="center"/>
            <w:hideMark/>
          </w:tcPr>
          <w:p w14:paraId="23367A4E"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21.8</w:t>
            </w:r>
          </w:p>
        </w:tc>
        <w:tc>
          <w:tcPr>
            <w:tcW w:w="1189" w:type="dxa"/>
            <w:tcBorders>
              <w:top w:val="nil"/>
              <w:left w:val="nil"/>
              <w:bottom w:val="nil"/>
              <w:right w:val="single" w:sz="4" w:space="0" w:color="auto"/>
            </w:tcBorders>
            <w:noWrap/>
            <w:vAlign w:val="center"/>
            <w:hideMark/>
          </w:tcPr>
          <w:p w14:paraId="7BFED594"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0.1</w:t>
            </w:r>
          </w:p>
        </w:tc>
        <w:tc>
          <w:tcPr>
            <w:tcW w:w="1189" w:type="dxa"/>
            <w:tcBorders>
              <w:top w:val="nil"/>
              <w:left w:val="nil"/>
              <w:bottom w:val="nil"/>
              <w:right w:val="single" w:sz="4" w:space="0" w:color="auto"/>
            </w:tcBorders>
            <w:noWrap/>
            <w:vAlign w:val="center"/>
            <w:hideMark/>
          </w:tcPr>
          <w:p w14:paraId="7A548766"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21.7</w:t>
            </w:r>
          </w:p>
        </w:tc>
      </w:tr>
      <w:tr w:rsidR="00EF7B6D" w14:paraId="41540C0C" w14:textId="77777777" w:rsidTr="00EF7B6D">
        <w:trPr>
          <w:cantSplit/>
          <w:trHeight w:val="349"/>
          <w:jc w:val="center"/>
        </w:trPr>
        <w:tc>
          <w:tcPr>
            <w:tcW w:w="1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0BDE73" w14:textId="77777777" w:rsidR="00EF7B6D" w:rsidRDefault="00EF7B6D">
            <w:pPr>
              <w:rPr>
                <w:rFonts w:eastAsia="Times New Roman" w:cs="Calibri"/>
                <w:b/>
                <w:bCs/>
                <w:color w:val="000000"/>
                <w:sz w:val="21"/>
                <w:szCs w:val="21"/>
                <w:lang w:val="en-GB" w:eastAsia="en-GB"/>
              </w:rPr>
            </w:pPr>
            <w:r>
              <w:rPr>
                <w:rFonts w:eastAsia="Times New Roman" w:cs="Calibri"/>
                <w:b/>
                <w:bCs/>
                <w:color w:val="000000"/>
                <w:sz w:val="21"/>
                <w:szCs w:val="21"/>
                <w:lang w:eastAsia="en-GB"/>
              </w:rPr>
              <w:t>Net Cost of Services</w:t>
            </w:r>
          </w:p>
        </w:tc>
        <w:tc>
          <w:tcPr>
            <w:tcW w:w="1189" w:type="dxa"/>
            <w:tcBorders>
              <w:top w:val="single" w:sz="4" w:space="0" w:color="auto"/>
              <w:left w:val="nil"/>
              <w:bottom w:val="single" w:sz="4" w:space="0" w:color="auto"/>
              <w:right w:val="single" w:sz="4" w:space="0" w:color="auto"/>
            </w:tcBorders>
            <w:noWrap/>
            <w:vAlign w:val="center"/>
            <w:hideMark/>
          </w:tcPr>
          <w:p w14:paraId="4F61D59E" w14:textId="307E35C7" w:rsidR="00EF7B6D" w:rsidRDefault="00EF7B6D">
            <w:pPr>
              <w:jc w:val="right"/>
              <w:rPr>
                <w:rFonts w:eastAsia="Times New Roman" w:cs="Calibri"/>
                <w:b/>
                <w:bCs/>
                <w:color w:val="000000"/>
                <w:sz w:val="21"/>
                <w:szCs w:val="21"/>
                <w:lang w:val="en-GB" w:eastAsia="en-GB"/>
              </w:rPr>
            </w:pPr>
            <w:r>
              <w:rPr>
                <w:rFonts w:eastAsia="Times New Roman" w:cs="Calibri"/>
                <w:b/>
                <w:bCs/>
                <w:color w:val="000000"/>
                <w:sz w:val="21"/>
                <w:szCs w:val="21"/>
                <w:lang w:val="en-GB" w:eastAsia="en-GB"/>
              </w:rPr>
              <w:t>28</w:t>
            </w:r>
            <w:r w:rsidR="00274C7E">
              <w:rPr>
                <w:rFonts w:eastAsia="Times New Roman" w:cs="Calibri"/>
                <w:b/>
                <w:bCs/>
                <w:color w:val="000000"/>
                <w:sz w:val="21"/>
                <w:szCs w:val="21"/>
                <w:lang w:val="en-GB" w:eastAsia="en-GB"/>
              </w:rPr>
              <w:t>6.1</w:t>
            </w:r>
          </w:p>
        </w:tc>
        <w:tc>
          <w:tcPr>
            <w:tcW w:w="1189" w:type="dxa"/>
            <w:tcBorders>
              <w:top w:val="single" w:sz="4" w:space="0" w:color="auto"/>
              <w:left w:val="nil"/>
              <w:bottom w:val="single" w:sz="4" w:space="0" w:color="auto"/>
              <w:right w:val="single" w:sz="4" w:space="0" w:color="auto"/>
            </w:tcBorders>
            <w:noWrap/>
            <w:vAlign w:val="center"/>
            <w:hideMark/>
          </w:tcPr>
          <w:p w14:paraId="774CE131" w14:textId="74E1E616" w:rsidR="00EF7B6D" w:rsidRDefault="004B6B67">
            <w:pPr>
              <w:jc w:val="right"/>
              <w:rPr>
                <w:rFonts w:eastAsia="Times New Roman" w:cs="Calibri"/>
                <w:b/>
                <w:bCs/>
                <w:color w:val="000000"/>
                <w:sz w:val="21"/>
                <w:szCs w:val="21"/>
                <w:lang w:val="en-GB" w:eastAsia="en-GB"/>
              </w:rPr>
            </w:pPr>
            <w:r>
              <w:rPr>
                <w:rFonts w:eastAsia="Times New Roman" w:cs="Calibri"/>
                <w:b/>
                <w:bCs/>
                <w:color w:val="000000"/>
                <w:sz w:val="21"/>
                <w:szCs w:val="21"/>
                <w:lang w:val="en-GB" w:eastAsia="en-GB"/>
              </w:rPr>
              <w:t>2.</w:t>
            </w:r>
            <w:r w:rsidR="00274C7E">
              <w:rPr>
                <w:rFonts w:eastAsia="Times New Roman" w:cs="Calibri"/>
                <w:b/>
                <w:bCs/>
                <w:color w:val="000000"/>
                <w:sz w:val="21"/>
                <w:szCs w:val="21"/>
                <w:lang w:val="en-GB" w:eastAsia="en-GB"/>
              </w:rPr>
              <w:t>6</w:t>
            </w:r>
          </w:p>
        </w:tc>
        <w:tc>
          <w:tcPr>
            <w:tcW w:w="1189" w:type="dxa"/>
            <w:tcBorders>
              <w:top w:val="single" w:sz="4" w:space="0" w:color="auto"/>
              <w:left w:val="nil"/>
              <w:bottom w:val="single" w:sz="4" w:space="0" w:color="auto"/>
              <w:right w:val="single" w:sz="4" w:space="0" w:color="auto"/>
            </w:tcBorders>
            <w:noWrap/>
            <w:vAlign w:val="center"/>
            <w:hideMark/>
          </w:tcPr>
          <w:p w14:paraId="5B6809FD" w14:textId="74D9FA34" w:rsidR="00EF7B6D" w:rsidRDefault="00274C7E">
            <w:pPr>
              <w:jc w:val="right"/>
              <w:rPr>
                <w:rFonts w:eastAsia="Times New Roman" w:cs="Calibri"/>
                <w:b/>
                <w:bCs/>
                <w:color w:val="000000"/>
                <w:sz w:val="21"/>
                <w:szCs w:val="21"/>
                <w:lang w:val="en-GB" w:eastAsia="en-GB"/>
              </w:rPr>
            </w:pPr>
            <w:r>
              <w:rPr>
                <w:rFonts w:eastAsia="Times New Roman" w:cs="Calibri"/>
                <w:b/>
                <w:bCs/>
                <w:color w:val="000000"/>
                <w:sz w:val="21"/>
                <w:szCs w:val="21"/>
                <w:lang w:val="en-GB" w:eastAsia="en-GB"/>
              </w:rPr>
              <w:t>283.5</w:t>
            </w:r>
          </w:p>
        </w:tc>
      </w:tr>
      <w:tr w:rsidR="00EF7B6D" w14:paraId="32A88EA4" w14:textId="77777777" w:rsidTr="00EF7B6D">
        <w:trPr>
          <w:cantSplit/>
          <w:trHeight w:val="89"/>
          <w:jc w:val="center"/>
        </w:trPr>
        <w:tc>
          <w:tcPr>
            <w:tcW w:w="11059" w:type="dxa"/>
            <w:tcBorders>
              <w:top w:val="nil"/>
              <w:left w:val="single" w:sz="4" w:space="0" w:color="auto"/>
              <w:bottom w:val="single" w:sz="4" w:space="0" w:color="auto"/>
              <w:right w:val="single" w:sz="4" w:space="0" w:color="auto"/>
            </w:tcBorders>
            <w:shd w:val="clear" w:color="auto" w:fill="FFFFFF"/>
            <w:vAlign w:val="center"/>
            <w:hideMark/>
          </w:tcPr>
          <w:p w14:paraId="505EF9BB" w14:textId="77777777" w:rsidR="00EF7B6D" w:rsidRDefault="00EF7B6D">
            <w:pPr>
              <w:rPr>
                <w:rFonts w:eastAsia="Times New Roman" w:cs="Calibri"/>
                <w:color w:val="000000"/>
                <w:sz w:val="21"/>
                <w:szCs w:val="21"/>
                <w:lang w:val="en-GB" w:eastAsia="en-GB"/>
              </w:rPr>
            </w:pPr>
            <w:r>
              <w:rPr>
                <w:rFonts w:eastAsia="Times New Roman" w:cs="Calibri"/>
                <w:color w:val="000000"/>
                <w:sz w:val="21"/>
                <w:szCs w:val="21"/>
                <w:lang w:eastAsia="en-GB"/>
              </w:rPr>
              <w:t>Intra-group Adjustment from PCC to CC for resources consumed at the request of the Chief Constable</w:t>
            </w:r>
          </w:p>
        </w:tc>
        <w:tc>
          <w:tcPr>
            <w:tcW w:w="1189" w:type="dxa"/>
            <w:tcBorders>
              <w:top w:val="nil"/>
              <w:left w:val="nil"/>
              <w:bottom w:val="single" w:sz="4" w:space="0" w:color="auto"/>
              <w:right w:val="single" w:sz="4" w:space="0" w:color="auto"/>
            </w:tcBorders>
            <w:noWrap/>
            <w:vAlign w:val="center"/>
            <w:hideMark/>
          </w:tcPr>
          <w:p w14:paraId="669F5ED0"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0.0</w:t>
            </w:r>
          </w:p>
        </w:tc>
        <w:tc>
          <w:tcPr>
            <w:tcW w:w="1189" w:type="dxa"/>
            <w:tcBorders>
              <w:top w:val="nil"/>
              <w:left w:val="nil"/>
              <w:bottom w:val="single" w:sz="4" w:space="0" w:color="auto"/>
              <w:right w:val="single" w:sz="4" w:space="0" w:color="auto"/>
            </w:tcBorders>
            <w:noWrap/>
            <w:vAlign w:val="center"/>
            <w:hideMark/>
          </w:tcPr>
          <w:p w14:paraId="0B053047" w14:textId="363EA418" w:rsidR="00EF7B6D" w:rsidRDefault="00274C7E">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260.9</w:t>
            </w:r>
          </w:p>
        </w:tc>
        <w:tc>
          <w:tcPr>
            <w:tcW w:w="1189" w:type="dxa"/>
            <w:tcBorders>
              <w:top w:val="nil"/>
              <w:left w:val="nil"/>
              <w:bottom w:val="single" w:sz="4" w:space="0" w:color="auto"/>
              <w:right w:val="single" w:sz="4" w:space="0" w:color="auto"/>
            </w:tcBorders>
            <w:noWrap/>
            <w:vAlign w:val="center"/>
            <w:hideMark/>
          </w:tcPr>
          <w:p w14:paraId="6119B7AF" w14:textId="6DE996C5" w:rsidR="00EF7B6D" w:rsidRDefault="00EF7B6D">
            <w:pPr>
              <w:jc w:val="right"/>
              <w:rPr>
                <w:rFonts w:eastAsia="Times New Roman" w:cs="Calibri"/>
                <w:color w:val="000000"/>
                <w:sz w:val="21"/>
                <w:szCs w:val="21"/>
                <w:lang w:val="en-GB" w:eastAsia="en-GB"/>
              </w:rPr>
            </w:pPr>
            <w:r>
              <w:rPr>
                <w:rFonts w:eastAsia="Times New Roman" w:cs="Calibri"/>
                <w:color w:val="FF0000"/>
                <w:sz w:val="21"/>
                <w:szCs w:val="21"/>
                <w:lang w:val="en-GB" w:eastAsia="en-GB"/>
              </w:rPr>
              <w:t>(</w:t>
            </w:r>
            <w:r w:rsidR="00274C7E">
              <w:rPr>
                <w:rFonts w:eastAsia="Times New Roman" w:cs="Calibri"/>
                <w:color w:val="FF0000"/>
                <w:sz w:val="21"/>
                <w:szCs w:val="21"/>
                <w:lang w:val="en-GB" w:eastAsia="en-GB"/>
              </w:rPr>
              <w:t>260.9</w:t>
            </w:r>
            <w:r>
              <w:rPr>
                <w:rFonts w:eastAsia="Times New Roman" w:cs="Calibri"/>
                <w:color w:val="FF0000"/>
                <w:sz w:val="21"/>
                <w:szCs w:val="21"/>
                <w:lang w:val="en-GB" w:eastAsia="en-GB"/>
              </w:rPr>
              <w:t>)</w:t>
            </w:r>
          </w:p>
        </w:tc>
      </w:tr>
      <w:tr w:rsidR="00EF7B6D" w14:paraId="1B3C6DDC" w14:textId="77777777" w:rsidTr="00EF7B6D">
        <w:trPr>
          <w:cantSplit/>
          <w:trHeight w:val="89"/>
          <w:jc w:val="center"/>
        </w:trPr>
        <w:tc>
          <w:tcPr>
            <w:tcW w:w="11059" w:type="dxa"/>
            <w:tcBorders>
              <w:top w:val="nil"/>
              <w:left w:val="single" w:sz="4" w:space="0" w:color="auto"/>
              <w:bottom w:val="nil"/>
              <w:right w:val="single" w:sz="4" w:space="0" w:color="auto"/>
            </w:tcBorders>
            <w:shd w:val="clear" w:color="auto" w:fill="FFFFFF"/>
            <w:vAlign w:val="center"/>
            <w:hideMark/>
          </w:tcPr>
          <w:p w14:paraId="0774E9CC" w14:textId="77777777" w:rsidR="00EF7B6D" w:rsidRDefault="00EF7B6D">
            <w:pPr>
              <w:rPr>
                <w:rFonts w:eastAsia="Times New Roman" w:cs="Calibri"/>
                <w:color w:val="000000"/>
                <w:sz w:val="21"/>
                <w:szCs w:val="21"/>
                <w:lang w:val="en-GB" w:eastAsia="en-GB"/>
              </w:rPr>
            </w:pPr>
            <w:r>
              <w:rPr>
                <w:rFonts w:eastAsia="Times New Roman" w:cs="Calibri"/>
                <w:color w:val="000000"/>
                <w:sz w:val="21"/>
                <w:szCs w:val="21"/>
                <w:lang w:eastAsia="en-GB"/>
              </w:rPr>
              <w:t>Pension Interest costs and expected return on pension assets</w:t>
            </w:r>
          </w:p>
        </w:tc>
        <w:tc>
          <w:tcPr>
            <w:tcW w:w="1189" w:type="dxa"/>
            <w:tcBorders>
              <w:top w:val="nil"/>
              <w:left w:val="nil"/>
              <w:bottom w:val="nil"/>
              <w:right w:val="single" w:sz="4" w:space="0" w:color="auto"/>
            </w:tcBorders>
            <w:noWrap/>
            <w:vAlign w:val="center"/>
            <w:hideMark/>
          </w:tcPr>
          <w:p w14:paraId="2B39DDC6" w14:textId="3549E86C"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46.</w:t>
            </w:r>
            <w:r w:rsidR="00C8656B">
              <w:rPr>
                <w:rFonts w:eastAsia="Times New Roman" w:cs="Calibri"/>
                <w:color w:val="000000"/>
                <w:sz w:val="21"/>
                <w:szCs w:val="21"/>
                <w:lang w:val="en-GB" w:eastAsia="en-GB"/>
              </w:rPr>
              <w:t>2</w:t>
            </w:r>
          </w:p>
        </w:tc>
        <w:tc>
          <w:tcPr>
            <w:tcW w:w="1189" w:type="dxa"/>
            <w:tcBorders>
              <w:top w:val="nil"/>
              <w:left w:val="nil"/>
              <w:bottom w:val="nil"/>
              <w:right w:val="single" w:sz="4" w:space="0" w:color="auto"/>
            </w:tcBorders>
            <w:noWrap/>
            <w:vAlign w:val="center"/>
            <w:hideMark/>
          </w:tcPr>
          <w:p w14:paraId="65FDC447" w14:textId="6F663D97" w:rsidR="00EF7B6D" w:rsidRDefault="004B6B67">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0.</w:t>
            </w:r>
            <w:r w:rsidR="00C8656B">
              <w:rPr>
                <w:rFonts w:eastAsia="Times New Roman" w:cs="Calibri"/>
                <w:color w:val="000000"/>
                <w:sz w:val="21"/>
                <w:szCs w:val="21"/>
                <w:lang w:val="en-GB" w:eastAsia="en-GB"/>
              </w:rPr>
              <w:t>3</w:t>
            </w:r>
          </w:p>
        </w:tc>
        <w:tc>
          <w:tcPr>
            <w:tcW w:w="1189" w:type="dxa"/>
            <w:tcBorders>
              <w:top w:val="nil"/>
              <w:left w:val="nil"/>
              <w:bottom w:val="nil"/>
              <w:right w:val="single" w:sz="4" w:space="0" w:color="auto"/>
            </w:tcBorders>
            <w:noWrap/>
            <w:vAlign w:val="center"/>
            <w:hideMark/>
          </w:tcPr>
          <w:p w14:paraId="535FBF58" w14:textId="56B2E20B" w:rsidR="00EF7B6D" w:rsidRDefault="00EF7B6D" w:rsidP="004B6B67">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45.</w:t>
            </w:r>
            <w:r w:rsidR="004B6B67">
              <w:rPr>
                <w:rFonts w:eastAsia="Times New Roman" w:cs="Calibri"/>
                <w:color w:val="000000"/>
                <w:sz w:val="21"/>
                <w:szCs w:val="21"/>
                <w:lang w:val="en-GB" w:eastAsia="en-GB"/>
              </w:rPr>
              <w:t>9</w:t>
            </w:r>
          </w:p>
        </w:tc>
      </w:tr>
      <w:tr w:rsidR="00EF7B6D" w14:paraId="5BC4C739" w14:textId="77777777" w:rsidTr="00EF7B6D">
        <w:trPr>
          <w:cantSplit/>
          <w:trHeight w:val="349"/>
          <w:jc w:val="center"/>
        </w:trPr>
        <w:tc>
          <w:tcPr>
            <w:tcW w:w="11059" w:type="dxa"/>
            <w:tcBorders>
              <w:top w:val="nil"/>
              <w:left w:val="single" w:sz="4" w:space="0" w:color="auto"/>
              <w:bottom w:val="nil"/>
              <w:right w:val="single" w:sz="4" w:space="0" w:color="auto"/>
            </w:tcBorders>
            <w:shd w:val="clear" w:color="auto" w:fill="FFFFFF"/>
            <w:vAlign w:val="center"/>
            <w:hideMark/>
          </w:tcPr>
          <w:p w14:paraId="784F510F" w14:textId="77777777" w:rsidR="00EF7B6D" w:rsidRDefault="00EF7B6D">
            <w:pPr>
              <w:rPr>
                <w:rFonts w:eastAsia="Times New Roman" w:cs="Calibri"/>
                <w:color w:val="000000"/>
                <w:sz w:val="21"/>
                <w:szCs w:val="21"/>
                <w:lang w:val="en-GB" w:eastAsia="en-GB"/>
              </w:rPr>
            </w:pPr>
            <w:r>
              <w:rPr>
                <w:rFonts w:eastAsia="Times New Roman" w:cs="Calibri"/>
                <w:color w:val="000000"/>
                <w:sz w:val="21"/>
                <w:szCs w:val="21"/>
                <w:lang w:eastAsia="en-GB"/>
              </w:rPr>
              <w:t>Levies &amp; other operating expenditure</w:t>
            </w:r>
          </w:p>
        </w:tc>
        <w:tc>
          <w:tcPr>
            <w:tcW w:w="1189" w:type="dxa"/>
            <w:tcBorders>
              <w:top w:val="nil"/>
              <w:left w:val="nil"/>
              <w:bottom w:val="nil"/>
              <w:right w:val="single" w:sz="4" w:space="0" w:color="auto"/>
            </w:tcBorders>
            <w:noWrap/>
            <w:vAlign w:val="center"/>
            <w:hideMark/>
          </w:tcPr>
          <w:p w14:paraId="15E598E0" w14:textId="4055B933"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0.</w:t>
            </w:r>
            <w:r w:rsidR="00274C7E">
              <w:rPr>
                <w:rFonts w:eastAsia="Times New Roman" w:cs="Calibri"/>
                <w:color w:val="000000"/>
                <w:sz w:val="21"/>
                <w:szCs w:val="21"/>
                <w:lang w:val="en-GB" w:eastAsia="en-GB"/>
              </w:rPr>
              <w:t>5</w:t>
            </w:r>
          </w:p>
        </w:tc>
        <w:tc>
          <w:tcPr>
            <w:tcW w:w="1189" w:type="dxa"/>
            <w:tcBorders>
              <w:top w:val="nil"/>
              <w:left w:val="nil"/>
              <w:bottom w:val="nil"/>
              <w:right w:val="single" w:sz="4" w:space="0" w:color="auto"/>
            </w:tcBorders>
            <w:noWrap/>
            <w:vAlign w:val="center"/>
            <w:hideMark/>
          </w:tcPr>
          <w:p w14:paraId="2426768F" w14:textId="33AEB05F"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0.</w:t>
            </w:r>
            <w:r w:rsidR="00274C7E">
              <w:rPr>
                <w:rFonts w:eastAsia="Times New Roman" w:cs="Calibri"/>
                <w:color w:val="000000"/>
                <w:sz w:val="21"/>
                <w:szCs w:val="21"/>
                <w:lang w:val="en-GB" w:eastAsia="en-GB"/>
              </w:rPr>
              <w:t>5</w:t>
            </w:r>
          </w:p>
        </w:tc>
        <w:tc>
          <w:tcPr>
            <w:tcW w:w="1189" w:type="dxa"/>
            <w:tcBorders>
              <w:top w:val="nil"/>
              <w:left w:val="nil"/>
              <w:bottom w:val="nil"/>
              <w:right w:val="single" w:sz="4" w:space="0" w:color="auto"/>
            </w:tcBorders>
            <w:noWrap/>
            <w:vAlign w:val="center"/>
            <w:hideMark/>
          </w:tcPr>
          <w:p w14:paraId="729F13BA" w14:textId="4FB0F3FE"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0.</w:t>
            </w:r>
            <w:r w:rsidR="00C8656B">
              <w:rPr>
                <w:rFonts w:eastAsia="Times New Roman" w:cs="Calibri"/>
                <w:color w:val="000000"/>
                <w:sz w:val="21"/>
                <w:szCs w:val="21"/>
                <w:lang w:val="en-GB" w:eastAsia="en-GB"/>
              </w:rPr>
              <w:t>0</w:t>
            </w:r>
          </w:p>
        </w:tc>
      </w:tr>
      <w:tr w:rsidR="00EF7B6D" w14:paraId="6E1EAB0F" w14:textId="77777777" w:rsidTr="00EF7B6D">
        <w:trPr>
          <w:cantSplit/>
          <w:trHeight w:val="349"/>
          <w:jc w:val="center"/>
        </w:trPr>
        <w:tc>
          <w:tcPr>
            <w:tcW w:w="11059" w:type="dxa"/>
            <w:tcBorders>
              <w:top w:val="nil"/>
              <w:left w:val="single" w:sz="4" w:space="0" w:color="auto"/>
              <w:bottom w:val="nil"/>
              <w:right w:val="single" w:sz="4" w:space="0" w:color="auto"/>
            </w:tcBorders>
            <w:shd w:val="clear" w:color="auto" w:fill="FFFFFF"/>
            <w:vAlign w:val="center"/>
            <w:hideMark/>
          </w:tcPr>
          <w:p w14:paraId="271BAAE7" w14:textId="77777777" w:rsidR="00EF7B6D" w:rsidRDefault="00EF7B6D">
            <w:pPr>
              <w:rPr>
                <w:rFonts w:eastAsia="Times New Roman" w:cs="Calibri"/>
                <w:color w:val="000000"/>
                <w:sz w:val="21"/>
                <w:szCs w:val="21"/>
                <w:lang w:val="en-GB" w:eastAsia="en-GB"/>
              </w:rPr>
            </w:pPr>
            <w:r>
              <w:rPr>
                <w:rFonts w:eastAsia="Times New Roman" w:cs="Calibri"/>
                <w:color w:val="000000"/>
                <w:sz w:val="21"/>
                <w:szCs w:val="21"/>
                <w:lang w:eastAsia="en-GB"/>
              </w:rPr>
              <w:t>Taxation and non-specific grant income</w:t>
            </w:r>
          </w:p>
        </w:tc>
        <w:tc>
          <w:tcPr>
            <w:tcW w:w="1189" w:type="dxa"/>
            <w:tcBorders>
              <w:top w:val="nil"/>
              <w:left w:val="nil"/>
              <w:bottom w:val="nil"/>
              <w:right w:val="single" w:sz="4" w:space="0" w:color="auto"/>
            </w:tcBorders>
            <w:noWrap/>
            <w:vAlign w:val="center"/>
            <w:hideMark/>
          </w:tcPr>
          <w:p w14:paraId="6B78278C" w14:textId="528D3C0D" w:rsidR="00EF7B6D" w:rsidRDefault="00EF7B6D">
            <w:pPr>
              <w:jc w:val="right"/>
              <w:rPr>
                <w:rFonts w:eastAsia="Times New Roman" w:cs="Calibri"/>
                <w:color w:val="FF0000"/>
                <w:sz w:val="21"/>
                <w:szCs w:val="21"/>
                <w:lang w:val="en-GB" w:eastAsia="en-GB"/>
              </w:rPr>
            </w:pPr>
            <w:r>
              <w:rPr>
                <w:rFonts w:eastAsia="Times New Roman" w:cs="Calibri"/>
                <w:color w:val="FF0000"/>
                <w:sz w:val="21"/>
                <w:szCs w:val="21"/>
                <w:lang w:val="en-GB" w:eastAsia="en-GB"/>
              </w:rPr>
              <w:t>(26</w:t>
            </w:r>
            <w:r w:rsidR="00C8656B">
              <w:rPr>
                <w:rFonts w:eastAsia="Times New Roman" w:cs="Calibri"/>
                <w:color w:val="FF0000"/>
                <w:sz w:val="21"/>
                <w:szCs w:val="21"/>
                <w:lang w:val="en-GB" w:eastAsia="en-GB"/>
              </w:rPr>
              <w:t>0.3</w:t>
            </w:r>
            <w:r>
              <w:rPr>
                <w:rFonts w:eastAsia="Times New Roman" w:cs="Calibri"/>
                <w:color w:val="FF0000"/>
                <w:sz w:val="21"/>
                <w:szCs w:val="21"/>
                <w:lang w:val="en-GB" w:eastAsia="en-GB"/>
              </w:rPr>
              <w:t>)</w:t>
            </w:r>
          </w:p>
        </w:tc>
        <w:tc>
          <w:tcPr>
            <w:tcW w:w="1189" w:type="dxa"/>
            <w:tcBorders>
              <w:top w:val="nil"/>
              <w:left w:val="nil"/>
              <w:bottom w:val="nil"/>
              <w:right w:val="single" w:sz="4" w:space="0" w:color="auto"/>
            </w:tcBorders>
            <w:noWrap/>
            <w:vAlign w:val="center"/>
            <w:hideMark/>
          </w:tcPr>
          <w:p w14:paraId="7B921892" w14:textId="7DBDE9AD" w:rsidR="00EF7B6D" w:rsidRDefault="00EF7B6D">
            <w:pPr>
              <w:jc w:val="right"/>
              <w:rPr>
                <w:rFonts w:eastAsia="Times New Roman" w:cs="Calibri"/>
                <w:color w:val="FF0000"/>
                <w:sz w:val="21"/>
                <w:szCs w:val="21"/>
                <w:lang w:val="en-GB" w:eastAsia="en-GB"/>
              </w:rPr>
            </w:pPr>
            <w:r>
              <w:rPr>
                <w:rFonts w:eastAsia="Times New Roman" w:cs="Calibri"/>
                <w:color w:val="FF0000"/>
                <w:sz w:val="21"/>
                <w:szCs w:val="21"/>
                <w:lang w:val="en-GB" w:eastAsia="en-GB"/>
              </w:rPr>
              <w:t>(26</w:t>
            </w:r>
            <w:r w:rsidR="00C8656B">
              <w:rPr>
                <w:rFonts w:eastAsia="Times New Roman" w:cs="Calibri"/>
                <w:color w:val="FF0000"/>
                <w:sz w:val="21"/>
                <w:szCs w:val="21"/>
                <w:lang w:val="en-GB" w:eastAsia="en-GB"/>
              </w:rPr>
              <w:t>0</w:t>
            </w:r>
            <w:r>
              <w:rPr>
                <w:rFonts w:eastAsia="Times New Roman" w:cs="Calibri"/>
                <w:color w:val="FF0000"/>
                <w:sz w:val="21"/>
                <w:szCs w:val="21"/>
                <w:lang w:val="en-GB" w:eastAsia="en-GB"/>
              </w:rPr>
              <w:t>.</w:t>
            </w:r>
            <w:r w:rsidR="00C8656B">
              <w:rPr>
                <w:rFonts w:eastAsia="Times New Roman" w:cs="Calibri"/>
                <w:color w:val="FF0000"/>
                <w:sz w:val="21"/>
                <w:szCs w:val="21"/>
                <w:lang w:val="en-GB" w:eastAsia="en-GB"/>
              </w:rPr>
              <w:t>3</w:t>
            </w:r>
            <w:r>
              <w:rPr>
                <w:rFonts w:eastAsia="Times New Roman" w:cs="Calibri"/>
                <w:color w:val="FF0000"/>
                <w:sz w:val="21"/>
                <w:szCs w:val="21"/>
                <w:lang w:val="en-GB" w:eastAsia="en-GB"/>
              </w:rPr>
              <w:t>)</w:t>
            </w:r>
          </w:p>
        </w:tc>
        <w:tc>
          <w:tcPr>
            <w:tcW w:w="1189" w:type="dxa"/>
            <w:tcBorders>
              <w:top w:val="nil"/>
              <w:left w:val="nil"/>
              <w:bottom w:val="nil"/>
              <w:right w:val="single" w:sz="4" w:space="0" w:color="auto"/>
            </w:tcBorders>
            <w:noWrap/>
            <w:vAlign w:val="center"/>
            <w:hideMark/>
          </w:tcPr>
          <w:p w14:paraId="2EC59CD7"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0.0</w:t>
            </w:r>
          </w:p>
        </w:tc>
      </w:tr>
      <w:tr w:rsidR="00EF7B6D" w14:paraId="31BA4A07" w14:textId="77777777" w:rsidTr="00EF7B6D">
        <w:trPr>
          <w:cantSplit/>
          <w:trHeight w:val="349"/>
          <w:jc w:val="center"/>
        </w:trPr>
        <w:tc>
          <w:tcPr>
            <w:tcW w:w="1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55F2D" w14:textId="77777777" w:rsidR="00EF7B6D" w:rsidRDefault="00EF7B6D">
            <w:pPr>
              <w:rPr>
                <w:rFonts w:eastAsia="Times New Roman" w:cs="Calibri"/>
                <w:b/>
                <w:bCs/>
                <w:color w:val="000000"/>
                <w:sz w:val="21"/>
                <w:szCs w:val="21"/>
                <w:lang w:val="en-GB" w:eastAsia="en-GB"/>
              </w:rPr>
            </w:pPr>
            <w:r>
              <w:rPr>
                <w:rFonts w:eastAsia="Times New Roman" w:cs="Calibri"/>
                <w:b/>
                <w:bCs/>
                <w:color w:val="000000"/>
                <w:sz w:val="21"/>
                <w:szCs w:val="21"/>
                <w:lang w:eastAsia="en-GB"/>
              </w:rPr>
              <w:t>Deficit on the provision of services</w:t>
            </w:r>
          </w:p>
        </w:tc>
        <w:tc>
          <w:tcPr>
            <w:tcW w:w="1189" w:type="dxa"/>
            <w:tcBorders>
              <w:top w:val="single" w:sz="4" w:space="0" w:color="auto"/>
              <w:left w:val="nil"/>
              <w:bottom w:val="single" w:sz="4" w:space="0" w:color="auto"/>
              <w:right w:val="single" w:sz="4" w:space="0" w:color="auto"/>
            </w:tcBorders>
            <w:noWrap/>
            <w:vAlign w:val="center"/>
            <w:hideMark/>
          </w:tcPr>
          <w:p w14:paraId="62711D95" w14:textId="0636E667" w:rsidR="00EF7B6D" w:rsidRDefault="00274C7E">
            <w:pPr>
              <w:jc w:val="right"/>
              <w:rPr>
                <w:rFonts w:eastAsia="Times New Roman" w:cs="Calibri"/>
                <w:b/>
                <w:bCs/>
                <w:color w:val="000000"/>
                <w:sz w:val="21"/>
                <w:szCs w:val="21"/>
                <w:lang w:val="en-GB" w:eastAsia="en-GB"/>
              </w:rPr>
            </w:pPr>
            <w:r>
              <w:rPr>
                <w:rFonts w:eastAsia="Times New Roman" w:cs="Calibri"/>
                <w:b/>
                <w:bCs/>
                <w:color w:val="000000"/>
                <w:sz w:val="21"/>
                <w:szCs w:val="21"/>
                <w:lang w:val="en-GB" w:eastAsia="en-GB"/>
              </w:rPr>
              <w:t>72.5</w:t>
            </w:r>
          </w:p>
        </w:tc>
        <w:tc>
          <w:tcPr>
            <w:tcW w:w="1189" w:type="dxa"/>
            <w:tcBorders>
              <w:top w:val="single" w:sz="4" w:space="0" w:color="auto"/>
              <w:left w:val="nil"/>
              <w:bottom w:val="single" w:sz="4" w:space="0" w:color="auto"/>
              <w:right w:val="single" w:sz="4" w:space="0" w:color="auto"/>
            </w:tcBorders>
            <w:noWrap/>
            <w:vAlign w:val="center"/>
            <w:hideMark/>
          </w:tcPr>
          <w:p w14:paraId="2888CDF9" w14:textId="0331A103" w:rsidR="00EF7B6D" w:rsidRDefault="00274C7E">
            <w:pPr>
              <w:jc w:val="right"/>
              <w:rPr>
                <w:rFonts w:eastAsia="Times New Roman" w:cs="Calibri"/>
                <w:b/>
                <w:bCs/>
                <w:color w:val="000000"/>
                <w:sz w:val="21"/>
                <w:szCs w:val="21"/>
                <w:lang w:val="en-GB" w:eastAsia="en-GB"/>
              </w:rPr>
            </w:pPr>
            <w:r>
              <w:rPr>
                <w:rFonts w:eastAsia="Times New Roman" w:cs="Calibri"/>
                <w:b/>
                <w:bCs/>
                <w:color w:val="000000"/>
                <w:sz w:val="21"/>
                <w:szCs w:val="21"/>
                <w:lang w:val="en-GB" w:eastAsia="en-GB"/>
              </w:rPr>
              <w:t>4.0</w:t>
            </w:r>
          </w:p>
        </w:tc>
        <w:tc>
          <w:tcPr>
            <w:tcW w:w="1189" w:type="dxa"/>
            <w:tcBorders>
              <w:top w:val="single" w:sz="4" w:space="0" w:color="auto"/>
              <w:left w:val="nil"/>
              <w:bottom w:val="single" w:sz="4" w:space="0" w:color="auto"/>
              <w:right w:val="single" w:sz="4" w:space="0" w:color="auto"/>
            </w:tcBorders>
            <w:noWrap/>
            <w:vAlign w:val="center"/>
            <w:hideMark/>
          </w:tcPr>
          <w:p w14:paraId="23529211" w14:textId="77777777" w:rsidR="00EF7B6D" w:rsidRDefault="00EF7B6D">
            <w:pPr>
              <w:jc w:val="right"/>
              <w:rPr>
                <w:rFonts w:eastAsia="Times New Roman" w:cs="Calibri"/>
                <w:b/>
                <w:bCs/>
                <w:color w:val="000000"/>
                <w:sz w:val="21"/>
                <w:szCs w:val="21"/>
                <w:lang w:val="en-GB" w:eastAsia="en-GB"/>
              </w:rPr>
            </w:pPr>
            <w:r>
              <w:rPr>
                <w:rFonts w:eastAsia="Times New Roman" w:cs="Calibri"/>
                <w:b/>
                <w:bCs/>
                <w:color w:val="000000"/>
                <w:sz w:val="21"/>
                <w:szCs w:val="21"/>
                <w:lang w:val="en-GB" w:eastAsia="en-GB"/>
              </w:rPr>
              <w:t>68.5</w:t>
            </w:r>
          </w:p>
        </w:tc>
      </w:tr>
      <w:tr w:rsidR="00EF7B6D" w14:paraId="156A1725" w14:textId="77777777" w:rsidTr="00EF7B6D">
        <w:trPr>
          <w:cantSplit/>
          <w:trHeight w:val="134"/>
          <w:jc w:val="center"/>
        </w:trPr>
        <w:tc>
          <w:tcPr>
            <w:tcW w:w="11059" w:type="dxa"/>
            <w:tcBorders>
              <w:top w:val="nil"/>
              <w:left w:val="single" w:sz="4" w:space="0" w:color="auto"/>
              <w:bottom w:val="nil"/>
              <w:right w:val="single" w:sz="4" w:space="0" w:color="auto"/>
            </w:tcBorders>
            <w:shd w:val="clear" w:color="auto" w:fill="FFFFFF"/>
            <w:vAlign w:val="center"/>
            <w:hideMark/>
          </w:tcPr>
          <w:p w14:paraId="52B6BCB1" w14:textId="77777777" w:rsidR="00EF7B6D" w:rsidRDefault="00EF7B6D">
            <w:pPr>
              <w:rPr>
                <w:rFonts w:eastAsia="Times New Roman" w:cs="Calibri"/>
                <w:color w:val="000000"/>
                <w:sz w:val="21"/>
                <w:szCs w:val="21"/>
                <w:lang w:val="en-GB" w:eastAsia="en-GB"/>
              </w:rPr>
            </w:pPr>
            <w:r>
              <w:rPr>
                <w:rFonts w:eastAsia="Times New Roman" w:cs="Calibri"/>
                <w:color w:val="000000"/>
                <w:sz w:val="21"/>
                <w:szCs w:val="21"/>
                <w:lang w:eastAsia="en-GB"/>
              </w:rPr>
              <w:t>(Surplus) on revaluation of Property, Plant and Equipment</w:t>
            </w:r>
          </w:p>
        </w:tc>
        <w:tc>
          <w:tcPr>
            <w:tcW w:w="1189" w:type="dxa"/>
            <w:tcBorders>
              <w:top w:val="nil"/>
              <w:left w:val="nil"/>
              <w:bottom w:val="nil"/>
              <w:right w:val="single" w:sz="4" w:space="0" w:color="auto"/>
            </w:tcBorders>
            <w:noWrap/>
            <w:vAlign w:val="center"/>
            <w:hideMark/>
          </w:tcPr>
          <w:p w14:paraId="4771BD73" w14:textId="77777777" w:rsidR="00EF7B6D" w:rsidRDefault="00EF7B6D">
            <w:pPr>
              <w:jc w:val="right"/>
              <w:rPr>
                <w:rFonts w:eastAsia="Times New Roman" w:cs="Calibri"/>
                <w:color w:val="000000"/>
                <w:sz w:val="21"/>
                <w:szCs w:val="21"/>
                <w:lang w:val="en-GB" w:eastAsia="en-GB"/>
              </w:rPr>
            </w:pPr>
            <w:r>
              <w:rPr>
                <w:rFonts w:eastAsia="Times New Roman" w:cs="Calibri"/>
                <w:color w:val="FF0000"/>
                <w:sz w:val="21"/>
                <w:szCs w:val="21"/>
                <w:lang w:val="en-GB" w:eastAsia="en-GB"/>
              </w:rPr>
              <w:t>(2.3)</w:t>
            </w:r>
          </w:p>
        </w:tc>
        <w:tc>
          <w:tcPr>
            <w:tcW w:w="1189" w:type="dxa"/>
            <w:tcBorders>
              <w:top w:val="nil"/>
              <w:left w:val="nil"/>
              <w:bottom w:val="nil"/>
              <w:right w:val="single" w:sz="4" w:space="0" w:color="auto"/>
            </w:tcBorders>
            <w:noWrap/>
            <w:vAlign w:val="center"/>
            <w:hideMark/>
          </w:tcPr>
          <w:p w14:paraId="717DB4DF" w14:textId="77777777" w:rsidR="00EF7B6D" w:rsidRDefault="00EF7B6D">
            <w:pPr>
              <w:jc w:val="right"/>
              <w:rPr>
                <w:rFonts w:eastAsia="Times New Roman" w:cs="Calibri"/>
                <w:color w:val="000000"/>
                <w:sz w:val="21"/>
                <w:szCs w:val="21"/>
                <w:lang w:val="en-GB" w:eastAsia="en-GB"/>
              </w:rPr>
            </w:pPr>
            <w:r>
              <w:rPr>
                <w:rFonts w:eastAsia="Times New Roman" w:cs="Calibri"/>
                <w:color w:val="FF0000"/>
                <w:sz w:val="21"/>
                <w:szCs w:val="21"/>
                <w:lang w:val="en-GB" w:eastAsia="en-GB"/>
              </w:rPr>
              <w:t>(2.3)</w:t>
            </w:r>
          </w:p>
        </w:tc>
        <w:tc>
          <w:tcPr>
            <w:tcW w:w="1189" w:type="dxa"/>
            <w:tcBorders>
              <w:top w:val="nil"/>
              <w:left w:val="nil"/>
              <w:bottom w:val="nil"/>
              <w:right w:val="single" w:sz="4" w:space="0" w:color="auto"/>
            </w:tcBorders>
            <w:noWrap/>
            <w:vAlign w:val="center"/>
            <w:hideMark/>
          </w:tcPr>
          <w:p w14:paraId="7E90D5E1"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0.0</w:t>
            </w:r>
          </w:p>
        </w:tc>
      </w:tr>
      <w:tr w:rsidR="00EF7B6D" w14:paraId="7CC1799A" w14:textId="77777777" w:rsidTr="00EF7B6D">
        <w:trPr>
          <w:cantSplit/>
          <w:trHeight w:val="139"/>
          <w:jc w:val="center"/>
        </w:trPr>
        <w:tc>
          <w:tcPr>
            <w:tcW w:w="11059" w:type="dxa"/>
            <w:tcBorders>
              <w:top w:val="nil"/>
              <w:left w:val="single" w:sz="4" w:space="0" w:color="auto"/>
              <w:bottom w:val="nil"/>
              <w:right w:val="single" w:sz="4" w:space="0" w:color="auto"/>
            </w:tcBorders>
            <w:shd w:val="clear" w:color="auto" w:fill="FFFFFF"/>
            <w:vAlign w:val="center"/>
            <w:hideMark/>
          </w:tcPr>
          <w:p w14:paraId="2206AA67" w14:textId="77777777" w:rsidR="00EF7B6D" w:rsidRDefault="00EF7B6D">
            <w:pPr>
              <w:rPr>
                <w:rFonts w:eastAsia="Times New Roman" w:cs="Calibri"/>
                <w:color w:val="000000"/>
                <w:sz w:val="21"/>
                <w:szCs w:val="21"/>
                <w:lang w:val="en-GB" w:eastAsia="en-GB"/>
              </w:rPr>
            </w:pPr>
            <w:r>
              <w:rPr>
                <w:rFonts w:eastAsia="Times New Roman" w:cs="Calibri"/>
                <w:color w:val="000000"/>
                <w:sz w:val="21"/>
                <w:szCs w:val="21"/>
                <w:lang w:eastAsia="en-GB"/>
              </w:rPr>
              <w:t>Re-measurement of the net defined benefit liability/asset</w:t>
            </w:r>
          </w:p>
        </w:tc>
        <w:tc>
          <w:tcPr>
            <w:tcW w:w="1189" w:type="dxa"/>
            <w:tcBorders>
              <w:top w:val="nil"/>
              <w:left w:val="nil"/>
              <w:bottom w:val="nil"/>
              <w:right w:val="single" w:sz="4" w:space="0" w:color="auto"/>
            </w:tcBorders>
            <w:noWrap/>
            <w:vAlign w:val="center"/>
            <w:hideMark/>
          </w:tcPr>
          <w:p w14:paraId="74C40197"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80.8</w:t>
            </w:r>
          </w:p>
        </w:tc>
        <w:tc>
          <w:tcPr>
            <w:tcW w:w="1189" w:type="dxa"/>
            <w:tcBorders>
              <w:top w:val="nil"/>
              <w:left w:val="nil"/>
              <w:bottom w:val="nil"/>
              <w:right w:val="single" w:sz="4" w:space="0" w:color="auto"/>
            </w:tcBorders>
            <w:noWrap/>
            <w:vAlign w:val="center"/>
            <w:hideMark/>
          </w:tcPr>
          <w:p w14:paraId="1E7DE555"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0.9</w:t>
            </w:r>
          </w:p>
        </w:tc>
        <w:tc>
          <w:tcPr>
            <w:tcW w:w="1189" w:type="dxa"/>
            <w:tcBorders>
              <w:top w:val="nil"/>
              <w:left w:val="nil"/>
              <w:bottom w:val="nil"/>
              <w:right w:val="single" w:sz="4" w:space="0" w:color="auto"/>
            </w:tcBorders>
            <w:noWrap/>
            <w:vAlign w:val="center"/>
            <w:hideMark/>
          </w:tcPr>
          <w:p w14:paraId="5ED3C1DF" w14:textId="77777777" w:rsidR="00EF7B6D" w:rsidRDefault="00EF7B6D">
            <w:pPr>
              <w:jc w:val="right"/>
              <w:rPr>
                <w:rFonts w:eastAsia="Times New Roman" w:cs="Calibri"/>
                <w:color w:val="000000"/>
                <w:sz w:val="21"/>
                <w:szCs w:val="21"/>
                <w:lang w:val="en-GB" w:eastAsia="en-GB"/>
              </w:rPr>
            </w:pPr>
            <w:r>
              <w:rPr>
                <w:rFonts w:eastAsia="Times New Roman" w:cs="Calibri"/>
                <w:color w:val="000000"/>
                <w:sz w:val="21"/>
                <w:szCs w:val="21"/>
                <w:lang w:val="en-GB" w:eastAsia="en-GB"/>
              </w:rPr>
              <w:t>79.9</w:t>
            </w:r>
          </w:p>
        </w:tc>
      </w:tr>
      <w:tr w:rsidR="00EF7B6D" w14:paraId="6658CD5E" w14:textId="77777777" w:rsidTr="00EF7B6D">
        <w:trPr>
          <w:cantSplit/>
          <w:trHeight w:val="89"/>
          <w:jc w:val="center"/>
        </w:trPr>
        <w:tc>
          <w:tcPr>
            <w:tcW w:w="1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62F0DF" w14:textId="77777777" w:rsidR="00EF7B6D" w:rsidRDefault="00EF7B6D">
            <w:pPr>
              <w:rPr>
                <w:rFonts w:eastAsia="Times New Roman" w:cs="Calibri"/>
                <w:b/>
                <w:bCs/>
                <w:color w:val="000000"/>
                <w:sz w:val="21"/>
                <w:szCs w:val="21"/>
                <w:lang w:val="en-GB" w:eastAsia="en-GB"/>
              </w:rPr>
            </w:pPr>
            <w:r>
              <w:rPr>
                <w:rFonts w:eastAsia="Times New Roman" w:cs="Calibri"/>
                <w:b/>
                <w:bCs/>
                <w:color w:val="000000"/>
                <w:sz w:val="21"/>
                <w:szCs w:val="21"/>
                <w:lang w:eastAsia="en-GB"/>
              </w:rPr>
              <w:t>Total Comprehensive Income and Expenditure</w:t>
            </w:r>
          </w:p>
        </w:tc>
        <w:tc>
          <w:tcPr>
            <w:tcW w:w="1189" w:type="dxa"/>
            <w:tcBorders>
              <w:top w:val="single" w:sz="4" w:space="0" w:color="auto"/>
              <w:left w:val="nil"/>
              <w:bottom w:val="single" w:sz="4" w:space="0" w:color="auto"/>
              <w:right w:val="single" w:sz="4" w:space="0" w:color="auto"/>
            </w:tcBorders>
            <w:noWrap/>
            <w:vAlign w:val="center"/>
            <w:hideMark/>
          </w:tcPr>
          <w:p w14:paraId="5FBF7274" w14:textId="28FCD0DC" w:rsidR="00EF7B6D" w:rsidRDefault="00274C7E">
            <w:pPr>
              <w:jc w:val="right"/>
              <w:rPr>
                <w:rFonts w:eastAsia="Times New Roman" w:cs="Calibri"/>
                <w:b/>
                <w:bCs/>
                <w:color w:val="000000"/>
                <w:sz w:val="21"/>
                <w:szCs w:val="21"/>
                <w:lang w:val="en-GB" w:eastAsia="en-GB"/>
              </w:rPr>
            </w:pPr>
            <w:r>
              <w:rPr>
                <w:rFonts w:eastAsia="Times New Roman" w:cs="Calibri"/>
                <w:b/>
                <w:bCs/>
                <w:color w:val="000000"/>
                <w:sz w:val="21"/>
                <w:szCs w:val="21"/>
                <w:lang w:val="en-GB" w:eastAsia="en-GB"/>
              </w:rPr>
              <w:t>151.0</w:t>
            </w:r>
          </w:p>
        </w:tc>
        <w:tc>
          <w:tcPr>
            <w:tcW w:w="1189" w:type="dxa"/>
            <w:tcBorders>
              <w:top w:val="single" w:sz="4" w:space="0" w:color="auto"/>
              <w:left w:val="nil"/>
              <w:bottom w:val="single" w:sz="4" w:space="0" w:color="auto"/>
              <w:right w:val="single" w:sz="4" w:space="0" w:color="auto"/>
            </w:tcBorders>
            <w:noWrap/>
            <w:vAlign w:val="center"/>
            <w:hideMark/>
          </w:tcPr>
          <w:p w14:paraId="4E96A501" w14:textId="05E54418" w:rsidR="00EF7B6D" w:rsidRDefault="00274C7E">
            <w:pPr>
              <w:jc w:val="right"/>
              <w:rPr>
                <w:rFonts w:eastAsia="Times New Roman" w:cs="Calibri"/>
                <w:b/>
                <w:bCs/>
                <w:color w:val="000000"/>
                <w:sz w:val="21"/>
                <w:szCs w:val="21"/>
                <w:lang w:val="en-GB" w:eastAsia="en-GB"/>
              </w:rPr>
            </w:pPr>
            <w:r>
              <w:rPr>
                <w:rFonts w:eastAsia="Times New Roman" w:cs="Calibri"/>
                <w:b/>
                <w:bCs/>
                <w:color w:val="000000"/>
                <w:sz w:val="21"/>
                <w:szCs w:val="21"/>
                <w:lang w:val="en-GB" w:eastAsia="en-GB"/>
              </w:rPr>
              <w:t>2.6</w:t>
            </w:r>
          </w:p>
        </w:tc>
        <w:tc>
          <w:tcPr>
            <w:tcW w:w="1189" w:type="dxa"/>
            <w:tcBorders>
              <w:top w:val="single" w:sz="4" w:space="0" w:color="auto"/>
              <w:left w:val="nil"/>
              <w:bottom w:val="single" w:sz="4" w:space="0" w:color="auto"/>
              <w:right w:val="single" w:sz="4" w:space="0" w:color="auto"/>
            </w:tcBorders>
            <w:noWrap/>
            <w:vAlign w:val="center"/>
            <w:hideMark/>
          </w:tcPr>
          <w:p w14:paraId="0445018A" w14:textId="77777777" w:rsidR="00EF7B6D" w:rsidRDefault="00EF7B6D">
            <w:pPr>
              <w:jc w:val="right"/>
              <w:rPr>
                <w:rFonts w:eastAsia="Times New Roman" w:cs="Calibri"/>
                <w:b/>
                <w:bCs/>
                <w:color w:val="000000"/>
                <w:sz w:val="21"/>
                <w:szCs w:val="21"/>
                <w:lang w:val="en-GB" w:eastAsia="en-GB"/>
              </w:rPr>
            </w:pPr>
            <w:r>
              <w:rPr>
                <w:rFonts w:eastAsia="Times New Roman" w:cs="Calibri"/>
                <w:b/>
                <w:bCs/>
                <w:color w:val="000000"/>
                <w:sz w:val="21"/>
                <w:szCs w:val="21"/>
                <w:lang w:val="en-GB" w:eastAsia="en-GB"/>
              </w:rPr>
              <w:t>148.4</w:t>
            </w:r>
          </w:p>
        </w:tc>
      </w:tr>
    </w:tbl>
    <w:p w14:paraId="77CB7EDD" w14:textId="77777777" w:rsidR="00EF7B6D" w:rsidRDefault="00EF7B6D" w:rsidP="00EF7B6D">
      <w:pPr>
        <w:autoSpaceDE w:val="0"/>
        <w:autoSpaceDN w:val="0"/>
        <w:adjustRightInd w:val="0"/>
        <w:rPr>
          <w:rFonts w:cs="Arial"/>
          <w:b/>
          <w:bCs/>
          <w:color w:val="000000"/>
        </w:rPr>
      </w:pPr>
      <w:r>
        <w:rPr>
          <w:rFonts w:cs="Arial"/>
          <w:b/>
          <w:bCs/>
          <w:color w:val="000000"/>
        </w:rPr>
        <w:t>Capital Expenditure</w:t>
      </w:r>
    </w:p>
    <w:p w14:paraId="54CEDDD1" w14:textId="77777777" w:rsidR="00EF7B6D" w:rsidRDefault="00EF7B6D" w:rsidP="00EF7B6D">
      <w:pPr>
        <w:spacing w:line="254" w:lineRule="auto"/>
        <w:jc w:val="both"/>
      </w:pPr>
    </w:p>
    <w:p w14:paraId="1F208CBF" w14:textId="77777777" w:rsidR="00EF7B6D" w:rsidRDefault="00EF7B6D" w:rsidP="00EF7B6D">
      <w:pPr>
        <w:spacing w:line="254" w:lineRule="auto"/>
        <w:jc w:val="both"/>
      </w:pPr>
      <w:r>
        <w:t xml:space="preserve">Capital expenditure is incurred on the acquisition and enhancement of the Commissioner's assets which have a life of more than one year. The capital and investment programme is designed to support business enablement and change projects to promote new ways of working and efficient use of resources. Investment plans for the year included investment towards the new Police Headquarters, fleet replacement in-car technology development, ICT hardware, particularly laptops, development of mobile emergency services network and acquisition of the software developed as part of the Enterprise Resource Planning (ERP) system. </w:t>
      </w:r>
    </w:p>
    <w:p w14:paraId="3EC42B7E" w14:textId="77777777" w:rsidR="00EF7B6D" w:rsidRDefault="00EF7B6D" w:rsidP="00EF7B6D">
      <w:pPr>
        <w:spacing w:line="256" w:lineRule="auto"/>
        <w:jc w:val="both"/>
      </w:pPr>
    </w:p>
    <w:p w14:paraId="06C54BC8" w14:textId="77777777" w:rsidR="00EF7B6D" w:rsidRDefault="00EF7B6D" w:rsidP="00EF7B6D">
      <w:pPr>
        <w:spacing w:line="256" w:lineRule="auto"/>
        <w:jc w:val="both"/>
      </w:pPr>
      <w:r>
        <w:t xml:space="preserve">The Police and Crime Commissioner owns all force assets and hence they are included on the Balance Sheet of the PCC and Group but not the Chief Constable. Day to day management is delegated to the Chief Constable who receives a budget to fund these costs from the PCC. The PCC approved a Capital Program of £10.5m in February 2020 however with slippage requests from 2019/20 programme this increased the budget to £18.0m. The force runs a flexible programme managing schemes over a rolling 2 year period enabling work to be brought forward or deferred. </w:t>
      </w:r>
    </w:p>
    <w:p w14:paraId="59F8E450" w14:textId="77777777" w:rsidR="00EF7B6D" w:rsidRDefault="00EF7B6D" w:rsidP="00EF7B6D">
      <w:pPr>
        <w:spacing w:line="256" w:lineRule="auto"/>
        <w:jc w:val="both"/>
      </w:pPr>
    </w:p>
    <w:p w14:paraId="3C5BB4CB" w14:textId="77777777" w:rsidR="00EF7B6D" w:rsidRDefault="00EF7B6D" w:rsidP="00EF7B6D">
      <w:pPr>
        <w:spacing w:line="256" w:lineRule="auto"/>
        <w:jc w:val="both"/>
      </w:pPr>
      <w:r>
        <w:t xml:space="preserve">The performance against the budget is as shown in the following table: </w:t>
      </w:r>
    </w:p>
    <w:tbl>
      <w:tblPr>
        <w:tblW w:w="13796" w:type="dxa"/>
        <w:jc w:val="center"/>
        <w:tblLook w:val="04A0" w:firstRow="1" w:lastRow="0" w:firstColumn="1" w:lastColumn="0" w:noHBand="0" w:noVBand="1"/>
      </w:tblPr>
      <w:tblGrid>
        <w:gridCol w:w="3860"/>
        <w:gridCol w:w="1480"/>
        <w:gridCol w:w="1480"/>
        <w:gridCol w:w="1481"/>
        <w:gridCol w:w="1600"/>
        <w:gridCol w:w="1240"/>
        <w:gridCol w:w="1240"/>
        <w:gridCol w:w="1415"/>
      </w:tblGrid>
      <w:tr w:rsidR="00EF7B6D" w14:paraId="48A1E0D0" w14:textId="77777777" w:rsidTr="00EF7B6D">
        <w:trPr>
          <w:trHeight w:val="300"/>
          <w:jc w:val="center"/>
        </w:trPr>
        <w:tc>
          <w:tcPr>
            <w:tcW w:w="13796" w:type="dxa"/>
            <w:gridSpan w:val="8"/>
            <w:tcBorders>
              <w:top w:val="single" w:sz="4" w:space="0" w:color="auto"/>
              <w:left w:val="single" w:sz="4" w:space="0" w:color="auto"/>
              <w:bottom w:val="single" w:sz="4" w:space="0" w:color="auto"/>
              <w:right w:val="single" w:sz="4" w:space="0" w:color="000000"/>
            </w:tcBorders>
            <w:vAlign w:val="center"/>
            <w:hideMark/>
          </w:tcPr>
          <w:p w14:paraId="2533A085" w14:textId="77777777" w:rsidR="00EF7B6D" w:rsidRDefault="00EF7B6D">
            <w:pPr>
              <w:jc w:val="center"/>
              <w:rPr>
                <w:rFonts w:eastAsia="Times New Roman" w:cs="Calibri"/>
                <w:b/>
                <w:bCs/>
                <w:color w:val="000000"/>
                <w:lang w:val="en-GB" w:eastAsia="en-GB"/>
              </w:rPr>
            </w:pPr>
            <w:r>
              <w:rPr>
                <w:rFonts w:eastAsia="Times New Roman" w:cs="Calibri"/>
                <w:b/>
                <w:bCs/>
                <w:color w:val="000000"/>
                <w:lang w:val="en-GB" w:eastAsia="en-GB"/>
              </w:rPr>
              <w:t>CAPITAL BUDGET OUTTURN 2020/21</w:t>
            </w:r>
          </w:p>
        </w:tc>
      </w:tr>
      <w:tr w:rsidR="00EF7B6D" w14:paraId="0C98299F" w14:textId="77777777" w:rsidTr="00EF7B6D">
        <w:trPr>
          <w:trHeight w:val="855"/>
          <w:jc w:val="center"/>
        </w:trPr>
        <w:tc>
          <w:tcPr>
            <w:tcW w:w="3860" w:type="dxa"/>
            <w:tcBorders>
              <w:top w:val="nil"/>
              <w:left w:val="single" w:sz="4" w:space="0" w:color="auto"/>
              <w:bottom w:val="nil"/>
              <w:right w:val="nil"/>
            </w:tcBorders>
            <w:vAlign w:val="center"/>
            <w:hideMark/>
          </w:tcPr>
          <w:p w14:paraId="053A64E2"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c>
          <w:tcPr>
            <w:tcW w:w="1480" w:type="dxa"/>
            <w:tcBorders>
              <w:top w:val="nil"/>
              <w:left w:val="single" w:sz="4" w:space="0" w:color="auto"/>
              <w:bottom w:val="nil"/>
              <w:right w:val="single" w:sz="4" w:space="0" w:color="auto"/>
            </w:tcBorders>
            <w:shd w:val="clear" w:color="auto" w:fill="F2F2F2"/>
            <w:vAlign w:val="center"/>
            <w:hideMark/>
          </w:tcPr>
          <w:p w14:paraId="2C3CD2FF" w14:textId="77777777" w:rsidR="00EF7B6D" w:rsidRDefault="00EF7B6D">
            <w:pPr>
              <w:jc w:val="center"/>
              <w:rPr>
                <w:rFonts w:eastAsia="Times New Roman" w:cs="Calibri"/>
                <w:b/>
                <w:bCs/>
                <w:color w:val="000000"/>
                <w:lang w:val="en-GB" w:eastAsia="en-GB"/>
              </w:rPr>
            </w:pPr>
            <w:r>
              <w:rPr>
                <w:rFonts w:eastAsia="Times New Roman" w:cs="Calibri"/>
                <w:b/>
                <w:bCs/>
                <w:color w:val="000000"/>
                <w:lang w:val="en-GB" w:eastAsia="en-GB"/>
              </w:rPr>
              <w:t>Original Budget</w:t>
            </w:r>
          </w:p>
        </w:tc>
        <w:tc>
          <w:tcPr>
            <w:tcW w:w="1480" w:type="dxa"/>
            <w:tcBorders>
              <w:top w:val="nil"/>
              <w:left w:val="nil"/>
              <w:bottom w:val="nil"/>
              <w:right w:val="single" w:sz="4" w:space="0" w:color="auto"/>
            </w:tcBorders>
            <w:vAlign w:val="center"/>
            <w:hideMark/>
          </w:tcPr>
          <w:p w14:paraId="34775083" w14:textId="77777777" w:rsidR="00EF7B6D" w:rsidRDefault="00EF7B6D">
            <w:pPr>
              <w:jc w:val="center"/>
              <w:rPr>
                <w:rFonts w:eastAsia="Times New Roman" w:cs="Calibri"/>
                <w:b/>
                <w:bCs/>
                <w:color w:val="000000"/>
                <w:lang w:val="en-GB" w:eastAsia="en-GB"/>
              </w:rPr>
            </w:pPr>
            <w:r>
              <w:rPr>
                <w:rFonts w:eastAsia="Times New Roman" w:cs="Calibri"/>
                <w:b/>
                <w:bCs/>
                <w:color w:val="000000"/>
                <w:lang w:val="en-GB" w:eastAsia="en-GB"/>
              </w:rPr>
              <w:t>Other Changes</w:t>
            </w:r>
          </w:p>
        </w:tc>
        <w:tc>
          <w:tcPr>
            <w:tcW w:w="1481" w:type="dxa"/>
            <w:tcBorders>
              <w:top w:val="nil"/>
              <w:left w:val="nil"/>
              <w:bottom w:val="nil"/>
              <w:right w:val="single" w:sz="4" w:space="0" w:color="auto"/>
            </w:tcBorders>
            <w:vAlign w:val="center"/>
            <w:hideMark/>
          </w:tcPr>
          <w:p w14:paraId="60587D31" w14:textId="77777777" w:rsidR="00EF7B6D" w:rsidRDefault="00EF7B6D">
            <w:pPr>
              <w:jc w:val="center"/>
              <w:rPr>
                <w:rFonts w:eastAsia="Times New Roman" w:cs="Calibri"/>
                <w:b/>
                <w:bCs/>
                <w:color w:val="000000"/>
                <w:lang w:val="en-GB" w:eastAsia="en-GB"/>
              </w:rPr>
            </w:pPr>
            <w:r>
              <w:rPr>
                <w:rFonts w:eastAsia="Times New Roman" w:cs="Calibri"/>
                <w:b/>
                <w:bCs/>
                <w:color w:val="000000"/>
                <w:lang w:val="en-GB" w:eastAsia="en-GB"/>
              </w:rPr>
              <w:t>Budget Virements</w:t>
            </w:r>
          </w:p>
        </w:tc>
        <w:tc>
          <w:tcPr>
            <w:tcW w:w="1600" w:type="dxa"/>
            <w:tcBorders>
              <w:top w:val="nil"/>
              <w:left w:val="nil"/>
              <w:bottom w:val="nil"/>
              <w:right w:val="single" w:sz="4" w:space="0" w:color="auto"/>
            </w:tcBorders>
            <w:vAlign w:val="center"/>
            <w:hideMark/>
          </w:tcPr>
          <w:p w14:paraId="3DC7A535" w14:textId="77777777" w:rsidR="00EF7B6D" w:rsidRDefault="00EF7B6D">
            <w:pPr>
              <w:jc w:val="center"/>
              <w:rPr>
                <w:rFonts w:eastAsia="Times New Roman" w:cs="Calibri"/>
                <w:b/>
                <w:bCs/>
                <w:color w:val="000000"/>
                <w:lang w:val="en-GB" w:eastAsia="en-GB"/>
              </w:rPr>
            </w:pPr>
            <w:r>
              <w:rPr>
                <w:rFonts w:eastAsia="Times New Roman" w:cs="Calibri"/>
                <w:b/>
                <w:bCs/>
                <w:color w:val="000000"/>
                <w:lang w:val="en-GB" w:eastAsia="en-GB"/>
              </w:rPr>
              <w:t>Revenue to Capital Transfers</w:t>
            </w:r>
          </w:p>
        </w:tc>
        <w:tc>
          <w:tcPr>
            <w:tcW w:w="1240" w:type="dxa"/>
            <w:tcBorders>
              <w:top w:val="nil"/>
              <w:left w:val="nil"/>
              <w:bottom w:val="nil"/>
              <w:right w:val="single" w:sz="4" w:space="0" w:color="auto"/>
            </w:tcBorders>
            <w:shd w:val="clear" w:color="auto" w:fill="F2F2F2"/>
            <w:vAlign w:val="center"/>
            <w:hideMark/>
          </w:tcPr>
          <w:p w14:paraId="2F19A504" w14:textId="77777777" w:rsidR="00EF7B6D" w:rsidRDefault="00EF7B6D">
            <w:pPr>
              <w:jc w:val="center"/>
              <w:rPr>
                <w:rFonts w:eastAsia="Times New Roman" w:cs="Calibri"/>
                <w:b/>
                <w:bCs/>
                <w:color w:val="000000"/>
                <w:lang w:val="en-GB" w:eastAsia="en-GB"/>
              </w:rPr>
            </w:pPr>
            <w:r>
              <w:rPr>
                <w:rFonts w:eastAsia="Times New Roman" w:cs="Calibri"/>
                <w:b/>
                <w:bCs/>
                <w:color w:val="000000"/>
                <w:lang w:val="en-GB" w:eastAsia="en-GB"/>
              </w:rPr>
              <w:t>Revised Budget</w:t>
            </w:r>
          </w:p>
        </w:tc>
        <w:tc>
          <w:tcPr>
            <w:tcW w:w="1240" w:type="dxa"/>
            <w:tcBorders>
              <w:top w:val="nil"/>
              <w:left w:val="nil"/>
              <w:bottom w:val="nil"/>
              <w:right w:val="single" w:sz="4" w:space="0" w:color="auto"/>
            </w:tcBorders>
            <w:vAlign w:val="center"/>
            <w:hideMark/>
          </w:tcPr>
          <w:p w14:paraId="05DC5E3A" w14:textId="77777777" w:rsidR="00EF7B6D" w:rsidRDefault="00EF7B6D">
            <w:pPr>
              <w:jc w:val="center"/>
              <w:rPr>
                <w:rFonts w:eastAsia="Times New Roman" w:cs="Calibri"/>
                <w:b/>
                <w:bCs/>
                <w:color w:val="000000"/>
                <w:lang w:val="en-GB" w:eastAsia="en-GB"/>
              </w:rPr>
            </w:pPr>
            <w:r>
              <w:rPr>
                <w:rFonts w:eastAsia="Times New Roman" w:cs="Calibri"/>
                <w:b/>
                <w:bCs/>
                <w:color w:val="000000"/>
                <w:lang w:val="en-GB" w:eastAsia="en-GB"/>
              </w:rPr>
              <w:t>Actuals</w:t>
            </w:r>
          </w:p>
        </w:tc>
        <w:tc>
          <w:tcPr>
            <w:tcW w:w="1415" w:type="dxa"/>
            <w:tcBorders>
              <w:top w:val="nil"/>
              <w:left w:val="nil"/>
              <w:bottom w:val="nil"/>
              <w:right w:val="single" w:sz="4" w:space="0" w:color="auto"/>
            </w:tcBorders>
            <w:vAlign w:val="center"/>
            <w:hideMark/>
          </w:tcPr>
          <w:p w14:paraId="72178D64" w14:textId="77777777" w:rsidR="00EF7B6D" w:rsidRDefault="00EF7B6D">
            <w:pPr>
              <w:jc w:val="center"/>
              <w:rPr>
                <w:rFonts w:eastAsia="Times New Roman" w:cs="Calibri"/>
                <w:b/>
                <w:bCs/>
                <w:color w:val="000000"/>
                <w:lang w:val="en-GB" w:eastAsia="en-GB"/>
              </w:rPr>
            </w:pPr>
            <w:r>
              <w:rPr>
                <w:rFonts w:eastAsia="Times New Roman" w:cs="Calibri"/>
                <w:b/>
                <w:bCs/>
                <w:color w:val="000000"/>
                <w:lang w:val="en-GB" w:eastAsia="en-GB"/>
              </w:rPr>
              <w:t>Variance over / (under) spend</w:t>
            </w:r>
          </w:p>
        </w:tc>
      </w:tr>
      <w:tr w:rsidR="00EF7B6D" w14:paraId="298D387E" w14:textId="77777777" w:rsidTr="00EF7B6D">
        <w:trPr>
          <w:trHeight w:val="285"/>
          <w:jc w:val="center"/>
        </w:trPr>
        <w:tc>
          <w:tcPr>
            <w:tcW w:w="3860" w:type="dxa"/>
            <w:tcBorders>
              <w:top w:val="nil"/>
              <w:left w:val="single" w:sz="4" w:space="0" w:color="auto"/>
              <w:bottom w:val="single" w:sz="4" w:space="0" w:color="auto"/>
              <w:right w:val="nil"/>
            </w:tcBorders>
            <w:noWrap/>
            <w:vAlign w:val="center"/>
            <w:hideMark/>
          </w:tcPr>
          <w:p w14:paraId="448168A4"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c>
          <w:tcPr>
            <w:tcW w:w="1480" w:type="dxa"/>
            <w:tcBorders>
              <w:top w:val="nil"/>
              <w:left w:val="single" w:sz="4" w:space="0" w:color="auto"/>
              <w:bottom w:val="single" w:sz="4" w:space="0" w:color="auto"/>
              <w:right w:val="single" w:sz="4" w:space="0" w:color="auto"/>
            </w:tcBorders>
            <w:shd w:val="clear" w:color="auto" w:fill="F2F2F2"/>
            <w:noWrap/>
            <w:vAlign w:val="center"/>
            <w:hideMark/>
          </w:tcPr>
          <w:p w14:paraId="3398380A" w14:textId="77777777" w:rsidR="00EF7B6D" w:rsidRDefault="00EF7B6D">
            <w:pPr>
              <w:jc w:val="center"/>
              <w:rPr>
                <w:rFonts w:eastAsia="Times New Roman" w:cs="Calibri"/>
                <w:b/>
                <w:bCs/>
                <w:color w:val="000000"/>
                <w:lang w:val="en-GB" w:eastAsia="en-GB"/>
              </w:rPr>
            </w:pPr>
            <w:r>
              <w:rPr>
                <w:rFonts w:eastAsia="Times New Roman" w:cs="Calibri"/>
                <w:b/>
                <w:bCs/>
                <w:color w:val="000000"/>
                <w:lang w:val="en-GB" w:eastAsia="en-GB"/>
              </w:rPr>
              <w:t>£m</w:t>
            </w:r>
          </w:p>
        </w:tc>
        <w:tc>
          <w:tcPr>
            <w:tcW w:w="1480" w:type="dxa"/>
            <w:tcBorders>
              <w:top w:val="nil"/>
              <w:left w:val="nil"/>
              <w:bottom w:val="single" w:sz="4" w:space="0" w:color="auto"/>
              <w:right w:val="single" w:sz="4" w:space="0" w:color="auto"/>
            </w:tcBorders>
            <w:noWrap/>
            <w:vAlign w:val="center"/>
            <w:hideMark/>
          </w:tcPr>
          <w:p w14:paraId="71AAB704" w14:textId="77777777" w:rsidR="00EF7B6D" w:rsidRDefault="00EF7B6D">
            <w:pPr>
              <w:jc w:val="center"/>
              <w:rPr>
                <w:rFonts w:eastAsia="Times New Roman" w:cs="Calibri"/>
                <w:b/>
                <w:bCs/>
                <w:color w:val="000000"/>
                <w:lang w:val="en-GB" w:eastAsia="en-GB"/>
              </w:rPr>
            </w:pPr>
            <w:r>
              <w:rPr>
                <w:rFonts w:eastAsia="Times New Roman" w:cs="Calibri"/>
                <w:b/>
                <w:bCs/>
                <w:color w:val="000000"/>
                <w:lang w:val="en-GB" w:eastAsia="en-GB"/>
              </w:rPr>
              <w:t>£m</w:t>
            </w:r>
          </w:p>
        </w:tc>
        <w:tc>
          <w:tcPr>
            <w:tcW w:w="1481" w:type="dxa"/>
            <w:tcBorders>
              <w:top w:val="nil"/>
              <w:left w:val="nil"/>
              <w:bottom w:val="single" w:sz="4" w:space="0" w:color="auto"/>
              <w:right w:val="single" w:sz="4" w:space="0" w:color="auto"/>
            </w:tcBorders>
            <w:noWrap/>
            <w:vAlign w:val="center"/>
            <w:hideMark/>
          </w:tcPr>
          <w:p w14:paraId="3D3BF70F" w14:textId="77777777" w:rsidR="00EF7B6D" w:rsidRDefault="00EF7B6D">
            <w:pPr>
              <w:jc w:val="center"/>
              <w:rPr>
                <w:rFonts w:eastAsia="Times New Roman" w:cs="Calibri"/>
                <w:b/>
                <w:bCs/>
                <w:color w:val="000000"/>
                <w:lang w:val="en-GB" w:eastAsia="en-GB"/>
              </w:rPr>
            </w:pPr>
            <w:r>
              <w:rPr>
                <w:rFonts w:eastAsia="Times New Roman" w:cs="Calibri"/>
                <w:b/>
                <w:bCs/>
                <w:color w:val="000000"/>
                <w:lang w:val="en-GB" w:eastAsia="en-GB"/>
              </w:rPr>
              <w:t>£m</w:t>
            </w:r>
          </w:p>
        </w:tc>
        <w:tc>
          <w:tcPr>
            <w:tcW w:w="1600" w:type="dxa"/>
            <w:tcBorders>
              <w:top w:val="nil"/>
              <w:left w:val="nil"/>
              <w:bottom w:val="single" w:sz="4" w:space="0" w:color="auto"/>
              <w:right w:val="single" w:sz="4" w:space="0" w:color="auto"/>
            </w:tcBorders>
            <w:noWrap/>
            <w:vAlign w:val="center"/>
            <w:hideMark/>
          </w:tcPr>
          <w:p w14:paraId="4081D5C9" w14:textId="77777777" w:rsidR="00EF7B6D" w:rsidRDefault="00EF7B6D">
            <w:pPr>
              <w:jc w:val="center"/>
              <w:rPr>
                <w:rFonts w:eastAsia="Times New Roman" w:cs="Calibri"/>
                <w:b/>
                <w:bCs/>
                <w:color w:val="000000"/>
                <w:lang w:val="en-GB" w:eastAsia="en-GB"/>
              </w:rPr>
            </w:pPr>
            <w:r>
              <w:rPr>
                <w:rFonts w:eastAsia="Times New Roman" w:cs="Calibri"/>
                <w:b/>
                <w:bCs/>
                <w:color w:val="000000"/>
                <w:lang w:val="en-GB" w:eastAsia="en-GB"/>
              </w:rPr>
              <w:t>£m</w:t>
            </w:r>
          </w:p>
        </w:tc>
        <w:tc>
          <w:tcPr>
            <w:tcW w:w="1240" w:type="dxa"/>
            <w:tcBorders>
              <w:top w:val="nil"/>
              <w:left w:val="nil"/>
              <w:bottom w:val="single" w:sz="4" w:space="0" w:color="auto"/>
              <w:right w:val="single" w:sz="4" w:space="0" w:color="auto"/>
            </w:tcBorders>
            <w:shd w:val="clear" w:color="auto" w:fill="F2F2F2"/>
            <w:noWrap/>
            <w:vAlign w:val="center"/>
            <w:hideMark/>
          </w:tcPr>
          <w:p w14:paraId="4FF369F8" w14:textId="77777777" w:rsidR="00EF7B6D" w:rsidRDefault="00EF7B6D">
            <w:pPr>
              <w:jc w:val="center"/>
              <w:rPr>
                <w:rFonts w:eastAsia="Times New Roman" w:cs="Calibri"/>
                <w:b/>
                <w:bCs/>
                <w:color w:val="000000"/>
                <w:lang w:val="en-GB" w:eastAsia="en-GB"/>
              </w:rPr>
            </w:pPr>
            <w:r>
              <w:rPr>
                <w:rFonts w:eastAsia="Times New Roman" w:cs="Calibri"/>
                <w:b/>
                <w:bCs/>
                <w:color w:val="000000"/>
                <w:lang w:val="en-GB" w:eastAsia="en-GB"/>
              </w:rPr>
              <w:t>£m</w:t>
            </w:r>
          </w:p>
        </w:tc>
        <w:tc>
          <w:tcPr>
            <w:tcW w:w="1240" w:type="dxa"/>
            <w:tcBorders>
              <w:top w:val="nil"/>
              <w:left w:val="nil"/>
              <w:bottom w:val="single" w:sz="4" w:space="0" w:color="auto"/>
              <w:right w:val="single" w:sz="4" w:space="0" w:color="auto"/>
            </w:tcBorders>
            <w:noWrap/>
            <w:vAlign w:val="center"/>
            <w:hideMark/>
          </w:tcPr>
          <w:p w14:paraId="483522CA" w14:textId="77777777" w:rsidR="00EF7B6D" w:rsidRDefault="00EF7B6D">
            <w:pPr>
              <w:jc w:val="center"/>
              <w:rPr>
                <w:rFonts w:eastAsia="Times New Roman" w:cs="Calibri"/>
                <w:b/>
                <w:bCs/>
                <w:color w:val="000000"/>
                <w:lang w:val="en-GB" w:eastAsia="en-GB"/>
              </w:rPr>
            </w:pPr>
            <w:r>
              <w:rPr>
                <w:rFonts w:eastAsia="Times New Roman" w:cs="Calibri"/>
                <w:b/>
                <w:bCs/>
                <w:color w:val="000000"/>
                <w:lang w:val="en-GB" w:eastAsia="en-GB"/>
              </w:rPr>
              <w:t>£m</w:t>
            </w:r>
          </w:p>
        </w:tc>
        <w:tc>
          <w:tcPr>
            <w:tcW w:w="1415" w:type="dxa"/>
            <w:tcBorders>
              <w:top w:val="nil"/>
              <w:left w:val="nil"/>
              <w:bottom w:val="single" w:sz="4" w:space="0" w:color="auto"/>
              <w:right w:val="single" w:sz="4" w:space="0" w:color="auto"/>
            </w:tcBorders>
            <w:noWrap/>
            <w:vAlign w:val="center"/>
            <w:hideMark/>
          </w:tcPr>
          <w:p w14:paraId="3984751A" w14:textId="77777777" w:rsidR="00EF7B6D" w:rsidRDefault="00EF7B6D">
            <w:pPr>
              <w:jc w:val="center"/>
              <w:rPr>
                <w:rFonts w:eastAsia="Times New Roman" w:cs="Calibri"/>
                <w:b/>
                <w:bCs/>
                <w:color w:val="000000"/>
                <w:lang w:val="en-GB" w:eastAsia="en-GB"/>
              </w:rPr>
            </w:pPr>
            <w:r>
              <w:rPr>
                <w:rFonts w:eastAsia="Times New Roman" w:cs="Calibri"/>
                <w:b/>
                <w:bCs/>
                <w:color w:val="000000"/>
                <w:lang w:val="en-GB" w:eastAsia="en-GB"/>
              </w:rPr>
              <w:t>£m</w:t>
            </w:r>
          </w:p>
        </w:tc>
      </w:tr>
      <w:tr w:rsidR="00EF7B6D" w14:paraId="7FD9FEE0" w14:textId="77777777" w:rsidTr="00EF7B6D">
        <w:trPr>
          <w:trHeight w:val="285"/>
          <w:jc w:val="center"/>
        </w:trPr>
        <w:tc>
          <w:tcPr>
            <w:tcW w:w="3860" w:type="dxa"/>
            <w:tcBorders>
              <w:top w:val="nil"/>
              <w:left w:val="single" w:sz="4" w:space="0" w:color="auto"/>
              <w:bottom w:val="nil"/>
              <w:right w:val="nil"/>
            </w:tcBorders>
            <w:noWrap/>
            <w:vAlign w:val="center"/>
            <w:hideMark/>
          </w:tcPr>
          <w:p w14:paraId="29BD0FA5" w14:textId="77777777" w:rsidR="00EF7B6D" w:rsidRDefault="00EF7B6D">
            <w:pPr>
              <w:rPr>
                <w:rFonts w:eastAsia="Times New Roman" w:cs="Calibri"/>
                <w:color w:val="000000"/>
                <w:lang w:val="en-GB" w:eastAsia="en-GB"/>
              </w:rPr>
            </w:pPr>
            <w:r>
              <w:rPr>
                <w:rFonts w:eastAsia="Times New Roman" w:cs="Calibri"/>
                <w:color w:val="000000"/>
                <w:lang w:val="en-GB" w:eastAsia="en-GB"/>
              </w:rPr>
              <w:t>ICT</w:t>
            </w:r>
          </w:p>
        </w:tc>
        <w:tc>
          <w:tcPr>
            <w:tcW w:w="1480" w:type="dxa"/>
            <w:tcBorders>
              <w:top w:val="nil"/>
              <w:left w:val="single" w:sz="4" w:space="0" w:color="auto"/>
              <w:bottom w:val="nil"/>
              <w:right w:val="single" w:sz="4" w:space="0" w:color="auto"/>
            </w:tcBorders>
            <w:shd w:val="clear" w:color="auto" w:fill="F2F2F2"/>
            <w:noWrap/>
            <w:vAlign w:val="center"/>
            <w:hideMark/>
          </w:tcPr>
          <w:p w14:paraId="550DE68F"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6.114</w:t>
            </w:r>
          </w:p>
        </w:tc>
        <w:tc>
          <w:tcPr>
            <w:tcW w:w="1480" w:type="dxa"/>
            <w:tcBorders>
              <w:top w:val="nil"/>
              <w:left w:val="nil"/>
              <w:bottom w:val="nil"/>
              <w:right w:val="single" w:sz="4" w:space="0" w:color="auto"/>
            </w:tcBorders>
            <w:noWrap/>
            <w:vAlign w:val="center"/>
            <w:hideMark/>
          </w:tcPr>
          <w:p w14:paraId="1152EFF1"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0.680</w:t>
            </w:r>
          </w:p>
        </w:tc>
        <w:tc>
          <w:tcPr>
            <w:tcW w:w="1481" w:type="dxa"/>
            <w:tcBorders>
              <w:top w:val="nil"/>
              <w:left w:val="nil"/>
              <w:bottom w:val="nil"/>
              <w:right w:val="single" w:sz="4" w:space="0" w:color="auto"/>
            </w:tcBorders>
            <w:noWrap/>
            <w:vAlign w:val="center"/>
            <w:hideMark/>
          </w:tcPr>
          <w:p w14:paraId="35CBAAEC" w14:textId="77777777" w:rsidR="00EF7B6D" w:rsidRDefault="00EF7B6D">
            <w:pPr>
              <w:jc w:val="right"/>
              <w:rPr>
                <w:rFonts w:eastAsia="Times New Roman" w:cs="Calibri"/>
                <w:color w:val="000000"/>
                <w:lang w:val="en-GB" w:eastAsia="en-GB"/>
              </w:rPr>
            </w:pPr>
            <w:r>
              <w:rPr>
                <w:rFonts w:eastAsia="Times New Roman" w:cs="Calibri"/>
                <w:color w:val="FF0000"/>
                <w:lang w:val="en-GB" w:eastAsia="en-GB"/>
              </w:rPr>
              <w:t>(0.997)</w:t>
            </w:r>
          </w:p>
        </w:tc>
        <w:tc>
          <w:tcPr>
            <w:tcW w:w="1600" w:type="dxa"/>
            <w:tcBorders>
              <w:top w:val="nil"/>
              <w:left w:val="nil"/>
              <w:bottom w:val="nil"/>
              <w:right w:val="single" w:sz="4" w:space="0" w:color="auto"/>
            </w:tcBorders>
            <w:noWrap/>
            <w:vAlign w:val="center"/>
            <w:hideMark/>
          </w:tcPr>
          <w:p w14:paraId="6168E651"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0.620</w:t>
            </w:r>
          </w:p>
        </w:tc>
        <w:tc>
          <w:tcPr>
            <w:tcW w:w="1240" w:type="dxa"/>
            <w:tcBorders>
              <w:top w:val="nil"/>
              <w:left w:val="nil"/>
              <w:bottom w:val="nil"/>
              <w:right w:val="single" w:sz="4" w:space="0" w:color="auto"/>
            </w:tcBorders>
            <w:shd w:val="clear" w:color="auto" w:fill="F2F2F2"/>
            <w:noWrap/>
            <w:vAlign w:val="center"/>
            <w:hideMark/>
          </w:tcPr>
          <w:p w14:paraId="10588F50"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6.417</w:t>
            </w:r>
          </w:p>
        </w:tc>
        <w:tc>
          <w:tcPr>
            <w:tcW w:w="1240" w:type="dxa"/>
            <w:tcBorders>
              <w:top w:val="nil"/>
              <w:left w:val="nil"/>
              <w:bottom w:val="nil"/>
              <w:right w:val="single" w:sz="4" w:space="0" w:color="auto"/>
            </w:tcBorders>
            <w:noWrap/>
            <w:vAlign w:val="center"/>
            <w:hideMark/>
          </w:tcPr>
          <w:p w14:paraId="307EBA65"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3.096</w:t>
            </w:r>
          </w:p>
        </w:tc>
        <w:tc>
          <w:tcPr>
            <w:tcW w:w="1415" w:type="dxa"/>
            <w:tcBorders>
              <w:top w:val="nil"/>
              <w:left w:val="nil"/>
              <w:bottom w:val="nil"/>
              <w:right w:val="single" w:sz="4" w:space="0" w:color="auto"/>
            </w:tcBorders>
            <w:noWrap/>
            <w:vAlign w:val="center"/>
            <w:hideMark/>
          </w:tcPr>
          <w:p w14:paraId="08C16F5D" w14:textId="77777777" w:rsidR="00EF7B6D" w:rsidRDefault="00EF7B6D">
            <w:pPr>
              <w:jc w:val="right"/>
              <w:rPr>
                <w:rFonts w:eastAsia="Times New Roman" w:cs="Calibri"/>
                <w:color w:val="000000"/>
                <w:lang w:val="en-GB" w:eastAsia="en-GB"/>
              </w:rPr>
            </w:pPr>
            <w:r>
              <w:rPr>
                <w:rFonts w:eastAsia="Times New Roman" w:cs="Calibri"/>
                <w:color w:val="FF0000"/>
                <w:lang w:val="en-GB" w:eastAsia="en-GB"/>
              </w:rPr>
              <w:t>(3.321)</w:t>
            </w:r>
          </w:p>
        </w:tc>
      </w:tr>
      <w:tr w:rsidR="00EF7B6D" w14:paraId="1EB0E310" w14:textId="77777777" w:rsidTr="00EF7B6D">
        <w:trPr>
          <w:trHeight w:val="285"/>
          <w:jc w:val="center"/>
        </w:trPr>
        <w:tc>
          <w:tcPr>
            <w:tcW w:w="3860" w:type="dxa"/>
            <w:tcBorders>
              <w:top w:val="nil"/>
              <w:left w:val="single" w:sz="4" w:space="0" w:color="auto"/>
              <w:bottom w:val="nil"/>
              <w:right w:val="nil"/>
            </w:tcBorders>
            <w:noWrap/>
            <w:vAlign w:val="center"/>
            <w:hideMark/>
          </w:tcPr>
          <w:p w14:paraId="6913CB23" w14:textId="77777777" w:rsidR="00EF7B6D" w:rsidRDefault="00EF7B6D">
            <w:pPr>
              <w:rPr>
                <w:rFonts w:eastAsia="Times New Roman" w:cs="Calibri"/>
                <w:color w:val="000000"/>
                <w:lang w:val="en-GB" w:eastAsia="en-GB"/>
              </w:rPr>
            </w:pPr>
            <w:r>
              <w:rPr>
                <w:rFonts w:eastAsia="Times New Roman" w:cs="Calibri"/>
                <w:color w:val="000000"/>
                <w:lang w:val="en-GB" w:eastAsia="en-GB"/>
              </w:rPr>
              <w:t>ERP</w:t>
            </w:r>
          </w:p>
        </w:tc>
        <w:tc>
          <w:tcPr>
            <w:tcW w:w="1480" w:type="dxa"/>
            <w:tcBorders>
              <w:top w:val="nil"/>
              <w:left w:val="single" w:sz="4" w:space="0" w:color="auto"/>
              <w:bottom w:val="nil"/>
              <w:right w:val="single" w:sz="4" w:space="0" w:color="auto"/>
            </w:tcBorders>
            <w:shd w:val="clear" w:color="auto" w:fill="F2F2F2"/>
            <w:noWrap/>
            <w:vAlign w:val="center"/>
            <w:hideMark/>
          </w:tcPr>
          <w:p w14:paraId="3764EFFB"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c>
          <w:tcPr>
            <w:tcW w:w="1480" w:type="dxa"/>
            <w:tcBorders>
              <w:top w:val="nil"/>
              <w:left w:val="nil"/>
              <w:bottom w:val="nil"/>
              <w:right w:val="single" w:sz="4" w:space="0" w:color="auto"/>
            </w:tcBorders>
            <w:noWrap/>
            <w:vAlign w:val="center"/>
            <w:hideMark/>
          </w:tcPr>
          <w:p w14:paraId="36574A19"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c>
          <w:tcPr>
            <w:tcW w:w="1481" w:type="dxa"/>
            <w:tcBorders>
              <w:top w:val="nil"/>
              <w:left w:val="nil"/>
              <w:bottom w:val="nil"/>
              <w:right w:val="single" w:sz="4" w:space="0" w:color="auto"/>
            </w:tcBorders>
            <w:noWrap/>
            <w:vAlign w:val="center"/>
            <w:hideMark/>
          </w:tcPr>
          <w:p w14:paraId="4DC279B9"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c>
          <w:tcPr>
            <w:tcW w:w="1600" w:type="dxa"/>
            <w:tcBorders>
              <w:top w:val="nil"/>
              <w:left w:val="nil"/>
              <w:bottom w:val="nil"/>
              <w:right w:val="single" w:sz="4" w:space="0" w:color="auto"/>
            </w:tcBorders>
            <w:noWrap/>
            <w:vAlign w:val="center"/>
            <w:hideMark/>
          </w:tcPr>
          <w:p w14:paraId="38C4837A"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1.917</w:t>
            </w:r>
          </w:p>
        </w:tc>
        <w:tc>
          <w:tcPr>
            <w:tcW w:w="1240" w:type="dxa"/>
            <w:tcBorders>
              <w:top w:val="nil"/>
              <w:left w:val="nil"/>
              <w:bottom w:val="nil"/>
              <w:right w:val="single" w:sz="4" w:space="0" w:color="auto"/>
            </w:tcBorders>
            <w:shd w:val="clear" w:color="auto" w:fill="F2F2F2"/>
            <w:noWrap/>
            <w:vAlign w:val="center"/>
            <w:hideMark/>
          </w:tcPr>
          <w:p w14:paraId="65F4ADEB"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1.917</w:t>
            </w:r>
          </w:p>
        </w:tc>
        <w:tc>
          <w:tcPr>
            <w:tcW w:w="1240" w:type="dxa"/>
            <w:tcBorders>
              <w:top w:val="nil"/>
              <w:left w:val="nil"/>
              <w:bottom w:val="nil"/>
              <w:right w:val="single" w:sz="4" w:space="0" w:color="auto"/>
            </w:tcBorders>
            <w:noWrap/>
            <w:vAlign w:val="center"/>
            <w:hideMark/>
          </w:tcPr>
          <w:p w14:paraId="76C0FEF6"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1.917</w:t>
            </w:r>
          </w:p>
        </w:tc>
        <w:tc>
          <w:tcPr>
            <w:tcW w:w="1415" w:type="dxa"/>
            <w:tcBorders>
              <w:top w:val="nil"/>
              <w:left w:val="nil"/>
              <w:bottom w:val="nil"/>
              <w:right w:val="single" w:sz="4" w:space="0" w:color="auto"/>
            </w:tcBorders>
            <w:noWrap/>
            <w:vAlign w:val="center"/>
            <w:hideMark/>
          </w:tcPr>
          <w:p w14:paraId="65022777"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0.000</w:t>
            </w:r>
          </w:p>
        </w:tc>
      </w:tr>
      <w:tr w:rsidR="00EF7B6D" w14:paraId="3F2FE4FF" w14:textId="77777777" w:rsidTr="00EF7B6D">
        <w:trPr>
          <w:trHeight w:val="285"/>
          <w:jc w:val="center"/>
        </w:trPr>
        <w:tc>
          <w:tcPr>
            <w:tcW w:w="3860" w:type="dxa"/>
            <w:tcBorders>
              <w:top w:val="nil"/>
              <w:left w:val="single" w:sz="4" w:space="0" w:color="auto"/>
              <w:bottom w:val="nil"/>
              <w:right w:val="nil"/>
            </w:tcBorders>
            <w:noWrap/>
            <w:vAlign w:val="center"/>
            <w:hideMark/>
          </w:tcPr>
          <w:p w14:paraId="0303A6B2" w14:textId="77777777" w:rsidR="00EF7B6D" w:rsidRDefault="00EF7B6D">
            <w:pPr>
              <w:rPr>
                <w:rFonts w:eastAsia="Times New Roman" w:cs="Calibri"/>
                <w:color w:val="000000"/>
                <w:lang w:val="en-GB" w:eastAsia="en-GB"/>
              </w:rPr>
            </w:pPr>
            <w:r>
              <w:rPr>
                <w:rFonts w:eastAsia="Times New Roman" w:cs="Calibri"/>
                <w:color w:val="000000"/>
                <w:lang w:val="en-GB" w:eastAsia="en-GB"/>
              </w:rPr>
              <w:t>Commercial and Financial</w:t>
            </w:r>
          </w:p>
        </w:tc>
        <w:tc>
          <w:tcPr>
            <w:tcW w:w="1480" w:type="dxa"/>
            <w:tcBorders>
              <w:top w:val="nil"/>
              <w:left w:val="single" w:sz="4" w:space="0" w:color="auto"/>
              <w:bottom w:val="nil"/>
              <w:right w:val="single" w:sz="4" w:space="0" w:color="auto"/>
            </w:tcBorders>
            <w:shd w:val="clear" w:color="auto" w:fill="F2F2F2"/>
            <w:noWrap/>
            <w:vAlign w:val="center"/>
            <w:hideMark/>
          </w:tcPr>
          <w:p w14:paraId="3E1EB1E3"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5.032</w:t>
            </w:r>
          </w:p>
        </w:tc>
        <w:tc>
          <w:tcPr>
            <w:tcW w:w="1480" w:type="dxa"/>
            <w:tcBorders>
              <w:top w:val="nil"/>
              <w:left w:val="nil"/>
              <w:bottom w:val="nil"/>
              <w:right w:val="single" w:sz="4" w:space="0" w:color="auto"/>
            </w:tcBorders>
            <w:noWrap/>
            <w:vAlign w:val="center"/>
            <w:hideMark/>
          </w:tcPr>
          <w:p w14:paraId="3A9B2649"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0.235</w:t>
            </w:r>
          </w:p>
        </w:tc>
        <w:tc>
          <w:tcPr>
            <w:tcW w:w="1481" w:type="dxa"/>
            <w:tcBorders>
              <w:top w:val="nil"/>
              <w:left w:val="nil"/>
              <w:bottom w:val="nil"/>
              <w:right w:val="single" w:sz="4" w:space="0" w:color="auto"/>
            </w:tcBorders>
            <w:noWrap/>
            <w:vAlign w:val="center"/>
            <w:hideMark/>
          </w:tcPr>
          <w:p w14:paraId="6D18A0AC"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0.260</w:t>
            </w:r>
          </w:p>
        </w:tc>
        <w:tc>
          <w:tcPr>
            <w:tcW w:w="1600" w:type="dxa"/>
            <w:tcBorders>
              <w:top w:val="nil"/>
              <w:left w:val="nil"/>
              <w:bottom w:val="nil"/>
              <w:right w:val="single" w:sz="4" w:space="0" w:color="auto"/>
            </w:tcBorders>
            <w:noWrap/>
            <w:vAlign w:val="center"/>
            <w:hideMark/>
          </w:tcPr>
          <w:p w14:paraId="64D8E4BD"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c>
          <w:tcPr>
            <w:tcW w:w="1240" w:type="dxa"/>
            <w:tcBorders>
              <w:top w:val="nil"/>
              <w:left w:val="nil"/>
              <w:bottom w:val="nil"/>
              <w:right w:val="single" w:sz="4" w:space="0" w:color="auto"/>
            </w:tcBorders>
            <w:shd w:val="clear" w:color="auto" w:fill="F2F2F2"/>
            <w:noWrap/>
            <w:vAlign w:val="center"/>
            <w:hideMark/>
          </w:tcPr>
          <w:p w14:paraId="6FCC030B"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5.527</w:t>
            </w:r>
          </w:p>
        </w:tc>
        <w:tc>
          <w:tcPr>
            <w:tcW w:w="1240" w:type="dxa"/>
            <w:tcBorders>
              <w:top w:val="nil"/>
              <w:left w:val="nil"/>
              <w:bottom w:val="nil"/>
              <w:right w:val="single" w:sz="4" w:space="0" w:color="auto"/>
            </w:tcBorders>
            <w:noWrap/>
            <w:vAlign w:val="center"/>
            <w:hideMark/>
          </w:tcPr>
          <w:p w14:paraId="009DBBC7"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4.478</w:t>
            </w:r>
          </w:p>
        </w:tc>
        <w:tc>
          <w:tcPr>
            <w:tcW w:w="1415" w:type="dxa"/>
            <w:tcBorders>
              <w:top w:val="nil"/>
              <w:left w:val="nil"/>
              <w:bottom w:val="nil"/>
              <w:right w:val="single" w:sz="4" w:space="0" w:color="auto"/>
            </w:tcBorders>
            <w:noWrap/>
            <w:vAlign w:val="center"/>
            <w:hideMark/>
          </w:tcPr>
          <w:p w14:paraId="3E3981A8" w14:textId="77777777" w:rsidR="00EF7B6D" w:rsidRDefault="00EF7B6D">
            <w:pPr>
              <w:jc w:val="right"/>
              <w:rPr>
                <w:rFonts w:eastAsia="Times New Roman" w:cs="Calibri"/>
                <w:color w:val="000000"/>
                <w:lang w:val="en-GB" w:eastAsia="en-GB"/>
              </w:rPr>
            </w:pPr>
            <w:r>
              <w:rPr>
                <w:rFonts w:eastAsia="Times New Roman" w:cs="Calibri"/>
                <w:color w:val="FF0000"/>
                <w:lang w:val="en-GB" w:eastAsia="en-GB"/>
              </w:rPr>
              <w:t>(1.049)</w:t>
            </w:r>
          </w:p>
        </w:tc>
      </w:tr>
      <w:tr w:rsidR="00EF7B6D" w14:paraId="7A0852D5" w14:textId="77777777" w:rsidTr="00EF7B6D">
        <w:trPr>
          <w:trHeight w:val="285"/>
          <w:jc w:val="center"/>
        </w:trPr>
        <w:tc>
          <w:tcPr>
            <w:tcW w:w="3860" w:type="dxa"/>
            <w:tcBorders>
              <w:top w:val="nil"/>
              <w:left w:val="single" w:sz="4" w:space="0" w:color="auto"/>
              <w:bottom w:val="nil"/>
              <w:right w:val="nil"/>
            </w:tcBorders>
            <w:noWrap/>
            <w:vAlign w:val="center"/>
            <w:hideMark/>
          </w:tcPr>
          <w:p w14:paraId="2B70DD36" w14:textId="77777777" w:rsidR="00EF7B6D" w:rsidRDefault="00EF7B6D">
            <w:pPr>
              <w:rPr>
                <w:rFonts w:eastAsia="Times New Roman" w:cs="Calibri"/>
                <w:color w:val="000000"/>
                <w:lang w:val="en-GB" w:eastAsia="en-GB"/>
              </w:rPr>
            </w:pPr>
            <w:r>
              <w:rPr>
                <w:rFonts w:eastAsia="Times New Roman" w:cs="Calibri"/>
                <w:color w:val="000000"/>
                <w:lang w:val="en-GB" w:eastAsia="en-GB"/>
              </w:rPr>
              <w:t>Specialist Crime</w:t>
            </w:r>
          </w:p>
        </w:tc>
        <w:tc>
          <w:tcPr>
            <w:tcW w:w="1480" w:type="dxa"/>
            <w:tcBorders>
              <w:top w:val="nil"/>
              <w:left w:val="single" w:sz="4" w:space="0" w:color="auto"/>
              <w:bottom w:val="nil"/>
              <w:right w:val="single" w:sz="4" w:space="0" w:color="auto"/>
            </w:tcBorders>
            <w:shd w:val="clear" w:color="auto" w:fill="F2F2F2"/>
            <w:noWrap/>
            <w:vAlign w:val="center"/>
            <w:hideMark/>
          </w:tcPr>
          <w:p w14:paraId="23E31A8A"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0.326</w:t>
            </w:r>
          </w:p>
        </w:tc>
        <w:tc>
          <w:tcPr>
            <w:tcW w:w="1480" w:type="dxa"/>
            <w:tcBorders>
              <w:top w:val="nil"/>
              <w:left w:val="nil"/>
              <w:bottom w:val="nil"/>
              <w:right w:val="single" w:sz="4" w:space="0" w:color="auto"/>
            </w:tcBorders>
            <w:noWrap/>
            <w:vAlign w:val="center"/>
            <w:hideMark/>
          </w:tcPr>
          <w:p w14:paraId="5A7DE344"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c>
          <w:tcPr>
            <w:tcW w:w="1481" w:type="dxa"/>
            <w:tcBorders>
              <w:top w:val="nil"/>
              <w:left w:val="nil"/>
              <w:bottom w:val="nil"/>
              <w:right w:val="single" w:sz="4" w:space="0" w:color="auto"/>
            </w:tcBorders>
            <w:noWrap/>
            <w:vAlign w:val="center"/>
            <w:hideMark/>
          </w:tcPr>
          <w:p w14:paraId="2A849E51"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c>
          <w:tcPr>
            <w:tcW w:w="1600" w:type="dxa"/>
            <w:tcBorders>
              <w:top w:val="nil"/>
              <w:left w:val="nil"/>
              <w:bottom w:val="nil"/>
              <w:right w:val="single" w:sz="4" w:space="0" w:color="auto"/>
            </w:tcBorders>
            <w:noWrap/>
            <w:vAlign w:val="center"/>
            <w:hideMark/>
          </w:tcPr>
          <w:p w14:paraId="3CBA5182"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c>
          <w:tcPr>
            <w:tcW w:w="1240" w:type="dxa"/>
            <w:tcBorders>
              <w:top w:val="nil"/>
              <w:left w:val="nil"/>
              <w:bottom w:val="nil"/>
              <w:right w:val="single" w:sz="4" w:space="0" w:color="auto"/>
            </w:tcBorders>
            <w:shd w:val="clear" w:color="auto" w:fill="F2F2F2"/>
            <w:noWrap/>
            <w:vAlign w:val="center"/>
            <w:hideMark/>
          </w:tcPr>
          <w:p w14:paraId="52D5B806"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0.326</w:t>
            </w:r>
          </w:p>
        </w:tc>
        <w:tc>
          <w:tcPr>
            <w:tcW w:w="1240" w:type="dxa"/>
            <w:tcBorders>
              <w:top w:val="nil"/>
              <w:left w:val="nil"/>
              <w:bottom w:val="nil"/>
              <w:right w:val="single" w:sz="4" w:space="0" w:color="auto"/>
            </w:tcBorders>
            <w:noWrap/>
            <w:vAlign w:val="center"/>
            <w:hideMark/>
          </w:tcPr>
          <w:p w14:paraId="6C01A92D"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0.232</w:t>
            </w:r>
          </w:p>
        </w:tc>
        <w:tc>
          <w:tcPr>
            <w:tcW w:w="1415" w:type="dxa"/>
            <w:tcBorders>
              <w:top w:val="nil"/>
              <w:left w:val="nil"/>
              <w:bottom w:val="nil"/>
              <w:right w:val="single" w:sz="4" w:space="0" w:color="auto"/>
            </w:tcBorders>
            <w:noWrap/>
            <w:vAlign w:val="center"/>
            <w:hideMark/>
          </w:tcPr>
          <w:p w14:paraId="16C40BE0" w14:textId="77777777" w:rsidR="00EF7B6D" w:rsidRDefault="00EF7B6D">
            <w:pPr>
              <w:jc w:val="right"/>
              <w:rPr>
                <w:rFonts w:eastAsia="Times New Roman" w:cs="Calibri"/>
                <w:color w:val="000000"/>
                <w:lang w:val="en-GB" w:eastAsia="en-GB"/>
              </w:rPr>
            </w:pPr>
            <w:r>
              <w:rPr>
                <w:rFonts w:eastAsia="Times New Roman" w:cs="Calibri"/>
                <w:color w:val="FF0000"/>
                <w:lang w:val="en-GB" w:eastAsia="en-GB"/>
              </w:rPr>
              <w:t>(0.094)</w:t>
            </w:r>
          </w:p>
        </w:tc>
      </w:tr>
      <w:tr w:rsidR="00EF7B6D" w14:paraId="0C6F48E4" w14:textId="77777777" w:rsidTr="00EF7B6D">
        <w:trPr>
          <w:trHeight w:val="285"/>
          <w:jc w:val="center"/>
        </w:trPr>
        <w:tc>
          <w:tcPr>
            <w:tcW w:w="3860" w:type="dxa"/>
            <w:tcBorders>
              <w:top w:val="nil"/>
              <w:left w:val="single" w:sz="4" w:space="0" w:color="auto"/>
              <w:bottom w:val="nil"/>
              <w:right w:val="nil"/>
            </w:tcBorders>
            <w:noWrap/>
            <w:vAlign w:val="center"/>
            <w:hideMark/>
          </w:tcPr>
          <w:p w14:paraId="2C5EBA01" w14:textId="77777777" w:rsidR="00EF7B6D" w:rsidRDefault="00EF7B6D">
            <w:pPr>
              <w:rPr>
                <w:rFonts w:eastAsia="Times New Roman" w:cs="Calibri"/>
                <w:color w:val="000000"/>
                <w:lang w:val="en-GB" w:eastAsia="en-GB"/>
              </w:rPr>
            </w:pPr>
            <w:r>
              <w:rPr>
                <w:rFonts w:eastAsia="Times New Roman" w:cs="Calibri"/>
                <w:color w:val="000000"/>
                <w:lang w:val="en-GB" w:eastAsia="en-GB"/>
              </w:rPr>
              <w:t>Operations</w:t>
            </w:r>
          </w:p>
        </w:tc>
        <w:tc>
          <w:tcPr>
            <w:tcW w:w="1480" w:type="dxa"/>
            <w:tcBorders>
              <w:top w:val="nil"/>
              <w:left w:val="single" w:sz="4" w:space="0" w:color="auto"/>
              <w:bottom w:val="nil"/>
              <w:right w:val="single" w:sz="4" w:space="0" w:color="auto"/>
            </w:tcBorders>
            <w:shd w:val="clear" w:color="auto" w:fill="F2F2F2"/>
            <w:noWrap/>
            <w:vAlign w:val="center"/>
            <w:hideMark/>
          </w:tcPr>
          <w:p w14:paraId="49127F52"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0.624</w:t>
            </w:r>
          </w:p>
        </w:tc>
        <w:tc>
          <w:tcPr>
            <w:tcW w:w="1480" w:type="dxa"/>
            <w:tcBorders>
              <w:top w:val="nil"/>
              <w:left w:val="nil"/>
              <w:bottom w:val="nil"/>
              <w:right w:val="single" w:sz="4" w:space="0" w:color="auto"/>
            </w:tcBorders>
            <w:noWrap/>
            <w:vAlign w:val="center"/>
            <w:hideMark/>
          </w:tcPr>
          <w:p w14:paraId="65AB4727"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c>
          <w:tcPr>
            <w:tcW w:w="1481" w:type="dxa"/>
            <w:tcBorders>
              <w:top w:val="nil"/>
              <w:left w:val="nil"/>
              <w:bottom w:val="nil"/>
              <w:right w:val="single" w:sz="4" w:space="0" w:color="auto"/>
            </w:tcBorders>
            <w:noWrap/>
            <w:vAlign w:val="center"/>
            <w:hideMark/>
          </w:tcPr>
          <w:p w14:paraId="76D57F40"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0.200</w:t>
            </w:r>
          </w:p>
        </w:tc>
        <w:tc>
          <w:tcPr>
            <w:tcW w:w="1600" w:type="dxa"/>
            <w:tcBorders>
              <w:top w:val="nil"/>
              <w:left w:val="nil"/>
              <w:bottom w:val="nil"/>
              <w:right w:val="single" w:sz="4" w:space="0" w:color="auto"/>
            </w:tcBorders>
            <w:noWrap/>
            <w:vAlign w:val="center"/>
            <w:hideMark/>
          </w:tcPr>
          <w:p w14:paraId="777FC384"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c>
          <w:tcPr>
            <w:tcW w:w="1240" w:type="dxa"/>
            <w:tcBorders>
              <w:top w:val="nil"/>
              <w:left w:val="nil"/>
              <w:bottom w:val="nil"/>
              <w:right w:val="single" w:sz="4" w:space="0" w:color="auto"/>
            </w:tcBorders>
            <w:shd w:val="clear" w:color="auto" w:fill="F2F2F2"/>
            <w:noWrap/>
            <w:vAlign w:val="center"/>
            <w:hideMark/>
          </w:tcPr>
          <w:p w14:paraId="7B7C9629"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0.824</w:t>
            </w:r>
          </w:p>
        </w:tc>
        <w:tc>
          <w:tcPr>
            <w:tcW w:w="1240" w:type="dxa"/>
            <w:tcBorders>
              <w:top w:val="nil"/>
              <w:left w:val="nil"/>
              <w:bottom w:val="nil"/>
              <w:right w:val="single" w:sz="4" w:space="0" w:color="auto"/>
            </w:tcBorders>
            <w:noWrap/>
            <w:vAlign w:val="center"/>
            <w:hideMark/>
          </w:tcPr>
          <w:p w14:paraId="7599A2CB"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1.089</w:t>
            </w:r>
          </w:p>
        </w:tc>
        <w:tc>
          <w:tcPr>
            <w:tcW w:w="1415" w:type="dxa"/>
            <w:tcBorders>
              <w:top w:val="nil"/>
              <w:left w:val="nil"/>
              <w:bottom w:val="nil"/>
              <w:right w:val="single" w:sz="4" w:space="0" w:color="auto"/>
            </w:tcBorders>
            <w:noWrap/>
            <w:vAlign w:val="center"/>
            <w:hideMark/>
          </w:tcPr>
          <w:p w14:paraId="22074859"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0.265</w:t>
            </w:r>
          </w:p>
        </w:tc>
      </w:tr>
      <w:tr w:rsidR="00EF7B6D" w14:paraId="0093912E" w14:textId="77777777" w:rsidTr="00EF7B6D">
        <w:trPr>
          <w:trHeight w:val="285"/>
          <w:jc w:val="center"/>
        </w:trPr>
        <w:tc>
          <w:tcPr>
            <w:tcW w:w="3860" w:type="dxa"/>
            <w:tcBorders>
              <w:top w:val="nil"/>
              <w:left w:val="single" w:sz="4" w:space="0" w:color="auto"/>
              <w:bottom w:val="nil"/>
              <w:right w:val="nil"/>
            </w:tcBorders>
            <w:noWrap/>
            <w:vAlign w:val="center"/>
            <w:hideMark/>
          </w:tcPr>
          <w:p w14:paraId="244BFC0A" w14:textId="77777777" w:rsidR="00EF7B6D" w:rsidRDefault="00EF7B6D">
            <w:pPr>
              <w:rPr>
                <w:rFonts w:eastAsia="Times New Roman" w:cs="Calibri"/>
                <w:color w:val="000000"/>
                <w:lang w:val="en-GB" w:eastAsia="en-GB"/>
              </w:rPr>
            </w:pPr>
            <w:r>
              <w:rPr>
                <w:rFonts w:eastAsia="Times New Roman" w:cs="Calibri"/>
                <w:color w:val="000000"/>
                <w:lang w:val="en-GB" w:eastAsia="en-GB"/>
              </w:rPr>
              <w:t>Corporate Services (inc Estates)</w:t>
            </w:r>
          </w:p>
        </w:tc>
        <w:tc>
          <w:tcPr>
            <w:tcW w:w="1480" w:type="dxa"/>
            <w:tcBorders>
              <w:top w:val="nil"/>
              <w:left w:val="single" w:sz="4" w:space="0" w:color="auto"/>
              <w:bottom w:val="nil"/>
              <w:right w:val="single" w:sz="4" w:space="0" w:color="auto"/>
            </w:tcBorders>
            <w:shd w:val="clear" w:color="auto" w:fill="F2F2F2"/>
            <w:noWrap/>
            <w:vAlign w:val="center"/>
            <w:hideMark/>
          </w:tcPr>
          <w:p w14:paraId="1210E1BB"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4.047</w:t>
            </w:r>
          </w:p>
        </w:tc>
        <w:tc>
          <w:tcPr>
            <w:tcW w:w="1480" w:type="dxa"/>
            <w:tcBorders>
              <w:top w:val="nil"/>
              <w:left w:val="nil"/>
              <w:bottom w:val="nil"/>
              <w:right w:val="single" w:sz="4" w:space="0" w:color="auto"/>
            </w:tcBorders>
            <w:noWrap/>
            <w:vAlign w:val="center"/>
            <w:hideMark/>
          </w:tcPr>
          <w:p w14:paraId="2CB06B19" w14:textId="77777777" w:rsidR="00EF7B6D" w:rsidRDefault="00EF7B6D">
            <w:pPr>
              <w:jc w:val="right"/>
              <w:rPr>
                <w:rFonts w:eastAsia="Times New Roman" w:cs="Calibri"/>
                <w:color w:val="000000"/>
                <w:lang w:val="en-GB" w:eastAsia="en-GB"/>
              </w:rPr>
            </w:pPr>
            <w:r>
              <w:rPr>
                <w:rFonts w:eastAsia="Times New Roman" w:cs="Calibri"/>
                <w:color w:val="FF0000"/>
                <w:lang w:val="en-GB" w:eastAsia="en-GB"/>
              </w:rPr>
              <w:t>(0.082)</w:t>
            </w:r>
          </w:p>
        </w:tc>
        <w:tc>
          <w:tcPr>
            <w:tcW w:w="1481" w:type="dxa"/>
            <w:tcBorders>
              <w:top w:val="nil"/>
              <w:left w:val="nil"/>
              <w:bottom w:val="nil"/>
              <w:right w:val="single" w:sz="4" w:space="0" w:color="auto"/>
            </w:tcBorders>
            <w:noWrap/>
            <w:vAlign w:val="center"/>
            <w:hideMark/>
          </w:tcPr>
          <w:p w14:paraId="07095F59" w14:textId="77777777" w:rsidR="00EF7B6D" w:rsidRDefault="00EF7B6D">
            <w:pPr>
              <w:jc w:val="right"/>
              <w:rPr>
                <w:rFonts w:eastAsia="Times New Roman" w:cs="Calibri"/>
                <w:color w:val="000000"/>
                <w:lang w:val="en-GB" w:eastAsia="en-GB"/>
              </w:rPr>
            </w:pPr>
            <w:r>
              <w:rPr>
                <w:rFonts w:eastAsia="Times New Roman" w:cs="Calibri"/>
                <w:color w:val="FF0000"/>
                <w:lang w:val="en-GB" w:eastAsia="en-GB"/>
              </w:rPr>
              <w:t>(0.200)</w:t>
            </w:r>
          </w:p>
        </w:tc>
        <w:tc>
          <w:tcPr>
            <w:tcW w:w="1600" w:type="dxa"/>
            <w:tcBorders>
              <w:top w:val="nil"/>
              <w:left w:val="nil"/>
              <w:bottom w:val="nil"/>
              <w:right w:val="single" w:sz="4" w:space="0" w:color="auto"/>
            </w:tcBorders>
            <w:noWrap/>
            <w:vAlign w:val="center"/>
            <w:hideMark/>
          </w:tcPr>
          <w:p w14:paraId="0D9B94D4"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c>
          <w:tcPr>
            <w:tcW w:w="1240" w:type="dxa"/>
            <w:tcBorders>
              <w:top w:val="nil"/>
              <w:left w:val="nil"/>
              <w:bottom w:val="nil"/>
              <w:right w:val="single" w:sz="4" w:space="0" w:color="auto"/>
            </w:tcBorders>
            <w:shd w:val="clear" w:color="auto" w:fill="F2F2F2"/>
            <w:noWrap/>
            <w:vAlign w:val="center"/>
            <w:hideMark/>
          </w:tcPr>
          <w:p w14:paraId="24A94509"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3.765</w:t>
            </w:r>
          </w:p>
        </w:tc>
        <w:tc>
          <w:tcPr>
            <w:tcW w:w="1240" w:type="dxa"/>
            <w:tcBorders>
              <w:top w:val="nil"/>
              <w:left w:val="nil"/>
              <w:bottom w:val="nil"/>
              <w:right w:val="single" w:sz="4" w:space="0" w:color="auto"/>
            </w:tcBorders>
            <w:noWrap/>
            <w:vAlign w:val="center"/>
            <w:hideMark/>
          </w:tcPr>
          <w:p w14:paraId="0CCA30B5"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1.627</w:t>
            </w:r>
          </w:p>
        </w:tc>
        <w:tc>
          <w:tcPr>
            <w:tcW w:w="1415" w:type="dxa"/>
            <w:tcBorders>
              <w:top w:val="nil"/>
              <w:left w:val="nil"/>
              <w:bottom w:val="nil"/>
              <w:right w:val="single" w:sz="4" w:space="0" w:color="auto"/>
            </w:tcBorders>
            <w:noWrap/>
            <w:vAlign w:val="center"/>
            <w:hideMark/>
          </w:tcPr>
          <w:p w14:paraId="43BB3957" w14:textId="77777777" w:rsidR="00EF7B6D" w:rsidRDefault="00EF7B6D">
            <w:pPr>
              <w:jc w:val="right"/>
              <w:rPr>
                <w:rFonts w:eastAsia="Times New Roman" w:cs="Calibri"/>
                <w:color w:val="000000"/>
                <w:lang w:val="en-GB" w:eastAsia="en-GB"/>
              </w:rPr>
            </w:pPr>
            <w:r>
              <w:rPr>
                <w:rFonts w:eastAsia="Times New Roman" w:cs="Calibri"/>
                <w:color w:val="FF0000"/>
                <w:lang w:val="en-GB" w:eastAsia="en-GB"/>
              </w:rPr>
              <w:t>(2.138)</w:t>
            </w:r>
          </w:p>
        </w:tc>
      </w:tr>
      <w:tr w:rsidR="00EF7B6D" w14:paraId="5CD07256" w14:textId="77777777" w:rsidTr="00EF7B6D">
        <w:trPr>
          <w:trHeight w:val="285"/>
          <w:jc w:val="center"/>
        </w:trPr>
        <w:tc>
          <w:tcPr>
            <w:tcW w:w="3860" w:type="dxa"/>
            <w:tcBorders>
              <w:top w:val="nil"/>
              <w:left w:val="single" w:sz="4" w:space="0" w:color="auto"/>
              <w:bottom w:val="nil"/>
              <w:right w:val="nil"/>
            </w:tcBorders>
            <w:noWrap/>
            <w:vAlign w:val="center"/>
            <w:hideMark/>
          </w:tcPr>
          <w:p w14:paraId="38354BA2" w14:textId="77777777" w:rsidR="00EF7B6D" w:rsidRDefault="00EF7B6D">
            <w:pPr>
              <w:rPr>
                <w:rFonts w:eastAsia="Times New Roman" w:cs="Calibri"/>
                <w:color w:val="000000"/>
                <w:lang w:val="en-GB" w:eastAsia="en-GB"/>
              </w:rPr>
            </w:pPr>
            <w:r>
              <w:rPr>
                <w:rFonts w:eastAsia="Times New Roman" w:cs="Calibri"/>
                <w:color w:val="000000"/>
                <w:lang w:val="en-GB" w:eastAsia="en-GB"/>
              </w:rPr>
              <w:t>Contact</w:t>
            </w:r>
          </w:p>
        </w:tc>
        <w:tc>
          <w:tcPr>
            <w:tcW w:w="1480" w:type="dxa"/>
            <w:tcBorders>
              <w:top w:val="nil"/>
              <w:left w:val="single" w:sz="4" w:space="0" w:color="auto"/>
              <w:bottom w:val="nil"/>
              <w:right w:val="single" w:sz="4" w:space="0" w:color="auto"/>
            </w:tcBorders>
            <w:shd w:val="clear" w:color="auto" w:fill="F2F2F2"/>
            <w:noWrap/>
            <w:vAlign w:val="center"/>
            <w:hideMark/>
          </w:tcPr>
          <w:p w14:paraId="6FA348FC"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0.845</w:t>
            </w:r>
          </w:p>
        </w:tc>
        <w:tc>
          <w:tcPr>
            <w:tcW w:w="1480" w:type="dxa"/>
            <w:tcBorders>
              <w:top w:val="nil"/>
              <w:left w:val="nil"/>
              <w:bottom w:val="nil"/>
              <w:right w:val="single" w:sz="4" w:space="0" w:color="auto"/>
            </w:tcBorders>
            <w:noWrap/>
            <w:vAlign w:val="center"/>
            <w:hideMark/>
          </w:tcPr>
          <w:p w14:paraId="6633ED9F"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0.015</w:t>
            </w:r>
          </w:p>
        </w:tc>
        <w:tc>
          <w:tcPr>
            <w:tcW w:w="1481" w:type="dxa"/>
            <w:tcBorders>
              <w:top w:val="nil"/>
              <w:left w:val="nil"/>
              <w:bottom w:val="nil"/>
              <w:right w:val="single" w:sz="4" w:space="0" w:color="auto"/>
            </w:tcBorders>
            <w:noWrap/>
            <w:vAlign w:val="center"/>
            <w:hideMark/>
          </w:tcPr>
          <w:p w14:paraId="712FD330"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0.436</w:t>
            </w:r>
          </w:p>
        </w:tc>
        <w:tc>
          <w:tcPr>
            <w:tcW w:w="1600" w:type="dxa"/>
            <w:tcBorders>
              <w:top w:val="nil"/>
              <w:left w:val="nil"/>
              <w:bottom w:val="nil"/>
              <w:right w:val="single" w:sz="4" w:space="0" w:color="auto"/>
            </w:tcBorders>
            <w:noWrap/>
            <w:vAlign w:val="center"/>
            <w:hideMark/>
          </w:tcPr>
          <w:p w14:paraId="52C5BDE4"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c>
          <w:tcPr>
            <w:tcW w:w="1240" w:type="dxa"/>
            <w:tcBorders>
              <w:top w:val="nil"/>
              <w:left w:val="nil"/>
              <w:bottom w:val="nil"/>
              <w:right w:val="single" w:sz="4" w:space="0" w:color="auto"/>
            </w:tcBorders>
            <w:shd w:val="clear" w:color="auto" w:fill="F2F2F2"/>
            <w:noWrap/>
            <w:vAlign w:val="center"/>
            <w:hideMark/>
          </w:tcPr>
          <w:p w14:paraId="0712AB93"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1.296</w:t>
            </w:r>
          </w:p>
        </w:tc>
        <w:tc>
          <w:tcPr>
            <w:tcW w:w="1240" w:type="dxa"/>
            <w:tcBorders>
              <w:top w:val="nil"/>
              <w:left w:val="nil"/>
              <w:bottom w:val="nil"/>
              <w:right w:val="single" w:sz="4" w:space="0" w:color="auto"/>
            </w:tcBorders>
            <w:noWrap/>
            <w:vAlign w:val="center"/>
            <w:hideMark/>
          </w:tcPr>
          <w:p w14:paraId="724CCE69"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0.886</w:t>
            </w:r>
          </w:p>
        </w:tc>
        <w:tc>
          <w:tcPr>
            <w:tcW w:w="1415" w:type="dxa"/>
            <w:tcBorders>
              <w:top w:val="nil"/>
              <w:left w:val="nil"/>
              <w:bottom w:val="nil"/>
              <w:right w:val="single" w:sz="4" w:space="0" w:color="auto"/>
            </w:tcBorders>
            <w:noWrap/>
            <w:vAlign w:val="center"/>
            <w:hideMark/>
          </w:tcPr>
          <w:p w14:paraId="07979233" w14:textId="77777777" w:rsidR="00EF7B6D" w:rsidRDefault="00EF7B6D">
            <w:pPr>
              <w:jc w:val="right"/>
              <w:rPr>
                <w:rFonts w:eastAsia="Times New Roman" w:cs="Calibri"/>
                <w:color w:val="000000"/>
                <w:lang w:val="en-GB" w:eastAsia="en-GB"/>
              </w:rPr>
            </w:pPr>
            <w:r>
              <w:rPr>
                <w:rFonts w:eastAsia="Times New Roman" w:cs="Calibri"/>
                <w:color w:val="FF0000"/>
                <w:lang w:val="en-GB" w:eastAsia="en-GB"/>
              </w:rPr>
              <w:t>(0.410)</w:t>
            </w:r>
          </w:p>
        </w:tc>
      </w:tr>
      <w:tr w:rsidR="00EF7B6D" w14:paraId="3305E6CE" w14:textId="77777777" w:rsidTr="00EF7B6D">
        <w:trPr>
          <w:trHeight w:val="285"/>
          <w:jc w:val="center"/>
        </w:trPr>
        <w:tc>
          <w:tcPr>
            <w:tcW w:w="3860" w:type="dxa"/>
            <w:tcBorders>
              <w:top w:val="nil"/>
              <w:left w:val="single" w:sz="4" w:space="0" w:color="auto"/>
              <w:bottom w:val="nil"/>
              <w:right w:val="nil"/>
            </w:tcBorders>
            <w:noWrap/>
            <w:vAlign w:val="center"/>
            <w:hideMark/>
          </w:tcPr>
          <w:p w14:paraId="43BF35D8" w14:textId="77777777" w:rsidR="00EF7B6D" w:rsidRDefault="00EF7B6D">
            <w:pPr>
              <w:rPr>
                <w:rFonts w:eastAsia="Times New Roman" w:cs="Calibri"/>
                <w:color w:val="000000"/>
                <w:lang w:val="en-GB" w:eastAsia="en-GB"/>
              </w:rPr>
            </w:pPr>
            <w:r>
              <w:rPr>
                <w:rFonts w:eastAsia="Times New Roman" w:cs="Calibri"/>
                <w:color w:val="000000"/>
                <w:lang w:val="en-GB" w:eastAsia="en-GB"/>
              </w:rPr>
              <w:t>Other</w:t>
            </w:r>
          </w:p>
        </w:tc>
        <w:tc>
          <w:tcPr>
            <w:tcW w:w="1480" w:type="dxa"/>
            <w:tcBorders>
              <w:top w:val="nil"/>
              <w:left w:val="single" w:sz="4" w:space="0" w:color="auto"/>
              <w:bottom w:val="nil"/>
              <w:right w:val="single" w:sz="4" w:space="0" w:color="auto"/>
            </w:tcBorders>
            <w:shd w:val="clear" w:color="auto" w:fill="F2F2F2"/>
            <w:noWrap/>
            <w:vAlign w:val="center"/>
            <w:hideMark/>
          </w:tcPr>
          <w:p w14:paraId="198168D4" w14:textId="77777777" w:rsidR="00EF7B6D" w:rsidRDefault="00EF7B6D">
            <w:pPr>
              <w:jc w:val="right"/>
              <w:rPr>
                <w:rFonts w:eastAsia="Times New Roman" w:cs="Calibri"/>
                <w:color w:val="000000"/>
                <w:lang w:val="en-GB" w:eastAsia="en-GB"/>
              </w:rPr>
            </w:pPr>
            <w:r>
              <w:rPr>
                <w:rFonts w:eastAsia="Times New Roman" w:cs="Calibri"/>
                <w:color w:val="000000"/>
                <w:lang w:val="en-GB" w:eastAsia="en-GB"/>
              </w:rPr>
              <w:t>1.056</w:t>
            </w:r>
          </w:p>
        </w:tc>
        <w:tc>
          <w:tcPr>
            <w:tcW w:w="1480" w:type="dxa"/>
            <w:tcBorders>
              <w:top w:val="nil"/>
              <w:left w:val="nil"/>
              <w:bottom w:val="nil"/>
              <w:right w:val="single" w:sz="4" w:space="0" w:color="auto"/>
            </w:tcBorders>
            <w:noWrap/>
            <w:vAlign w:val="center"/>
            <w:hideMark/>
          </w:tcPr>
          <w:p w14:paraId="149F39D3"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c>
          <w:tcPr>
            <w:tcW w:w="1481" w:type="dxa"/>
            <w:tcBorders>
              <w:top w:val="nil"/>
              <w:left w:val="nil"/>
              <w:bottom w:val="nil"/>
              <w:right w:val="single" w:sz="4" w:space="0" w:color="auto"/>
            </w:tcBorders>
            <w:noWrap/>
            <w:vAlign w:val="center"/>
            <w:hideMark/>
          </w:tcPr>
          <w:p w14:paraId="3B7A1EF5" w14:textId="77777777" w:rsidR="00EF7B6D" w:rsidRDefault="00EF7B6D">
            <w:pPr>
              <w:jc w:val="right"/>
              <w:rPr>
                <w:rFonts w:eastAsia="Times New Roman" w:cs="Calibri"/>
                <w:color w:val="000000"/>
                <w:lang w:val="en-GB" w:eastAsia="en-GB"/>
              </w:rPr>
            </w:pPr>
            <w:r>
              <w:rPr>
                <w:rFonts w:eastAsia="Times New Roman" w:cs="Calibri"/>
                <w:color w:val="FF0000"/>
                <w:lang w:val="en-GB" w:eastAsia="en-GB"/>
              </w:rPr>
              <w:t>(1.056)</w:t>
            </w:r>
          </w:p>
        </w:tc>
        <w:tc>
          <w:tcPr>
            <w:tcW w:w="1600" w:type="dxa"/>
            <w:tcBorders>
              <w:top w:val="nil"/>
              <w:left w:val="nil"/>
              <w:bottom w:val="nil"/>
              <w:right w:val="single" w:sz="4" w:space="0" w:color="auto"/>
            </w:tcBorders>
            <w:noWrap/>
            <w:vAlign w:val="center"/>
            <w:hideMark/>
          </w:tcPr>
          <w:p w14:paraId="57026589"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c>
          <w:tcPr>
            <w:tcW w:w="1240" w:type="dxa"/>
            <w:tcBorders>
              <w:top w:val="nil"/>
              <w:left w:val="nil"/>
              <w:bottom w:val="nil"/>
              <w:right w:val="single" w:sz="4" w:space="0" w:color="auto"/>
            </w:tcBorders>
            <w:shd w:val="clear" w:color="auto" w:fill="F2F2F2"/>
            <w:noWrap/>
            <w:vAlign w:val="center"/>
            <w:hideMark/>
          </w:tcPr>
          <w:p w14:paraId="11FE0C05"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c>
          <w:tcPr>
            <w:tcW w:w="1240" w:type="dxa"/>
            <w:tcBorders>
              <w:top w:val="nil"/>
              <w:left w:val="nil"/>
              <w:bottom w:val="nil"/>
              <w:right w:val="single" w:sz="4" w:space="0" w:color="auto"/>
            </w:tcBorders>
            <w:noWrap/>
            <w:vAlign w:val="center"/>
            <w:hideMark/>
          </w:tcPr>
          <w:p w14:paraId="5A1FC7B9"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c>
          <w:tcPr>
            <w:tcW w:w="1415" w:type="dxa"/>
            <w:tcBorders>
              <w:top w:val="nil"/>
              <w:left w:val="nil"/>
              <w:bottom w:val="nil"/>
              <w:right w:val="single" w:sz="4" w:space="0" w:color="auto"/>
            </w:tcBorders>
            <w:noWrap/>
            <w:vAlign w:val="center"/>
            <w:hideMark/>
          </w:tcPr>
          <w:p w14:paraId="103DEEFC" w14:textId="77777777" w:rsidR="00EF7B6D" w:rsidRDefault="00EF7B6D">
            <w:pPr>
              <w:rPr>
                <w:rFonts w:eastAsia="Times New Roman" w:cs="Calibri"/>
                <w:color w:val="000000"/>
                <w:lang w:val="en-GB" w:eastAsia="en-GB"/>
              </w:rPr>
            </w:pPr>
            <w:r>
              <w:rPr>
                <w:rFonts w:eastAsia="Times New Roman" w:cs="Calibri"/>
                <w:color w:val="000000"/>
                <w:lang w:val="en-GB" w:eastAsia="en-GB"/>
              </w:rPr>
              <w:t> </w:t>
            </w:r>
          </w:p>
        </w:tc>
      </w:tr>
      <w:tr w:rsidR="00EF7B6D" w14:paraId="0EA3980E" w14:textId="77777777" w:rsidTr="00EF7B6D">
        <w:trPr>
          <w:trHeight w:val="285"/>
          <w:jc w:val="center"/>
        </w:trPr>
        <w:tc>
          <w:tcPr>
            <w:tcW w:w="3860" w:type="dxa"/>
            <w:tcBorders>
              <w:top w:val="single" w:sz="4" w:space="0" w:color="auto"/>
              <w:left w:val="single" w:sz="4" w:space="0" w:color="auto"/>
              <w:bottom w:val="single" w:sz="4" w:space="0" w:color="auto"/>
              <w:right w:val="nil"/>
            </w:tcBorders>
            <w:noWrap/>
            <w:vAlign w:val="center"/>
            <w:hideMark/>
          </w:tcPr>
          <w:p w14:paraId="04743B97" w14:textId="77777777" w:rsidR="00EF7B6D" w:rsidRDefault="00EF7B6D">
            <w:pPr>
              <w:rPr>
                <w:rFonts w:eastAsia="Times New Roman" w:cs="Calibri"/>
                <w:b/>
                <w:bCs/>
                <w:color w:val="000000"/>
                <w:lang w:val="en-GB" w:eastAsia="en-GB"/>
              </w:rPr>
            </w:pPr>
            <w:r>
              <w:rPr>
                <w:rFonts w:eastAsia="Times New Roman" w:cs="Calibri"/>
                <w:b/>
                <w:bCs/>
                <w:color w:val="000000"/>
                <w:lang w:val="en-GB" w:eastAsia="en-GB"/>
              </w:rPr>
              <w:t>Total</w:t>
            </w:r>
          </w:p>
        </w:tc>
        <w:tc>
          <w:tcPr>
            <w:tcW w:w="148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A1EBFA8" w14:textId="77777777" w:rsidR="00EF7B6D" w:rsidRDefault="00EF7B6D">
            <w:pPr>
              <w:jc w:val="right"/>
              <w:rPr>
                <w:rFonts w:eastAsia="Times New Roman" w:cs="Calibri"/>
                <w:b/>
                <w:bCs/>
                <w:color w:val="000000"/>
                <w:lang w:val="en-GB" w:eastAsia="en-GB"/>
              </w:rPr>
            </w:pPr>
            <w:r>
              <w:rPr>
                <w:rFonts w:eastAsia="Times New Roman" w:cs="Calibri"/>
                <w:b/>
                <w:bCs/>
                <w:color w:val="000000"/>
                <w:lang w:val="en-GB" w:eastAsia="en-GB"/>
              </w:rPr>
              <w:t>18.044</w:t>
            </w:r>
          </w:p>
        </w:tc>
        <w:tc>
          <w:tcPr>
            <w:tcW w:w="1480" w:type="dxa"/>
            <w:tcBorders>
              <w:top w:val="single" w:sz="4" w:space="0" w:color="auto"/>
              <w:left w:val="nil"/>
              <w:bottom w:val="single" w:sz="4" w:space="0" w:color="auto"/>
              <w:right w:val="single" w:sz="4" w:space="0" w:color="auto"/>
            </w:tcBorders>
            <w:noWrap/>
            <w:vAlign w:val="center"/>
            <w:hideMark/>
          </w:tcPr>
          <w:p w14:paraId="08AB8BE4" w14:textId="77777777" w:rsidR="00EF7B6D" w:rsidRDefault="00EF7B6D">
            <w:pPr>
              <w:jc w:val="right"/>
              <w:rPr>
                <w:rFonts w:eastAsia="Times New Roman" w:cs="Calibri"/>
                <w:b/>
                <w:bCs/>
                <w:color w:val="000000"/>
                <w:lang w:val="en-GB" w:eastAsia="en-GB"/>
              </w:rPr>
            </w:pPr>
            <w:r>
              <w:rPr>
                <w:rFonts w:eastAsia="Times New Roman" w:cs="Calibri"/>
                <w:b/>
                <w:bCs/>
                <w:color w:val="000000"/>
                <w:lang w:val="en-GB" w:eastAsia="en-GB"/>
              </w:rPr>
              <w:t>0.848</w:t>
            </w:r>
          </w:p>
        </w:tc>
        <w:tc>
          <w:tcPr>
            <w:tcW w:w="1481" w:type="dxa"/>
            <w:tcBorders>
              <w:top w:val="single" w:sz="4" w:space="0" w:color="auto"/>
              <w:left w:val="nil"/>
              <w:bottom w:val="single" w:sz="4" w:space="0" w:color="auto"/>
              <w:right w:val="single" w:sz="4" w:space="0" w:color="auto"/>
            </w:tcBorders>
            <w:noWrap/>
            <w:vAlign w:val="center"/>
            <w:hideMark/>
          </w:tcPr>
          <w:p w14:paraId="3822670C" w14:textId="77777777" w:rsidR="00EF7B6D" w:rsidRDefault="00EF7B6D">
            <w:pPr>
              <w:jc w:val="right"/>
              <w:rPr>
                <w:rFonts w:eastAsia="Times New Roman" w:cs="Calibri"/>
                <w:b/>
                <w:bCs/>
                <w:color w:val="000000"/>
                <w:lang w:val="en-GB" w:eastAsia="en-GB"/>
              </w:rPr>
            </w:pPr>
            <w:r>
              <w:rPr>
                <w:rFonts w:eastAsia="Times New Roman" w:cs="Calibri"/>
                <w:b/>
                <w:bCs/>
                <w:color w:val="FF0000"/>
                <w:lang w:val="en-GB" w:eastAsia="en-GB"/>
              </w:rPr>
              <w:t>(1.357)</w:t>
            </w:r>
          </w:p>
        </w:tc>
        <w:tc>
          <w:tcPr>
            <w:tcW w:w="1600" w:type="dxa"/>
            <w:tcBorders>
              <w:top w:val="single" w:sz="4" w:space="0" w:color="auto"/>
              <w:left w:val="nil"/>
              <w:bottom w:val="single" w:sz="4" w:space="0" w:color="auto"/>
              <w:right w:val="single" w:sz="4" w:space="0" w:color="auto"/>
            </w:tcBorders>
            <w:noWrap/>
            <w:vAlign w:val="center"/>
            <w:hideMark/>
          </w:tcPr>
          <w:p w14:paraId="1AD7FA33" w14:textId="77777777" w:rsidR="00EF7B6D" w:rsidRDefault="00EF7B6D">
            <w:pPr>
              <w:jc w:val="right"/>
              <w:rPr>
                <w:rFonts w:eastAsia="Times New Roman" w:cs="Calibri"/>
                <w:b/>
                <w:bCs/>
                <w:color w:val="000000"/>
                <w:lang w:val="en-GB" w:eastAsia="en-GB"/>
              </w:rPr>
            </w:pPr>
            <w:r>
              <w:rPr>
                <w:rFonts w:eastAsia="Times New Roman" w:cs="Calibri"/>
                <w:b/>
                <w:bCs/>
                <w:color w:val="000000"/>
                <w:lang w:val="en-GB" w:eastAsia="en-GB"/>
              </w:rPr>
              <w:t>2.537</w:t>
            </w:r>
          </w:p>
        </w:tc>
        <w:tc>
          <w:tcPr>
            <w:tcW w:w="1240" w:type="dxa"/>
            <w:tcBorders>
              <w:top w:val="single" w:sz="4" w:space="0" w:color="auto"/>
              <w:left w:val="nil"/>
              <w:bottom w:val="single" w:sz="4" w:space="0" w:color="auto"/>
              <w:right w:val="single" w:sz="4" w:space="0" w:color="auto"/>
            </w:tcBorders>
            <w:shd w:val="clear" w:color="auto" w:fill="F2F2F2"/>
            <w:noWrap/>
            <w:vAlign w:val="center"/>
            <w:hideMark/>
          </w:tcPr>
          <w:p w14:paraId="6AA62AE6" w14:textId="77777777" w:rsidR="00EF7B6D" w:rsidRDefault="00EF7B6D">
            <w:pPr>
              <w:jc w:val="right"/>
              <w:rPr>
                <w:rFonts w:eastAsia="Times New Roman" w:cs="Calibri"/>
                <w:b/>
                <w:bCs/>
                <w:color w:val="000000"/>
                <w:lang w:val="en-GB" w:eastAsia="en-GB"/>
              </w:rPr>
            </w:pPr>
            <w:r>
              <w:rPr>
                <w:rFonts w:eastAsia="Times New Roman" w:cs="Calibri"/>
                <w:b/>
                <w:bCs/>
                <w:color w:val="000000"/>
                <w:lang w:val="en-GB" w:eastAsia="en-GB"/>
              </w:rPr>
              <w:t>20.072</w:t>
            </w:r>
          </w:p>
        </w:tc>
        <w:tc>
          <w:tcPr>
            <w:tcW w:w="1240" w:type="dxa"/>
            <w:tcBorders>
              <w:top w:val="single" w:sz="4" w:space="0" w:color="auto"/>
              <w:left w:val="nil"/>
              <w:bottom w:val="single" w:sz="4" w:space="0" w:color="auto"/>
              <w:right w:val="single" w:sz="4" w:space="0" w:color="auto"/>
            </w:tcBorders>
            <w:noWrap/>
            <w:vAlign w:val="center"/>
            <w:hideMark/>
          </w:tcPr>
          <w:p w14:paraId="03C8B87D" w14:textId="77777777" w:rsidR="00EF7B6D" w:rsidRDefault="00EF7B6D">
            <w:pPr>
              <w:jc w:val="right"/>
              <w:rPr>
                <w:rFonts w:eastAsia="Times New Roman" w:cs="Calibri"/>
                <w:b/>
                <w:bCs/>
                <w:color w:val="000000"/>
                <w:lang w:val="en-GB" w:eastAsia="en-GB"/>
              </w:rPr>
            </w:pPr>
            <w:r>
              <w:rPr>
                <w:rFonts w:eastAsia="Times New Roman" w:cs="Calibri"/>
                <w:b/>
                <w:bCs/>
                <w:color w:val="000000"/>
                <w:lang w:val="en-GB" w:eastAsia="en-GB"/>
              </w:rPr>
              <w:t>13.325</w:t>
            </w:r>
          </w:p>
        </w:tc>
        <w:tc>
          <w:tcPr>
            <w:tcW w:w="1415" w:type="dxa"/>
            <w:tcBorders>
              <w:top w:val="single" w:sz="4" w:space="0" w:color="auto"/>
              <w:left w:val="nil"/>
              <w:bottom w:val="single" w:sz="4" w:space="0" w:color="auto"/>
              <w:right w:val="single" w:sz="4" w:space="0" w:color="auto"/>
            </w:tcBorders>
            <w:noWrap/>
            <w:vAlign w:val="center"/>
            <w:hideMark/>
          </w:tcPr>
          <w:p w14:paraId="465A3B59" w14:textId="77777777" w:rsidR="00EF7B6D" w:rsidRDefault="00EF7B6D">
            <w:pPr>
              <w:jc w:val="right"/>
              <w:rPr>
                <w:rFonts w:eastAsia="Times New Roman" w:cs="Calibri"/>
                <w:b/>
                <w:bCs/>
                <w:color w:val="000000"/>
                <w:lang w:val="en-GB" w:eastAsia="en-GB"/>
              </w:rPr>
            </w:pPr>
            <w:r>
              <w:rPr>
                <w:rFonts w:eastAsia="Times New Roman" w:cs="Calibri"/>
                <w:b/>
                <w:bCs/>
                <w:color w:val="FF0000"/>
                <w:lang w:val="en-GB" w:eastAsia="en-GB"/>
              </w:rPr>
              <w:t>(6.747)</w:t>
            </w:r>
          </w:p>
        </w:tc>
      </w:tr>
    </w:tbl>
    <w:p w14:paraId="350D18F1" w14:textId="77777777" w:rsidR="00EF7B6D" w:rsidRDefault="00EF7B6D" w:rsidP="00EF7B6D">
      <w:pPr>
        <w:jc w:val="center"/>
        <w:rPr>
          <w:highlight w:val="yellow"/>
        </w:rPr>
      </w:pPr>
    </w:p>
    <w:p w14:paraId="5282B6CF" w14:textId="77777777" w:rsidR="00EF7B6D" w:rsidRDefault="00EF7B6D" w:rsidP="00EF7B6D">
      <w:r>
        <w:t xml:space="preserve">The Force requested that the PCC permit £6.735m be carried forward into the capital budget for 2021/22 as this represents slippage in the capital programme for the year. This has meant that the capital programme for 2021/22 has now become £25.95m. </w:t>
      </w:r>
    </w:p>
    <w:p w14:paraId="7BABF432" w14:textId="77777777" w:rsidR="00EF7B6D" w:rsidRDefault="00EF7B6D" w:rsidP="00EF7B6D"/>
    <w:p w14:paraId="0EC40992" w14:textId="77777777" w:rsidR="00EF7B6D" w:rsidRDefault="00EF7B6D" w:rsidP="00EF7B6D">
      <w:r>
        <w:t>This £13.3m of expenditure for 2020/21 was funded by:</w:t>
      </w:r>
    </w:p>
    <w:p w14:paraId="11AFCCA1" w14:textId="77777777" w:rsidR="00EF7B6D" w:rsidRDefault="00EF7B6D" w:rsidP="00EF7B6D"/>
    <w:tbl>
      <w:tblPr>
        <w:tblW w:w="4941" w:type="dxa"/>
        <w:jc w:val="center"/>
        <w:tblLook w:val="04A0" w:firstRow="1" w:lastRow="0" w:firstColumn="1" w:lastColumn="0" w:noHBand="0" w:noVBand="1"/>
      </w:tblPr>
      <w:tblGrid>
        <w:gridCol w:w="3531"/>
        <w:gridCol w:w="1410"/>
      </w:tblGrid>
      <w:tr w:rsidR="00EF7B6D" w14:paraId="5111B84D" w14:textId="77777777" w:rsidTr="00EF7B6D">
        <w:trPr>
          <w:trHeight w:val="510"/>
          <w:jc w:val="center"/>
        </w:trPr>
        <w:tc>
          <w:tcPr>
            <w:tcW w:w="3531" w:type="dxa"/>
            <w:tcBorders>
              <w:top w:val="single" w:sz="4" w:space="0" w:color="auto"/>
              <w:left w:val="single" w:sz="4" w:space="0" w:color="auto"/>
              <w:bottom w:val="single" w:sz="4" w:space="0" w:color="auto"/>
              <w:right w:val="single" w:sz="4" w:space="0" w:color="auto"/>
            </w:tcBorders>
            <w:noWrap/>
            <w:vAlign w:val="center"/>
            <w:hideMark/>
          </w:tcPr>
          <w:p w14:paraId="204A04DF" w14:textId="77777777" w:rsidR="00EF7B6D" w:rsidRDefault="00EF7B6D">
            <w:pPr>
              <w:spacing w:line="254" w:lineRule="auto"/>
              <w:jc w:val="center"/>
              <w:rPr>
                <w:b/>
                <w:color w:val="000000"/>
              </w:rPr>
            </w:pPr>
            <w:r>
              <w:rPr>
                <w:b/>
                <w:color w:val="000000"/>
              </w:rPr>
              <w:t>Source of Funding</w:t>
            </w:r>
          </w:p>
        </w:tc>
        <w:tc>
          <w:tcPr>
            <w:tcW w:w="1410" w:type="dxa"/>
            <w:tcBorders>
              <w:top w:val="single" w:sz="4" w:space="0" w:color="auto"/>
              <w:left w:val="nil"/>
              <w:bottom w:val="single" w:sz="4" w:space="0" w:color="auto"/>
              <w:right w:val="single" w:sz="4" w:space="0" w:color="auto"/>
            </w:tcBorders>
            <w:vAlign w:val="center"/>
            <w:hideMark/>
          </w:tcPr>
          <w:p w14:paraId="52A9A452" w14:textId="77777777" w:rsidR="00EF7B6D" w:rsidRDefault="00EF7B6D">
            <w:pPr>
              <w:spacing w:line="254" w:lineRule="auto"/>
              <w:jc w:val="center"/>
              <w:rPr>
                <w:b/>
                <w:color w:val="000000"/>
              </w:rPr>
            </w:pPr>
            <w:r>
              <w:rPr>
                <w:b/>
                <w:color w:val="000000"/>
              </w:rPr>
              <w:t>Capital Financing</w:t>
            </w:r>
            <w:r>
              <w:rPr>
                <w:b/>
                <w:color w:val="000000"/>
              </w:rPr>
              <w:br/>
              <w:t>£m</w:t>
            </w:r>
          </w:p>
        </w:tc>
      </w:tr>
      <w:tr w:rsidR="00EF7B6D" w14:paraId="465D6B92" w14:textId="77777777" w:rsidTr="00EF7B6D">
        <w:trPr>
          <w:trHeight w:val="271"/>
          <w:jc w:val="center"/>
        </w:trPr>
        <w:tc>
          <w:tcPr>
            <w:tcW w:w="3531" w:type="dxa"/>
            <w:tcBorders>
              <w:top w:val="nil"/>
              <w:left w:val="single" w:sz="4" w:space="0" w:color="auto"/>
              <w:bottom w:val="nil"/>
              <w:right w:val="single" w:sz="4" w:space="0" w:color="auto"/>
            </w:tcBorders>
            <w:shd w:val="clear" w:color="auto" w:fill="FFFFFF"/>
            <w:noWrap/>
            <w:vAlign w:val="center"/>
            <w:hideMark/>
          </w:tcPr>
          <w:p w14:paraId="2FD84BFF" w14:textId="77777777" w:rsidR="00EF7B6D" w:rsidRDefault="00EF7B6D">
            <w:pPr>
              <w:spacing w:line="254" w:lineRule="auto"/>
              <w:ind w:firstLineChars="100" w:firstLine="220"/>
              <w:rPr>
                <w:color w:val="000000"/>
              </w:rPr>
            </w:pPr>
            <w:r>
              <w:rPr>
                <w:color w:val="000000"/>
              </w:rPr>
              <w:t>Home Office Capital Grant</w:t>
            </w:r>
          </w:p>
        </w:tc>
        <w:tc>
          <w:tcPr>
            <w:tcW w:w="1410" w:type="dxa"/>
            <w:tcBorders>
              <w:top w:val="nil"/>
              <w:left w:val="nil"/>
              <w:bottom w:val="nil"/>
              <w:right w:val="single" w:sz="4" w:space="0" w:color="auto"/>
            </w:tcBorders>
            <w:shd w:val="clear" w:color="auto" w:fill="FFFFFF"/>
            <w:noWrap/>
            <w:vAlign w:val="center"/>
            <w:hideMark/>
          </w:tcPr>
          <w:p w14:paraId="17E8504D" w14:textId="77777777" w:rsidR="00EF7B6D" w:rsidRDefault="00EF7B6D">
            <w:pPr>
              <w:spacing w:line="254" w:lineRule="auto"/>
              <w:ind w:firstLineChars="100" w:firstLine="220"/>
              <w:jc w:val="right"/>
              <w:rPr>
                <w:color w:val="000000"/>
              </w:rPr>
            </w:pPr>
            <w:r>
              <w:rPr>
                <w:color w:val="000000"/>
              </w:rPr>
              <w:t>0.2</w:t>
            </w:r>
          </w:p>
        </w:tc>
      </w:tr>
      <w:tr w:rsidR="00EF7B6D" w14:paraId="0220885D" w14:textId="77777777" w:rsidTr="00EF7B6D">
        <w:trPr>
          <w:trHeight w:val="271"/>
          <w:jc w:val="center"/>
        </w:trPr>
        <w:tc>
          <w:tcPr>
            <w:tcW w:w="3531" w:type="dxa"/>
            <w:tcBorders>
              <w:top w:val="nil"/>
              <w:left w:val="single" w:sz="4" w:space="0" w:color="auto"/>
              <w:bottom w:val="nil"/>
              <w:right w:val="single" w:sz="4" w:space="0" w:color="auto"/>
            </w:tcBorders>
            <w:shd w:val="clear" w:color="auto" w:fill="FFFFFF"/>
            <w:noWrap/>
            <w:vAlign w:val="center"/>
            <w:hideMark/>
          </w:tcPr>
          <w:p w14:paraId="08F49277" w14:textId="77777777" w:rsidR="00EF7B6D" w:rsidRDefault="00EF7B6D">
            <w:pPr>
              <w:spacing w:line="254" w:lineRule="auto"/>
              <w:ind w:firstLineChars="100" w:firstLine="220"/>
              <w:rPr>
                <w:color w:val="000000"/>
              </w:rPr>
            </w:pPr>
            <w:r>
              <w:rPr>
                <w:color w:val="000000"/>
              </w:rPr>
              <w:t>Capital Receipts</w:t>
            </w:r>
          </w:p>
        </w:tc>
        <w:tc>
          <w:tcPr>
            <w:tcW w:w="1410" w:type="dxa"/>
            <w:tcBorders>
              <w:top w:val="nil"/>
              <w:left w:val="nil"/>
              <w:bottom w:val="nil"/>
              <w:right w:val="single" w:sz="4" w:space="0" w:color="auto"/>
            </w:tcBorders>
            <w:shd w:val="clear" w:color="auto" w:fill="FFFFFF"/>
            <w:noWrap/>
            <w:vAlign w:val="center"/>
            <w:hideMark/>
          </w:tcPr>
          <w:p w14:paraId="29A38B37" w14:textId="77777777" w:rsidR="00EF7B6D" w:rsidRDefault="00EF7B6D">
            <w:pPr>
              <w:spacing w:line="254" w:lineRule="auto"/>
              <w:ind w:firstLineChars="100" w:firstLine="220"/>
              <w:jc w:val="right"/>
              <w:rPr>
                <w:color w:val="000000"/>
              </w:rPr>
            </w:pPr>
            <w:r>
              <w:rPr>
                <w:color w:val="000000"/>
              </w:rPr>
              <w:t>3.6</w:t>
            </w:r>
          </w:p>
        </w:tc>
      </w:tr>
      <w:tr w:rsidR="00EF7B6D" w14:paraId="0131DD93" w14:textId="77777777" w:rsidTr="00EF7B6D">
        <w:trPr>
          <w:trHeight w:val="271"/>
          <w:jc w:val="center"/>
        </w:trPr>
        <w:tc>
          <w:tcPr>
            <w:tcW w:w="3531" w:type="dxa"/>
            <w:tcBorders>
              <w:top w:val="nil"/>
              <w:left w:val="single" w:sz="4" w:space="0" w:color="auto"/>
              <w:bottom w:val="nil"/>
              <w:right w:val="single" w:sz="4" w:space="0" w:color="auto"/>
            </w:tcBorders>
            <w:shd w:val="clear" w:color="auto" w:fill="FFFFFF"/>
            <w:noWrap/>
            <w:vAlign w:val="center"/>
            <w:hideMark/>
          </w:tcPr>
          <w:p w14:paraId="351C00EC" w14:textId="77777777" w:rsidR="00EF7B6D" w:rsidRDefault="00EF7B6D">
            <w:pPr>
              <w:spacing w:line="254" w:lineRule="auto"/>
              <w:ind w:firstLineChars="100" w:firstLine="220"/>
              <w:rPr>
                <w:color w:val="000000"/>
              </w:rPr>
            </w:pPr>
            <w:r>
              <w:rPr>
                <w:color w:val="000000"/>
              </w:rPr>
              <w:t>Revenue Funding</w:t>
            </w:r>
          </w:p>
        </w:tc>
        <w:tc>
          <w:tcPr>
            <w:tcW w:w="1410" w:type="dxa"/>
            <w:tcBorders>
              <w:top w:val="nil"/>
              <w:left w:val="nil"/>
              <w:bottom w:val="nil"/>
              <w:right w:val="single" w:sz="4" w:space="0" w:color="auto"/>
            </w:tcBorders>
            <w:shd w:val="clear" w:color="auto" w:fill="FFFFFF"/>
            <w:noWrap/>
            <w:vAlign w:val="center"/>
            <w:hideMark/>
          </w:tcPr>
          <w:p w14:paraId="0E5C2CDD" w14:textId="77777777" w:rsidR="00EF7B6D" w:rsidRDefault="00EF7B6D">
            <w:pPr>
              <w:spacing w:line="254" w:lineRule="auto"/>
              <w:ind w:firstLineChars="100" w:firstLine="220"/>
              <w:jc w:val="right"/>
              <w:rPr>
                <w:color w:val="000000"/>
              </w:rPr>
            </w:pPr>
            <w:r>
              <w:rPr>
                <w:color w:val="000000"/>
              </w:rPr>
              <w:t>8.7</w:t>
            </w:r>
          </w:p>
        </w:tc>
      </w:tr>
      <w:tr w:rsidR="00EF7B6D" w14:paraId="3885BEBB" w14:textId="77777777" w:rsidTr="00EF7B6D">
        <w:trPr>
          <w:trHeight w:val="271"/>
          <w:jc w:val="center"/>
        </w:trPr>
        <w:tc>
          <w:tcPr>
            <w:tcW w:w="3531" w:type="dxa"/>
            <w:tcBorders>
              <w:top w:val="nil"/>
              <w:left w:val="single" w:sz="4" w:space="0" w:color="auto"/>
              <w:bottom w:val="nil"/>
              <w:right w:val="single" w:sz="4" w:space="0" w:color="auto"/>
            </w:tcBorders>
            <w:shd w:val="clear" w:color="auto" w:fill="FFFFFF"/>
            <w:noWrap/>
            <w:vAlign w:val="center"/>
            <w:hideMark/>
          </w:tcPr>
          <w:p w14:paraId="710E0839" w14:textId="46F1ED3E" w:rsidR="00EF7B6D" w:rsidRDefault="00A80F30">
            <w:pPr>
              <w:spacing w:line="254" w:lineRule="auto"/>
              <w:ind w:firstLineChars="100" w:firstLine="220"/>
              <w:rPr>
                <w:color w:val="000000"/>
              </w:rPr>
            </w:pPr>
            <w:r>
              <w:rPr>
                <w:color w:val="000000"/>
              </w:rPr>
              <w:t xml:space="preserve">Internal </w:t>
            </w:r>
            <w:r w:rsidR="00EF7B6D">
              <w:rPr>
                <w:color w:val="000000"/>
              </w:rPr>
              <w:t>Borrowing</w:t>
            </w:r>
          </w:p>
        </w:tc>
        <w:tc>
          <w:tcPr>
            <w:tcW w:w="1410" w:type="dxa"/>
            <w:tcBorders>
              <w:top w:val="nil"/>
              <w:left w:val="nil"/>
              <w:bottom w:val="nil"/>
              <w:right w:val="single" w:sz="4" w:space="0" w:color="auto"/>
            </w:tcBorders>
            <w:shd w:val="clear" w:color="auto" w:fill="FFFFFF"/>
            <w:noWrap/>
            <w:vAlign w:val="center"/>
            <w:hideMark/>
          </w:tcPr>
          <w:p w14:paraId="425E58E9" w14:textId="77777777" w:rsidR="00EF7B6D" w:rsidRDefault="00EF7B6D">
            <w:pPr>
              <w:spacing w:line="254" w:lineRule="auto"/>
              <w:ind w:firstLineChars="100" w:firstLine="220"/>
              <w:jc w:val="right"/>
              <w:rPr>
                <w:color w:val="000000"/>
              </w:rPr>
            </w:pPr>
            <w:r>
              <w:rPr>
                <w:color w:val="000000"/>
              </w:rPr>
              <w:t>0.8</w:t>
            </w:r>
          </w:p>
        </w:tc>
      </w:tr>
      <w:tr w:rsidR="00EF7B6D" w14:paraId="7930302D" w14:textId="77777777" w:rsidTr="00EF7B6D">
        <w:trPr>
          <w:trHeight w:val="271"/>
          <w:jc w:val="center"/>
        </w:trPr>
        <w:tc>
          <w:tcPr>
            <w:tcW w:w="3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F2EED6" w14:textId="77777777" w:rsidR="00EF7B6D" w:rsidRDefault="00EF7B6D">
            <w:pPr>
              <w:spacing w:line="254" w:lineRule="auto"/>
              <w:ind w:firstLineChars="100" w:firstLine="221"/>
              <w:rPr>
                <w:b/>
                <w:bCs/>
                <w:color w:val="000000"/>
              </w:rPr>
            </w:pPr>
            <w:r>
              <w:rPr>
                <w:b/>
                <w:bCs/>
                <w:color w:val="000000"/>
              </w:rPr>
              <w:t>Total</w:t>
            </w:r>
          </w:p>
        </w:tc>
        <w:tc>
          <w:tcPr>
            <w:tcW w:w="1410" w:type="dxa"/>
            <w:tcBorders>
              <w:top w:val="single" w:sz="4" w:space="0" w:color="auto"/>
              <w:left w:val="nil"/>
              <w:bottom w:val="single" w:sz="4" w:space="0" w:color="auto"/>
              <w:right w:val="single" w:sz="4" w:space="0" w:color="auto"/>
            </w:tcBorders>
            <w:shd w:val="clear" w:color="auto" w:fill="FFFFFF"/>
            <w:noWrap/>
            <w:vAlign w:val="center"/>
            <w:hideMark/>
          </w:tcPr>
          <w:p w14:paraId="6BC17EF3" w14:textId="77777777" w:rsidR="00EF7B6D" w:rsidRDefault="00EF7B6D">
            <w:pPr>
              <w:spacing w:line="254" w:lineRule="auto"/>
              <w:ind w:firstLineChars="100" w:firstLine="221"/>
              <w:jc w:val="right"/>
              <w:rPr>
                <w:b/>
                <w:color w:val="000000"/>
              </w:rPr>
            </w:pPr>
            <w:r>
              <w:rPr>
                <w:b/>
                <w:color w:val="000000"/>
              </w:rPr>
              <w:t>13.3</w:t>
            </w:r>
          </w:p>
        </w:tc>
      </w:tr>
    </w:tbl>
    <w:p w14:paraId="48B530F3" w14:textId="77777777" w:rsidR="00EF7B6D" w:rsidRDefault="00EF7B6D" w:rsidP="00EF7B6D"/>
    <w:p w14:paraId="6A23A4D4" w14:textId="77777777" w:rsidR="00EF7B6D" w:rsidRDefault="00EF7B6D" w:rsidP="00EF7B6D">
      <w:r>
        <w:t xml:space="preserve">Further details of capital expenditure and financing for the year are shown in attached financial statements. </w:t>
      </w:r>
    </w:p>
    <w:p w14:paraId="74774EF3" w14:textId="77777777" w:rsidR="00EF7B6D" w:rsidRDefault="00EF7B6D" w:rsidP="00EF7B6D">
      <w:pPr>
        <w:pStyle w:val="Style1"/>
        <w:ind w:left="360" w:firstLine="0"/>
        <w:rPr>
          <w:rFonts w:ascii="Verdana" w:hAnsi="Verdana"/>
          <w:sz w:val="22"/>
          <w:szCs w:val="22"/>
        </w:rPr>
      </w:pPr>
    </w:p>
    <w:p w14:paraId="201CBCBC" w14:textId="77777777" w:rsidR="00EF7B6D" w:rsidRDefault="00EF7B6D" w:rsidP="00EF7B6D">
      <w:pPr>
        <w:pStyle w:val="Style1"/>
        <w:numPr>
          <w:ilvl w:val="0"/>
          <w:numId w:val="21"/>
        </w:numPr>
        <w:ind w:left="360"/>
        <w:rPr>
          <w:rFonts w:ascii="Verdana" w:hAnsi="Verdana"/>
          <w:sz w:val="22"/>
          <w:szCs w:val="22"/>
        </w:rPr>
      </w:pPr>
      <w:r>
        <w:rPr>
          <w:rFonts w:ascii="Verdana" w:hAnsi="Verdana"/>
          <w:sz w:val="22"/>
          <w:szCs w:val="22"/>
        </w:rPr>
        <w:t>Outlook – Medium Term Financial Strategy</w:t>
      </w:r>
    </w:p>
    <w:p w14:paraId="098146E6" w14:textId="77777777" w:rsidR="00EF7B6D" w:rsidRDefault="00EF7B6D" w:rsidP="00EF7B6D">
      <w:pPr>
        <w:jc w:val="both"/>
      </w:pPr>
    </w:p>
    <w:p w14:paraId="3F89ADC9" w14:textId="77777777" w:rsidR="00EF7B6D" w:rsidRDefault="00EF7B6D" w:rsidP="00EF7B6D">
      <w:pPr>
        <w:jc w:val="both"/>
        <w:rPr>
          <w:b/>
        </w:rPr>
      </w:pPr>
      <w:r>
        <w:rPr>
          <w:b/>
        </w:rPr>
        <w:t>Budget 2021/22</w:t>
      </w:r>
    </w:p>
    <w:p w14:paraId="1FDCD5C2" w14:textId="77777777" w:rsidR="00EF7B6D" w:rsidRDefault="00EF7B6D" w:rsidP="00EF7B6D">
      <w:pPr>
        <w:jc w:val="both"/>
      </w:pPr>
    </w:p>
    <w:p w14:paraId="76012FDE" w14:textId="77777777" w:rsidR="00EF7B6D" w:rsidRDefault="00EF7B6D" w:rsidP="00EF7B6D">
      <w:pPr>
        <w:jc w:val="both"/>
        <w:rPr>
          <w:u w:val="single"/>
        </w:rPr>
      </w:pPr>
      <w:r>
        <w:rPr>
          <w:u w:val="single"/>
        </w:rPr>
        <w:t>Revenue</w:t>
      </w:r>
    </w:p>
    <w:p w14:paraId="269640ED" w14:textId="77777777" w:rsidR="00EF7B6D" w:rsidRDefault="00EF7B6D" w:rsidP="00EF7B6D">
      <w:pPr>
        <w:jc w:val="both"/>
      </w:pPr>
    </w:p>
    <w:p w14:paraId="6D457F83" w14:textId="77777777" w:rsidR="00EF7B6D" w:rsidRDefault="00EF7B6D" w:rsidP="00EF7B6D">
      <w:pPr>
        <w:jc w:val="both"/>
      </w:pPr>
      <w:r>
        <w:t>The revenue and capital budget for 2021/22 and Medium Term Financial Strategy were approved by the Police and Crime Commissioner in February 2021 and published on the PCC’s website.</w:t>
      </w:r>
    </w:p>
    <w:p w14:paraId="1E39C65E" w14:textId="77777777" w:rsidR="00EF7B6D" w:rsidRDefault="00EF7B6D" w:rsidP="00EF7B6D">
      <w:pPr>
        <w:jc w:val="both"/>
      </w:pPr>
    </w:p>
    <w:p w14:paraId="297BCEB4" w14:textId="77777777" w:rsidR="00EF7B6D" w:rsidRDefault="00EF7B6D" w:rsidP="00EF7B6D">
      <w:pPr>
        <w:jc w:val="both"/>
        <w:rPr>
          <w:highlight w:val="yellow"/>
        </w:rPr>
      </w:pPr>
    </w:p>
    <w:p w14:paraId="0DB59EF8" w14:textId="77777777" w:rsidR="00EF7B6D" w:rsidRDefault="00EF7B6D" w:rsidP="00EF7B6D">
      <w:pPr>
        <w:jc w:val="both"/>
        <w:rPr>
          <w:highlight w:val="yellow"/>
        </w:rPr>
      </w:pPr>
    </w:p>
    <w:p w14:paraId="0BA03FD4" w14:textId="77777777" w:rsidR="00EF7B6D" w:rsidRDefault="00EF7B6D" w:rsidP="00EF7B6D">
      <w:pPr>
        <w:jc w:val="both"/>
        <w:rPr>
          <w:highlight w:val="yellow"/>
        </w:rPr>
      </w:pPr>
    </w:p>
    <w:p w14:paraId="1DBD502E" w14:textId="77777777" w:rsidR="00EF7B6D" w:rsidRDefault="00EF7B6D" w:rsidP="00EF7B6D">
      <w:pPr>
        <w:jc w:val="both"/>
        <w:rPr>
          <w:highlight w:val="yellow"/>
        </w:rPr>
      </w:pPr>
    </w:p>
    <w:p w14:paraId="02B9B5FA" w14:textId="77777777" w:rsidR="00EF7B6D" w:rsidRDefault="00EF7B6D" w:rsidP="00EF7B6D">
      <w:pPr>
        <w:jc w:val="both"/>
        <w:rPr>
          <w:highlight w:val="yellow"/>
        </w:rPr>
      </w:pPr>
    </w:p>
    <w:p w14:paraId="2986F351" w14:textId="77777777" w:rsidR="00EF7B6D" w:rsidRDefault="00EF7B6D" w:rsidP="00EF7B6D">
      <w:pPr>
        <w:jc w:val="both"/>
      </w:pPr>
    </w:p>
    <w:p w14:paraId="54C061F4" w14:textId="77777777" w:rsidR="00D118EC" w:rsidRDefault="00D118EC" w:rsidP="00EF7B6D">
      <w:pPr>
        <w:jc w:val="both"/>
      </w:pPr>
    </w:p>
    <w:p w14:paraId="39312672" w14:textId="77777777" w:rsidR="00EF7B6D" w:rsidRDefault="00EF7B6D" w:rsidP="00EF7B6D">
      <w:pPr>
        <w:jc w:val="both"/>
      </w:pPr>
      <w:r>
        <w:t>The revenue budget for 2021/22 at the Group level is £261.7m, as shown in the table below.</w:t>
      </w:r>
    </w:p>
    <w:p w14:paraId="2D9CC0DA" w14:textId="77777777" w:rsidR="00EF7B6D" w:rsidRDefault="00EF7B6D" w:rsidP="00EF7B6D">
      <w:pPr>
        <w:jc w:val="both"/>
      </w:pPr>
    </w:p>
    <w:tbl>
      <w:tblPr>
        <w:tblW w:w="0" w:type="auto"/>
        <w:tblInd w:w="3771" w:type="dxa"/>
        <w:tblLook w:val="04A0" w:firstRow="1" w:lastRow="0" w:firstColumn="1" w:lastColumn="0" w:noHBand="0" w:noVBand="1"/>
      </w:tblPr>
      <w:tblGrid>
        <w:gridCol w:w="5244"/>
        <w:gridCol w:w="1161"/>
      </w:tblGrid>
      <w:tr w:rsidR="00EF7B6D" w14:paraId="54F9BFAD" w14:textId="77777777" w:rsidTr="00EF7B6D">
        <w:tc>
          <w:tcPr>
            <w:tcW w:w="5244" w:type="dxa"/>
            <w:tcBorders>
              <w:top w:val="single" w:sz="4" w:space="0" w:color="auto"/>
              <w:left w:val="single" w:sz="4" w:space="0" w:color="auto"/>
              <w:bottom w:val="single" w:sz="4" w:space="0" w:color="auto"/>
              <w:right w:val="single" w:sz="4" w:space="0" w:color="auto"/>
            </w:tcBorders>
            <w:hideMark/>
          </w:tcPr>
          <w:p w14:paraId="719F3213" w14:textId="77777777" w:rsidR="00EF7B6D" w:rsidRDefault="00EF7B6D">
            <w:pPr>
              <w:jc w:val="both"/>
              <w:rPr>
                <w:sz w:val="24"/>
                <w:szCs w:val="24"/>
              </w:rPr>
            </w:pPr>
            <w:r>
              <w:rPr>
                <w:sz w:val="24"/>
                <w:szCs w:val="24"/>
              </w:rPr>
              <w:t>Budget 2021/22</w:t>
            </w:r>
          </w:p>
        </w:tc>
        <w:tc>
          <w:tcPr>
            <w:tcW w:w="1161" w:type="dxa"/>
            <w:tcBorders>
              <w:top w:val="single" w:sz="4" w:space="0" w:color="auto"/>
              <w:left w:val="single" w:sz="4" w:space="0" w:color="auto"/>
              <w:bottom w:val="single" w:sz="4" w:space="0" w:color="auto"/>
              <w:right w:val="single" w:sz="4" w:space="0" w:color="auto"/>
            </w:tcBorders>
            <w:hideMark/>
          </w:tcPr>
          <w:p w14:paraId="0350FCAA" w14:textId="77777777" w:rsidR="00EF7B6D" w:rsidRDefault="00EF7B6D">
            <w:pPr>
              <w:jc w:val="center"/>
              <w:rPr>
                <w:sz w:val="24"/>
                <w:szCs w:val="24"/>
              </w:rPr>
            </w:pPr>
            <w:r>
              <w:rPr>
                <w:sz w:val="24"/>
                <w:szCs w:val="24"/>
              </w:rPr>
              <w:t>£m</w:t>
            </w:r>
          </w:p>
        </w:tc>
      </w:tr>
      <w:tr w:rsidR="00EF7B6D" w14:paraId="334E2382" w14:textId="77777777" w:rsidTr="00EF7B6D">
        <w:tc>
          <w:tcPr>
            <w:tcW w:w="5244" w:type="dxa"/>
            <w:tcBorders>
              <w:top w:val="single" w:sz="4" w:space="0" w:color="auto"/>
              <w:left w:val="single" w:sz="4" w:space="0" w:color="auto"/>
              <w:bottom w:val="nil"/>
              <w:right w:val="single" w:sz="4" w:space="0" w:color="auto"/>
            </w:tcBorders>
          </w:tcPr>
          <w:p w14:paraId="0C3B395A" w14:textId="77777777" w:rsidR="00EF7B6D" w:rsidRDefault="00EF7B6D">
            <w:pPr>
              <w:jc w:val="both"/>
            </w:pPr>
          </w:p>
        </w:tc>
        <w:tc>
          <w:tcPr>
            <w:tcW w:w="1161" w:type="dxa"/>
            <w:tcBorders>
              <w:top w:val="single" w:sz="4" w:space="0" w:color="auto"/>
              <w:left w:val="single" w:sz="4" w:space="0" w:color="auto"/>
              <w:bottom w:val="nil"/>
              <w:right w:val="single" w:sz="4" w:space="0" w:color="auto"/>
            </w:tcBorders>
          </w:tcPr>
          <w:p w14:paraId="5713F295" w14:textId="77777777" w:rsidR="00EF7B6D" w:rsidRDefault="00EF7B6D">
            <w:pPr>
              <w:jc w:val="both"/>
            </w:pPr>
          </w:p>
        </w:tc>
      </w:tr>
      <w:tr w:rsidR="00EF7B6D" w14:paraId="36BDB2AC" w14:textId="77777777" w:rsidTr="00EF7B6D">
        <w:tc>
          <w:tcPr>
            <w:tcW w:w="5244" w:type="dxa"/>
            <w:tcBorders>
              <w:top w:val="nil"/>
              <w:left w:val="single" w:sz="4" w:space="0" w:color="auto"/>
              <w:bottom w:val="nil"/>
              <w:right w:val="single" w:sz="4" w:space="0" w:color="auto"/>
            </w:tcBorders>
            <w:hideMark/>
          </w:tcPr>
          <w:p w14:paraId="57B502D9" w14:textId="77777777" w:rsidR="00EF7B6D" w:rsidRDefault="00EF7B6D">
            <w:pPr>
              <w:jc w:val="both"/>
            </w:pPr>
            <w:r>
              <w:t>Funding</w:t>
            </w:r>
          </w:p>
        </w:tc>
        <w:tc>
          <w:tcPr>
            <w:tcW w:w="1161" w:type="dxa"/>
            <w:tcBorders>
              <w:top w:val="nil"/>
              <w:left w:val="single" w:sz="4" w:space="0" w:color="auto"/>
              <w:bottom w:val="nil"/>
              <w:right w:val="single" w:sz="4" w:space="0" w:color="auto"/>
            </w:tcBorders>
          </w:tcPr>
          <w:p w14:paraId="563B29C1" w14:textId="77777777" w:rsidR="00EF7B6D" w:rsidRDefault="00EF7B6D">
            <w:pPr>
              <w:jc w:val="both"/>
            </w:pPr>
          </w:p>
        </w:tc>
      </w:tr>
      <w:tr w:rsidR="00EF7B6D" w14:paraId="40407740" w14:textId="77777777" w:rsidTr="00EF7B6D">
        <w:tc>
          <w:tcPr>
            <w:tcW w:w="5244" w:type="dxa"/>
            <w:tcBorders>
              <w:top w:val="nil"/>
              <w:left w:val="single" w:sz="4" w:space="0" w:color="auto"/>
              <w:bottom w:val="nil"/>
              <w:right w:val="single" w:sz="4" w:space="0" w:color="auto"/>
            </w:tcBorders>
            <w:hideMark/>
          </w:tcPr>
          <w:p w14:paraId="267C36FE" w14:textId="77777777" w:rsidR="00EF7B6D" w:rsidRDefault="00EF7B6D">
            <w:pPr>
              <w:jc w:val="both"/>
            </w:pPr>
            <w:r>
              <w:t>Government Grant</w:t>
            </w:r>
          </w:p>
        </w:tc>
        <w:tc>
          <w:tcPr>
            <w:tcW w:w="1161" w:type="dxa"/>
            <w:tcBorders>
              <w:top w:val="nil"/>
              <w:left w:val="single" w:sz="4" w:space="0" w:color="auto"/>
              <w:bottom w:val="nil"/>
              <w:right w:val="single" w:sz="4" w:space="0" w:color="auto"/>
            </w:tcBorders>
            <w:hideMark/>
          </w:tcPr>
          <w:p w14:paraId="06568532" w14:textId="77777777" w:rsidR="00EF7B6D" w:rsidRDefault="00EF7B6D">
            <w:pPr>
              <w:jc w:val="right"/>
            </w:pPr>
            <w:r>
              <w:t>(118.7)</w:t>
            </w:r>
          </w:p>
        </w:tc>
      </w:tr>
      <w:tr w:rsidR="00EF7B6D" w14:paraId="655C49FB" w14:textId="77777777" w:rsidTr="00EF7B6D">
        <w:tc>
          <w:tcPr>
            <w:tcW w:w="5244" w:type="dxa"/>
            <w:tcBorders>
              <w:top w:val="nil"/>
              <w:left w:val="single" w:sz="4" w:space="0" w:color="auto"/>
              <w:bottom w:val="nil"/>
              <w:right w:val="single" w:sz="4" w:space="0" w:color="auto"/>
            </w:tcBorders>
            <w:hideMark/>
          </w:tcPr>
          <w:p w14:paraId="042BB2E9" w14:textId="77777777" w:rsidR="00EF7B6D" w:rsidRDefault="00EF7B6D">
            <w:pPr>
              <w:jc w:val="both"/>
            </w:pPr>
            <w:r>
              <w:t>Council Tax Precept</w:t>
            </w:r>
          </w:p>
        </w:tc>
        <w:tc>
          <w:tcPr>
            <w:tcW w:w="1161" w:type="dxa"/>
            <w:tcBorders>
              <w:top w:val="nil"/>
              <w:left w:val="single" w:sz="4" w:space="0" w:color="auto"/>
              <w:bottom w:val="nil"/>
              <w:right w:val="single" w:sz="4" w:space="0" w:color="auto"/>
            </w:tcBorders>
            <w:hideMark/>
          </w:tcPr>
          <w:p w14:paraId="1B7B5443" w14:textId="77777777" w:rsidR="00EF7B6D" w:rsidRDefault="00EF7B6D">
            <w:pPr>
              <w:jc w:val="right"/>
            </w:pPr>
            <w:r>
              <w:t>(143.4)</w:t>
            </w:r>
          </w:p>
        </w:tc>
      </w:tr>
      <w:tr w:rsidR="00EF7B6D" w14:paraId="5726F2C8" w14:textId="77777777" w:rsidTr="00EF7B6D">
        <w:tc>
          <w:tcPr>
            <w:tcW w:w="5244" w:type="dxa"/>
            <w:tcBorders>
              <w:top w:val="nil"/>
              <w:left w:val="single" w:sz="4" w:space="0" w:color="auto"/>
              <w:bottom w:val="nil"/>
              <w:right w:val="single" w:sz="4" w:space="0" w:color="auto"/>
            </w:tcBorders>
            <w:hideMark/>
          </w:tcPr>
          <w:p w14:paraId="208F1281" w14:textId="77777777" w:rsidR="00EF7B6D" w:rsidRDefault="00EF7B6D">
            <w:pPr>
              <w:jc w:val="both"/>
            </w:pPr>
            <w:r>
              <w:t>Collection Fund Deficit</w:t>
            </w:r>
          </w:p>
        </w:tc>
        <w:tc>
          <w:tcPr>
            <w:tcW w:w="1161" w:type="dxa"/>
            <w:tcBorders>
              <w:top w:val="nil"/>
              <w:left w:val="single" w:sz="4" w:space="0" w:color="auto"/>
              <w:bottom w:val="nil"/>
              <w:right w:val="single" w:sz="4" w:space="0" w:color="auto"/>
            </w:tcBorders>
            <w:hideMark/>
          </w:tcPr>
          <w:p w14:paraId="2BC59D0E" w14:textId="77777777" w:rsidR="00EF7B6D" w:rsidRDefault="00EF7B6D">
            <w:pPr>
              <w:jc w:val="right"/>
            </w:pPr>
            <w:r>
              <w:t>0.4</w:t>
            </w:r>
          </w:p>
        </w:tc>
      </w:tr>
      <w:tr w:rsidR="00EF7B6D" w14:paraId="2CBA167E" w14:textId="77777777" w:rsidTr="00EF7B6D">
        <w:tc>
          <w:tcPr>
            <w:tcW w:w="5244" w:type="dxa"/>
            <w:tcBorders>
              <w:top w:val="single" w:sz="4" w:space="0" w:color="auto"/>
              <w:left w:val="single" w:sz="4" w:space="0" w:color="auto"/>
              <w:bottom w:val="single" w:sz="4" w:space="0" w:color="auto"/>
              <w:right w:val="single" w:sz="4" w:space="0" w:color="auto"/>
            </w:tcBorders>
            <w:hideMark/>
          </w:tcPr>
          <w:p w14:paraId="0C3CD48D" w14:textId="77777777" w:rsidR="00EF7B6D" w:rsidRDefault="00EF7B6D">
            <w:pPr>
              <w:jc w:val="both"/>
            </w:pPr>
            <w:r>
              <w:t>Total Funding</w:t>
            </w:r>
          </w:p>
        </w:tc>
        <w:tc>
          <w:tcPr>
            <w:tcW w:w="1161" w:type="dxa"/>
            <w:tcBorders>
              <w:top w:val="single" w:sz="4" w:space="0" w:color="auto"/>
              <w:left w:val="single" w:sz="4" w:space="0" w:color="auto"/>
              <w:bottom w:val="single" w:sz="4" w:space="0" w:color="auto"/>
              <w:right w:val="single" w:sz="4" w:space="0" w:color="auto"/>
            </w:tcBorders>
            <w:hideMark/>
          </w:tcPr>
          <w:p w14:paraId="14B2DC4C" w14:textId="77777777" w:rsidR="00EF7B6D" w:rsidRDefault="00EF7B6D">
            <w:pPr>
              <w:jc w:val="right"/>
            </w:pPr>
            <w:r>
              <w:t>(261.7)</w:t>
            </w:r>
          </w:p>
        </w:tc>
      </w:tr>
      <w:tr w:rsidR="00EF7B6D" w14:paraId="718F9F8B" w14:textId="77777777" w:rsidTr="00EF7B6D">
        <w:tc>
          <w:tcPr>
            <w:tcW w:w="5244" w:type="dxa"/>
            <w:tcBorders>
              <w:top w:val="single" w:sz="4" w:space="0" w:color="auto"/>
              <w:left w:val="single" w:sz="4" w:space="0" w:color="auto"/>
              <w:bottom w:val="nil"/>
              <w:right w:val="single" w:sz="4" w:space="0" w:color="auto"/>
            </w:tcBorders>
          </w:tcPr>
          <w:p w14:paraId="79FDB32A" w14:textId="77777777" w:rsidR="00EF7B6D" w:rsidRDefault="00EF7B6D"/>
        </w:tc>
        <w:tc>
          <w:tcPr>
            <w:tcW w:w="1161" w:type="dxa"/>
            <w:tcBorders>
              <w:top w:val="single" w:sz="4" w:space="0" w:color="auto"/>
              <w:left w:val="single" w:sz="4" w:space="0" w:color="auto"/>
              <w:bottom w:val="nil"/>
              <w:right w:val="single" w:sz="4" w:space="0" w:color="auto"/>
            </w:tcBorders>
          </w:tcPr>
          <w:p w14:paraId="14CF58D5" w14:textId="77777777" w:rsidR="00EF7B6D" w:rsidRDefault="00EF7B6D">
            <w:pPr>
              <w:jc w:val="right"/>
            </w:pPr>
          </w:p>
        </w:tc>
      </w:tr>
      <w:tr w:rsidR="00EF7B6D" w14:paraId="54F15D24" w14:textId="77777777" w:rsidTr="00EF7B6D">
        <w:tc>
          <w:tcPr>
            <w:tcW w:w="5244" w:type="dxa"/>
            <w:tcBorders>
              <w:top w:val="nil"/>
              <w:left w:val="single" w:sz="4" w:space="0" w:color="auto"/>
              <w:bottom w:val="nil"/>
              <w:right w:val="single" w:sz="4" w:space="0" w:color="auto"/>
            </w:tcBorders>
            <w:hideMark/>
          </w:tcPr>
          <w:p w14:paraId="2DE8923B" w14:textId="77777777" w:rsidR="00EF7B6D" w:rsidRDefault="00EF7B6D">
            <w:pPr>
              <w:jc w:val="both"/>
            </w:pPr>
            <w:r>
              <w:t>Expenditure</w:t>
            </w:r>
          </w:p>
        </w:tc>
        <w:tc>
          <w:tcPr>
            <w:tcW w:w="1161" w:type="dxa"/>
            <w:tcBorders>
              <w:top w:val="nil"/>
              <w:left w:val="single" w:sz="4" w:space="0" w:color="auto"/>
              <w:bottom w:val="nil"/>
              <w:right w:val="single" w:sz="4" w:space="0" w:color="auto"/>
            </w:tcBorders>
          </w:tcPr>
          <w:p w14:paraId="4E3EA94A" w14:textId="77777777" w:rsidR="00EF7B6D" w:rsidRDefault="00EF7B6D">
            <w:pPr>
              <w:jc w:val="right"/>
            </w:pPr>
          </w:p>
        </w:tc>
      </w:tr>
      <w:tr w:rsidR="00EF7B6D" w14:paraId="23DA744A" w14:textId="77777777" w:rsidTr="00EF7B6D">
        <w:tc>
          <w:tcPr>
            <w:tcW w:w="5244" w:type="dxa"/>
            <w:tcBorders>
              <w:top w:val="nil"/>
              <w:left w:val="single" w:sz="4" w:space="0" w:color="auto"/>
              <w:bottom w:val="nil"/>
              <w:right w:val="single" w:sz="4" w:space="0" w:color="auto"/>
            </w:tcBorders>
            <w:hideMark/>
          </w:tcPr>
          <w:p w14:paraId="4A8EFF13" w14:textId="77777777" w:rsidR="00EF7B6D" w:rsidRDefault="00EF7B6D">
            <w:pPr>
              <w:jc w:val="both"/>
            </w:pPr>
            <w:r>
              <w:t>PCC Controlled Budget</w:t>
            </w:r>
          </w:p>
        </w:tc>
        <w:tc>
          <w:tcPr>
            <w:tcW w:w="1161" w:type="dxa"/>
            <w:tcBorders>
              <w:top w:val="nil"/>
              <w:left w:val="single" w:sz="4" w:space="0" w:color="auto"/>
              <w:bottom w:val="nil"/>
              <w:right w:val="single" w:sz="4" w:space="0" w:color="auto"/>
            </w:tcBorders>
            <w:hideMark/>
          </w:tcPr>
          <w:p w14:paraId="6ADC634D" w14:textId="77777777" w:rsidR="00EF7B6D" w:rsidRDefault="00EF7B6D">
            <w:pPr>
              <w:jc w:val="right"/>
            </w:pPr>
            <w:r>
              <w:t>2.7</w:t>
            </w:r>
          </w:p>
        </w:tc>
      </w:tr>
      <w:tr w:rsidR="00EF7B6D" w14:paraId="0974707F" w14:textId="77777777" w:rsidTr="00EF7B6D">
        <w:tc>
          <w:tcPr>
            <w:tcW w:w="5244" w:type="dxa"/>
            <w:tcBorders>
              <w:top w:val="nil"/>
              <w:left w:val="single" w:sz="4" w:space="0" w:color="auto"/>
              <w:bottom w:val="nil"/>
              <w:right w:val="single" w:sz="4" w:space="0" w:color="auto"/>
            </w:tcBorders>
            <w:hideMark/>
          </w:tcPr>
          <w:p w14:paraId="0EAC0358" w14:textId="77777777" w:rsidR="00EF7B6D" w:rsidRDefault="00EF7B6D">
            <w:pPr>
              <w:jc w:val="both"/>
            </w:pPr>
            <w:r>
              <w:t>Surrey Constabulary Budget</w:t>
            </w:r>
          </w:p>
        </w:tc>
        <w:tc>
          <w:tcPr>
            <w:tcW w:w="1161" w:type="dxa"/>
            <w:tcBorders>
              <w:top w:val="nil"/>
              <w:left w:val="single" w:sz="4" w:space="0" w:color="auto"/>
              <w:bottom w:val="nil"/>
              <w:right w:val="single" w:sz="4" w:space="0" w:color="auto"/>
            </w:tcBorders>
            <w:hideMark/>
          </w:tcPr>
          <w:p w14:paraId="7808ECE1" w14:textId="77777777" w:rsidR="00EF7B6D" w:rsidRDefault="00EF7B6D">
            <w:pPr>
              <w:jc w:val="right"/>
            </w:pPr>
            <w:r>
              <w:t>259.0</w:t>
            </w:r>
          </w:p>
        </w:tc>
      </w:tr>
      <w:tr w:rsidR="00EF7B6D" w14:paraId="323AC7DF" w14:textId="77777777" w:rsidTr="00EF7B6D">
        <w:tc>
          <w:tcPr>
            <w:tcW w:w="5244" w:type="dxa"/>
            <w:tcBorders>
              <w:top w:val="single" w:sz="4" w:space="0" w:color="auto"/>
              <w:left w:val="single" w:sz="4" w:space="0" w:color="auto"/>
              <w:bottom w:val="single" w:sz="4" w:space="0" w:color="auto"/>
              <w:right w:val="single" w:sz="4" w:space="0" w:color="auto"/>
            </w:tcBorders>
            <w:hideMark/>
          </w:tcPr>
          <w:p w14:paraId="530C7C3F" w14:textId="77777777" w:rsidR="00EF7B6D" w:rsidRDefault="00EF7B6D">
            <w:pPr>
              <w:jc w:val="both"/>
            </w:pPr>
            <w:r>
              <w:t>Total Expenditure</w:t>
            </w:r>
          </w:p>
        </w:tc>
        <w:tc>
          <w:tcPr>
            <w:tcW w:w="1161" w:type="dxa"/>
            <w:tcBorders>
              <w:top w:val="single" w:sz="4" w:space="0" w:color="auto"/>
              <w:left w:val="single" w:sz="4" w:space="0" w:color="auto"/>
              <w:bottom w:val="single" w:sz="4" w:space="0" w:color="auto"/>
              <w:right w:val="single" w:sz="4" w:space="0" w:color="auto"/>
            </w:tcBorders>
            <w:hideMark/>
          </w:tcPr>
          <w:p w14:paraId="21075B00" w14:textId="77777777" w:rsidR="00EF7B6D" w:rsidRDefault="00EF7B6D">
            <w:pPr>
              <w:jc w:val="right"/>
            </w:pPr>
            <w:r>
              <w:t>261.7</w:t>
            </w:r>
          </w:p>
        </w:tc>
      </w:tr>
      <w:tr w:rsidR="00EF7B6D" w14:paraId="2946E695" w14:textId="77777777" w:rsidTr="00EF7B6D">
        <w:tc>
          <w:tcPr>
            <w:tcW w:w="5244" w:type="dxa"/>
            <w:tcBorders>
              <w:top w:val="single" w:sz="4" w:space="0" w:color="auto"/>
              <w:left w:val="single" w:sz="4" w:space="0" w:color="auto"/>
              <w:bottom w:val="single" w:sz="4" w:space="0" w:color="auto"/>
              <w:right w:val="single" w:sz="4" w:space="0" w:color="auto"/>
            </w:tcBorders>
          </w:tcPr>
          <w:p w14:paraId="14128AAF" w14:textId="77777777" w:rsidR="00EF7B6D" w:rsidRDefault="00EF7B6D">
            <w:pPr>
              <w:jc w:val="both"/>
            </w:pPr>
          </w:p>
        </w:tc>
        <w:tc>
          <w:tcPr>
            <w:tcW w:w="1161" w:type="dxa"/>
            <w:tcBorders>
              <w:top w:val="single" w:sz="4" w:space="0" w:color="auto"/>
              <w:left w:val="single" w:sz="4" w:space="0" w:color="auto"/>
              <w:bottom w:val="single" w:sz="4" w:space="0" w:color="auto"/>
              <w:right w:val="single" w:sz="4" w:space="0" w:color="auto"/>
            </w:tcBorders>
          </w:tcPr>
          <w:p w14:paraId="265F18CB" w14:textId="77777777" w:rsidR="00EF7B6D" w:rsidRDefault="00EF7B6D">
            <w:pPr>
              <w:jc w:val="right"/>
            </w:pPr>
          </w:p>
        </w:tc>
      </w:tr>
      <w:tr w:rsidR="00EF7B6D" w14:paraId="30CB3148" w14:textId="77777777" w:rsidTr="00EF7B6D">
        <w:tc>
          <w:tcPr>
            <w:tcW w:w="5244" w:type="dxa"/>
            <w:tcBorders>
              <w:top w:val="single" w:sz="4" w:space="0" w:color="auto"/>
              <w:left w:val="single" w:sz="4" w:space="0" w:color="auto"/>
              <w:bottom w:val="single" w:sz="4" w:space="0" w:color="auto"/>
              <w:right w:val="single" w:sz="4" w:space="0" w:color="auto"/>
            </w:tcBorders>
            <w:hideMark/>
          </w:tcPr>
          <w:p w14:paraId="2008BCDF" w14:textId="77777777" w:rsidR="00EF7B6D" w:rsidRDefault="00EF7B6D">
            <w:pPr>
              <w:jc w:val="both"/>
            </w:pPr>
            <w:r>
              <w:t>Net Revenue Position</w:t>
            </w:r>
          </w:p>
        </w:tc>
        <w:tc>
          <w:tcPr>
            <w:tcW w:w="1161" w:type="dxa"/>
            <w:tcBorders>
              <w:top w:val="single" w:sz="4" w:space="0" w:color="auto"/>
              <w:left w:val="single" w:sz="4" w:space="0" w:color="auto"/>
              <w:bottom w:val="single" w:sz="4" w:space="0" w:color="auto"/>
              <w:right w:val="single" w:sz="4" w:space="0" w:color="auto"/>
            </w:tcBorders>
            <w:hideMark/>
          </w:tcPr>
          <w:p w14:paraId="0A426938" w14:textId="77777777" w:rsidR="00EF7B6D" w:rsidRDefault="00EF7B6D">
            <w:pPr>
              <w:jc w:val="right"/>
            </w:pPr>
            <w:r>
              <w:t>0.0</w:t>
            </w:r>
          </w:p>
        </w:tc>
      </w:tr>
    </w:tbl>
    <w:p w14:paraId="7E2E69E0" w14:textId="77777777" w:rsidR="00EF7B6D" w:rsidRDefault="00EF7B6D" w:rsidP="00EF7B6D">
      <w:pPr>
        <w:jc w:val="both"/>
      </w:pPr>
    </w:p>
    <w:p w14:paraId="55A0A498" w14:textId="77777777" w:rsidR="00EF7B6D" w:rsidRDefault="00EF7B6D" w:rsidP="00EF7B6D">
      <w:pPr>
        <w:jc w:val="both"/>
      </w:pPr>
      <w:r>
        <w:t xml:space="preserve">The amount of funding raised through Council Tax is based on the maximum precept increase of £15 set by the Government and approved by the PCC on the request of the CC. This enabled a further £4.1m to be invested in additional services and staff in areas such as crime solving, crime prevention and working with victims. </w:t>
      </w:r>
    </w:p>
    <w:p w14:paraId="0ED73C8E" w14:textId="77777777" w:rsidR="00EF7B6D" w:rsidRDefault="00EF7B6D" w:rsidP="00EF7B6D">
      <w:pPr>
        <w:jc w:val="both"/>
      </w:pPr>
    </w:p>
    <w:p w14:paraId="723AC530" w14:textId="77777777" w:rsidR="00EF7B6D" w:rsidRDefault="00EF7B6D" w:rsidP="00EF7B6D">
      <w:pPr>
        <w:jc w:val="both"/>
      </w:pPr>
      <w:r>
        <w:t>The Budget assumes that savings of £6.4m will be delivered in the year.</w:t>
      </w:r>
    </w:p>
    <w:p w14:paraId="53ABA5B7" w14:textId="77777777" w:rsidR="00EF7B6D" w:rsidRDefault="00EF7B6D" w:rsidP="00EF7B6D">
      <w:pPr>
        <w:jc w:val="both"/>
        <w:rPr>
          <w:highlight w:val="yellow"/>
        </w:rPr>
      </w:pPr>
    </w:p>
    <w:p w14:paraId="7B01513E" w14:textId="77777777" w:rsidR="00EF7B6D" w:rsidRDefault="00EF7B6D" w:rsidP="00EF7B6D">
      <w:pPr>
        <w:jc w:val="both"/>
        <w:rPr>
          <w:u w:val="single"/>
        </w:rPr>
      </w:pPr>
      <w:r>
        <w:rPr>
          <w:u w:val="single"/>
        </w:rPr>
        <w:t>Police Officer Uplift</w:t>
      </w:r>
    </w:p>
    <w:p w14:paraId="7C96A9B6" w14:textId="77777777" w:rsidR="00EF7B6D" w:rsidRDefault="00EF7B6D" w:rsidP="00EF7B6D">
      <w:pPr>
        <w:jc w:val="both"/>
      </w:pPr>
    </w:p>
    <w:p w14:paraId="3AF9A46D" w14:textId="380DFB65" w:rsidR="00EF7B6D" w:rsidRDefault="00EF7B6D" w:rsidP="00EF7B6D">
      <w:pPr>
        <w:jc w:val="both"/>
      </w:pPr>
      <w:r>
        <w:t>Nationally the Government made a commitment to fund an uplift in police officer numbers by 20,000 nationally over the 3 year period 2020/21 – 2022/23 by way of a ring-fenced grant. In 2020/21 this amounted to 6,000 officers nationally of which Surrey’s share was 78 officers. Funding has continued in to 2021/22 and Surrey is expecting to recruit a further 72 officer</w:t>
      </w:r>
      <w:r w:rsidR="00776140">
        <w:t xml:space="preserve"> posts</w:t>
      </w:r>
      <w:r>
        <w:t xml:space="preserve"> in this year. </w:t>
      </w:r>
    </w:p>
    <w:p w14:paraId="1625C670" w14:textId="77777777" w:rsidR="00EF7B6D" w:rsidRDefault="00EF7B6D" w:rsidP="00EF7B6D">
      <w:pPr>
        <w:jc w:val="both"/>
        <w:rPr>
          <w:highlight w:val="yellow"/>
        </w:rPr>
      </w:pPr>
    </w:p>
    <w:p w14:paraId="45BF711A" w14:textId="77777777" w:rsidR="00D118EC" w:rsidRDefault="00D118EC" w:rsidP="00EF7B6D">
      <w:pPr>
        <w:jc w:val="both"/>
        <w:rPr>
          <w:u w:val="single"/>
        </w:rPr>
      </w:pPr>
    </w:p>
    <w:p w14:paraId="5C62D354" w14:textId="77777777" w:rsidR="00D118EC" w:rsidRDefault="00D118EC" w:rsidP="00EF7B6D">
      <w:pPr>
        <w:jc w:val="both"/>
        <w:rPr>
          <w:u w:val="single"/>
        </w:rPr>
      </w:pPr>
    </w:p>
    <w:p w14:paraId="423A6C30" w14:textId="77777777" w:rsidR="00EF7B6D" w:rsidRDefault="00EF7B6D" w:rsidP="00EF7B6D">
      <w:pPr>
        <w:jc w:val="both"/>
        <w:rPr>
          <w:u w:val="single"/>
        </w:rPr>
      </w:pPr>
      <w:r>
        <w:rPr>
          <w:u w:val="single"/>
        </w:rPr>
        <w:t>Capital</w:t>
      </w:r>
    </w:p>
    <w:p w14:paraId="56553B70" w14:textId="77777777" w:rsidR="00EF7B6D" w:rsidRDefault="00EF7B6D" w:rsidP="00EF7B6D">
      <w:pPr>
        <w:jc w:val="both"/>
        <w:rPr>
          <w:highlight w:val="yellow"/>
        </w:rPr>
      </w:pPr>
    </w:p>
    <w:p w14:paraId="1ED614E7" w14:textId="720E6BEF" w:rsidR="00EF7B6D" w:rsidRDefault="00EF7B6D" w:rsidP="00EF7B6D">
      <w:pPr>
        <w:jc w:val="both"/>
      </w:pPr>
      <w:r>
        <w:t>The capital programme for 2021/22, including slippages from 20/21, totals includes £10.5m of planned expenditure. Of this</w:t>
      </w:r>
      <w:r w:rsidR="00E43693">
        <w:t xml:space="preserve"> </w:t>
      </w:r>
      <w:r>
        <w:t>£4.7m relates to ICT, £3.8m to vehicles, £3m to Estates, £0.9m, £12.5m for the New HQ and associated projects with the remainder being for Ops command, Specialist Crime and Contact. This will be funded by a combination of Capital receipts and borrowing</w:t>
      </w:r>
    </w:p>
    <w:p w14:paraId="15EC93E6" w14:textId="77777777" w:rsidR="00EF7B6D" w:rsidRDefault="00EF7B6D" w:rsidP="00EF7B6D">
      <w:pPr>
        <w:jc w:val="both"/>
        <w:rPr>
          <w:highlight w:val="yellow"/>
        </w:rPr>
      </w:pPr>
    </w:p>
    <w:p w14:paraId="2FF297F3" w14:textId="77777777" w:rsidR="00EF7B6D" w:rsidRDefault="00EF7B6D" w:rsidP="00EF7B6D">
      <w:pPr>
        <w:jc w:val="both"/>
        <w:rPr>
          <w:u w:val="single"/>
        </w:rPr>
      </w:pPr>
      <w:r>
        <w:rPr>
          <w:u w:val="single"/>
        </w:rPr>
        <w:t>Medium Term Financial Strategy</w:t>
      </w:r>
    </w:p>
    <w:p w14:paraId="08BC245D" w14:textId="77777777" w:rsidR="00EF7B6D" w:rsidRDefault="00EF7B6D" w:rsidP="00EF7B6D">
      <w:pPr>
        <w:jc w:val="both"/>
      </w:pPr>
    </w:p>
    <w:p w14:paraId="34CBCA85" w14:textId="77777777" w:rsidR="00EF7B6D" w:rsidRDefault="00EF7B6D" w:rsidP="00EF7B6D">
      <w:pPr>
        <w:jc w:val="both"/>
      </w:pPr>
      <w:r>
        <w:t xml:space="preserve">The Medium Term Financial Strategy (MTFS) for the period 2022/23 – 2024/25 is based on an assumption that the PCC will be able to increase the Police element of the council tax precept (Band D) by 2% per annum from 2022/23 onwards but that that Government Grants will not increase at all. </w:t>
      </w:r>
    </w:p>
    <w:p w14:paraId="092515C7" w14:textId="77777777" w:rsidR="00EF7B6D" w:rsidRDefault="00EF7B6D" w:rsidP="00EF7B6D">
      <w:pPr>
        <w:jc w:val="both"/>
      </w:pPr>
    </w:p>
    <w:p w14:paraId="6EC13561" w14:textId="77777777" w:rsidR="00EF7B6D" w:rsidRDefault="00EF7B6D" w:rsidP="00EF7B6D">
      <w:pPr>
        <w:jc w:val="both"/>
      </w:pPr>
      <w:r>
        <w:t>This results in significant savings being required of £5.8m, £5,0m, and £6.4m for the 3 years in the forecast. Based on these assumptions the MTFS shows a balanced budget position for 2021/22, 2022/23 and 2023/24. However, were the Government Grant to be increased by 2% pa this would reduce the cumulative savings from the £17.2m to £10.2m.</w:t>
      </w:r>
    </w:p>
    <w:p w14:paraId="0529AC06" w14:textId="77777777" w:rsidR="00EF7B6D" w:rsidRDefault="00EF7B6D" w:rsidP="00EF7B6D">
      <w:pPr>
        <w:jc w:val="both"/>
      </w:pPr>
    </w:p>
    <w:p w14:paraId="2AB9174E" w14:textId="77777777" w:rsidR="00EF7B6D" w:rsidRDefault="00EF7B6D" w:rsidP="00EF7B6D">
      <w:pPr>
        <w:pStyle w:val="Style1"/>
        <w:numPr>
          <w:ilvl w:val="0"/>
          <w:numId w:val="21"/>
        </w:numPr>
        <w:ind w:left="360"/>
        <w:rPr>
          <w:rFonts w:ascii="Verdana" w:hAnsi="Verdana"/>
          <w:sz w:val="22"/>
          <w:szCs w:val="22"/>
        </w:rPr>
      </w:pPr>
      <w:r>
        <w:rPr>
          <w:rFonts w:ascii="Verdana" w:hAnsi="Verdana"/>
          <w:sz w:val="22"/>
          <w:szCs w:val="22"/>
        </w:rPr>
        <w:t>Investment</w:t>
      </w:r>
    </w:p>
    <w:p w14:paraId="19BFDCDC" w14:textId="77777777" w:rsidR="00EF7B6D" w:rsidRDefault="00EF7B6D" w:rsidP="00EF7B6D">
      <w:pPr>
        <w:jc w:val="both"/>
        <w:rPr>
          <w:highlight w:val="yellow"/>
        </w:rPr>
      </w:pPr>
    </w:p>
    <w:p w14:paraId="7088AF5F" w14:textId="45B56C1D" w:rsidR="00EF7B6D" w:rsidRPr="0041394A" w:rsidRDefault="00EF7B6D" w:rsidP="00EF7B6D">
      <w:pPr>
        <w:jc w:val="both"/>
      </w:pPr>
      <w:r>
        <w:t xml:space="preserve">The Commissioner has an investment portfolio consisting of reserves and </w:t>
      </w:r>
      <w:r w:rsidRPr="00E43693">
        <w:t xml:space="preserve">short-term cashflows (including on-call cash investments). This is managed by Surrey County Council on behalf of the Commissioner. At the end of the year there were investments of </w:t>
      </w:r>
      <w:r w:rsidRPr="0041394A">
        <w:t>£1</w:t>
      </w:r>
      <w:r w:rsidR="00E43693" w:rsidRPr="0041394A">
        <w:t>1.642</w:t>
      </w:r>
      <w:r w:rsidRPr="0041394A">
        <w:t xml:space="preserve">m and </w:t>
      </w:r>
      <w:r w:rsidR="00E43693" w:rsidRPr="0041394A">
        <w:t xml:space="preserve">investments over the year </w:t>
      </w:r>
      <w:r w:rsidRPr="0041394A">
        <w:t>generated an interest return of £</w:t>
      </w:r>
      <w:r w:rsidR="00E43693" w:rsidRPr="0041394A">
        <w:t>40.5</w:t>
      </w:r>
      <w:r w:rsidRPr="0041394A">
        <w:t xml:space="preserve">k for the year. </w:t>
      </w:r>
    </w:p>
    <w:p w14:paraId="46BCCC58" w14:textId="77777777" w:rsidR="00EF7B6D" w:rsidRPr="0041394A" w:rsidRDefault="00EF7B6D" w:rsidP="00EF7B6D">
      <w:pPr>
        <w:jc w:val="both"/>
      </w:pPr>
    </w:p>
    <w:p w14:paraId="53F8171F" w14:textId="77777777" w:rsidR="00EF7B6D" w:rsidRDefault="00EF7B6D" w:rsidP="00EF7B6D">
      <w:pPr>
        <w:jc w:val="both"/>
      </w:pPr>
      <w:r>
        <w:t xml:space="preserve">Interest rates have remained unchanged for the year and are historic lows. However, as inflation is starting to rise there is a chance that rates will increase in 2021/22 albeit very slowly. That said any increase in income from investments would be offset by the greater cost of borrowing for major projects such as Building the Future.  </w:t>
      </w:r>
    </w:p>
    <w:p w14:paraId="6F9BE137" w14:textId="77777777" w:rsidR="00EF7B6D" w:rsidRDefault="00EF7B6D" w:rsidP="00EF7B6D">
      <w:pPr>
        <w:jc w:val="both"/>
        <w:rPr>
          <w:highlight w:val="yellow"/>
        </w:rPr>
      </w:pPr>
    </w:p>
    <w:p w14:paraId="4A1BFCD5" w14:textId="77777777" w:rsidR="00EF7B6D" w:rsidRDefault="00EF7B6D" w:rsidP="00EF7B6D">
      <w:pPr>
        <w:pStyle w:val="Style1"/>
        <w:numPr>
          <w:ilvl w:val="0"/>
          <w:numId w:val="21"/>
        </w:numPr>
        <w:ind w:left="360"/>
        <w:rPr>
          <w:rFonts w:ascii="Verdana" w:hAnsi="Verdana"/>
          <w:sz w:val="22"/>
          <w:szCs w:val="22"/>
        </w:rPr>
      </w:pPr>
      <w:r>
        <w:rPr>
          <w:rFonts w:ascii="Verdana" w:hAnsi="Verdana"/>
          <w:sz w:val="22"/>
          <w:szCs w:val="22"/>
        </w:rPr>
        <w:t>Borrowing</w:t>
      </w:r>
    </w:p>
    <w:p w14:paraId="2EBF48FA" w14:textId="77777777" w:rsidR="00EF7B6D" w:rsidRDefault="00EF7B6D" w:rsidP="00EF7B6D">
      <w:pPr>
        <w:jc w:val="both"/>
      </w:pPr>
    </w:p>
    <w:p w14:paraId="7B5F713D" w14:textId="77777777" w:rsidR="00EF7B6D" w:rsidRDefault="00EF7B6D" w:rsidP="00EF7B6D">
      <w:pPr>
        <w:jc w:val="both"/>
      </w:pPr>
      <w:r>
        <w:t>The Prudential Code allows the Commissioner to borrow money as long as it is prudent, affordable and sustainable. The Commissioner did not take out any external new loans during the year and the bulk of the capital programme was funded through a combination of capital grant, capital receipts and revenue transfers. That said there was however some limited internal borrowing during the year amounting to £0.8m relating to estates.</w:t>
      </w:r>
    </w:p>
    <w:p w14:paraId="178829DF" w14:textId="77777777" w:rsidR="00EF7B6D" w:rsidRDefault="00EF7B6D" w:rsidP="00EF7B6D">
      <w:pPr>
        <w:jc w:val="both"/>
      </w:pPr>
    </w:p>
    <w:p w14:paraId="5DBB1B77" w14:textId="77777777" w:rsidR="00EF7B6D" w:rsidRDefault="00EF7B6D" w:rsidP="00EF7B6D">
      <w:pPr>
        <w:pStyle w:val="Style1"/>
        <w:numPr>
          <w:ilvl w:val="0"/>
          <w:numId w:val="21"/>
        </w:numPr>
        <w:ind w:left="360"/>
        <w:rPr>
          <w:rFonts w:ascii="Verdana" w:hAnsi="Verdana"/>
          <w:sz w:val="22"/>
          <w:szCs w:val="22"/>
        </w:rPr>
      </w:pPr>
      <w:r>
        <w:rPr>
          <w:rFonts w:ascii="Verdana" w:hAnsi="Verdana"/>
          <w:sz w:val="22"/>
          <w:szCs w:val="22"/>
        </w:rPr>
        <w:t>Employee Pension Schemes</w:t>
      </w:r>
    </w:p>
    <w:p w14:paraId="6E197AB2" w14:textId="77777777" w:rsidR="00EF7B6D" w:rsidRDefault="00EF7B6D" w:rsidP="00EF7B6D">
      <w:pPr>
        <w:jc w:val="both"/>
      </w:pPr>
    </w:p>
    <w:p w14:paraId="6284F007" w14:textId="77777777" w:rsidR="00EF7B6D" w:rsidRDefault="00EF7B6D" w:rsidP="00EF7B6D">
      <w:pPr>
        <w:jc w:val="both"/>
      </w:pPr>
      <w:r>
        <w:t xml:space="preserve">The PCC Group operates two separate pension schemes, one for Police Officers and another for Police Staff. </w:t>
      </w:r>
    </w:p>
    <w:p w14:paraId="20F93601" w14:textId="77777777" w:rsidR="00EF7B6D" w:rsidRDefault="00EF7B6D" w:rsidP="00EF7B6D">
      <w:pPr>
        <w:jc w:val="both"/>
      </w:pPr>
    </w:p>
    <w:p w14:paraId="139988B3" w14:textId="77777777" w:rsidR="00EF7B6D" w:rsidRDefault="00EF7B6D" w:rsidP="00EF7B6D">
      <w:pPr>
        <w:jc w:val="both"/>
      </w:pPr>
      <w:r>
        <w:t>Police officers pay contributions of between 11.0% and 15.05% and Surrey Police pay an employer contribution rate of 31%. A specific grant of £2m towards pension costs was also received in 2020/21 to assist in funding the employer contributions.</w:t>
      </w:r>
    </w:p>
    <w:p w14:paraId="041E07AF" w14:textId="77777777" w:rsidR="00EF7B6D" w:rsidRDefault="00EF7B6D" w:rsidP="00EF7B6D">
      <w:pPr>
        <w:jc w:val="both"/>
      </w:pPr>
    </w:p>
    <w:p w14:paraId="0F197116" w14:textId="77777777" w:rsidR="00EF7B6D" w:rsidRDefault="00EF7B6D" w:rsidP="00EF7B6D">
      <w:pPr>
        <w:jc w:val="both"/>
      </w:pPr>
      <w:r>
        <w:t xml:space="preserve">Overall, the net pension liability on the Police Officer Pension Scheme has increased by £0.061m from £1.896m at 31 March 2020 to £1.957m at 31 March 2021. </w:t>
      </w:r>
    </w:p>
    <w:p w14:paraId="5E14086C" w14:textId="77777777" w:rsidR="00EF7B6D" w:rsidRDefault="00EF7B6D" w:rsidP="00EF7B6D">
      <w:pPr>
        <w:jc w:val="both"/>
        <w:rPr>
          <w:highlight w:val="yellow"/>
        </w:rPr>
      </w:pPr>
    </w:p>
    <w:p w14:paraId="4193F040" w14:textId="77777777" w:rsidR="00EF7B6D" w:rsidRDefault="00EF7B6D" w:rsidP="00EF7B6D">
      <w:pPr>
        <w:jc w:val="both"/>
      </w:pPr>
      <w:r>
        <w:t xml:space="preserve">The value of the Police Staff pension scheme is assessed triennially and the employer’s contribution is adjusted in line with the actuary’s recommendations. The latest triennial valuation completed in April 2019 resulted in employer’s contributions being increased from 14.5% with an additional payment of £2.587m in 2019/20 to 16.5% from April 2020 until March 2023 with additional payments of £1.842m, £1.902m and 1.964m for the years ended March 2021, 2022 and 2023 respectively. The additional payments to the pension fund are to repay the deficit, known as the additional monetary amount. </w:t>
      </w:r>
    </w:p>
    <w:p w14:paraId="637498FF" w14:textId="77777777" w:rsidR="00EF7B6D" w:rsidRDefault="00EF7B6D" w:rsidP="00EF7B6D">
      <w:pPr>
        <w:jc w:val="both"/>
      </w:pPr>
    </w:p>
    <w:p w14:paraId="0B1E4F00" w14:textId="77777777" w:rsidR="00EF7B6D" w:rsidRDefault="00EF7B6D" w:rsidP="00EF7B6D">
      <w:pPr>
        <w:jc w:val="both"/>
      </w:pPr>
      <w:r>
        <w:t xml:space="preserve">Overall, the net pension liability on the Staff Local Government Pension Schemes for the Group has increased by £0.088m from £0.132m at 31 March 2020 to £0.220m at 31 March 2021. </w:t>
      </w:r>
    </w:p>
    <w:p w14:paraId="24C956BE" w14:textId="77777777" w:rsidR="00EF7B6D" w:rsidRDefault="00EF7B6D" w:rsidP="00EF7B6D">
      <w:pPr>
        <w:jc w:val="both"/>
      </w:pPr>
    </w:p>
    <w:p w14:paraId="5B118326" w14:textId="77777777" w:rsidR="00EF7B6D" w:rsidRDefault="00EF7B6D" w:rsidP="00EF7B6D">
      <w:pPr>
        <w:jc w:val="both"/>
      </w:pPr>
      <w:r>
        <w:t>The Commissioner’s net pension liability is included in the balance sheet in accordance with accounting standards including an estimate of the impact of the McCloud judgment that concluded the transitional provisions introduced to the reformed judges and firefighter’s pension schemes in 2015 gave rise to unlawful age discrimination. The Government’s application to appeal the decision was denied by the Supreme Court on 27 June 2019. Consequently, the Government has stated its intention to engage fully with the Employment Tribunal to agree how the discrimination will be remedied for all the main public service pension schemes, including Police. The actuary has modelled the assumed remedy with reference to developments in the Employment Tribunals of other public service schemes.</w:t>
      </w:r>
    </w:p>
    <w:p w14:paraId="49E137A0" w14:textId="77777777" w:rsidR="00EF7B6D" w:rsidRDefault="00EF7B6D" w:rsidP="00EF7B6D">
      <w:pPr>
        <w:jc w:val="both"/>
      </w:pPr>
    </w:p>
    <w:p w14:paraId="601FC166" w14:textId="77777777" w:rsidR="00EF7B6D" w:rsidRDefault="00EF7B6D" w:rsidP="00EF7B6D">
      <w:pPr>
        <w:jc w:val="both"/>
      </w:pPr>
      <w:r>
        <w:t>Although benefits from these schemes will not be payable until an officer or staff member retires, the PCC Group has a future commitment to make these payments and under International Accounting Standard 19 (IAS 19), the PCC Group is required to account for this future commitment based on the full cost at the time of retirement. The result of accounting for this commitment has a substantial impact on the net worth of the Balance Sheet, resulting in a negative pension reserve on the Balance Sheet totaling £2.177m at 31 March 2021 (2019/20: £2.028m). However, statutory arrangements for funding the deficit mean that the financial position of the PCC Group remains healthy.</w:t>
      </w:r>
    </w:p>
    <w:p w14:paraId="3D4B62D0" w14:textId="77777777" w:rsidR="00EF7B6D" w:rsidRDefault="00EF7B6D" w:rsidP="00EF7B6D">
      <w:pPr>
        <w:jc w:val="both"/>
      </w:pPr>
    </w:p>
    <w:p w14:paraId="101A899A" w14:textId="77777777" w:rsidR="00EF7B6D" w:rsidRDefault="00EF7B6D" w:rsidP="00EF7B6D">
      <w:pPr>
        <w:pStyle w:val="Style1"/>
        <w:numPr>
          <w:ilvl w:val="0"/>
          <w:numId w:val="21"/>
        </w:numPr>
        <w:ind w:left="360"/>
        <w:rPr>
          <w:rFonts w:ascii="Verdana" w:hAnsi="Verdana"/>
          <w:sz w:val="22"/>
          <w:szCs w:val="22"/>
        </w:rPr>
      </w:pPr>
      <w:r>
        <w:rPr>
          <w:rFonts w:ascii="Verdana" w:hAnsi="Verdana"/>
          <w:sz w:val="22"/>
          <w:szCs w:val="22"/>
        </w:rPr>
        <w:t>Reserves</w:t>
      </w:r>
    </w:p>
    <w:p w14:paraId="651D89B9" w14:textId="77777777" w:rsidR="00EF7B6D" w:rsidRDefault="00EF7B6D" w:rsidP="00EF7B6D">
      <w:pPr>
        <w:jc w:val="both"/>
        <w:rPr>
          <w:highlight w:val="yellow"/>
        </w:rPr>
      </w:pPr>
    </w:p>
    <w:p w14:paraId="39396190" w14:textId="77777777" w:rsidR="00EF7B6D" w:rsidRDefault="00EF7B6D" w:rsidP="00EF7B6D">
      <w:pPr>
        <w:jc w:val="both"/>
      </w:pPr>
      <w:r>
        <w:t>The requirement for reserves is covered in sections 32 and 43 of the Local Government Finance Act 1992, which require billing and precepting authorities in England and Wales to have regard to the level of reserves needed for meeting estimated future expenditure when calculating the budget requirement. Earmarked reserves remain legally part of the general fund but are accounted for separately. All usable reserves are held by the Commissioner.</w:t>
      </w:r>
    </w:p>
    <w:p w14:paraId="6960A59B" w14:textId="77777777" w:rsidR="00EF7B6D" w:rsidRDefault="00EF7B6D" w:rsidP="00EF7B6D">
      <w:pPr>
        <w:jc w:val="both"/>
      </w:pPr>
    </w:p>
    <w:p w14:paraId="3BBE1269" w14:textId="77777777" w:rsidR="00EF7B6D" w:rsidRDefault="00EF7B6D" w:rsidP="00EF7B6D">
      <w:r>
        <w:t xml:space="preserve">Reserves are set out in the table below as well as in the notes to the financial statements later in this document. </w:t>
      </w:r>
    </w:p>
    <w:p w14:paraId="05D51D97" w14:textId="77777777" w:rsidR="00EF7B6D" w:rsidRDefault="00EF7B6D" w:rsidP="00EF7B6D"/>
    <w:tbl>
      <w:tblPr>
        <w:tblW w:w="14170" w:type="dxa"/>
        <w:tblLook w:val="04A0" w:firstRow="1" w:lastRow="0" w:firstColumn="1" w:lastColumn="0" w:noHBand="0" w:noVBand="1"/>
      </w:tblPr>
      <w:tblGrid>
        <w:gridCol w:w="3798"/>
        <w:gridCol w:w="1455"/>
        <w:gridCol w:w="1455"/>
        <w:gridCol w:w="1455"/>
        <w:gridCol w:w="1675"/>
        <w:gridCol w:w="1708"/>
        <w:gridCol w:w="1129"/>
        <w:gridCol w:w="1783"/>
      </w:tblGrid>
      <w:tr w:rsidR="004D40E6" w14:paraId="5F9F7C1A" w14:textId="77777777" w:rsidTr="0041394A">
        <w:trPr>
          <w:trHeight w:val="191"/>
        </w:trPr>
        <w:tc>
          <w:tcPr>
            <w:tcW w:w="3798" w:type="dxa"/>
            <w:tcBorders>
              <w:top w:val="single" w:sz="4" w:space="0" w:color="auto"/>
              <w:left w:val="single" w:sz="4" w:space="0" w:color="auto"/>
              <w:bottom w:val="nil"/>
              <w:right w:val="nil"/>
            </w:tcBorders>
            <w:vAlign w:val="center"/>
            <w:hideMark/>
          </w:tcPr>
          <w:p w14:paraId="5BDCDC5B"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455" w:type="dxa"/>
            <w:tcBorders>
              <w:top w:val="single" w:sz="4" w:space="0" w:color="auto"/>
              <w:left w:val="single" w:sz="4" w:space="0" w:color="auto"/>
              <w:bottom w:val="nil"/>
              <w:right w:val="single" w:sz="4" w:space="0" w:color="auto"/>
            </w:tcBorders>
            <w:vAlign w:val="center"/>
            <w:hideMark/>
          </w:tcPr>
          <w:p w14:paraId="42FE793B" w14:textId="77777777" w:rsidR="004D40E6" w:rsidRPr="00D118EC" w:rsidRDefault="004D40E6">
            <w:pPr>
              <w:jc w:val="center"/>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Balance at 31 March 2020</w:t>
            </w:r>
          </w:p>
        </w:tc>
        <w:tc>
          <w:tcPr>
            <w:tcW w:w="1455" w:type="dxa"/>
            <w:tcBorders>
              <w:top w:val="single" w:sz="4" w:space="0" w:color="auto"/>
              <w:left w:val="nil"/>
              <w:bottom w:val="nil"/>
              <w:right w:val="single" w:sz="4" w:space="0" w:color="auto"/>
            </w:tcBorders>
            <w:vAlign w:val="center"/>
            <w:hideMark/>
          </w:tcPr>
          <w:p w14:paraId="377DB509" w14:textId="77777777" w:rsidR="004D40E6" w:rsidRPr="00D118EC" w:rsidRDefault="004D40E6">
            <w:pPr>
              <w:jc w:val="center"/>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Actuarial Changes</w:t>
            </w:r>
          </w:p>
        </w:tc>
        <w:tc>
          <w:tcPr>
            <w:tcW w:w="1455" w:type="dxa"/>
            <w:tcBorders>
              <w:top w:val="single" w:sz="4" w:space="0" w:color="auto"/>
              <w:left w:val="nil"/>
              <w:bottom w:val="nil"/>
              <w:right w:val="single" w:sz="4" w:space="0" w:color="auto"/>
            </w:tcBorders>
            <w:vAlign w:val="center"/>
            <w:hideMark/>
          </w:tcPr>
          <w:p w14:paraId="6C96E39F" w14:textId="77777777" w:rsidR="004D40E6" w:rsidRPr="00D118EC" w:rsidRDefault="004D40E6">
            <w:pPr>
              <w:jc w:val="center"/>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Use of Reserve</w:t>
            </w:r>
          </w:p>
        </w:tc>
        <w:tc>
          <w:tcPr>
            <w:tcW w:w="1675" w:type="dxa"/>
            <w:tcBorders>
              <w:top w:val="single" w:sz="4" w:space="0" w:color="auto"/>
              <w:left w:val="nil"/>
              <w:bottom w:val="nil"/>
              <w:right w:val="single" w:sz="4" w:space="0" w:color="auto"/>
            </w:tcBorders>
            <w:vAlign w:val="center"/>
            <w:hideMark/>
          </w:tcPr>
          <w:p w14:paraId="73A7444B" w14:textId="77777777" w:rsidR="004D40E6" w:rsidRPr="00D118EC" w:rsidRDefault="004D40E6">
            <w:pPr>
              <w:jc w:val="center"/>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Underspend for 2020/21</w:t>
            </w:r>
          </w:p>
        </w:tc>
        <w:tc>
          <w:tcPr>
            <w:tcW w:w="1708" w:type="dxa"/>
            <w:tcBorders>
              <w:top w:val="single" w:sz="4" w:space="0" w:color="auto"/>
              <w:left w:val="nil"/>
              <w:bottom w:val="nil"/>
              <w:right w:val="single" w:sz="4" w:space="0" w:color="auto"/>
            </w:tcBorders>
            <w:vAlign w:val="center"/>
            <w:hideMark/>
          </w:tcPr>
          <w:p w14:paraId="72F3E30F" w14:textId="77777777" w:rsidR="004D40E6" w:rsidRPr="00D118EC" w:rsidRDefault="004D40E6">
            <w:pPr>
              <w:jc w:val="center"/>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Government Grants</w:t>
            </w:r>
          </w:p>
        </w:tc>
        <w:tc>
          <w:tcPr>
            <w:tcW w:w="1129" w:type="dxa"/>
            <w:tcBorders>
              <w:top w:val="single" w:sz="4" w:space="0" w:color="auto"/>
              <w:left w:val="nil"/>
              <w:bottom w:val="nil"/>
              <w:right w:val="single" w:sz="4" w:space="0" w:color="auto"/>
            </w:tcBorders>
          </w:tcPr>
          <w:p w14:paraId="425026EB" w14:textId="77777777" w:rsidR="004C7CC4" w:rsidRDefault="004C7CC4">
            <w:pPr>
              <w:jc w:val="center"/>
              <w:rPr>
                <w:rFonts w:eastAsia="Times New Roman" w:cs="Calibri"/>
                <w:b/>
                <w:bCs/>
                <w:color w:val="000000"/>
                <w:sz w:val="20"/>
                <w:szCs w:val="20"/>
                <w:lang w:val="en-GB" w:eastAsia="en-GB"/>
              </w:rPr>
            </w:pPr>
          </w:p>
          <w:p w14:paraId="5043EB3B" w14:textId="77777777" w:rsidR="009F0E9A" w:rsidRDefault="009F0E9A">
            <w:pPr>
              <w:jc w:val="center"/>
              <w:rPr>
                <w:rFonts w:eastAsia="Times New Roman" w:cs="Calibri"/>
                <w:b/>
                <w:bCs/>
                <w:color w:val="000000"/>
                <w:sz w:val="20"/>
                <w:szCs w:val="20"/>
                <w:lang w:val="en-GB" w:eastAsia="en-GB"/>
              </w:rPr>
            </w:pPr>
            <w:r>
              <w:rPr>
                <w:rFonts w:eastAsia="Times New Roman" w:cs="Calibri"/>
                <w:b/>
                <w:bCs/>
                <w:color w:val="000000"/>
                <w:sz w:val="20"/>
                <w:szCs w:val="20"/>
                <w:lang w:val="en-GB" w:eastAsia="en-GB"/>
              </w:rPr>
              <w:t>Y/E</w:t>
            </w:r>
          </w:p>
          <w:p w14:paraId="54733456" w14:textId="432FC77D" w:rsidR="004D40E6" w:rsidRPr="00D118EC" w:rsidRDefault="009F0E9A">
            <w:pPr>
              <w:jc w:val="center"/>
              <w:rPr>
                <w:rFonts w:eastAsia="Times New Roman" w:cs="Calibri"/>
                <w:b/>
                <w:bCs/>
                <w:color w:val="000000"/>
                <w:sz w:val="20"/>
                <w:szCs w:val="20"/>
                <w:lang w:val="en-GB" w:eastAsia="en-GB"/>
              </w:rPr>
            </w:pPr>
            <w:r>
              <w:rPr>
                <w:rFonts w:eastAsia="Times New Roman" w:cs="Calibri"/>
                <w:b/>
                <w:bCs/>
                <w:color w:val="000000"/>
                <w:sz w:val="20"/>
                <w:szCs w:val="20"/>
                <w:lang w:val="en-GB" w:eastAsia="en-GB"/>
              </w:rPr>
              <w:t>Adjust’</w:t>
            </w:r>
            <w:r w:rsidR="004D40E6">
              <w:rPr>
                <w:rFonts w:eastAsia="Times New Roman" w:cs="Calibri"/>
                <w:b/>
                <w:bCs/>
                <w:color w:val="000000"/>
                <w:sz w:val="20"/>
                <w:szCs w:val="20"/>
                <w:lang w:val="en-GB" w:eastAsia="en-GB"/>
              </w:rPr>
              <w:t>s</w:t>
            </w:r>
          </w:p>
        </w:tc>
        <w:tc>
          <w:tcPr>
            <w:tcW w:w="1495" w:type="dxa"/>
            <w:tcBorders>
              <w:top w:val="single" w:sz="4" w:space="0" w:color="auto"/>
              <w:left w:val="single" w:sz="4" w:space="0" w:color="auto"/>
              <w:bottom w:val="nil"/>
              <w:right w:val="single" w:sz="4" w:space="0" w:color="auto"/>
            </w:tcBorders>
            <w:vAlign w:val="center"/>
            <w:hideMark/>
          </w:tcPr>
          <w:p w14:paraId="289C0737" w14:textId="77777777" w:rsidR="004C7CC4" w:rsidRDefault="004D40E6">
            <w:pPr>
              <w:jc w:val="center"/>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 xml:space="preserve">Balance at </w:t>
            </w:r>
          </w:p>
          <w:p w14:paraId="115AB35C" w14:textId="04CD8753" w:rsidR="004D40E6" w:rsidRPr="00D118EC" w:rsidRDefault="004D40E6">
            <w:pPr>
              <w:jc w:val="center"/>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31 March 2021</w:t>
            </w:r>
          </w:p>
        </w:tc>
      </w:tr>
      <w:tr w:rsidR="004D40E6" w14:paraId="7B2BBD5F" w14:textId="77777777" w:rsidTr="0041394A">
        <w:trPr>
          <w:trHeight w:val="74"/>
        </w:trPr>
        <w:tc>
          <w:tcPr>
            <w:tcW w:w="3798" w:type="dxa"/>
            <w:tcBorders>
              <w:top w:val="nil"/>
              <w:left w:val="single" w:sz="4" w:space="0" w:color="auto"/>
              <w:bottom w:val="single" w:sz="4" w:space="0" w:color="auto"/>
              <w:right w:val="nil"/>
            </w:tcBorders>
            <w:noWrap/>
            <w:vAlign w:val="center"/>
            <w:hideMark/>
          </w:tcPr>
          <w:p w14:paraId="0468EDAE"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455" w:type="dxa"/>
            <w:tcBorders>
              <w:top w:val="nil"/>
              <w:left w:val="single" w:sz="4" w:space="0" w:color="auto"/>
              <w:bottom w:val="single" w:sz="4" w:space="0" w:color="auto"/>
              <w:right w:val="single" w:sz="4" w:space="0" w:color="auto"/>
            </w:tcBorders>
            <w:noWrap/>
            <w:vAlign w:val="center"/>
            <w:hideMark/>
          </w:tcPr>
          <w:p w14:paraId="4872E5D5" w14:textId="77777777" w:rsidR="004D40E6" w:rsidRPr="00D118EC" w:rsidRDefault="004D40E6">
            <w:pPr>
              <w:jc w:val="center"/>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£m</w:t>
            </w:r>
          </w:p>
        </w:tc>
        <w:tc>
          <w:tcPr>
            <w:tcW w:w="1455" w:type="dxa"/>
            <w:tcBorders>
              <w:top w:val="nil"/>
              <w:left w:val="nil"/>
              <w:bottom w:val="single" w:sz="4" w:space="0" w:color="auto"/>
              <w:right w:val="single" w:sz="4" w:space="0" w:color="auto"/>
            </w:tcBorders>
            <w:noWrap/>
            <w:vAlign w:val="center"/>
            <w:hideMark/>
          </w:tcPr>
          <w:p w14:paraId="7AE7EA00" w14:textId="77777777" w:rsidR="004D40E6" w:rsidRPr="00D118EC" w:rsidRDefault="004D40E6">
            <w:pPr>
              <w:jc w:val="center"/>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£m</w:t>
            </w:r>
          </w:p>
        </w:tc>
        <w:tc>
          <w:tcPr>
            <w:tcW w:w="1455" w:type="dxa"/>
            <w:tcBorders>
              <w:top w:val="nil"/>
              <w:left w:val="nil"/>
              <w:bottom w:val="single" w:sz="4" w:space="0" w:color="auto"/>
              <w:right w:val="single" w:sz="4" w:space="0" w:color="auto"/>
            </w:tcBorders>
            <w:noWrap/>
            <w:vAlign w:val="center"/>
            <w:hideMark/>
          </w:tcPr>
          <w:p w14:paraId="2E090919" w14:textId="77777777" w:rsidR="004D40E6" w:rsidRPr="00D118EC" w:rsidRDefault="004D40E6">
            <w:pPr>
              <w:jc w:val="center"/>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£m</w:t>
            </w:r>
          </w:p>
        </w:tc>
        <w:tc>
          <w:tcPr>
            <w:tcW w:w="1675" w:type="dxa"/>
            <w:tcBorders>
              <w:top w:val="nil"/>
              <w:left w:val="nil"/>
              <w:bottom w:val="single" w:sz="4" w:space="0" w:color="auto"/>
              <w:right w:val="single" w:sz="4" w:space="0" w:color="auto"/>
            </w:tcBorders>
            <w:noWrap/>
            <w:vAlign w:val="center"/>
            <w:hideMark/>
          </w:tcPr>
          <w:p w14:paraId="2BAECABE" w14:textId="77777777" w:rsidR="004D40E6" w:rsidRPr="00D118EC" w:rsidRDefault="004D40E6">
            <w:pPr>
              <w:jc w:val="center"/>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£m</w:t>
            </w:r>
          </w:p>
        </w:tc>
        <w:tc>
          <w:tcPr>
            <w:tcW w:w="1708" w:type="dxa"/>
            <w:tcBorders>
              <w:top w:val="nil"/>
              <w:left w:val="nil"/>
              <w:bottom w:val="single" w:sz="4" w:space="0" w:color="auto"/>
              <w:right w:val="single" w:sz="4" w:space="0" w:color="auto"/>
            </w:tcBorders>
            <w:noWrap/>
            <w:vAlign w:val="center"/>
            <w:hideMark/>
          </w:tcPr>
          <w:p w14:paraId="6BA49983" w14:textId="77777777" w:rsidR="004D40E6" w:rsidRPr="00D118EC" w:rsidRDefault="004D40E6">
            <w:pPr>
              <w:jc w:val="center"/>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£m</w:t>
            </w:r>
          </w:p>
        </w:tc>
        <w:tc>
          <w:tcPr>
            <w:tcW w:w="1129" w:type="dxa"/>
            <w:tcBorders>
              <w:top w:val="nil"/>
              <w:left w:val="nil"/>
              <w:bottom w:val="single" w:sz="4" w:space="0" w:color="auto"/>
              <w:right w:val="single" w:sz="4" w:space="0" w:color="auto"/>
            </w:tcBorders>
          </w:tcPr>
          <w:p w14:paraId="6CC85A60" w14:textId="550A8E06" w:rsidR="004D40E6" w:rsidRPr="00D118EC" w:rsidRDefault="004D40E6">
            <w:pPr>
              <w:jc w:val="center"/>
              <w:rPr>
                <w:rFonts w:eastAsia="Times New Roman" w:cs="Calibri"/>
                <w:b/>
                <w:bCs/>
                <w:color w:val="000000"/>
                <w:sz w:val="20"/>
                <w:szCs w:val="20"/>
                <w:lang w:val="en-GB" w:eastAsia="en-GB"/>
              </w:rPr>
            </w:pPr>
            <w:r>
              <w:rPr>
                <w:rFonts w:eastAsia="Times New Roman" w:cs="Calibri"/>
                <w:b/>
                <w:bCs/>
                <w:color w:val="000000"/>
                <w:sz w:val="20"/>
                <w:szCs w:val="20"/>
                <w:lang w:val="en-GB" w:eastAsia="en-GB"/>
              </w:rPr>
              <w:t>£m</w:t>
            </w:r>
          </w:p>
        </w:tc>
        <w:tc>
          <w:tcPr>
            <w:tcW w:w="1495" w:type="dxa"/>
            <w:tcBorders>
              <w:top w:val="nil"/>
              <w:left w:val="single" w:sz="4" w:space="0" w:color="auto"/>
              <w:bottom w:val="single" w:sz="4" w:space="0" w:color="auto"/>
              <w:right w:val="single" w:sz="4" w:space="0" w:color="auto"/>
            </w:tcBorders>
            <w:noWrap/>
            <w:vAlign w:val="center"/>
            <w:hideMark/>
          </w:tcPr>
          <w:p w14:paraId="24A2232A" w14:textId="62AB9D8F" w:rsidR="004D40E6" w:rsidRPr="00D118EC" w:rsidRDefault="004D40E6">
            <w:pPr>
              <w:jc w:val="center"/>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£m</w:t>
            </w:r>
          </w:p>
        </w:tc>
      </w:tr>
      <w:tr w:rsidR="004D40E6" w14:paraId="6D3E3F2F" w14:textId="77777777" w:rsidTr="0041394A">
        <w:trPr>
          <w:trHeight w:val="64"/>
        </w:trPr>
        <w:tc>
          <w:tcPr>
            <w:tcW w:w="3798" w:type="dxa"/>
            <w:tcBorders>
              <w:top w:val="nil"/>
              <w:left w:val="single" w:sz="4" w:space="0" w:color="auto"/>
              <w:bottom w:val="nil"/>
              <w:right w:val="nil"/>
            </w:tcBorders>
            <w:noWrap/>
            <w:vAlign w:val="center"/>
            <w:hideMark/>
          </w:tcPr>
          <w:p w14:paraId="580CF1C7" w14:textId="77777777" w:rsidR="004D40E6" w:rsidRPr="00D118EC" w:rsidRDefault="004D40E6">
            <w:pPr>
              <w:rPr>
                <w:rFonts w:eastAsia="Times New Roman" w:cs="Calibri"/>
                <w:b/>
                <w:bCs/>
                <w:i/>
                <w:iCs/>
                <w:color w:val="000000"/>
                <w:sz w:val="20"/>
                <w:szCs w:val="20"/>
                <w:lang w:val="en-GB" w:eastAsia="en-GB"/>
              </w:rPr>
            </w:pPr>
            <w:r w:rsidRPr="00D118EC">
              <w:rPr>
                <w:rFonts w:eastAsia="Times New Roman" w:cs="Calibri"/>
                <w:b/>
                <w:bCs/>
                <w:i/>
                <w:iCs/>
                <w:color w:val="000000"/>
                <w:sz w:val="20"/>
                <w:szCs w:val="20"/>
                <w:lang w:val="en-GB" w:eastAsia="en-GB"/>
              </w:rPr>
              <w:t>Usable Reserves</w:t>
            </w:r>
          </w:p>
        </w:tc>
        <w:tc>
          <w:tcPr>
            <w:tcW w:w="1455" w:type="dxa"/>
            <w:tcBorders>
              <w:top w:val="nil"/>
              <w:left w:val="single" w:sz="4" w:space="0" w:color="auto"/>
              <w:bottom w:val="nil"/>
              <w:right w:val="single" w:sz="4" w:space="0" w:color="auto"/>
            </w:tcBorders>
            <w:noWrap/>
            <w:vAlign w:val="center"/>
            <w:hideMark/>
          </w:tcPr>
          <w:p w14:paraId="03A43A56"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455" w:type="dxa"/>
            <w:tcBorders>
              <w:top w:val="nil"/>
              <w:left w:val="nil"/>
              <w:bottom w:val="nil"/>
              <w:right w:val="single" w:sz="4" w:space="0" w:color="auto"/>
            </w:tcBorders>
            <w:noWrap/>
            <w:vAlign w:val="center"/>
            <w:hideMark/>
          </w:tcPr>
          <w:p w14:paraId="4E5E9CF4"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455" w:type="dxa"/>
            <w:tcBorders>
              <w:top w:val="nil"/>
              <w:left w:val="nil"/>
              <w:bottom w:val="nil"/>
              <w:right w:val="single" w:sz="4" w:space="0" w:color="auto"/>
            </w:tcBorders>
            <w:noWrap/>
            <w:vAlign w:val="center"/>
            <w:hideMark/>
          </w:tcPr>
          <w:p w14:paraId="1EB820D2"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675" w:type="dxa"/>
            <w:tcBorders>
              <w:top w:val="nil"/>
              <w:left w:val="nil"/>
              <w:bottom w:val="nil"/>
              <w:right w:val="single" w:sz="4" w:space="0" w:color="auto"/>
            </w:tcBorders>
            <w:noWrap/>
            <w:vAlign w:val="center"/>
            <w:hideMark/>
          </w:tcPr>
          <w:p w14:paraId="18CFEC83"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708" w:type="dxa"/>
            <w:tcBorders>
              <w:top w:val="nil"/>
              <w:left w:val="nil"/>
              <w:bottom w:val="nil"/>
              <w:right w:val="single" w:sz="4" w:space="0" w:color="auto"/>
            </w:tcBorders>
            <w:noWrap/>
            <w:vAlign w:val="center"/>
            <w:hideMark/>
          </w:tcPr>
          <w:p w14:paraId="7BB1175B"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129" w:type="dxa"/>
            <w:tcBorders>
              <w:top w:val="nil"/>
              <w:left w:val="nil"/>
              <w:bottom w:val="nil"/>
              <w:right w:val="single" w:sz="4" w:space="0" w:color="auto"/>
            </w:tcBorders>
          </w:tcPr>
          <w:p w14:paraId="7EAC0FA0" w14:textId="77777777" w:rsidR="004D40E6" w:rsidRPr="00D118EC" w:rsidRDefault="004D40E6">
            <w:pPr>
              <w:rPr>
                <w:rFonts w:eastAsia="Times New Roman" w:cs="Calibri"/>
                <w:color w:val="000000"/>
                <w:sz w:val="20"/>
                <w:szCs w:val="20"/>
                <w:lang w:val="en-GB" w:eastAsia="en-GB"/>
              </w:rPr>
            </w:pPr>
          </w:p>
        </w:tc>
        <w:tc>
          <w:tcPr>
            <w:tcW w:w="1495" w:type="dxa"/>
            <w:tcBorders>
              <w:top w:val="nil"/>
              <w:left w:val="single" w:sz="4" w:space="0" w:color="auto"/>
              <w:bottom w:val="nil"/>
              <w:right w:val="single" w:sz="4" w:space="0" w:color="auto"/>
            </w:tcBorders>
            <w:noWrap/>
            <w:vAlign w:val="center"/>
            <w:hideMark/>
          </w:tcPr>
          <w:p w14:paraId="53D9FFFC" w14:textId="5D401680"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r>
      <w:tr w:rsidR="004D40E6" w14:paraId="784AEE3A" w14:textId="77777777" w:rsidTr="0041394A">
        <w:trPr>
          <w:trHeight w:val="94"/>
        </w:trPr>
        <w:tc>
          <w:tcPr>
            <w:tcW w:w="3798" w:type="dxa"/>
            <w:tcBorders>
              <w:top w:val="nil"/>
              <w:left w:val="single" w:sz="4" w:space="0" w:color="auto"/>
              <w:bottom w:val="nil"/>
              <w:right w:val="nil"/>
            </w:tcBorders>
            <w:noWrap/>
            <w:vAlign w:val="center"/>
            <w:hideMark/>
          </w:tcPr>
          <w:p w14:paraId="080AE9B6"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General Fund</w:t>
            </w:r>
          </w:p>
        </w:tc>
        <w:tc>
          <w:tcPr>
            <w:tcW w:w="1455" w:type="dxa"/>
            <w:tcBorders>
              <w:top w:val="nil"/>
              <w:left w:val="single" w:sz="4" w:space="0" w:color="auto"/>
              <w:bottom w:val="nil"/>
              <w:right w:val="single" w:sz="4" w:space="0" w:color="auto"/>
            </w:tcBorders>
            <w:noWrap/>
            <w:vAlign w:val="center"/>
            <w:hideMark/>
          </w:tcPr>
          <w:p w14:paraId="25B49381" w14:textId="77777777"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7.049</w:t>
            </w:r>
          </w:p>
        </w:tc>
        <w:tc>
          <w:tcPr>
            <w:tcW w:w="1455" w:type="dxa"/>
            <w:tcBorders>
              <w:top w:val="nil"/>
              <w:left w:val="nil"/>
              <w:bottom w:val="nil"/>
              <w:right w:val="single" w:sz="4" w:space="0" w:color="auto"/>
            </w:tcBorders>
            <w:noWrap/>
            <w:vAlign w:val="center"/>
            <w:hideMark/>
          </w:tcPr>
          <w:p w14:paraId="1B8B9209"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455" w:type="dxa"/>
            <w:tcBorders>
              <w:top w:val="nil"/>
              <w:left w:val="nil"/>
              <w:bottom w:val="nil"/>
              <w:right w:val="single" w:sz="4" w:space="0" w:color="auto"/>
            </w:tcBorders>
            <w:noWrap/>
            <w:vAlign w:val="center"/>
            <w:hideMark/>
          </w:tcPr>
          <w:p w14:paraId="546E1266"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675" w:type="dxa"/>
            <w:tcBorders>
              <w:top w:val="nil"/>
              <w:left w:val="nil"/>
              <w:bottom w:val="nil"/>
              <w:right w:val="single" w:sz="4" w:space="0" w:color="auto"/>
            </w:tcBorders>
            <w:noWrap/>
            <w:vAlign w:val="center"/>
            <w:hideMark/>
          </w:tcPr>
          <w:p w14:paraId="1DC4B690" w14:textId="55E4B416" w:rsidR="004D40E6" w:rsidRPr="00D118EC" w:rsidRDefault="004D40E6" w:rsidP="00D118EC">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 0.207</w:t>
            </w:r>
          </w:p>
        </w:tc>
        <w:tc>
          <w:tcPr>
            <w:tcW w:w="1708" w:type="dxa"/>
            <w:tcBorders>
              <w:top w:val="nil"/>
              <w:left w:val="nil"/>
              <w:bottom w:val="nil"/>
              <w:right w:val="single" w:sz="4" w:space="0" w:color="auto"/>
            </w:tcBorders>
            <w:noWrap/>
            <w:vAlign w:val="center"/>
            <w:hideMark/>
          </w:tcPr>
          <w:p w14:paraId="1E9C6E2F"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129" w:type="dxa"/>
            <w:tcBorders>
              <w:top w:val="nil"/>
              <w:left w:val="nil"/>
              <w:bottom w:val="nil"/>
              <w:right w:val="single" w:sz="4" w:space="0" w:color="auto"/>
            </w:tcBorders>
          </w:tcPr>
          <w:p w14:paraId="23980CC7" w14:textId="4A273079" w:rsidR="004D40E6" w:rsidRPr="00D118EC" w:rsidRDefault="004D40E6" w:rsidP="00D118EC">
            <w:pPr>
              <w:jc w:val="right"/>
              <w:rPr>
                <w:rFonts w:eastAsia="Times New Roman" w:cs="Calibri"/>
                <w:color w:val="000000"/>
                <w:sz w:val="20"/>
                <w:szCs w:val="20"/>
                <w:lang w:val="en-GB" w:eastAsia="en-GB"/>
              </w:rPr>
            </w:pPr>
          </w:p>
        </w:tc>
        <w:tc>
          <w:tcPr>
            <w:tcW w:w="1495" w:type="dxa"/>
            <w:tcBorders>
              <w:top w:val="nil"/>
              <w:left w:val="single" w:sz="4" w:space="0" w:color="auto"/>
              <w:bottom w:val="nil"/>
              <w:right w:val="single" w:sz="4" w:space="0" w:color="auto"/>
            </w:tcBorders>
            <w:noWrap/>
            <w:vAlign w:val="center"/>
            <w:hideMark/>
          </w:tcPr>
          <w:p w14:paraId="723BB991" w14:textId="5C016DC6" w:rsidR="004D40E6" w:rsidRPr="00D118EC" w:rsidRDefault="00A80F30">
            <w:pPr>
              <w:jc w:val="right"/>
              <w:rPr>
                <w:rFonts w:eastAsia="Times New Roman" w:cs="Calibri"/>
                <w:color w:val="000000"/>
                <w:sz w:val="20"/>
                <w:szCs w:val="20"/>
                <w:lang w:val="en-GB" w:eastAsia="en-GB"/>
              </w:rPr>
            </w:pPr>
            <w:r>
              <w:rPr>
                <w:rFonts w:eastAsia="Times New Roman" w:cs="Calibri"/>
                <w:color w:val="000000"/>
                <w:sz w:val="20"/>
                <w:szCs w:val="20"/>
                <w:lang w:val="en-GB" w:eastAsia="en-GB"/>
              </w:rPr>
              <w:t>7.256</w:t>
            </w:r>
          </w:p>
        </w:tc>
      </w:tr>
      <w:tr w:rsidR="004D40E6" w14:paraId="70FA40BA" w14:textId="77777777" w:rsidTr="0041394A">
        <w:trPr>
          <w:trHeight w:val="94"/>
        </w:trPr>
        <w:tc>
          <w:tcPr>
            <w:tcW w:w="3798" w:type="dxa"/>
            <w:tcBorders>
              <w:top w:val="nil"/>
              <w:left w:val="single" w:sz="4" w:space="0" w:color="auto"/>
              <w:bottom w:val="nil"/>
              <w:right w:val="nil"/>
            </w:tcBorders>
            <w:noWrap/>
            <w:vAlign w:val="center"/>
            <w:hideMark/>
          </w:tcPr>
          <w:p w14:paraId="6DA21F54"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Chief Constable Reserve</w:t>
            </w:r>
          </w:p>
        </w:tc>
        <w:tc>
          <w:tcPr>
            <w:tcW w:w="1455" w:type="dxa"/>
            <w:tcBorders>
              <w:top w:val="nil"/>
              <w:left w:val="single" w:sz="4" w:space="0" w:color="auto"/>
              <w:bottom w:val="nil"/>
              <w:right w:val="single" w:sz="4" w:space="0" w:color="auto"/>
            </w:tcBorders>
            <w:noWrap/>
            <w:vAlign w:val="center"/>
            <w:hideMark/>
          </w:tcPr>
          <w:p w14:paraId="7F98C7E2" w14:textId="77777777"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1.071</w:t>
            </w:r>
          </w:p>
        </w:tc>
        <w:tc>
          <w:tcPr>
            <w:tcW w:w="1455" w:type="dxa"/>
            <w:tcBorders>
              <w:top w:val="nil"/>
              <w:left w:val="nil"/>
              <w:bottom w:val="nil"/>
              <w:right w:val="single" w:sz="4" w:space="0" w:color="auto"/>
            </w:tcBorders>
            <w:noWrap/>
            <w:vAlign w:val="center"/>
            <w:hideMark/>
          </w:tcPr>
          <w:p w14:paraId="2339185F"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455" w:type="dxa"/>
            <w:tcBorders>
              <w:top w:val="nil"/>
              <w:left w:val="nil"/>
              <w:bottom w:val="nil"/>
              <w:right w:val="single" w:sz="4" w:space="0" w:color="auto"/>
            </w:tcBorders>
            <w:noWrap/>
            <w:vAlign w:val="center"/>
            <w:hideMark/>
          </w:tcPr>
          <w:p w14:paraId="6068C44F"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675" w:type="dxa"/>
            <w:tcBorders>
              <w:top w:val="nil"/>
              <w:left w:val="nil"/>
              <w:bottom w:val="nil"/>
              <w:right w:val="single" w:sz="4" w:space="0" w:color="auto"/>
            </w:tcBorders>
            <w:noWrap/>
            <w:vAlign w:val="center"/>
            <w:hideMark/>
          </w:tcPr>
          <w:p w14:paraId="2E3FF5B3"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708" w:type="dxa"/>
            <w:tcBorders>
              <w:top w:val="nil"/>
              <w:left w:val="nil"/>
              <w:bottom w:val="nil"/>
              <w:right w:val="single" w:sz="4" w:space="0" w:color="auto"/>
            </w:tcBorders>
            <w:noWrap/>
            <w:vAlign w:val="center"/>
            <w:hideMark/>
          </w:tcPr>
          <w:p w14:paraId="66C19630"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129" w:type="dxa"/>
            <w:tcBorders>
              <w:top w:val="nil"/>
              <w:left w:val="nil"/>
              <w:bottom w:val="nil"/>
              <w:right w:val="single" w:sz="4" w:space="0" w:color="auto"/>
            </w:tcBorders>
          </w:tcPr>
          <w:p w14:paraId="7227A242" w14:textId="77777777" w:rsidR="004D40E6" w:rsidRPr="00D118EC" w:rsidRDefault="004D40E6">
            <w:pPr>
              <w:jc w:val="right"/>
              <w:rPr>
                <w:rFonts w:eastAsia="Times New Roman" w:cs="Calibri"/>
                <w:color w:val="000000"/>
                <w:sz w:val="20"/>
                <w:szCs w:val="20"/>
                <w:lang w:val="en-GB" w:eastAsia="en-GB"/>
              </w:rPr>
            </w:pPr>
          </w:p>
        </w:tc>
        <w:tc>
          <w:tcPr>
            <w:tcW w:w="1495" w:type="dxa"/>
            <w:tcBorders>
              <w:top w:val="nil"/>
              <w:left w:val="single" w:sz="4" w:space="0" w:color="auto"/>
              <w:bottom w:val="nil"/>
              <w:right w:val="single" w:sz="4" w:space="0" w:color="auto"/>
            </w:tcBorders>
            <w:noWrap/>
            <w:vAlign w:val="center"/>
            <w:hideMark/>
          </w:tcPr>
          <w:p w14:paraId="2BAB9830" w14:textId="1B2EEC30"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1.071</w:t>
            </w:r>
          </w:p>
        </w:tc>
      </w:tr>
      <w:tr w:rsidR="0023752E" w14:paraId="648B76F3" w14:textId="77777777" w:rsidTr="0041394A">
        <w:trPr>
          <w:trHeight w:val="81"/>
        </w:trPr>
        <w:tc>
          <w:tcPr>
            <w:tcW w:w="3798" w:type="dxa"/>
            <w:tcBorders>
              <w:top w:val="single" w:sz="4" w:space="0" w:color="auto"/>
              <w:left w:val="single" w:sz="4" w:space="0" w:color="auto"/>
              <w:bottom w:val="single" w:sz="4" w:space="0" w:color="auto"/>
              <w:right w:val="nil"/>
            </w:tcBorders>
            <w:shd w:val="clear" w:color="auto" w:fill="FFFFCC"/>
            <w:noWrap/>
            <w:vAlign w:val="center"/>
            <w:hideMark/>
          </w:tcPr>
          <w:p w14:paraId="4B9210DD" w14:textId="77777777" w:rsidR="004D40E6" w:rsidRPr="00D118EC" w:rsidRDefault="004D40E6">
            <w:pPr>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Total General Fund Reserves</w:t>
            </w:r>
          </w:p>
        </w:tc>
        <w:tc>
          <w:tcPr>
            <w:tcW w:w="1455"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3D9DBA56" w14:textId="77777777" w:rsidR="004D40E6" w:rsidRPr="00D118EC" w:rsidRDefault="004D40E6">
            <w:pPr>
              <w:jc w:val="right"/>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8.120</w:t>
            </w:r>
          </w:p>
        </w:tc>
        <w:tc>
          <w:tcPr>
            <w:tcW w:w="1455" w:type="dxa"/>
            <w:tcBorders>
              <w:top w:val="single" w:sz="4" w:space="0" w:color="auto"/>
              <w:left w:val="nil"/>
              <w:bottom w:val="single" w:sz="4" w:space="0" w:color="auto"/>
              <w:right w:val="single" w:sz="4" w:space="0" w:color="auto"/>
            </w:tcBorders>
            <w:shd w:val="clear" w:color="auto" w:fill="FFFFCC"/>
            <w:noWrap/>
            <w:vAlign w:val="center"/>
            <w:hideMark/>
          </w:tcPr>
          <w:p w14:paraId="67025D17" w14:textId="77777777" w:rsidR="004D40E6" w:rsidRPr="00D118EC" w:rsidRDefault="004D40E6">
            <w:pPr>
              <w:jc w:val="right"/>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0.000</w:t>
            </w:r>
          </w:p>
        </w:tc>
        <w:tc>
          <w:tcPr>
            <w:tcW w:w="1455" w:type="dxa"/>
            <w:tcBorders>
              <w:top w:val="single" w:sz="4" w:space="0" w:color="auto"/>
              <w:left w:val="nil"/>
              <w:bottom w:val="single" w:sz="4" w:space="0" w:color="auto"/>
              <w:right w:val="single" w:sz="4" w:space="0" w:color="auto"/>
            </w:tcBorders>
            <w:shd w:val="clear" w:color="auto" w:fill="FFFFCC"/>
            <w:noWrap/>
            <w:vAlign w:val="center"/>
            <w:hideMark/>
          </w:tcPr>
          <w:p w14:paraId="60BA321D" w14:textId="77777777" w:rsidR="004D40E6" w:rsidRPr="00D118EC" w:rsidRDefault="004D40E6">
            <w:pPr>
              <w:jc w:val="right"/>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0.000</w:t>
            </w:r>
          </w:p>
        </w:tc>
        <w:tc>
          <w:tcPr>
            <w:tcW w:w="1675" w:type="dxa"/>
            <w:tcBorders>
              <w:top w:val="single" w:sz="4" w:space="0" w:color="auto"/>
              <w:left w:val="nil"/>
              <w:bottom w:val="single" w:sz="4" w:space="0" w:color="auto"/>
              <w:right w:val="single" w:sz="4" w:space="0" w:color="auto"/>
            </w:tcBorders>
            <w:shd w:val="clear" w:color="auto" w:fill="FFFFCC"/>
            <w:noWrap/>
            <w:vAlign w:val="center"/>
            <w:hideMark/>
          </w:tcPr>
          <w:p w14:paraId="62217EEA" w14:textId="0C92FDB4" w:rsidR="004D40E6" w:rsidRPr="00D118EC" w:rsidRDefault="004D40E6">
            <w:pPr>
              <w:jc w:val="right"/>
              <w:rPr>
                <w:rFonts w:eastAsia="Times New Roman" w:cs="Calibri"/>
                <w:b/>
                <w:bCs/>
                <w:color w:val="000000"/>
                <w:sz w:val="20"/>
                <w:szCs w:val="20"/>
                <w:lang w:val="en-GB" w:eastAsia="en-GB"/>
              </w:rPr>
            </w:pPr>
            <w:r>
              <w:rPr>
                <w:rFonts w:eastAsia="Times New Roman" w:cs="Calibri"/>
                <w:b/>
                <w:bCs/>
                <w:color w:val="000000"/>
                <w:sz w:val="20"/>
                <w:szCs w:val="20"/>
                <w:lang w:val="en-GB" w:eastAsia="en-GB"/>
              </w:rPr>
              <w:t>0.207</w:t>
            </w:r>
          </w:p>
        </w:tc>
        <w:tc>
          <w:tcPr>
            <w:tcW w:w="1708" w:type="dxa"/>
            <w:tcBorders>
              <w:top w:val="single" w:sz="4" w:space="0" w:color="auto"/>
              <w:left w:val="nil"/>
              <w:bottom w:val="single" w:sz="4" w:space="0" w:color="auto"/>
              <w:right w:val="single" w:sz="4" w:space="0" w:color="auto"/>
            </w:tcBorders>
            <w:shd w:val="clear" w:color="auto" w:fill="FFFFCC"/>
            <w:noWrap/>
            <w:vAlign w:val="center"/>
            <w:hideMark/>
          </w:tcPr>
          <w:p w14:paraId="3A0EC4EE" w14:textId="77777777" w:rsidR="004D40E6" w:rsidRPr="00D118EC" w:rsidRDefault="004D40E6">
            <w:pPr>
              <w:jc w:val="right"/>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0.000</w:t>
            </w:r>
          </w:p>
        </w:tc>
        <w:tc>
          <w:tcPr>
            <w:tcW w:w="1129" w:type="dxa"/>
            <w:tcBorders>
              <w:top w:val="single" w:sz="4" w:space="0" w:color="auto"/>
              <w:left w:val="nil"/>
              <w:bottom w:val="single" w:sz="4" w:space="0" w:color="auto"/>
              <w:right w:val="single" w:sz="4" w:space="0" w:color="auto"/>
            </w:tcBorders>
            <w:shd w:val="clear" w:color="auto" w:fill="FFFFCC"/>
          </w:tcPr>
          <w:p w14:paraId="1A4818A3" w14:textId="09053EB4" w:rsidR="004D40E6" w:rsidRPr="00D118EC" w:rsidRDefault="00A80F30">
            <w:pPr>
              <w:jc w:val="right"/>
              <w:rPr>
                <w:rFonts w:eastAsia="Times New Roman" w:cs="Calibri"/>
                <w:b/>
                <w:bCs/>
                <w:color w:val="000000"/>
                <w:sz w:val="20"/>
                <w:szCs w:val="20"/>
                <w:lang w:val="en-GB" w:eastAsia="en-GB"/>
              </w:rPr>
            </w:pPr>
            <w:r>
              <w:rPr>
                <w:rFonts w:eastAsia="Times New Roman" w:cs="Calibri"/>
                <w:b/>
                <w:bCs/>
                <w:color w:val="000000"/>
                <w:sz w:val="20"/>
                <w:szCs w:val="20"/>
                <w:lang w:val="en-GB" w:eastAsia="en-GB"/>
              </w:rPr>
              <w:t>0.000</w:t>
            </w:r>
          </w:p>
        </w:tc>
        <w:tc>
          <w:tcPr>
            <w:tcW w:w="1495"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3A5A3D8" w14:textId="3DDD2B95" w:rsidR="004D40E6" w:rsidRPr="00D118EC" w:rsidRDefault="00A80F30">
            <w:pPr>
              <w:jc w:val="right"/>
              <w:rPr>
                <w:rFonts w:eastAsia="Times New Roman" w:cs="Calibri"/>
                <w:b/>
                <w:bCs/>
                <w:color w:val="000000"/>
                <w:sz w:val="20"/>
                <w:szCs w:val="20"/>
                <w:lang w:val="en-GB" w:eastAsia="en-GB"/>
              </w:rPr>
            </w:pPr>
            <w:r>
              <w:rPr>
                <w:rFonts w:eastAsia="Times New Roman" w:cs="Calibri"/>
                <w:b/>
                <w:bCs/>
                <w:color w:val="000000"/>
                <w:sz w:val="20"/>
                <w:szCs w:val="20"/>
                <w:lang w:val="en-GB" w:eastAsia="en-GB"/>
              </w:rPr>
              <w:t>8.327</w:t>
            </w:r>
          </w:p>
        </w:tc>
      </w:tr>
      <w:tr w:rsidR="004D40E6" w14:paraId="39B3B695" w14:textId="77777777" w:rsidTr="0041394A">
        <w:trPr>
          <w:trHeight w:val="64"/>
        </w:trPr>
        <w:tc>
          <w:tcPr>
            <w:tcW w:w="3798" w:type="dxa"/>
            <w:tcBorders>
              <w:top w:val="nil"/>
              <w:left w:val="single" w:sz="4" w:space="0" w:color="auto"/>
              <w:bottom w:val="nil"/>
              <w:right w:val="nil"/>
            </w:tcBorders>
            <w:noWrap/>
            <w:vAlign w:val="center"/>
            <w:hideMark/>
          </w:tcPr>
          <w:p w14:paraId="555F2E2E" w14:textId="77777777" w:rsidR="004D40E6" w:rsidRPr="00D118EC" w:rsidRDefault="004D40E6">
            <w:pPr>
              <w:rPr>
                <w:rFonts w:eastAsia="Times New Roman" w:cs="Calibri"/>
                <w:b/>
                <w:bCs/>
                <w:i/>
                <w:iCs/>
                <w:color w:val="000000"/>
                <w:sz w:val="20"/>
                <w:szCs w:val="20"/>
                <w:lang w:val="en-GB" w:eastAsia="en-GB"/>
              </w:rPr>
            </w:pPr>
            <w:r w:rsidRPr="00D118EC">
              <w:rPr>
                <w:rFonts w:eastAsia="Times New Roman" w:cs="Calibri"/>
                <w:b/>
                <w:bCs/>
                <w:i/>
                <w:iCs/>
                <w:color w:val="000000"/>
                <w:sz w:val="20"/>
                <w:szCs w:val="20"/>
                <w:lang w:val="en-GB" w:eastAsia="en-GB"/>
              </w:rPr>
              <w:t>Earmarked Reserves</w:t>
            </w:r>
          </w:p>
        </w:tc>
        <w:tc>
          <w:tcPr>
            <w:tcW w:w="1455" w:type="dxa"/>
            <w:tcBorders>
              <w:top w:val="nil"/>
              <w:left w:val="single" w:sz="4" w:space="0" w:color="auto"/>
              <w:bottom w:val="nil"/>
              <w:right w:val="single" w:sz="4" w:space="0" w:color="auto"/>
            </w:tcBorders>
            <w:noWrap/>
            <w:vAlign w:val="center"/>
            <w:hideMark/>
          </w:tcPr>
          <w:p w14:paraId="3F7B75C0"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455" w:type="dxa"/>
            <w:tcBorders>
              <w:top w:val="nil"/>
              <w:left w:val="nil"/>
              <w:bottom w:val="nil"/>
              <w:right w:val="single" w:sz="4" w:space="0" w:color="auto"/>
            </w:tcBorders>
            <w:noWrap/>
            <w:vAlign w:val="center"/>
            <w:hideMark/>
          </w:tcPr>
          <w:p w14:paraId="7E6114D2"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455" w:type="dxa"/>
            <w:tcBorders>
              <w:top w:val="nil"/>
              <w:left w:val="nil"/>
              <w:bottom w:val="nil"/>
              <w:right w:val="single" w:sz="4" w:space="0" w:color="auto"/>
            </w:tcBorders>
            <w:noWrap/>
            <w:vAlign w:val="center"/>
            <w:hideMark/>
          </w:tcPr>
          <w:p w14:paraId="6D68C6D4"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675" w:type="dxa"/>
            <w:tcBorders>
              <w:top w:val="nil"/>
              <w:left w:val="nil"/>
              <w:bottom w:val="nil"/>
              <w:right w:val="single" w:sz="4" w:space="0" w:color="auto"/>
            </w:tcBorders>
            <w:noWrap/>
            <w:vAlign w:val="center"/>
            <w:hideMark/>
          </w:tcPr>
          <w:p w14:paraId="67A0ADAC"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708" w:type="dxa"/>
            <w:tcBorders>
              <w:top w:val="nil"/>
              <w:left w:val="nil"/>
              <w:bottom w:val="nil"/>
              <w:right w:val="single" w:sz="4" w:space="0" w:color="auto"/>
            </w:tcBorders>
            <w:noWrap/>
            <w:vAlign w:val="center"/>
            <w:hideMark/>
          </w:tcPr>
          <w:p w14:paraId="1A3386AA"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129" w:type="dxa"/>
            <w:tcBorders>
              <w:top w:val="nil"/>
              <w:left w:val="nil"/>
              <w:bottom w:val="nil"/>
              <w:right w:val="single" w:sz="4" w:space="0" w:color="auto"/>
            </w:tcBorders>
          </w:tcPr>
          <w:p w14:paraId="3DFED840" w14:textId="77777777" w:rsidR="004D40E6" w:rsidRPr="00D118EC" w:rsidRDefault="004D40E6">
            <w:pPr>
              <w:rPr>
                <w:rFonts w:eastAsia="Times New Roman" w:cs="Calibri"/>
                <w:color w:val="000000"/>
                <w:sz w:val="20"/>
                <w:szCs w:val="20"/>
                <w:lang w:val="en-GB" w:eastAsia="en-GB"/>
              </w:rPr>
            </w:pPr>
          </w:p>
        </w:tc>
        <w:tc>
          <w:tcPr>
            <w:tcW w:w="1495" w:type="dxa"/>
            <w:tcBorders>
              <w:top w:val="nil"/>
              <w:left w:val="single" w:sz="4" w:space="0" w:color="auto"/>
              <w:bottom w:val="nil"/>
              <w:right w:val="single" w:sz="4" w:space="0" w:color="auto"/>
            </w:tcBorders>
            <w:noWrap/>
            <w:vAlign w:val="center"/>
            <w:hideMark/>
          </w:tcPr>
          <w:p w14:paraId="45C1DFCE" w14:textId="5AE5D3E5"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r>
      <w:tr w:rsidR="004D40E6" w14:paraId="17E5B9FA" w14:textId="77777777" w:rsidTr="0041394A">
        <w:trPr>
          <w:trHeight w:val="94"/>
        </w:trPr>
        <w:tc>
          <w:tcPr>
            <w:tcW w:w="3798" w:type="dxa"/>
            <w:tcBorders>
              <w:top w:val="nil"/>
              <w:left w:val="single" w:sz="4" w:space="0" w:color="auto"/>
              <w:bottom w:val="nil"/>
              <w:right w:val="nil"/>
            </w:tcBorders>
            <w:noWrap/>
            <w:vAlign w:val="center"/>
            <w:hideMark/>
          </w:tcPr>
          <w:p w14:paraId="3E703650"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OPCC Operational Reserve</w:t>
            </w:r>
          </w:p>
        </w:tc>
        <w:tc>
          <w:tcPr>
            <w:tcW w:w="1455" w:type="dxa"/>
            <w:tcBorders>
              <w:top w:val="nil"/>
              <w:left w:val="single" w:sz="4" w:space="0" w:color="auto"/>
              <w:bottom w:val="nil"/>
              <w:right w:val="single" w:sz="4" w:space="0" w:color="auto"/>
            </w:tcBorders>
            <w:noWrap/>
            <w:vAlign w:val="center"/>
            <w:hideMark/>
          </w:tcPr>
          <w:p w14:paraId="71E08023" w14:textId="77777777"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1.000</w:t>
            </w:r>
          </w:p>
        </w:tc>
        <w:tc>
          <w:tcPr>
            <w:tcW w:w="1455" w:type="dxa"/>
            <w:tcBorders>
              <w:top w:val="nil"/>
              <w:left w:val="nil"/>
              <w:bottom w:val="nil"/>
              <w:right w:val="single" w:sz="4" w:space="0" w:color="auto"/>
            </w:tcBorders>
            <w:noWrap/>
            <w:vAlign w:val="center"/>
            <w:hideMark/>
          </w:tcPr>
          <w:p w14:paraId="4CA0C031"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455" w:type="dxa"/>
            <w:tcBorders>
              <w:top w:val="nil"/>
              <w:left w:val="nil"/>
              <w:bottom w:val="nil"/>
              <w:right w:val="single" w:sz="4" w:space="0" w:color="auto"/>
            </w:tcBorders>
            <w:noWrap/>
            <w:vAlign w:val="center"/>
            <w:hideMark/>
          </w:tcPr>
          <w:p w14:paraId="4DF9ECD8"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675" w:type="dxa"/>
            <w:tcBorders>
              <w:top w:val="nil"/>
              <w:left w:val="nil"/>
              <w:bottom w:val="nil"/>
              <w:right w:val="single" w:sz="4" w:space="0" w:color="auto"/>
            </w:tcBorders>
            <w:noWrap/>
            <w:vAlign w:val="center"/>
            <w:hideMark/>
          </w:tcPr>
          <w:p w14:paraId="07FFFA88" w14:textId="77777777"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0.837</w:t>
            </w:r>
          </w:p>
        </w:tc>
        <w:tc>
          <w:tcPr>
            <w:tcW w:w="1708" w:type="dxa"/>
            <w:tcBorders>
              <w:top w:val="nil"/>
              <w:left w:val="nil"/>
              <w:bottom w:val="nil"/>
              <w:right w:val="single" w:sz="4" w:space="0" w:color="auto"/>
            </w:tcBorders>
            <w:noWrap/>
            <w:vAlign w:val="center"/>
            <w:hideMark/>
          </w:tcPr>
          <w:p w14:paraId="023AE1A4"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129" w:type="dxa"/>
            <w:tcBorders>
              <w:top w:val="nil"/>
              <w:left w:val="nil"/>
              <w:bottom w:val="nil"/>
              <w:right w:val="single" w:sz="4" w:space="0" w:color="auto"/>
            </w:tcBorders>
          </w:tcPr>
          <w:p w14:paraId="40C3B215" w14:textId="6BE4F030" w:rsidR="004D40E6" w:rsidRPr="00D118EC" w:rsidRDefault="00786A1F">
            <w:pPr>
              <w:jc w:val="right"/>
              <w:rPr>
                <w:rFonts w:eastAsia="Times New Roman" w:cs="Calibri"/>
                <w:color w:val="000000"/>
                <w:sz w:val="20"/>
                <w:szCs w:val="20"/>
                <w:lang w:val="en-GB" w:eastAsia="en-GB"/>
              </w:rPr>
            </w:pPr>
            <w:r>
              <w:rPr>
                <w:rFonts w:eastAsia="Times New Roman" w:cs="Calibri"/>
                <w:color w:val="000000"/>
                <w:sz w:val="20"/>
                <w:szCs w:val="20"/>
                <w:lang w:val="en-GB" w:eastAsia="en-GB"/>
              </w:rPr>
              <w:t>(0.687)</w:t>
            </w:r>
          </w:p>
        </w:tc>
        <w:tc>
          <w:tcPr>
            <w:tcW w:w="1495" w:type="dxa"/>
            <w:tcBorders>
              <w:top w:val="nil"/>
              <w:left w:val="single" w:sz="4" w:space="0" w:color="auto"/>
              <w:bottom w:val="nil"/>
              <w:right w:val="single" w:sz="4" w:space="0" w:color="auto"/>
            </w:tcBorders>
            <w:noWrap/>
            <w:vAlign w:val="center"/>
            <w:hideMark/>
          </w:tcPr>
          <w:p w14:paraId="27EF06D4" w14:textId="68DDC71F"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1.</w:t>
            </w:r>
            <w:r w:rsidR="00786A1F">
              <w:rPr>
                <w:rFonts w:eastAsia="Times New Roman" w:cs="Calibri"/>
                <w:color w:val="000000"/>
                <w:sz w:val="20"/>
                <w:szCs w:val="20"/>
                <w:lang w:val="en-GB" w:eastAsia="en-GB"/>
              </w:rPr>
              <w:t>150</w:t>
            </w:r>
          </w:p>
        </w:tc>
      </w:tr>
      <w:tr w:rsidR="004D40E6" w14:paraId="267F2CE7" w14:textId="77777777" w:rsidTr="0041394A">
        <w:trPr>
          <w:trHeight w:val="94"/>
        </w:trPr>
        <w:tc>
          <w:tcPr>
            <w:tcW w:w="3798" w:type="dxa"/>
            <w:tcBorders>
              <w:top w:val="nil"/>
              <w:left w:val="single" w:sz="4" w:space="0" w:color="auto"/>
              <w:bottom w:val="nil"/>
              <w:right w:val="nil"/>
            </w:tcBorders>
            <w:noWrap/>
            <w:vAlign w:val="center"/>
            <w:hideMark/>
          </w:tcPr>
          <w:p w14:paraId="631C76D2"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PCC Estates Strategy Reserve</w:t>
            </w:r>
          </w:p>
        </w:tc>
        <w:tc>
          <w:tcPr>
            <w:tcW w:w="1455" w:type="dxa"/>
            <w:tcBorders>
              <w:top w:val="nil"/>
              <w:left w:val="single" w:sz="4" w:space="0" w:color="auto"/>
              <w:bottom w:val="nil"/>
              <w:right w:val="single" w:sz="4" w:space="0" w:color="auto"/>
            </w:tcBorders>
            <w:noWrap/>
            <w:vAlign w:val="center"/>
            <w:hideMark/>
          </w:tcPr>
          <w:p w14:paraId="56074FAC" w14:textId="77777777"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2.800</w:t>
            </w:r>
          </w:p>
        </w:tc>
        <w:tc>
          <w:tcPr>
            <w:tcW w:w="1455" w:type="dxa"/>
            <w:tcBorders>
              <w:top w:val="nil"/>
              <w:left w:val="nil"/>
              <w:bottom w:val="nil"/>
              <w:right w:val="single" w:sz="4" w:space="0" w:color="auto"/>
            </w:tcBorders>
            <w:noWrap/>
            <w:vAlign w:val="center"/>
            <w:hideMark/>
          </w:tcPr>
          <w:p w14:paraId="71885D36"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455" w:type="dxa"/>
            <w:tcBorders>
              <w:top w:val="nil"/>
              <w:left w:val="nil"/>
              <w:bottom w:val="nil"/>
              <w:right w:val="single" w:sz="4" w:space="0" w:color="auto"/>
            </w:tcBorders>
            <w:noWrap/>
            <w:vAlign w:val="center"/>
            <w:hideMark/>
          </w:tcPr>
          <w:p w14:paraId="176CD7C2"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675" w:type="dxa"/>
            <w:tcBorders>
              <w:top w:val="nil"/>
              <w:left w:val="nil"/>
              <w:bottom w:val="nil"/>
              <w:right w:val="single" w:sz="4" w:space="0" w:color="auto"/>
            </w:tcBorders>
            <w:noWrap/>
            <w:vAlign w:val="center"/>
            <w:hideMark/>
          </w:tcPr>
          <w:p w14:paraId="459DD9C2" w14:textId="77777777"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0.400</w:t>
            </w:r>
          </w:p>
        </w:tc>
        <w:tc>
          <w:tcPr>
            <w:tcW w:w="1708" w:type="dxa"/>
            <w:tcBorders>
              <w:top w:val="nil"/>
              <w:left w:val="nil"/>
              <w:bottom w:val="nil"/>
              <w:right w:val="single" w:sz="4" w:space="0" w:color="auto"/>
            </w:tcBorders>
            <w:noWrap/>
            <w:vAlign w:val="center"/>
            <w:hideMark/>
          </w:tcPr>
          <w:p w14:paraId="53B7CEBA"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129" w:type="dxa"/>
            <w:tcBorders>
              <w:top w:val="nil"/>
              <w:left w:val="nil"/>
              <w:bottom w:val="nil"/>
              <w:right w:val="single" w:sz="4" w:space="0" w:color="auto"/>
            </w:tcBorders>
          </w:tcPr>
          <w:p w14:paraId="6F04D2DA" w14:textId="77777777" w:rsidR="004D40E6" w:rsidRPr="00D118EC" w:rsidRDefault="004D40E6">
            <w:pPr>
              <w:jc w:val="right"/>
              <w:rPr>
                <w:rFonts w:eastAsia="Times New Roman" w:cs="Calibri"/>
                <w:color w:val="000000"/>
                <w:sz w:val="20"/>
                <w:szCs w:val="20"/>
                <w:lang w:val="en-GB" w:eastAsia="en-GB"/>
              </w:rPr>
            </w:pPr>
          </w:p>
        </w:tc>
        <w:tc>
          <w:tcPr>
            <w:tcW w:w="1495" w:type="dxa"/>
            <w:tcBorders>
              <w:top w:val="nil"/>
              <w:left w:val="single" w:sz="4" w:space="0" w:color="auto"/>
              <w:bottom w:val="nil"/>
              <w:right w:val="single" w:sz="4" w:space="0" w:color="auto"/>
            </w:tcBorders>
            <w:noWrap/>
            <w:vAlign w:val="center"/>
            <w:hideMark/>
          </w:tcPr>
          <w:p w14:paraId="4D829AF3" w14:textId="2E939696"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3.200</w:t>
            </w:r>
          </w:p>
        </w:tc>
      </w:tr>
      <w:tr w:rsidR="004D40E6" w14:paraId="4EEE1157" w14:textId="77777777" w:rsidTr="0041394A">
        <w:trPr>
          <w:trHeight w:val="94"/>
        </w:trPr>
        <w:tc>
          <w:tcPr>
            <w:tcW w:w="3798" w:type="dxa"/>
            <w:tcBorders>
              <w:top w:val="nil"/>
              <w:left w:val="single" w:sz="4" w:space="0" w:color="auto"/>
              <w:bottom w:val="nil"/>
              <w:right w:val="nil"/>
            </w:tcBorders>
            <w:noWrap/>
            <w:vAlign w:val="center"/>
            <w:hideMark/>
          </w:tcPr>
          <w:p w14:paraId="77EA5E79"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Cost of Change Reserve</w:t>
            </w:r>
          </w:p>
        </w:tc>
        <w:tc>
          <w:tcPr>
            <w:tcW w:w="1455" w:type="dxa"/>
            <w:tcBorders>
              <w:top w:val="nil"/>
              <w:left w:val="single" w:sz="4" w:space="0" w:color="auto"/>
              <w:bottom w:val="nil"/>
              <w:right w:val="single" w:sz="4" w:space="0" w:color="auto"/>
            </w:tcBorders>
            <w:noWrap/>
            <w:vAlign w:val="center"/>
            <w:hideMark/>
          </w:tcPr>
          <w:p w14:paraId="75374FE0" w14:textId="77777777"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1.564</w:t>
            </w:r>
          </w:p>
        </w:tc>
        <w:tc>
          <w:tcPr>
            <w:tcW w:w="1455" w:type="dxa"/>
            <w:tcBorders>
              <w:top w:val="nil"/>
              <w:left w:val="nil"/>
              <w:bottom w:val="nil"/>
              <w:right w:val="single" w:sz="4" w:space="0" w:color="auto"/>
            </w:tcBorders>
            <w:noWrap/>
            <w:vAlign w:val="center"/>
            <w:hideMark/>
          </w:tcPr>
          <w:p w14:paraId="66003165"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455" w:type="dxa"/>
            <w:tcBorders>
              <w:top w:val="nil"/>
              <w:left w:val="nil"/>
              <w:bottom w:val="nil"/>
              <w:right w:val="single" w:sz="4" w:space="0" w:color="auto"/>
            </w:tcBorders>
            <w:noWrap/>
            <w:vAlign w:val="center"/>
            <w:hideMark/>
          </w:tcPr>
          <w:p w14:paraId="3073D49F"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675" w:type="dxa"/>
            <w:tcBorders>
              <w:top w:val="nil"/>
              <w:left w:val="nil"/>
              <w:bottom w:val="nil"/>
              <w:right w:val="single" w:sz="4" w:space="0" w:color="auto"/>
            </w:tcBorders>
            <w:noWrap/>
            <w:vAlign w:val="center"/>
            <w:hideMark/>
          </w:tcPr>
          <w:p w14:paraId="66B0A4F0" w14:textId="77777777"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0.400</w:t>
            </w:r>
          </w:p>
        </w:tc>
        <w:tc>
          <w:tcPr>
            <w:tcW w:w="1708" w:type="dxa"/>
            <w:tcBorders>
              <w:top w:val="nil"/>
              <w:left w:val="nil"/>
              <w:bottom w:val="nil"/>
              <w:right w:val="single" w:sz="4" w:space="0" w:color="auto"/>
            </w:tcBorders>
            <w:noWrap/>
            <w:vAlign w:val="center"/>
            <w:hideMark/>
          </w:tcPr>
          <w:p w14:paraId="21B4687A"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129" w:type="dxa"/>
            <w:tcBorders>
              <w:top w:val="nil"/>
              <w:left w:val="nil"/>
              <w:bottom w:val="nil"/>
              <w:right w:val="single" w:sz="4" w:space="0" w:color="auto"/>
            </w:tcBorders>
          </w:tcPr>
          <w:p w14:paraId="2A3E57EC" w14:textId="48DF5FD7" w:rsidR="004D40E6" w:rsidRPr="00D118EC" w:rsidRDefault="00786A1F">
            <w:pPr>
              <w:jc w:val="right"/>
              <w:rPr>
                <w:rFonts w:eastAsia="Times New Roman" w:cs="Calibri"/>
                <w:color w:val="000000"/>
                <w:sz w:val="20"/>
                <w:szCs w:val="20"/>
                <w:lang w:val="en-GB" w:eastAsia="en-GB"/>
              </w:rPr>
            </w:pPr>
            <w:r>
              <w:rPr>
                <w:rFonts w:eastAsia="Times New Roman" w:cs="Calibri"/>
                <w:color w:val="000000"/>
                <w:sz w:val="20"/>
                <w:szCs w:val="20"/>
                <w:lang w:val="en-GB" w:eastAsia="en-GB"/>
              </w:rPr>
              <w:t>0.687</w:t>
            </w:r>
          </w:p>
        </w:tc>
        <w:tc>
          <w:tcPr>
            <w:tcW w:w="1495" w:type="dxa"/>
            <w:tcBorders>
              <w:top w:val="nil"/>
              <w:left w:val="single" w:sz="4" w:space="0" w:color="auto"/>
              <w:bottom w:val="nil"/>
              <w:right w:val="single" w:sz="4" w:space="0" w:color="auto"/>
            </w:tcBorders>
            <w:noWrap/>
            <w:vAlign w:val="center"/>
            <w:hideMark/>
          </w:tcPr>
          <w:p w14:paraId="2118C945" w14:textId="1F2CE1DB" w:rsidR="004D40E6" w:rsidRPr="00D118EC" w:rsidRDefault="00786A1F">
            <w:pPr>
              <w:jc w:val="right"/>
              <w:rPr>
                <w:rFonts w:eastAsia="Times New Roman" w:cs="Calibri"/>
                <w:color w:val="000000"/>
                <w:sz w:val="20"/>
                <w:szCs w:val="20"/>
                <w:lang w:val="en-GB" w:eastAsia="en-GB"/>
              </w:rPr>
            </w:pPr>
            <w:r>
              <w:rPr>
                <w:rFonts w:eastAsia="Times New Roman" w:cs="Calibri"/>
                <w:color w:val="000000"/>
                <w:sz w:val="20"/>
                <w:szCs w:val="20"/>
                <w:lang w:val="en-GB" w:eastAsia="en-GB"/>
              </w:rPr>
              <w:t>2.651</w:t>
            </w:r>
          </w:p>
        </w:tc>
      </w:tr>
      <w:tr w:rsidR="004D40E6" w14:paraId="7734AE31" w14:textId="77777777" w:rsidTr="0041394A">
        <w:trPr>
          <w:trHeight w:val="94"/>
        </w:trPr>
        <w:tc>
          <w:tcPr>
            <w:tcW w:w="3798" w:type="dxa"/>
            <w:tcBorders>
              <w:top w:val="nil"/>
              <w:left w:val="single" w:sz="4" w:space="0" w:color="auto"/>
              <w:bottom w:val="nil"/>
              <w:right w:val="nil"/>
            </w:tcBorders>
            <w:noWrap/>
            <w:vAlign w:val="center"/>
            <w:hideMark/>
          </w:tcPr>
          <w:p w14:paraId="1E1C1611"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Ill Health/Injury Reserve</w:t>
            </w:r>
          </w:p>
        </w:tc>
        <w:tc>
          <w:tcPr>
            <w:tcW w:w="1455" w:type="dxa"/>
            <w:tcBorders>
              <w:top w:val="nil"/>
              <w:left w:val="single" w:sz="4" w:space="0" w:color="auto"/>
              <w:bottom w:val="nil"/>
              <w:right w:val="single" w:sz="4" w:space="0" w:color="auto"/>
            </w:tcBorders>
            <w:noWrap/>
            <w:vAlign w:val="center"/>
            <w:hideMark/>
          </w:tcPr>
          <w:p w14:paraId="36874D63" w14:textId="77777777"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1.638</w:t>
            </w:r>
          </w:p>
        </w:tc>
        <w:tc>
          <w:tcPr>
            <w:tcW w:w="1455" w:type="dxa"/>
            <w:tcBorders>
              <w:top w:val="nil"/>
              <w:left w:val="nil"/>
              <w:bottom w:val="nil"/>
              <w:right w:val="single" w:sz="4" w:space="0" w:color="auto"/>
            </w:tcBorders>
            <w:noWrap/>
            <w:vAlign w:val="center"/>
            <w:hideMark/>
          </w:tcPr>
          <w:p w14:paraId="7FB0A62E"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455" w:type="dxa"/>
            <w:tcBorders>
              <w:top w:val="nil"/>
              <w:left w:val="nil"/>
              <w:bottom w:val="nil"/>
              <w:right w:val="single" w:sz="4" w:space="0" w:color="auto"/>
            </w:tcBorders>
            <w:noWrap/>
            <w:vAlign w:val="center"/>
            <w:hideMark/>
          </w:tcPr>
          <w:p w14:paraId="36E41D09" w14:textId="77777777"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FF0000"/>
                <w:sz w:val="20"/>
                <w:szCs w:val="20"/>
                <w:lang w:val="en-GB" w:eastAsia="en-GB"/>
              </w:rPr>
              <w:t>(0.578)</w:t>
            </w:r>
          </w:p>
        </w:tc>
        <w:tc>
          <w:tcPr>
            <w:tcW w:w="1675" w:type="dxa"/>
            <w:tcBorders>
              <w:top w:val="nil"/>
              <w:left w:val="nil"/>
              <w:bottom w:val="nil"/>
              <w:right w:val="single" w:sz="4" w:space="0" w:color="auto"/>
            </w:tcBorders>
            <w:noWrap/>
            <w:vAlign w:val="center"/>
            <w:hideMark/>
          </w:tcPr>
          <w:p w14:paraId="683AB284"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708" w:type="dxa"/>
            <w:tcBorders>
              <w:top w:val="nil"/>
              <w:left w:val="nil"/>
              <w:bottom w:val="nil"/>
              <w:right w:val="single" w:sz="4" w:space="0" w:color="auto"/>
            </w:tcBorders>
            <w:noWrap/>
            <w:vAlign w:val="center"/>
            <w:hideMark/>
          </w:tcPr>
          <w:p w14:paraId="2EDF6066"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129" w:type="dxa"/>
            <w:tcBorders>
              <w:top w:val="nil"/>
              <w:left w:val="nil"/>
              <w:bottom w:val="nil"/>
              <w:right w:val="single" w:sz="4" w:space="0" w:color="auto"/>
            </w:tcBorders>
          </w:tcPr>
          <w:p w14:paraId="3DB08691" w14:textId="77777777" w:rsidR="004D40E6" w:rsidRPr="00D118EC" w:rsidRDefault="004D40E6">
            <w:pPr>
              <w:jc w:val="right"/>
              <w:rPr>
                <w:rFonts w:eastAsia="Times New Roman" w:cs="Calibri"/>
                <w:color w:val="000000"/>
                <w:sz w:val="20"/>
                <w:szCs w:val="20"/>
                <w:lang w:val="en-GB" w:eastAsia="en-GB"/>
              </w:rPr>
            </w:pPr>
          </w:p>
        </w:tc>
        <w:tc>
          <w:tcPr>
            <w:tcW w:w="1495" w:type="dxa"/>
            <w:tcBorders>
              <w:top w:val="nil"/>
              <w:left w:val="single" w:sz="4" w:space="0" w:color="auto"/>
              <w:bottom w:val="nil"/>
              <w:right w:val="single" w:sz="4" w:space="0" w:color="auto"/>
            </w:tcBorders>
            <w:noWrap/>
            <w:vAlign w:val="center"/>
            <w:hideMark/>
          </w:tcPr>
          <w:p w14:paraId="4A81F8DA" w14:textId="34BFD08D"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1.060</w:t>
            </w:r>
          </w:p>
        </w:tc>
      </w:tr>
      <w:tr w:rsidR="004D40E6" w14:paraId="3FF06F18" w14:textId="77777777" w:rsidTr="0041394A">
        <w:trPr>
          <w:trHeight w:val="94"/>
        </w:trPr>
        <w:tc>
          <w:tcPr>
            <w:tcW w:w="3798" w:type="dxa"/>
            <w:tcBorders>
              <w:top w:val="nil"/>
              <w:left w:val="single" w:sz="4" w:space="0" w:color="auto"/>
              <w:bottom w:val="nil"/>
              <w:right w:val="nil"/>
            </w:tcBorders>
            <w:noWrap/>
            <w:vAlign w:val="center"/>
            <w:hideMark/>
          </w:tcPr>
          <w:p w14:paraId="3B0B7654"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Covid-19 Reserve</w:t>
            </w:r>
          </w:p>
        </w:tc>
        <w:tc>
          <w:tcPr>
            <w:tcW w:w="1455" w:type="dxa"/>
            <w:tcBorders>
              <w:top w:val="nil"/>
              <w:left w:val="single" w:sz="4" w:space="0" w:color="auto"/>
              <w:bottom w:val="nil"/>
              <w:right w:val="single" w:sz="4" w:space="0" w:color="auto"/>
            </w:tcBorders>
            <w:noWrap/>
            <w:vAlign w:val="center"/>
            <w:hideMark/>
          </w:tcPr>
          <w:p w14:paraId="41C736FA" w14:textId="77777777"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1.000</w:t>
            </w:r>
          </w:p>
        </w:tc>
        <w:tc>
          <w:tcPr>
            <w:tcW w:w="1455" w:type="dxa"/>
            <w:tcBorders>
              <w:top w:val="nil"/>
              <w:left w:val="nil"/>
              <w:bottom w:val="nil"/>
              <w:right w:val="single" w:sz="4" w:space="0" w:color="auto"/>
            </w:tcBorders>
            <w:noWrap/>
            <w:vAlign w:val="center"/>
            <w:hideMark/>
          </w:tcPr>
          <w:p w14:paraId="1294F315"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455" w:type="dxa"/>
            <w:tcBorders>
              <w:top w:val="nil"/>
              <w:left w:val="nil"/>
              <w:bottom w:val="nil"/>
              <w:right w:val="single" w:sz="4" w:space="0" w:color="auto"/>
            </w:tcBorders>
            <w:noWrap/>
            <w:vAlign w:val="center"/>
            <w:hideMark/>
          </w:tcPr>
          <w:p w14:paraId="773E336F"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675" w:type="dxa"/>
            <w:tcBorders>
              <w:top w:val="nil"/>
              <w:left w:val="nil"/>
              <w:bottom w:val="nil"/>
              <w:right w:val="single" w:sz="4" w:space="0" w:color="auto"/>
            </w:tcBorders>
            <w:noWrap/>
            <w:vAlign w:val="center"/>
            <w:hideMark/>
          </w:tcPr>
          <w:p w14:paraId="28481C1E"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708" w:type="dxa"/>
            <w:tcBorders>
              <w:top w:val="nil"/>
              <w:left w:val="nil"/>
              <w:bottom w:val="nil"/>
              <w:right w:val="single" w:sz="4" w:space="0" w:color="auto"/>
            </w:tcBorders>
            <w:noWrap/>
            <w:vAlign w:val="center"/>
            <w:hideMark/>
          </w:tcPr>
          <w:p w14:paraId="716B68DD" w14:textId="77777777"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0.751</w:t>
            </w:r>
          </w:p>
        </w:tc>
        <w:tc>
          <w:tcPr>
            <w:tcW w:w="1129" w:type="dxa"/>
            <w:tcBorders>
              <w:top w:val="nil"/>
              <w:left w:val="nil"/>
              <w:bottom w:val="nil"/>
              <w:right w:val="single" w:sz="4" w:space="0" w:color="auto"/>
            </w:tcBorders>
          </w:tcPr>
          <w:p w14:paraId="548BBAFF" w14:textId="77777777" w:rsidR="004D40E6" w:rsidRPr="00D118EC" w:rsidRDefault="004D40E6">
            <w:pPr>
              <w:jc w:val="right"/>
              <w:rPr>
                <w:rFonts w:eastAsia="Times New Roman" w:cs="Calibri"/>
                <w:color w:val="000000"/>
                <w:sz w:val="20"/>
                <w:szCs w:val="20"/>
                <w:lang w:val="en-GB" w:eastAsia="en-GB"/>
              </w:rPr>
            </w:pPr>
          </w:p>
        </w:tc>
        <w:tc>
          <w:tcPr>
            <w:tcW w:w="1495" w:type="dxa"/>
            <w:tcBorders>
              <w:top w:val="nil"/>
              <w:left w:val="single" w:sz="4" w:space="0" w:color="auto"/>
              <w:bottom w:val="nil"/>
              <w:right w:val="single" w:sz="4" w:space="0" w:color="auto"/>
            </w:tcBorders>
            <w:noWrap/>
            <w:vAlign w:val="center"/>
            <w:hideMark/>
          </w:tcPr>
          <w:p w14:paraId="40A2C871" w14:textId="38273E3F"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1.751</w:t>
            </w:r>
          </w:p>
        </w:tc>
      </w:tr>
      <w:tr w:rsidR="004D40E6" w14:paraId="1613788A" w14:textId="77777777" w:rsidTr="0041394A">
        <w:trPr>
          <w:trHeight w:val="94"/>
        </w:trPr>
        <w:tc>
          <w:tcPr>
            <w:tcW w:w="3798" w:type="dxa"/>
            <w:tcBorders>
              <w:top w:val="nil"/>
              <w:left w:val="single" w:sz="4" w:space="0" w:color="auto"/>
              <w:bottom w:val="nil"/>
              <w:right w:val="nil"/>
            </w:tcBorders>
            <w:noWrap/>
            <w:vAlign w:val="center"/>
            <w:hideMark/>
          </w:tcPr>
          <w:p w14:paraId="05E2AF9C"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Insurance Reserve</w:t>
            </w:r>
          </w:p>
        </w:tc>
        <w:tc>
          <w:tcPr>
            <w:tcW w:w="1455" w:type="dxa"/>
            <w:tcBorders>
              <w:top w:val="nil"/>
              <w:left w:val="single" w:sz="4" w:space="0" w:color="auto"/>
              <w:bottom w:val="nil"/>
              <w:right w:val="single" w:sz="4" w:space="0" w:color="auto"/>
            </w:tcBorders>
            <w:noWrap/>
            <w:vAlign w:val="center"/>
            <w:hideMark/>
          </w:tcPr>
          <w:p w14:paraId="64779683" w14:textId="77777777"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3.379</w:t>
            </w:r>
          </w:p>
        </w:tc>
        <w:tc>
          <w:tcPr>
            <w:tcW w:w="1455" w:type="dxa"/>
            <w:tcBorders>
              <w:top w:val="nil"/>
              <w:left w:val="nil"/>
              <w:bottom w:val="nil"/>
              <w:right w:val="single" w:sz="4" w:space="0" w:color="auto"/>
            </w:tcBorders>
            <w:noWrap/>
            <w:vAlign w:val="center"/>
            <w:hideMark/>
          </w:tcPr>
          <w:p w14:paraId="5AD60B30" w14:textId="58592170" w:rsidR="004D40E6" w:rsidRPr="00D118EC" w:rsidRDefault="004D40E6" w:rsidP="00D118EC">
            <w:pPr>
              <w:jc w:val="right"/>
              <w:rPr>
                <w:rFonts w:eastAsia="Times New Roman" w:cs="Calibri"/>
                <w:color w:val="000000"/>
                <w:sz w:val="20"/>
                <w:szCs w:val="20"/>
                <w:lang w:val="en-GB" w:eastAsia="en-GB"/>
              </w:rPr>
            </w:pPr>
            <w:r w:rsidRPr="00D118EC">
              <w:rPr>
                <w:rFonts w:eastAsia="Times New Roman" w:cs="Calibri"/>
                <w:color w:val="FF0000"/>
                <w:sz w:val="20"/>
                <w:szCs w:val="20"/>
                <w:lang w:val="en-GB" w:eastAsia="en-GB"/>
              </w:rPr>
              <w:t>(1.754)</w:t>
            </w:r>
          </w:p>
        </w:tc>
        <w:tc>
          <w:tcPr>
            <w:tcW w:w="1455" w:type="dxa"/>
            <w:tcBorders>
              <w:top w:val="nil"/>
              <w:left w:val="nil"/>
              <w:bottom w:val="nil"/>
              <w:right w:val="single" w:sz="4" w:space="0" w:color="auto"/>
            </w:tcBorders>
            <w:noWrap/>
            <w:vAlign w:val="center"/>
            <w:hideMark/>
          </w:tcPr>
          <w:p w14:paraId="607803FB"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675" w:type="dxa"/>
            <w:tcBorders>
              <w:top w:val="nil"/>
              <w:left w:val="nil"/>
              <w:bottom w:val="nil"/>
              <w:right w:val="single" w:sz="4" w:space="0" w:color="auto"/>
            </w:tcBorders>
            <w:noWrap/>
            <w:vAlign w:val="center"/>
            <w:hideMark/>
          </w:tcPr>
          <w:p w14:paraId="773DA253"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708" w:type="dxa"/>
            <w:tcBorders>
              <w:top w:val="nil"/>
              <w:left w:val="nil"/>
              <w:bottom w:val="nil"/>
              <w:right w:val="single" w:sz="4" w:space="0" w:color="auto"/>
            </w:tcBorders>
            <w:noWrap/>
            <w:vAlign w:val="center"/>
            <w:hideMark/>
          </w:tcPr>
          <w:p w14:paraId="12894ACF"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129" w:type="dxa"/>
            <w:tcBorders>
              <w:top w:val="nil"/>
              <w:left w:val="nil"/>
              <w:bottom w:val="nil"/>
              <w:right w:val="single" w:sz="4" w:space="0" w:color="auto"/>
            </w:tcBorders>
          </w:tcPr>
          <w:p w14:paraId="61B6CC9E" w14:textId="77777777" w:rsidR="004D40E6" w:rsidRPr="00D118EC" w:rsidRDefault="004D40E6">
            <w:pPr>
              <w:jc w:val="right"/>
              <w:rPr>
                <w:rFonts w:eastAsia="Times New Roman" w:cs="Calibri"/>
                <w:color w:val="000000"/>
                <w:sz w:val="20"/>
                <w:szCs w:val="20"/>
                <w:lang w:val="en-GB" w:eastAsia="en-GB"/>
              </w:rPr>
            </w:pPr>
          </w:p>
        </w:tc>
        <w:tc>
          <w:tcPr>
            <w:tcW w:w="1495" w:type="dxa"/>
            <w:tcBorders>
              <w:top w:val="nil"/>
              <w:left w:val="single" w:sz="4" w:space="0" w:color="auto"/>
              <w:bottom w:val="nil"/>
              <w:right w:val="single" w:sz="4" w:space="0" w:color="auto"/>
            </w:tcBorders>
            <w:noWrap/>
            <w:vAlign w:val="center"/>
            <w:hideMark/>
          </w:tcPr>
          <w:p w14:paraId="38079608" w14:textId="0F91A6C0"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1.625</w:t>
            </w:r>
          </w:p>
        </w:tc>
      </w:tr>
      <w:tr w:rsidR="0023752E" w14:paraId="0A9F0DAD" w14:textId="77777777" w:rsidTr="0041394A">
        <w:trPr>
          <w:trHeight w:val="81"/>
        </w:trPr>
        <w:tc>
          <w:tcPr>
            <w:tcW w:w="3798" w:type="dxa"/>
            <w:tcBorders>
              <w:top w:val="single" w:sz="4" w:space="0" w:color="auto"/>
              <w:left w:val="single" w:sz="4" w:space="0" w:color="auto"/>
              <w:bottom w:val="single" w:sz="4" w:space="0" w:color="auto"/>
              <w:right w:val="nil"/>
            </w:tcBorders>
            <w:shd w:val="clear" w:color="auto" w:fill="FFFFCC"/>
            <w:noWrap/>
            <w:vAlign w:val="center"/>
            <w:hideMark/>
          </w:tcPr>
          <w:p w14:paraId="0404127D" w14:textId="77777777" w:rsidR="004D40E6" w:rsidRPr="00D118EC" w:rsidRDefault="004D40E6">
            <w:pPr>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Total Earmarked Reserves</w:t>
            </w:r>
          </w:p>
        </w:tc>
        <w:tc>
          <w:tcPr>
            <w:tcW w:w="1455"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2B45FC69" w14:textId="77777777" w:rsidR="004D40E6" w:rsidRPr="00D118EC" w:rsidRDefault="004D40E6">
            <w:pPr>
              <w:jc w:val="right"/>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11.381</w:t>
            </w:r>
          </w:p>
        </w:tc>
        <w:tc>
          <w:tcPr>
            <w:tcW w:w="1455" w:type="dxa"/>
            <w:tcBorders>
              <w:top w:val="single" w:sz="4" w:space="0" w:color="auto"/>
              <w:left w:val="nil"/>
              <w:bottom w:val="single" w:sz="4" w:space="0" w:color="auto"/>
              <w:right w:val="single" w:sz="4" w:space="0" w:color="auto"/>
            </w:tcBorders>
            <w:shd w:val="clear" w:color="auto" w:fill="FFFFCC"/>
            <w:noWrap/>
            <w:vAlign w:val="center"/>
            <w:hideMark/>
          </w:tcPr>
          <w:p w14:paraId="36F1080F" w14:textId="3FAC4231" w:rsidR="004D40E6" w:rsidRPr="00D118EC" w:rsidRDefault="004D40E6" w:rsidP="00D118EC">
            <w:pPr>
              <w:jc w:val="right"/>
              <w:rPr>
                <w:rFonts w:eastAsia="Times New Roman" w:cs="Calibri"/>
                <w:b/>
                <w:bCs/>
                <w:color w:val="000000"/>
                <w:sz w:val="20"/>
                <w:szCs w:val="20"/>
                <w:lang w:val="en-GB" w:eastAsia="en-GB"/>
              </w:rPr>
            </w:pPr>
            <w:r w:rsidRPr="00D118EC">
              <w:rPr>
                <w:rFonts w:eastAsia="Times New Roman" w:cs="Calibri"/>
                <w:b/>
                <w:bCs/>
                <w:color w:val="FF0000"/>
                <w:sz w:val="20"/>
                <w:szCs w:val="20"/>
                <w:lang w:val="en-GB" w:eastAsia="en-GB"/>
              </w:rPr>
              <w:t>(1.754)</w:t>
            </w:r>
          </w:p>
        </w:tc>
        <w:tc>
          <w:tcPr>
            <w:tcW w:w="1455" w:type="dxa"/>
            <w:tcBorders>
              <w:top w:val="single" w:sz="4" w:space="0" w:color="auto"/>
              <w:left w:val="nil"/>
              <w:bottom w:val="single" w:sz="4" w:space="0" w:color="auto"/>
              <w:right w:val="single" w:sz="4" w:space="0" w:color="auto"/>
            </w:tcBorders>
            <w:shd w:val="clear" w:color="auto" w:fill="FFFFCC"/>
            <w:noWrap/>
            <w:vAlign w:val="center"/>
            <w:hideMark/>
          </w:tcPr>
          <w:p w14:paraId="57CEFEF7" w14:textId="77777777" w:rsidR="004D40E6" w:rsidRPr="00D118EC" w:rsidRDefault="004D40E6">
            <w:pPr>
              <w:jc w:val="right"/>
              <w:rPr>
                <w:rFonts w:eastAsia="Times New Roman" w:cs="Calibri"/>
                <w:b/>
                <w:bCs/>
                <w:color w:val="000000"/>
                <w:sz w:val="20"/>
                <w:szCs w:val="20"/>
                <w:lang w:val="en-GB" w:eastAsia="en-GB"/>
              </w:rPr>
            </w:pPr>
            <w:r w:rsidRPr="00D118EC">
              <w:rPr>
                <w:rFonts w:eastAsia="Times New Roman" w:cs="Calibri"/>
                <w:b/>
                <w:bCs/>
                <w:color w:val="FF0000"/>
                <w:sz w:val="20"/>
                <w:szCs w:val="20"/>
                <w:lang w:val="en-GB" w:eastAsia="en-GB"/>
              </w:rPr>
              <w:t>(0.578)</w:t>
            </w:r>
          </w:p>
        </w:tc>
        <w:tc>
          <w:tcPr>
            <w:tcW w:w="1675" w:type="dxa"/>
            <w:tcBorders>
              <w:top w:val="single" w:sz="4" w:space="0" w:color="auto"/>
              <w:left w:val="nil"/>
              <w:bottom w:val="single" w:sz="4" w:space="0" w:color="auto"/>
              <w:right w:val="single" w:sz="4" w:space="0" w:color="auto"/>
            </w:tcBorders>
            <w:shd w:val="clear" w:color="auto" w:fill="FFFFCC"/>
            <w:noWrap/>
            <w:vAlign w:val="center"/>
            <w:hideMark/>
          </w:tcPr>
          <w:p w14:paraId="3B182990" w14:textId="77777777" w:rsidR="004D40E6" w:rsidRPr="00D118EC" w:rsidRDefault="004D40E6">
            <w:pPr>
              <w:jc w:val="right"/>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1.637</w:t>
            </w:r>
          </w:p>
        </w:tc>
        <w:tc>
          <w:tcPr>
            <w:tcW w:w="1708" w:type="dxa"/>
            <w:tcBorders>
              <w:top w:val="single" w:sz="4" w:space="0" w:color="auto"/>
              <w:left w:val="nil"/>
              <w:bottom w:val="single" w:sz="4" w:space="0" w:color="auto"/>
              <w:right w:val="single" w:sz="4" w:space="0" w:color="auto"/>
            </w:tcBorders>
            <w:shd w:val="clear" w:color="auto" w:fill="FFFFCC"/>
            <w:noWrap/>
            <w:vAlign w:val="center"/>
            <w:hideMark/>
          </w:tcPr>
          <w:p w14:paraId="28FF5F5E" w14:textId="77777777" w:rsidR="004D40E6" w:rsidRPr="00D118EC" w:rsidRDefault="004D40E6">
            <w:pPr>
              <w:jc w:val="right"/>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0.751</w:t>
            </w:r>
          </w:p>
        </w:tc>
        <w:tc>
          <w:tcPr>
            <w:tcW w:w="1129" w:type="dxa"/>
            <w:tcBorders>
              <w:top w:val="single" w:sz="4" w:space="0" w:color="auto"/>
              <w:left w:val="nil"/>
              <w:bottom w:val="single" w:sz="4" w:space="0" w:color="auto"/>
              <w:right w:val="single" w:sz="4" w:space="0" w:color="auto"/>
            </w:tcBorders>
            <w:shd w:val="clear" w:color="auto" w:fill="FFFFCC"/>
          </w:tcPr>
          <w:p w14:paraId="4980938A" w14:textId="5A962185" w:rsidR="004D40E6" w:rsidRPr="00D118EC" w:rsidRDefault="004C7CC4" w:rsidP="002159BA">
            <w:pPr>
              <w:jc w:val="right"/>
              <w:rPr>
                <w:rFonts w:eastAsia="Times New Roman" w:cs="Calibri"/>
                <w:b/>
                <w:bCs/>
                <w:color w:val="000000"/>
                <w:sz w:val="20"/>
                <w:szCs w:val="20"/>
                <w:lang w:val="en-GB" w:eastAsia="en-GB"/>
              </w:rPr>
            </w:pPr>
            <w:r>
              <w:rPr>
                <w:rFonts w:eastAsia="Times New Roman" w:cs="Calibri"/>
                <w:b/>
                <w:bCs/>
                <w:color w:val="000000"/>
                <w:sz w:val="20"/>
                <w:szCs w:val="20"/>
                <w:lang w:val="en-GB" w:eastAsia="en-GB"/>
              </w:rPr>
              <w:t>0.000</w:t>
            </w:r>
          </w:p>
        </w:tc>
        <w:tc>
          <w:tcPr>
            <w:tcW w:w="1495"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7FA5BC2" w14:textId="3CD4C46E" w:rsidR="004D40E6" w:rsidRPr="00D118EC" w:rsidRDefault="004D40E6" w:rsidP="002159BA">
            <w:pPr>
              <w:jc w:val="right"/>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11.4</w:t>
            </w:r>
            <w:r>
              <w:rPr>
                <w:rFonts w:eastAsia="Times New Roman" w:cs="Calibri"/>
                <w:b/>
                <w:bCs/>
                <w:color w:val="000000"/>
                <w:sz w:val="20"/>
                <w:szCs w:val="20"/>
                <w:lang w:val="en-GB" w:eastAsia="en-GB"/>
              </w:rPr>
              <w:t>37</w:t>
            </w:r>
          </w:p>
        </w:tc>
      </w:tr>
      <w:tr w:rsidR="004D40E6" w14:paraId="3F2416D6" w14:textId="77777777" w:rsidTr="0041394A">
        <w:trPr>
          <w:trHeight w:val="64"/>
        </w:trPr>
        <w:tc>
          <w:tcPr>
            <w:tcW w:w="3798" w:type="dxa"/>
            <w:tcBorders>
              <w:top w:val="nil"/>
              <w:left w:val="single" w:sz="4" w:space="0" w:color="auto"/>
              <w:bottom w:val="nil"/>
              <w:right w:val="nil"/>
            </w:tcBorders>
            <w:noWrap/>
            <w:vAlign w:val="center"/>
            <w:hideMark/>
          </w:tcPr>
          <w:p w14:paraId="12DC646A" w14:textId="77777777" w:rsidR="004D40E6" w:rsidRPr="00D118EC" w:rsidRDefault="004D40E6">
            <w:pPr>
              <w:rPr>
                <w:rFonts w:eastAsia="Times New Roman" w:cs="Calibri"/>
                <w:b/>
                <w:bCs/>
                <w:i/>
                <w:iCs/>
                <w:color w:val="000000"/>
                <w:sz w:val="20"/>
                <w:szCs w:val="20"/>
                <w:lang w:val="en-GB" w:eastAsia="en-GB"/>
              </w:rPr>
            </w:pPr>
            <w:r w:rsidRPr="00D118EC">
              <w:rPr>
                <w:rFonts w:eastAsia="Times New Roman" w:cs="Calibri"/>
                <w:b/>
                <w:bCs/>
                <w:i/>
                <w:iCs/>
                <w:color w:val="000000"/>
                <w:sz w:val="20"/>
                <w:szCs w:val="20"/>
                <w:lang w:val="en-GB" w:eastAsia="en-GB"/>
              </w:rPr>
              <w:t>Capital Reserves</w:t>
            </w:r>
          </w:p>
        </w:tc>
        <w:tc>
          <w:tcPr>
            <w:tcW w:w="1455" w:type="dxa"/>
            <w:tcBorders>
              <w:top w:val="nil"/>
              <w:left w:val="single" w:sz="4" w:space="0" w:color="auto"/>
              <w:bottom w:val="nil"/>
              <w:right w:val="single" w:sz="4" w:space="0" w:color="auto"/>
            </w:tcBorders>
            <w:noWrap/>
            <w:vAlign w:val="center"/>
            <w:hideMark/>
          </w:tcPr>
          <w:p w14:paraId="2C0503AF"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455" w:type="dxa"/>
            <w:tcBorders>
              <w:top w:val="nil"/>
              <w:left w:val="nil"/>
              <w:bottom w:val="nil"/>
              <w:right w:val="single" w:sz="4" w:space="0" w:color="auto"/>
            </w:tcBorders>
            <w:noWrap/>
            <w:vAlign w:val="center"/>
            <w:hideMark/>
          </w:tcPr>
          <w:p w14:paraId="576B2DDC"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455" w:type="dxa"/>
            <w:tcBorders>
              <w:top w:val="nil"/>
              <w:left w:val="nil"/>
              <w:bottom w:val="nil"/>
              <w:right w:val="single" w:sz="4" w:space="0" w:color="auto"/>
            </w:tcBorders>
            <w:noWrap/>
            <w:vAlign w:val="center"/>
            <w:hideMark/>
          </w:tcPr>
          <w:p w14:paraId="45CB303B"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675" w:type="dxa"/>
            <w:tcBorders>
              <w:top w:val="nil"/>
              <w:left w:val="nil"/>
              <w:bottom w:val="nil"/>
              <w:right w:val="single" w:sz="4" w:space="0" w:color="auto"/>
            </w:tcBorders>
            <w:noWrap/>
            <w:vAlign w:val="center"/>
            <w:hideMark/>
          </w:tcPr>
          <w:p w14:paraId="1F062313"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708" w:type="dxa"/>
            <w:tcBorders>
              <w:top w:val="nil"/>
              <w:left w:val="nil"/>
              <w:bottom w:val="nil"/>
              <w:right w:val="single" w:sz="4" w:space="0" w:color="auto"/>
            </w:tcBorders>
            <w:noWrap/>
            <w:vAlign w:val="center"/>
            <w:hideMark/>
          </w:tcPr>
          <w:p w14:paraId="497C48FF"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129" w:type="dxa"/>
            <w:tcBorders>
              <w:top w:val="nil"/>
              <w:left w:val="nil"/>
              <w:bottom w:val="nil"/>
              <w:right w:val="single" w:sz="4" w:space="0" w:color="auto"/>
            </w:tcBorders>
          </w:tcPr>
          <w:p w14:paraId="4231DD9E" w14:textId="77777777" w:rsidR="004D40E6" w:rsidRPr="00D118EC" w:rsidRDefault="004D40E6">
            <w:pPr>
              <w:rPr>
                <w:rFonts w:eastAsia="Times New Roman" w:cs="Calibri"/>
                <w:color w:val="000000"/>
                <w:sz w:val="20"/>
                <w:szCs w:val="20"/>
                <w:lang w:val="en-GB" w:eastAsia="en-GB"/>
              </w:rPr>
            </w:pPr>
          </w:p>
        </w:tc>
        <w:tc>
          <w:tcPr>
            <w:tcW w:w="1495" w:type="dxa"/>
            <w:tcBorders>
              <w:top w:val="nil"/>
              <w:left w:val="single" w:sz="4" w:space="0" w:color="auto"/>
              <w:bottom w:val="nil"/>
              <w:right w:val="single" w:sz="4" w:space="0" w:color="auto"/>
            </w:tcBorders>
            <w:noWrap/>
            <w:vAlign w:val="center"/>
            <w:hideMark/>
          </w:tcPr>
          <w:p w14:paraId="40094836" w14:textId="64A8FE55"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r>
      <w:tr w:rsidR="004D40E6" w14:paraId="4938D3D3" w14:textId="77777777" w:rsidTr="0041394A">
        <w:trPr>
          <w:trHeight w:val="94"/>
        </w:trPr>
        <w:tc>
          <w:tcPr>
            <w:tcW w:w="3798" w:type="dxa"/>
            <w:tcBorders>
              <w:top w:val="nil"/>
              <w:left w:val="single" w:sz="4" w:space="0" w:color="auto"/>
              <w:bottom w:val="nil"/>
              <w:right w:val="nil"/>
            </w:tcBorders>
            <w:noWrap/>
            <w:vAlign w:val="center"/>
            <w:hideMark/>
          </w:tcPr>
          <w:p w14:paraId="668CD3B3"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Capital Receipts Reserve</w:t>
            </w:r>
          </w:p>
        </w:tc>
        <w:tc>
          <w:tcPr>
            <w:tcW w:w="1455" w:type="dxa"/>
            <w:tcBorders>
              <w:top w:val="nil"/>
              <w:left w:val="single" w:sz="4" w:space="0" w:color="auto"/>
              <w:bottom w:val="nil"/>
              <w:right w:val="single" w:sz="4" w:space="0" w:color="auto"/>
            </w:tcBorders>
            <w:noWrap/>
            <w:vAlign w:val="center"/>
            <w:hideMark/>
          </w:tcPr>
          <w:p w14:paraId="43A27090" w14:textId="77777777"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0.197</w:t>
            </w:r>
          </w:p>
        </w:tc>
        <w:tc>
          <w:tcPr>
            <w:tcW w:w="1455" w:type="dxa"/>
            <w:tcBorders>
              <w:top w:val="nil"/>
              <w:left w:val="nil"/>
              <w:bottom w:val="nil"/>
              <w:right w:val="single" w:sz="4" w:space="0" w:color="auto"/>
            </w:tcBorders>
            <w:noWrap/>
            <w:vAlign w:val="center"/>
            <w:hideMark/>
          </w:tcPr>
          <w:p w14:paraId="49C52BCA"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455" w:type="dxa"/>
            <w:tcBorders>
              <w:top w:val="nil"/>
              <w:left w:val="nil"/>
              <w:bottom w:val="nil"/>
              <w:right w:val="single" w:sz="4" w:space="0" w:color="auto"/>
            </w:tcBorders>
            <w:noWrap/>
            <w:vAlign w:val="center"/>
            <w:hideMark/>
          </w:tcPr>
          <w:p w14:paraId="2C2DB84E" w14:textId="0EC7D596" w:rsidR="004D40E6" w:rsidRPr="00D118EC" w:rsidRDefault="004D40E6" w:rsidP="00D118EC">
            <w:pPr>
              <w:jc w:val="right"/>
              <w:rPr>
                <w:rFonts w:eastAsia="Times New Roman" w:cs="Calibri"/>
                <w:color w:val="FF0000"/>
                <w:sz w:val="20"/>
                <w:szCs w:val="20"/>
                <w:lang w:val="en-GB" w:eastAsia="en-GB"/>
              </w:rPr>
            </w:pPr>
            <w:r w:rsidRPr="00D118EC">
              <w:rPr>
                <w:rFonts w:eastAsia="Times New Roman" w:cs="Calibri"/>
                <w:color w:val="FF0000"/>
                <w:sz w:val="20"/>
                <w:szCs w:val="20"/>
                <w:lang w:val="en-GB" w:eastAsia="en-GB"/>
              </w:rPr>
              <w:t>(0.197)</w:t>
            </w:r>
          </w:p>
        </w:tc>
        <w:tc>
          <w:tcPr>
            <w:tcW w:w="1675" w:type="dxa"/>
            <w:tcBorders>
              <w:top w:val="nil"/>
              <w:left w:val="nil"/>
              <w:bottom w:val="nil"/>
              <w:right w:val="single" w:sz="4" w:space="0" w:color="auto"/>
            </w:tcBorders>
            <w:noWrap/>
            <w:vAlign w:val="center"/>
            <w:hideMark/>
          </w:tcPr>
          <w:p w14:paraId="71044C98"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708" w:type="dxa"/>
            <w:tcBorders>
              <w:top w:val="nil"/>
              <w:left w:val="nil"/>
              <w:bottom w:val="nil"/>
              <w:right w:val="single" w:sz="4" w:space="0" w:color="auto"/>
            </w:tcBorders>
            <w:noWrap/>
            <w:vAlign w:val="center"/>
            <w:hideMark/>
          </w:tcPr>
          <w:p w14:paraId="4CFB4F44"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129" w:type="dxa"/>
            <w:tcBorders>
              <w:top w:val="nil"/>
              <w:left w:val="nil"/>
              <w:bottom w:val="nil"/>
              <w:right w:val="single" w:sz="4" w:space="0" w:color="auto"/>
            </w:tcBorders>
          </w:tcPr>
          <w:p w14:paraId="0F83A809" w14:textId="77777777" w:rsidR="004D40E6" w:rsidRPr="00D118EC" w:rsidRDefault="004D40E6" w:rsidP="00D118EC">
            <w:pPr>
              <w:jc w:val="right"/>
              <w:rPr>
                <w:rFonts w:eastAsia="Times New Roman" w:cs="Calibri"/>
                <w:color w:val="000000"/>
                <w:sz w:val="20"/>
                <w:szCs w:val="20"/>
                <w:lang w:val="en-GB" w:eastAsia="en-GB"/>
              </w:rPr>
            </w:pPr>
          </w:p>
        </w:tc>
        <w:tc>
          <w:tcPr>
            <w:tcW w:w="1495" w:type="dxa"/>
            <w:tcBorders>
              <w:top w:val="nil"/>
              <w:left w:val="single" w:sz="4" w:space="0" w:color="auto"/>
              <w:bottom w:val="nil"/>
              <w:right w:val="single" w:sz="4" w:space="0" w:color="auto"/>
            </w:tcBorders>
            <w:noWrap/>
            <w:vAlign w:val="center"/>
            <w:hideMark/>
          </w:tcPr>
          <w:p w14:paraId="601CBAD8" w14:textId="0E0FCEF8" w:rsidR="004D40E6" w:rsidRPr="00D118EC" w:rsidRDefault="004D40E6" w:rsidP="00D118EC">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0.</w:t>
            </w:r>
            <w:r>
              <w:rPr>
                <w:rFonts w:eastAsia="Times New Roman" w:cs="Calibri"/>
                <w:color w:val="000000"/>
                <w:sz w:val="20"/>
                <w:szCs w:val="20"/>
                <w:lang w:val="en-GB" w:eastAsia="en-GB"/>
              </w:rPr>
              <w:t>000</w:t>
            </w:r>
          </w:p>
        </w:tc>
      </w:tr>
      <w:tr w:rsidR="004D40E6" w14:paraId="68A27FCD" w14:textId="77777777" w:rsidTr="0041394A">
        <w:trPr>
          <w:trHeight w:val="94"/>
        </w:trPr>
        <w:tc>
          <w:tcPr>
            <w:tcW w:w="3798" w:type="dxa"/>
            <w:tcBorders>
              <w:top w:val="nil"/>
              <w:left w:val="single" w:sz="4" w:space="0" w:color="auto"/>
              <w:bottom w:val="nil"/>
              <w:right w:val="nil"/>
            </w:tcBorders>
            <w:noWrap/>
            <w:vAlign w:val="center"/>
            <w:hideMark/>
          </w:tcPr>
          <w:p w14:paraId="242319F3"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Capital Grants Unapplied</w:t>
            </w:r>
          </w:p>
        </w:tc>
        <w:tc>
          <w:tcPr>
            <w:tcW w:w="1455" w:type="dxa"/>
            <w:tcBorders>
              <w:top w:val="nil"/>
              <w:left w:val="single" w:sz="4" w:space="0" w:color="auto"/>
              <w:bottom w:val="nil"/>
              <w:right w:val="single" w:sz="4" w:space="0" w:color="auto"/>
            </w:tcBorders>
            <w:noWrap/>
            <w:vAlign w:val="center"/>
            <w:hideMark/>
          </w:tcPr>
          <w:p w14:paraId="71A74003" w14:textId="77777777" w:rsidR="004D40E6" w:rsidRPr="00D118EC" w:rsidRDefault="004D40E6">
            <w:pPr>
              <w:jc w:val="right"/>
              <w:rPr>
                <w:rFonts w:eastAsia="Times New Roman" w:cs="Calibri"/>
                <w:color w:val="000000"/>
                <w:sz w:val="20"/>
                <w:szCs w:val="20"/>
                <w:lang w:val="en-GB" w:eastAsia="en-GB"/>
              </w:rPr>
            </w:pPr>
            <w:r w:rsidRPr="00D118EC">
              <w:rPr>
                <w:rFonts w:eastAsia="Times New Roman" w:cs="Calibri"/>
                <w:color w:val="000000"/>
                <w:sz w:val="20"/>
                <w:szCs w:val="20"/>
                <w:lang w:val="en-GB" w:eastAsia="en-GB"/>
              </w:rPr>
              <w:t>2.946</w:t>
            </w:r>
          </w:p>
        </w:tc>
        <w:tc>
          <w:tcPr>
            <w:tcW w:w="1455" w:type="dxa"/>
            <w:tcBorders>
              <w:top w:val="nil"/>
              <w:left w:val="nil"/>
              <w:bottom w:val="nil"/>
              <w:right w:val="single" w:sz="4" w:space="0" w:color="auto"/>
            </w:tcBorders>
            <w:noWrap/>
            <w:vAlign w:val="center"/>
            <w:hideMark/>
          </w:tcPr>
          <w:p w14:paraId="384FB0E5"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455" w:type="dxa"/>
            <w:tcBorders>
              <w:top w:val="nil"/>
              <w:left w:val="nil"/>
              <w:bottom w:val="nil"/>
              <w:right w:val="single" w:sz="4" w:space="0" w:color="auto"/>
            </w:tcBorders>
            <w:noWrap/>
            <w:vAlign w:val="center"/>
            <w:hideMark/>
          </w:tcPr>
          <w:p w14:paraId="64421A21" w14:textId="23598C6C" w:rsidR="004D40E6" w:rsidRPr="00D118EC" w:rsidRDefault="004D40E6" w:rsidP="00D118EC">
            <w:pPr>
              <w:jc w:val="right"/>
              <w:rPr>
                <w:rFonts w:eastAsia="Times New Roman" w:cs="Calibri"/>
                <w:color w:val="FF0000"/>
                <w:sz w:val="20"/>
                <w:szCs w:val="20"/>
                <w:lang w:val="en-GB" w:eastAsia="en-GB"/>
              </w:rPr>
            </w:pPr>
            <w:r w:rsidRPr="00D118EC">
              <w:rPr>
                <w:rFonts w:eastAsia="Times New Roman" w:cs="Calibri"/>
                <w:color w:val="FF0000"/>
                <w:sz w:val="20"/>
                <w:szCs w:val="20"/>
                <w:lang w:val="en-GB" w:eastAsia="en-GB"/>
              </w:rPr>
              <w:t> (1.216)</w:t>
            </w:r>
          </w:p>
        </w:tc>
        <w:tc>
          <w:tcPr>
            <w:tcW w:w="1675" w:type="dxa"/>
            <w:tcBorders>
              <w:top w:val="nil"/>
              <w:left w:val="nil"/>
              <w:bottom w:val="nil"/>
              <w:right w:val="single" w:sz="4" w:space="0" w:color="auto"/>
            </w:tcBorders>
            <w:noWrap/>
            <w:vAlign w:val="center"/>
            <w:hideMark/>
          </w:tcPr>
          <w:p w14:paraId="56F15521"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708" w:type="dxa"/>
            <w:tcBorders>
              <w:top w:val="nil"/>
              <w:left w:val="nil"/>
              <w:bottom w:val="nil"/>
              <w:right w:val="single" w:sz="4" w:space="0" w:color="auto"/>
            </w:tcBorders>
            <w:noWrap/>
            <w:vAlign w:val="center"/>
            <w:hideMark/>
          </w:tcPr>
          <w:p w14:paraId="035BB779" w14:textId="77777777" w:rsidR="004D40E6" w:rsidRPr="00D118EC" w:rsidRDefault="004D40E6">
            <w:pPr>
              <w:rPr>
                <w:rFonts w:eastAsia="Times New Roman" w:cs="Calibri"/>
                <w:color w:val="000000"/>
                <w:sz w:val="20"/>
                <w:szCs w:val="20"/>
                <w:lang w:val="en-GB" w:eastAsia="en-GB"/>
              </w:rPr>
            </w:pPr>
            <w:r w:rsidRPr="00D118EC">
              <w:rPr>
                <w:rFonts w:eastAsia="Times New Roman" w:cs="Calibri"/>
                <w:color w:val="000000"/>
                <w:sz w:val="20"/>
                <w:szCs w:val="20"/>
                <w:lang w:val="en-GB" w:eastAsia="en-GB"/>
              </w:rPr>
              <w:t> </w:t>
            </w:r>
          </w:p>
        </w:tc>
        <w:tc>
          <w:tcPr>
            <w:tcW w:w="1129" w:type="dxa"/>
            <w:tcBorders>
              <w:top w:val="nil"/>
              <w:left w:val="nil"/>
              <w:bottom w:val="nil"/>
              <w:right w:val="single" w:sz="4" w:space="0" w:color="auto"/>
            </w:tcBorders>
          </w:tcPr>
          <w:p w14:paraId="3D61A158" w14:textId="4C90C441" w:rsidR="004D40E6" w:rsidRDefault="004C7CC4">
            <w:pPr>
              <w:jc w:val="right"/>
              <w:rPr>
                <w:rFonts w:eastAsia="Times New Roman" w:cs="Calibri"/>
                <w:color w:val="000000"/>
                <w:sz w:val="20"/>
                <w:szCs w:val="20"/>
                <w:lang w:val="en-GB" w:eastAsia="en-GB"/>
              </w:rPr>
            </w:pPr>
            <w:r>
              <w:rPr>
                <w:rFonts w:eastAsia="Times New Roman" w:cs="Calibri"/>
                <w:color w:val="000000"/>
                <w:sz w:val="20"/>
                <w:szCs w:val="20"/>
                <w:lang w:val="en-GB" w:eastAsia="en-GB"/>
              </w:rPr>
              <w:t>0.133</w:t>
            </w:r>
          </w:p>
        </w:tc>
        <w:tc>
          <w:tcPr>
            <w:tcW w:w="1495" w:type="dxa"/>
            <w:tcBorders>
              <w:top w:val="nil"/>
              <w:left w:val="single" w:sz="4" w:space="0" w:color="auto"/>
              <w:bottom w:val="nil"/>
              <w:right w:val="single" w:sz="4" w:space="0" w:color="auto"/>
            </w:tcBorders>
            <w:noWrap/>
            <w:vAlign w:val="center"/>
            <w:hideMark/>
          </w:tcPr>
          <w:p w14:paraId="709A4052" w14:textId="17E15020" w:rsidR="004D40E6" w:rsidRPr="00D118EC" w:rsidRDefault="004D40E6">
            <w:pPr>
              <w:jc w:val="right"/>
              <w:rPr>
                <w:rFonts w:eastAsia="Times New Roman" w:cs="Calibri"/>
                <w:color w:val="000000"/>
                <w:sz w:val="20"/>
                <w:szCs w:val="20"/>
                <w:lang w:val="en-GB" w:eastAsia="en-GB"/>
              </w:rPr>
            </w:pPr>
            <w:r>
              <w:rPr>
                <w:rFonts w:eastAsia="Times New Roman" w:cs="Calibri"/>
                <w:color w:val="000000"/>
                <w:sz w:val="20"/>
                <w:szCs w:val="20"/>
                <w:lang w:val="en-GB" w:eastAsia="en-GB"/>
              </w:rPr>
              <w:t>1.</w:t>
            </w:r>
            <w:r w:rsidR="004C7CC4">
              <w:rPr>
                <w:rFonts w:eastAsia="Times New Roman" w:cs="Calibri"/>
                <w:color w:val="000000"/>
                <w:sz w:val="20"/>
                <w:szCs w:val="20"/>
                <w:lang w:val="en-GB" w:eastAsia="en-GB"/>
              </w:rPr>
              <w:t>863</w:t>
            </w:r>
          </w:p>
        </w:tc>
      </w:tr>
      <w:tr w:rsidR="0023752E" w14:paraId="63FEBF6B" w14:textId="77777777" w:rsidTr="0041394A">
        <w:trPr>
          <w:trHeight w:val="81"/>
        </w:trPr>
        <w:tc>
          <w:tcPr>
            <w:tcW w:w="3798" w:type="dxa"/>
            <w:tcBorders>
              <w:top w:val="single" w:sz="4" w:space="0" w:color="auto"/>
              <w:left w:val="single" w:sz="4" w:space="0" w:color="auto"/>
              <w:bottom w:val="single" w:sz="4" w:space="0" w:color="auto"/>
              <w:right w:val="nil"/>
            </w:tcBorders>
            <w:shd w:val="clear" w:color="auto" w:fill="FFFFCC"/>
            <w:noWrap/>
            <w:vAlign w:val="center"/>
            <w:hideMark/>
          </w:tcPr>
          <w:p w14:paraId="3D0DB89C" w14:textId="77777777" w:rsidR="004D40E6" w:rsidRPr="00D118EC" w:rsidRDefault="004D40E6">
            <w:pPr>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Total Capital Reserves</w:t>
            </w:r>
          </w:p>
        </w:tc>
        <w:tc>
          <w:tcPr>
            <w:tcW w:w="1455"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2700A0B" w14:textId="77777777" w:rsidR="004D40E6" w:rsidRPr="00D118EC" w:rsidRDefault="004D40E6">
            <w:pPr>
              <w:jc w:val="right"/>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3.143</w:t>
            </w:r>
          </w:p>
        </w:tc>
        <w:tc>
          <w:tcPr>
            <w:tcW w:w="1455" w:type="dxa"/>
            <w:tcBorders>
              <w:top w:val="single" w:sz="4" w:space="0" w:color="auto"/>
              <w:left w:val="nil"/>
              <w:bottom w:val="single" w:sz="4" w:space="0" w:color="auto"/>
              <w:right w:val="single" w:sz="4" w:space="0" w:color="auto"/>
            </w:tcBorders>
            <w:shd w:val="clear" w:color="auto" w:fill="FFFFCC"/>
            <w:noWrap/>
            <w:vAlign w:val="center"/>
            <w:hideMark/>
          </w:tcPr>
          <w:p w14:paraId="2F3E2BE0" w14:textId="77777777" w:rsidR="004D40E6" w:rsidRPr="00D118EC" w:rsidRDefault="004D40E6">
            <w:pPr>
              <w:jc w:val="right"/>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0.000</w:t>
            </w:r>
          </w:p>
        </w:tc>
        <w:tc>
          <w:tcPr>
            <w:tcW w:w="1455" w:type="dxa"/>
            <w:tcBorders>
              <w:top w:val="single" w:sz="4" w:space="0" w:color="auto"/>
              <w:left w:val="nil"/>
              <w:bottom w:val="single" w:sz="4" w:space="0" w:color="auto"/>
              <w:right w:val="single" w:sz="4" w:space="0" w:color="auto"/>
            </w:tcBorders>
            <w:shd w:val="clear" w:color="auto" w:fill="FFFFCC"/>
            <w:noWrap/>
            <w:vAlign w:val="center"/>
            <w:hideMark/>
          </w:tcPr>
          <w:p w14:paraId="7F260F15" w14:textId="45B3E239" w:rsidR="004D40E6" w:rsidRPr="00D118EC" w:rsidRDefault="004D40E6">
            <w:pPr>
              <w:jc w:val="right"/>
              <w:rPr>
                <w:rFonts w:eastAsia="Times New Roman" w:cs="Calibri"/>
                <w:b/>
                <w:bCs/>
                <w:color w:val="000000"/>
                <w:sz w:val="20"/>
                <w:szCs w:val="20"/>
                <w:lang w:val="en-GB" w:eastAsia="en-GB"/>
              </w:rPr>
            </w:pPr>
            <w:r>
              <w:rPr>
                <w:rFonts w:eastAsia="Times New Roman" w:cs="Calibri"/>
                <w:b/>
                <w:bCs/>
                <w:color w:val="FF0000"/>
                <w:sz w:val="20"/>
                <w:szCs w:val="20"/>
                <w:lang w:val="en-GB" w:eastAsia="en-GB"/>
              </w:rPr>
              <w:t>(1.413)</w:t>
            </w:r>
          </w:p>
        </w:tc>
        <w:tc>
          <w:tcPr>
            <w:tcW w:w="1675" w:type="dxa"/>
            <w:tcBorders>
              <w:top w:val="single" w:sz="4" w:space="0" w:color="auto"/>
              <w:left w:val="nil"/>
              <w:bottom w:val="single" w:sz="4" w:space="0" w:color="auto"/>
              <w:right w:val="single" w:sz="4" w:space="0" w:color="auto"/>
            </w:tcBorders>
            <w:shd w:val="clear" w:color="auto" w:fill="FFFFCC"/>
            <w:noWrap/>
            <w:vAlign w:val="center"/>
            <w:hideMark/>
          </w:tcPr>
          <w:p w14:paraId="721D893E" w14:textId="77777777" w:rsidR="004D40E6" w:rsidRPr="00D118EC" w:rsidRDefault="004D40E6">
            <w:pPr>
              <w:jc w:val="right"/>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0.000</w:t>
            </w:r>
          </w:p>
        </w:tc>
        <w:tc>
          <w:tcPr>
            <w:tcW w:w="1708" w:type="dxa"/>
            <w:tcBorders>
              <w:top w:val="single" w:sz="4" w:space="0" w:color="auto"/>
              <w:left w:val="nil"/>
              <w:bottom w:val="single" w:sz="4" w:space="0" w:color="auto"/>
              <w:right w:val="single" w:sz="4" w:space="0" w:color="auto"/>
            </w:tcBorders>
            <w:shd w:val="clear" w:color="auto" w:fill="FFFFCC"/>
            <w:noWrap/>
            <w:vAlign w:val="center"/>
            <w:hideMark/>
          </w:tcPr>
          <w:p w14:paraId="72271006" w14:textId="77777777" w:rsidR="004D40E6" w:rsidRPr="00D118EC" w:rsidRDefault="004D40E6">
            <w:pPr>
              <w:jc w:val="right"/>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0.000</w:t>
            </w:r>
          </w:p>
        </w:tc>
        <w:tc>
          <w:tcPr>
            <w:tcW w:w="1129" w:type="dxa"/>
            <w:tcBorders>
              <w:top w:val="single" w:sz="4" w:space="0" w:color="auto"/>
              <w:left w:val="nil"/>
              <w:bottom w:val="single" w:sz="4" w:space="0" w:color="auto"/>
              <w:right w:val="single" w:sz="4" w:space="0" w:color="auto"/>
            </w:tcBorders>
            <w:shd w:val="clear" w:color="auto" w:fill="FFFFCC"/>
          </w:tcPr>
          <w:p w14:paraId="36981812" w14:textId="68C5E2C1" w:rsidR="004D40E6" w:rsidRDefault="004C7CC4">
            <w:pPr>
              <w:jc w:val="right"/>
              <w:rPr>
                <w:rFonts w:eastAsia="Times New Roman" w:cs="Calibri"/>
                <w:b/>
                <w:bCs/>
                <w:color w:val="000000"/>
                <w:sz w:val="20"/>
                <w:szCs w:val="20"/>
                <w:lang w:val="en-GB" w:eastAsia="en-GB"/>
              </w:rPr>
            </w:pPr>
            <w:r>
              <w:rPr>
                <w:rFonts w:eastAsia="Times New Roman" w:cs="Calibri"/>
                <w:b/>
                <w:bCs/>
                <w:color w:val="000000"/>
                <w:sz w:val="20"/>
                <w:szCs w:val="20"/>
                <w:lang w:val="en-GB" w:eastAsia="en-GB"/>
              </w:rPr>
              <w:t>0.133</w:t>
            </w:r>
          </w:p>
        </w:tc>
        <w:tc>
          <w:tcPr>
            <w:tcW w:w="1495"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F9EA3CC" w14:textId="39CB8CA1" w:rsidR="004D40E6" w:rsidRPr="00D118EC" w:rsidRDefault="004D40E6">
            <w:pPr>
              <w:jc w:val="right"/>
              <w:rPr>
                <w:rFonts w:eastAsia="Times New Roman" w:cs="Calibri"/>
                <w:b/>
                <w:bCs/>
                <w:color w:val="000000"/>
                <w:sz w:val="20"/>
                <w:szCs w:val="20"/>
                <w:lang w:val="en-GB" w:eastAsia="en-GB"/>
              </w:rPr>
            </w:pPr>
            <w:r>
              <w:rPr>
                <w:rFonts w:eastAsia="Times New Roman" w:cs="Calibri"/>
                <w:b/>
                <w:bCs/>
                <w:color w:val="000000"/>
                <w:sz w:val="20"/>
                <w:szCs w:val="20"/>
                <w:lang w:val="en-GB" w:eastAsia="en-GB"/>
              </w:rPr>
              <w:t>1.</w:t>
            </w:r>
            <w:r w:rsidR="004C7CC4">
              <w:rPr>
                <w:rFonts w:eastAsia="Times New Roman" w:cs="Calibri"/>
                <w:b/>
                <w:bCs/>
                <w:color w:val="000000"/>
                <w:sz w:val="20"/>
                <w:szCs w:val="20"/>
                <w:lang w:val="en-GB" w:eastAsia="en-GB"/>
              </w:rPr>
              <w:t>863</w:t>
            </w:r>
          </w:p>
        </w:tc>
      </w:tr>
      <w:tr w:rsidR="004D40E6" w14:paraId="680C626C" w14:textId="77777777" w:rsidTr="0041394A">
        <w:trPr>
          <w:trHeight w:val="81"/>
        </w:trPr>
        <w:tc>
          <w:tcPr>
            <w:tcW w:w="3798" w:type="dxa"/>
            <w:tcBorders>
              <w:top w:val="nil"/>
              <w:left w:val="single" w:sz="4" w:space="0" w:color="auto"/>
              <w:bottom w:val="nil"/>
              <w:right w:val="nil"/>
            </w:tcBorders>
            <w:noWrap/>
            <w:vAlign w:val="center"/>
            <w:hideMark/>
          </w:tcPr>
          <w:p w14:paraId="3F0264CE" w14:textId="77777777" w:rsidR="004D40E6" w:rsidRPr="00D118EC" w:rsidRDefault="004D40E6">
            <w:pPr>
              <w:rPr>
                <w:rFonts w:eastAsia="Times New Roman" w:cs="Calibri"/>
                <w:color w:val="000000"/>
                <w:sz w:val="4"/>
                <w:szCs w:val="4"/>
                <w:lang w:val="en-GB" w:eastAsia="en-GB"/>
              </w:rPr>
            </w:pPr>
            <w:r w:rsidRPr="00D118EC">
              <w:rPr>
                <w:rFonts w:eastAsia="Times New Roman" w:cs="Calibri"/>
                <w:color w:val="000000"/>
                <w:sz w:val="4"/>
                <w:szCs w:val="4"/>
                <w:lang w:val="en-GB" w:eastAsia="en-GB"/>
              </w:rPr>
              <w:t> </w:t>
            </w:r>
          </w:p>
        </w:tc>
        <w:tc>
          <w:tcPr>
            <w:tcW w:w="1455" w:type="dxa"/>
            <w:tcBorders>
              <w:top w:val="nil"/>
              <w:left w:val="single" w:sz="4" w:space="0" w:color="auto"/>
              <w:bottom w:val="nil"/>
              <w:right w:val="single" w:sz="4" w:space="0" w:color="auto"/>
            </w:tcBorders>
            <w:noWrap/>
            <w:vAlign w:val="center"/>
            <w:hideMark/>
          </w:tcPr>
          <w:p w14:paraId="59E2131E" w14:textId="77777777" w:rsidR="004D40E6" w:rsidRPr="00D118EC" w:rsidRDefault="004D40E6">
            <w:pPr>
              <w:rPr>
                <w:rFonts w:eastAsia="Times New Roman" w:cs="Calibri"/>
                <w:color w:val="000000"/>
                <w:sz w:val="4"/>
                <w:szCs w:val="4"/>
                <w:lang w:val="en-GB" w:eastAsia="en-GB"/>
              </w:rPr>
            </w:pPr>
            <w:r w:rsidRPr="00D118EC">
              <w:rPr>
                <w:rFonts w:eastAsia="Times New Roman" w:cs="Calibri"/>
                <w:color w:val="000000"/>
                <w:sz w:val="4"/>
                <w:szCs w:val="4"/>
                <w:lang w:val="en-GB" w:eastAsia="en-GB"/>
              </w:rPr>
              <w:t> </w:t>
            </w:r>
          </w:p>
        </w:tc>
        <w:tc>
          <w:tcPr>
            <w:tcW w:w="1455" w:type="dxa"/>
            <w:tcBorders>
              <w:top w:val="nil"/>
              <w:left w:val="nil"/>
              <w:bottom w:val="nil"/>
              <w:right w:val="single" w:sz="4" w:space="0" w:color="auto"/>
            </w:tcBorders>
            <w:noWrap/>
            <w:vAlign w:val="center"/>
            <w:hideMark/>
          </w:tcPr>
          <w:p w14:paraId="51044F66" w14:textId="77777777" w:rsidR="004D40E6" w:rsidRPr="00D118EC" w:rsidRDefault="004D40E6">
            <w:pPr>
              <w:rPr>
                <w:rFonts w:eastAsia="Times New Roman" w:cs="Calibri"/>
                <w:color w:val="000000"/>
                <w:sz w:val="4"/>
                <w:szCs w:val="4"/>
                <w:lang w:val="en-GB" w:eastAsia="en-GB"/>
              </w:rPr>
            </w:pPr>
            <w:r w:rsidRPr="00D118EC">
              <w:rPr>
                <w:rFonts w:eastAsia="Times New Roman" w:cs="Calibri"/>
                <w:color w:val="000000"/>
                <w:sz w:val="4"/>
                <w:szCs w:val="4"/>
                <w:lang w:val="en-GB" w:eastAsia="en-GB"/>
              </w:rPr>
              <w:t> </w:t>
            </w:r>
          </w:p>
        </w:tc>
        <w:tc>
          <w:tcPr>
            <w:tcW w:w="1455" w:type="dxa"/>
            <w:tcBorders>
              <w:top w:val="nil"/>
              <w:left w:val="nil"/>
              <w:bottom w:val="nil"/>
              <w:right w:val="single" w:sz="4" w:space="0" w:color="auto"/>
            </w:tcBorders>
            <w:noWrap/>
            <w:vAlign w:val="center"/>
            <w:hideMark/>
          </w:tcPr>
          <w:p w14:paraId="2D66CC4E" w14:textId="77777777" w:rsidR="004D40E6" w:rsidRPr="00D118EC" w:rsidRDefault="004D40E6">
            <w:pPr>
              <w:rPr>
                <w:rFonts w:eastAsia="Times New Roman" w:cs="Calibri"/>
                <w:color w:val="000000"/>
                <w:sz w:val="4"/>
                <w:szCs w:val="4"/>
                <w:lang w:val="en-GB" w:eastAsia="en-GB"/>
              </w:rPr>
            </w:pPr>
            <w:r w:rsidRPr="00D118EC">
              <w:rPr>
                <w:rFonts w:eastAsia="Times New Roman" w:cs="Calibri"/>
                <w:color w:val="000000"/>
                <w:sz w:val="4"/>
                <w:szCs w:val="4"/>
                <w:lang w:val="en-GB" w:eastAsia="en-GB"/>
              </w:rPr>
              <w:t> </w:t>
            </w:r>
          </w:p>
        </w:tc>
        <w:tc>
          <w:tcPr>
            <w:tcW w:w="1675" w:type="dxa"/>
            <w:tcBorders>
              <w:top w:val="nil"/>
              <w:left w:val="nil"/>
              <w:bottom w:val="nil"/>
              <w:right w:val="single" w:sz="4" w:space="0" w:color="auto"/>
            </w:tcBorders>
            <w:noWrap/>
            <w:vAlign w:val="center"/>
            <w:hideMark/>
          </w:tcPr>
          <w:p w14:paraId="5BB8946A" w14:textId="77777777" w:rsidR="004D40E6" w:rsidRPr="00D118EC" w:rsidRDefault="004D40E6">
            <w:pPr>
              <w:rPr>
                <w:rFonts w:eastAsia="Times New Roman" w:cs="Calibri"/>
                <w:color w:val="000000"/>
                <w:sz w:val="4"/>
                <w:szCs w:val="4"/>
                <w:lang w:val="en-GB" w:eastAsia="en-GB"/>
              </w:rPr>
            </w:pPr>
            <w:r w:rsidRPr="00D118EC">
              <w:rPr>
                <w:rFonts w:eastAsia="Times New Roman" w:cs="Calibri"/>
                <w:color w:val="000000"/>
                <w:sz w:val="4"/>
                <w:szCs w:val="4"/>
                <w:lang w:val="en-GB" w:eastAsia="en-GB"/>
              </w:rPr>
              <w:t> </w:t>
            </w:r>
          </w:p>
        </w:tc>
        <w:tc>
          <w:tcPr>
            <w:tcW w:w="1708" w:type="dxa"/>
            <w:tcBorders>
              <w:top w:val="nil"/>
              <w:left w:val="nil"/>
              <w:bottom w:val="nil"/>
              <w:right w:val="single" w:sz="4" w:space="0" w:color="auto"/>
            </w:tcBorders>
            <w:noWrap/>
            <w:vAlign w:val="center"/>
            <w:hideMark/>
          </w:tcPr>
          <w:p w14:paraId="53229CAB" w14:textId="77777777" w:rsidR="004D40E6" w:rsidRPr="00D118EC" w:rsidRDefault="004D40E6">
            <w:pPr>
              <w:rPr>
                <w:rFonts w:eastAsia="Times New Roman" w:cs="Calibri"/>
                <w:color w:val="000000"/>
                <w:sz w:val="4"/>
                <w:szCs w:val="4"/>
                <w:lang w:val="en-GB" w:eastAsia="en-GB"/>
              </w:rPr>
            </w:pPr>
            <w:r w:rsidRPr="00D118EC">
              <w:rPr>
                <w:rFonts w:eastAsia="Times New Roman" w:cs="Calibri"/>
                <w:color w:val="000000"/>
                <w:sz w:val="4"/>
                <w:szCs w:val="4"/>
                <w:lang w:val="en-GB" w:eastAsia="en-GB"/>
              </w:rPr>
              <w:t> </w:t>
            </w:r>
          </w:p>
        </w:tc>
        <w:tc>
          <w:tcPr>
            <w:tcW w:w="1129" w:type="dxa"/>
            <w:tcBorders>
              <w:top w:val="nil"/>
              <w:left w:val="nil"/>
              <w:bottom w:val="nil"/>
              <w:right w:val="single" w:sz="4" w:space="0" w:color="auto"/>
            </w:tcBorders>
          </w:tcPr>
          <w:p w14:paraId="49F499B7" w14:textId="77777777" w:rsidR="004D40E6" w:rsidRPr="00D118EC" w:rsidRDefault="004D40E6">
            <w:pPr>
              <w:rPr>
                <w:rFonts w:eastAsia="Times New Roman" w:cs="Calibri"/>
                <w:color w:val="000000"/>
                <w:sz w:val="4"/>
                <w:szCs w:val="4"/>
                <w:lang w:val="en-GB" w:eastAsia="en-GB"/>
              </w:rPr>
            </w:pPr>
          </w:p>
        </w:tc>
        <w:tc>
          <w:tcPr>
            <w:tcW w:w="1495" w:type="dxa"/>
            <w:tcBorders>
              <w:top w:val="nil"/>
              <w:left w:val="single" w:sz="4" w:space="0" w:color="auto"/>
              <w:bottom w:val="nil"/>
              <w:right w:val="single" w:sz="4" w:space="0" w:color="auto"/>
            </w:tcBorders>
            <w:noWrap/>
            <w:vAlign w:val="center"/>
            <w:hideMark/>
          </w:tcPr>
          <w:p w14:paraId="71E1371E" w14:textId="03E02B95" w:rsidR="004D40E6" w:rsidRPr="00D118EC" w:rsidRDefault="004D40E6">
            <w:pPr>
              <w:rPr>
                <w:rFonts w:eastAsia="Times New Roman" w:cs="Calibri"/>
                <w:color w:val="000000"/>
                <w:sz w:val="4"/>
                <w:szCs w:val="4"/>
                <w:lang w:val="en-GB" w:eastAsia="en-GB"/>
              </w:rPr>
            </w:pPr>
            <w:r w:rsidRPr="00D118EC">
              <w:rPr>
                <w:rFonts w:eastAsia="Times New Roman" w:cs="Calibri"/>
                <w:color w:val="000000"/>
                <w:sz w:val="4"/>
                <w:szCs w:val="4"/>
                <w:lang w:val="en-GB" w:eastAsia="en-GB"/>
              </w:rPr>
              <w:t> </w:t>
            </w:r>
          </w:p>
        </w:tc>
      </w:tr>
      <w:tr w:rsidR="004D40E6" w14:paraId="365783A9" w14:textId="77777777" w:rsidTr="0041394A">
        <w:trPr>
          <w:trHeight w:val="81"/>
        </w:trPr>
        <w:tc>
          <w:tcPr>
            <w:tcW w:w="3798" w:type="dxa"/>
            <w:tcBorders>
              <w:top w:val="single" w:sz="4" w:space="0" w:color="auto"/>
              <w:left w:val="single" w:sz="4" w:space="0" w:color="auto"/>
              <w:bottom w:val="single" w:sz="4" w:space="0" w:color="auto"/>
              <w:right w:val="nil"/>
            </w:tcBorders>
            <w:noWrap/>
            <w:vAlign w:val="center"/>
            <w:hideMark/>
          </w:tcPr>
          <w:p w14:paraId="3E28B20F" w14:textId="77777777" w:rsidR="004D40E6" w:rsidRPr="00D118EC" w:rsidRDefault="004D40E6">
            <w:pPr>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Total Usable Reserves</w:t>
            </w:r>
          </w:p>
        </w:tc>
        <w:tc>
          <w:tcPr>
            <w:tcW w:w="1455" w:type="dxa"/>
            <w:tcBorders>
              <w:top w:val="single" w:sz="4" w:space="0" w:color="auto"/>
              <w:left w:val="single" w:sz="4" w:space="0" w:color="auto"/>
              <w:bottom w:val="single" w:sz="4" w:space="0" w:color="auto"/>
              <w:right w:val="single" w:sz="4" w:space="0" w:color="auto"/>
            </w:tcBorders>
            <w:noWrap/>
            <w:vAlign w:val="center"/>
            <w:hideMark/>
          </w:tcPr>
          <w:p w14:paraId="3A43C7B6" w14:textId="77777777" w:rsidR="004D40E6" w:rsidRPr="00D118EC" w:rsidRDefault="004D40E6">
            <w:pPr>
              <w:jc w:val="right"/>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22.644</w:t>
            </w:r>
          </w:p>
        </w:tc>
        <w:tc>
          <w:tcPr>
            <w:tcW w:w="1455" w:type="dxa"/>
            <w:tcBorders>
              <w:top w:val="single" w:sz="4" w:space="0" w:color="auto"/>
              <w:left w:val="nil"/>
              <w:bottom w:val="single" w:sz="4" w:space="0" w:color="auto"/>
              <w:right w:val="single" w:sz="4" w:space="0" w:color="auto"/>
            </w:tcBorders>
            <w:noWrap/>
            <w:vAlign w:val="center"/>
            <w:hideMark/>
          </w:tcPr>
          <w:p w14:paraId="555157EC" w14:textId="081DA9E6" w:rsidR="004D40E6" w:rsidRPr="00D118EC" w:rsidRDefault="004D40E6" w:rsidP="00D118EC">
            <w:pPr>
              <w:jc w:val="right"/>
              <w:rPr>
                <w:rFonts w:eastAsia="Times New Roman" w:cs="Calibri"/>
                <w:b/>
                <w:bCs/>
                <w:color w:val="000000"/>
                <w:sz w:val="20"/>
                <w:szCs w:val="20"/>
                <w:lang w:val="en-GB" w:eastAsia="en-GB"/>
              </w:rPr>
            </w:pPr>
            <w:r>
              <w:rPr>
                <w:rFonts w:eastAsia="Times New Roman" w:cs="Calibri"/>
                <w:b/>
                <w:bCs/>
                <w:color w:val="FF0000"/>
                <w:sz w:val="20"/>
                <w:szCs w:val="20"/>
                <w:lang w:val="en-GB" w:eastAsia="en-GB"/>
              </w:rPr>
              <w:t>(1.754</w:t>
            </w:r>
            <w:r w:rsidRPr="00D118EC">
              <w:rPr>
                <w:rFonts w:eastAsia="Times New Roman" w:cs="Calibri"/>
                <w:b/>
                <w:bCs/>
                <w:color w:val="FF0000"/>
                <w:sz w:val="20"/>
                <w:szCs w:val="20"/>
                <w:lang w:val="en-GB" w:eastAsia="en-GB"/>
              </w:rPr>
              <w:t>)</w:t>
            </w:r>
          </w:p>
        </w:tc>
        <w:tc>
          <w:tcPr>
            <w:tcW w:w="1455" w:type="dxa"/>
            <w:tcBorders>
              <w:top w:val="single" w:sz="4" w:space="0" w:color="auto"/>
              <w:left w:val="nil"/>
              <w:bottom w:val="single" w:sz="4" w:space="0" w:color="auto"/>
              <w:right w:val="single" w:sz="4" w:space="0" w:color="auto"/>
            </w:tcBorders>
            <w:noWrap/>
            <w:vAlign w:val="center"/>
            <w:hideMark/>
          </w:tcPr>
          <w:p w14:paraId="2CA6EB87" w14:textId="4320A630" w:rsidR="004D40E6" w:rsidRPr="00D118EC" w:rsidRDefault="004D40E6">
            <w:pPr>
              <w:jc w:val="right"/>
              <w:rPr>
                <w:rFonts w:eastAsia="Times New Roman" w:cs="Calibri"/>
                <w:b/>
                <w:bCs/>
                <w:color w:val="000000"/>
                <w:sz w:val="20"/>
                <w:szCs w:val="20"/>
                <w:lang w:val="en-GB" w:eastAsia="en-GB"/>
              </w:rPr>
            </w:pPr>
            <w:r>
              <w:rPr>
                <w:rFonts w:eastAsia="Times New Roman" w:cs="Calibri"/>
                <w:b/>
                <w:bCs/>
                <w:color w:val="FF0000"/>
                <w:sz w:val="20"/>
                <w:szCs w:val="20"/>
                <w:lang w:val="en-GB" w:eastAsia="en-GB"/>
              </w:rPr>
              <w:t>(1.991</w:t>
            </w:r>
            <w:r w:rsidRPr="00D118EC">
              <w:rPr>
                <w:rFonts w:eastAsia="Times New Roman" w:cs="Calibri"/>
                <w:b/>
                <w:bCs/>
                <w:color w:val="FF0000"/>
                <w:sz w:val="20"/>
                <w:szCs w:val="20"/>
                <w:lang w:val="en-GB" w:eastAsia="en-GB"/>
              </w:rPr>
              <w:t>)</w:t>
            </w:r>
          </w:p>
        </w:tc>
        <w:tc>
          <w:tcPr>
            <w:tcW w:w="1675" w:type="dxa"/>
            <w:tcBorders>
              <w:top w:val="single" w:sz="4" w:space="0" w:color="auto"/>
              <w:left w:val="nil"/>
              <w:bottom w:val="single" w:sz="4" w:space="0" w:color="auto"/>
              <w:right w:val="single" w:sz="4" w:space="0" w:color="auto"/>
            </w:tcBorders>
            <w:noWrap/>
            <w:vAlign w:val="center"/>
            <w:hideMark/>
          </w:tcPr>
          <w:p w14:paraId="1AA65803" w14:textId="6CA232D5" w:rsidR="004D40E6" w:rsidRPr="00D118EC" w:rsidRDefault="004D40E6" w:rsidP="00D118EC">
            <w:pPr>
              <w:jc w:val="right"/>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1.</w:t>
            </w:r>
            <w:r>
              <w:rPr>
                <w:rFonts w:eastAsia="Times New Roman" w:cs="Calibri"/>
                <w:b/>
                <w:bCs/>
                <w:color w:val="000000"/>
                <w:sz w:val="20"/>
                <w:szCs w:val="20"/>
                <w:lang w:val="en-GB" w:eastAsia="en-GB"/>
              </w:rPr>
              <w:t>844</w:t>
            </w:r>
          </w:p>
        </w:tc>
        <w:tc>
          <w:tcPr>
            <w:tcW w:w="1708" w:type="dxa"/>
            <w:tcBorders>
              <w:top w:val="single" w:sz="4" w:space="0" w:color="auto"/>
              <w:left w:val="nil"/>
              <w:bottom w:val="single" w:sz="4" w:space="0" w:color="auto"/>
              <w:right w:val="single" w:sz="4" w:space="0" w:color="auto"/>
            </w:tcBorders>
            <w:noWrap/>
            <w:vAlign w:val="center"/>
            <w:hideMark/>
          </w:tcPr>
          <w:p w14:paraId="7A8B26E1" w14:textId="77777777" w:rsidR="004D40E6" w:rsidRPr="00D118EC" w:rsidRDefault="004D40E6">
            <w:pPr>
              <w:jc w:val="right"/>
              <w:rPr>
                <w:rFonts w:eastAsia="Times New Roman" w:cs="Calibri"/>
                <w:b/>
                <w:bCs/>
                <w:color w:val="000000"/>
                <w:sz w:val="20"/>
                <w:szCs w:val="20"/>
                <w:lang w:val="en-GB" w:eastAsia="en-GB"/>
              </w:rPr>
            </w:pPr>
            <w:r w:rsidRPr="00D118EC">
              <w:rPr>
                <w:rFonts w:eastAsia="Times New Roman" w:cs="Calibri"/>
                <w:b/>
                <w:bCs/>
                <w:color w:val="000000"/>
                <w:sz w:val="20"/>
                <w:szCs w:val="20"/>
                <w:lang w:val="en-GB" w:eastAsia="en-GB"/>
              </w:rPr>
              <w:t>0.751</w:t>
            </w:r>
          </w:p>
        </w:tc>
        <w:tc>
          <w:tcPr>
            <w:tcW w:w="1129" w:type="dxa"/>
            <w:tcBorders>
              <w:top w:val="single" w:sz="4" w:space="0" w:color="auto"/>
              <w:left w:val="nil"/>
              <w:bottom w:val="single" w:sz="4" w:space="0" w:color="auto"/>
              <w:right w:val="single" w:sz="4" w:space="0" w:color="auto"/>
            </w:tcBorders>
          </w:tcPr>
          <w:p w14:paraId="4341A661" w14:textId="121D1F29" w:rsidR="004D40E6" w:rsidRPr="0041394A" w:rsidRDefault="00A80F30" w:rsidP="00D118EC">
            <w:pPr>
              <w:jc w:val="right"/>
              <w:rPr>
                <w:rFonts w:eastAsia="Times New Roman" w:cs="Calibri"/>
                <w:b/>
                <w:bCs/>
                <w:color w:val="FF0000"/>
                <w:sz w:val="20"/>
                <w:szCs w:val="20"/>
                <w:lang w:val="en-GB" w:eastAsia="en-GB"/>
              </w:rPr>
            </w:pPr>
            <w:r w:rsidRPr="0041394A">
              <w:rPr>
                <w:rFonts w:eastAsia="Times New Roman" w:cs="Calibri"/>
                <w:b/>
                <w:bCs/>
                <w:sz w:val="20"/>
                <w:szCs w:val="20"/>
                <w:lang w:val="en-GB" w:eastAsia="en-GB"/>
              </w:rPr>
              <w:t>0.133</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475F83FE" w14:textId="3B9BD5C0" w:rsidR="004D40E6" w:rsidRPr="00D118EC" w:rsidRDefault="0023752E" w:rsidP="00D118EC">
            <w:pPr>
              <w:jc w:val="right"/>
              <w:rPr>
                <w:rFonts w:eastAsia="Times New Roman" w:cs="Calibri"/>
                <w:b/>
                <w:bCs/>
                <w:color w:val="000000"/>
                <w:sz w:val="20"/>
                <w:szCs w:val="20"/>
                <w:lang w:val="en-GB" w:eastAsia="en-GB"/>
              </w:rPr>
            </w:pPr>
            <w:r>
              <w:rPr>
                <w:rFonts w:eastAsia="Times New Roman" w:cs="Calibri"/>
                <w:b/>
                <w:bCs/>
                <w:color w:val="000000"/>
                <w:sz w:val="20"/>
                <w:szCs w:val="20"/>
                <w:lang w:val="en-GB" w:eastAsia="en-GB"/>
              </w:rPr>
              <w:t>21.627</w:t>
            </w:r>
          </w:p>
        </w:tc>
      </w:tr>
    </w:tbl>
    <w:p w14:paraId="5662C2CF" w14:textId="77777777" w:rsidR="00EF7B6D" w:rsidRDefault="00EF7B6D" w:rsidP="00EF7B6D"/>
    <w:p w14:paraId="25D865EE" w14:textId="79043EFC" w:rsidR="00EF7B6D" w:rsidRPr="00F9346B" w:rsidRDefault="00EF7B6D" w:rsidP="00EF7B6D">
      <w:pPr>
        <w:jc w:val="both"/>
      </w:pPr>
      <w:r w:rsidRPr="00F9346B">
        <w:t>The Capital Receipts Reserve of £0.2m was fully used during the year and a Capital Grants &amp; Contributions Unapplied Reserve of £1.7m was held at the year-end for accounting and capital financing purposes. Full details can be seen in Balance Sheet and the associated notes.</w:t>
      </w:r>
    </w:p>
    <w:p w14:paraId="79CB100F" w14:textId="77777777" w:rsidR="00EF7B6D" w:rsidRPr="00F9346B" w:rsidRDefault="00EF7B6D" w:rsidP="00EF7B6D">
      <w:pPr>
        <w:jc w:val="both"/>
      </w:pPr>
    </w:p>
    <w:p w14:paraId="7E33FCEA" w14:textId="67CE5CAF" w:rsidR="00EF7B6D" w:rsidRPr="00B8365F" w:rsidRDefault="00EF7B6D" w:rsidP="00EF7B6D">
      <w:pPr>
        <w:jc w:val="both"/>
      </w:pPr>
      <w:r w:rsidRPr="00B8365F">
        <w:t>The level of available revenue balances, earmarked reserves and general reserves held by the PCC has increased slightly during the year from £19.5m to £19.</w:t>
      </w:r>
      <w:r w:rsidR="0023752E" w:rsidRPr="0041394A">
        <w:t>8</w:t>
      </w:r>
      <w:r w:rsidRPr="00B8365F">
        <w:t>m. This represents around 7.</w:t>
      </w:r>
      <w:r w:rsidR="00B8365F" w:rsidRPr="0041394A">
        <w:t>9</w:t>
      </w:r>
      <w:r w:rsidRPr="00B8365F">
        <w:t>% of the Group’s 21/22 annual b</w:t>
      </w:r>
      <w:r w:rsidR="00F9346B" w:rsidRPr="00B8365F">
        <w:t>udget. General Reserves are £8.3</w:t>
      </w:r>
      <w:r w:rsidRPr="00B8365F">
        <w:t>m or just over 3.0% of the annual budget for 2021/22 – this puts Surrey towards the lower end of reserves nationally.</w:t>
      </w:r>
    </w:p>
    <w:p w14:paraId="2B7AABBF" w14:textId="77777777" w:rsidR="00EF7B6D" w:rsidRPr="0041394A" w:rsidRDefault="00EF7B6D" w:rsidP="00EF7B6D"/>
    <w:p w14:paraId="1C1B9947" w14:textId="77777777" w:rsidR="00EF7B6D" w:rsidRPr="0041394A" w:rsidRDefault="00EF7B6D" w:rsidP="00EF7B6D">
      <w:pPr>
        <w:pStyle w:val="Style1"/>
        <w:ind w:left="0" w:firstLine="0"/>
        <w:rPr>
          <w:rFonts w:ascii="Verdana" w:hAnsi="Verdana"/>
          <w:sz w:val="22"/>
          <w:szCs w:val="22"/>
        </w:rPr>
      </w:pPr>
    </w:p>
    <w:p w14:paraId="69D3F8EE" w14:textId="77777777" w:rsidR="00EF7B6D" w:rsidRDefault="00EF7B6D" w:rsidP="00EF7B6D">
      <w:pPr>
        <w:pStyle w:val="Style1"/>
        <w:numPr>
          <w:ilvl w:val="0"/>
          <w:numId w:val="21"/>
        </w:numPr>
        <w:ind w:left="360"/>
        <w:rPr>
          <w:rFonts w:ascii="Verdana" w:hAnsi="Verdana"/>
          <w:sz w:val="22"/>
          <w:szCs w:val="22"/>
        </w:rPr>
      </w:pPr>
      <w:r>
        <w:rPr>
          <w:rFonts w:ascii="Verdana" w:hAnsi="Verdana"/>
          <w:sz w:val="22"/>
          <w:szCs w:val="22"/>
        </w:rPr>
        <w:t>Uncertain Future Events</w:t>
      </w:r>
    </w:p>
    <w:p w14:paraId="0401AEE3" w14:textId="77777777" w:rsidR="00EF7B6D" w:rsidRDefault="00EF7B6D" w:rsidP="00EF7B6D">
      <w:pPr>
        <w:spacing w:after="160" w:line="254" w:lineRule="auto"/>
        <w:rPr>
          <w:highlight w:val="yellow"/>
          <w:u w:val="single"/>
        </w:rPr>
      </w:pPr>
    </w:p>
    <w:p w14:paraId="4F9EE792" w14:textId="77777777" w:rsidR="00EF7B6D" w:rsidRDefault="00EF7B6D" w:rsidP="00EF7B6D">
      <w:pPr>
        <w:spacing w:after="160" w:line="254" w:lineRule="auto"/>
        <w:rPr>
          <w:u w:val="single"/>
        </w:rPr>
      </w:pPr>
      <w:r>
        <w:rPr>
          <w:u w:val="single"/>
        </w:rPr>
        <w:t>Covid-19</w:t>
      </w:r>
    </w:p>
    <w:p w14:paraId="1E26B338" w14:textId="77777777" w:rsidR="00EF7B6D" w:rsidRDefault="00EF7B6D" w:rsidP="00EF7B6D">
      <w:pPr>
        <w:jc w:val="both"/>
      </w:pPr>
      <w:r>
        <w:t>The impact of the global pandemic has been felt around the world in both financial and practical terms. In 2020/21 the Force has worked hard to support its staff and the local community through the challenges that Covid 19 presented. This meant that in the early stages of the pandemic the Force worked hard to secure £5m worth of PPE for use by all forces and all non-essential staff were moved to home working. This meant that there was significant investment in IT kit, such as laptops, but also in capacity in the network to accommodate a large increase in remote users.</w:t>
      </w:r>
    </w:p>
    <w:p w14:paraId="4DB62364" w14:textId="77777777" w:rsidR="00EF7B6D" w:rsidRDefault="00EF7B6D" w:rsidP="00EF7B6D">
      <w:pPr>
        <w:jc w:val="both"/>
      </w:pPr>
    </w:p>
    <w:p w14:paraId="5F788812" w14:textId="77777777" w:rsidR="00EF7B6D" w:rsidRDefault="00EF7B6D" w:rsidP="00EF7B6D">
      <w:pPr>
        <w:jc w:val="both"/>
      </w:pPr>
      <w:r>
        <w:t>Front line officers continued to provide a service to the public, often at significant personal risk, and surveys from Surrey residents indicates that they felt that they were well supported by the Force and the approach adopted hit the right tone.</w:t>
      </w:r>
    </w:p>
    <w:p w14:paraId="2E090517" w14:textId="77777777" w:rsidR="00EF7B6D" w:rsidRDefault="00EF7B6D" w:rsidP="00EF7B6D">
      <w:pPr>
        <w:jc w:val="both"/>
      </w:pPr>
    </w:p>
    <w:p w14:paraId="2B150212" w14:textId="77777777" w:rsidR="00EF7B6D" w:rsidRDefault="00EF7B6D" w:rsidP="00EF7B6D">
      <w:pPr>
        <w:jc w:val="both"/>
      </w:pPr>
      <w:r>
        <w:t>The Force took the decision early on to provide everything staff needed to enable them to work safely with the expectation, but no guarantee, that the Government would provide some sort of assistance at a later date. As well as incurring these additional costs the Fore suffered a loss of income as events, such as the Derby, were cancelled. Later in the year the Government did agree to cover the cost of PPE and 75% of any income losses – however the costs of additional IT, overtime to cover staff sickness, additional cleaning etc. were not part of the package.</w:t>
      </w:r>
    </w:p>
    <w:p w14:paraId="5FFD47A6" w14:textId="77777777" w:rsidR="00EF7B6D" w:rsidRDefault="00EF7B6D" w:rsidP="00EF7B6D">
      <w:pPr>
        <w:jc w:val="both"/>
      </w:pPr>
    </w:p>
    <w:p w14:paraId="12B2A6B7" w14:textId="77777777" w:rsidR="00EF7B6D" w:rsidRDefault="00EF7B6D" w:rsidP="00EF7B6D">
      <w:r>
        <w:br w:type="page"/>
      </w:r>
    </w:p>
    <w:p w14:paraId="6AB2742C" w14:textId="77777777" w:rsidR="00EF7B6D" w:rsidRDefault="00EF7B6D" w:rsidP="00EF7B6D">
      <w:pPr>
        <w:jc w:val="both"/>
      </w:pPr>
      <w:r>
        <w:t>The table below shows that £2.4m net has been expended on Covid after reimbursement by the Government.</w:t>
      </w:r>
    </w:p>
    <w:p w14:paraId="5B1FB6F1" w14:textId="77777777" w:rsidR="00EF7B6D" w:rsidRDefault="00EF7B6D" w:rsidP="00EF7B6D">
      <w:pPr>
        <w:jc w:val="both"/>
      </w:pPr>
    </w:p>
    <w:tbl>
      <w:tblPr>
        <w:tblW w:w="5340" w:type="dxa"/>
        <w:jc w:val="center"/>
        <w:tblLook w:val="04A0" w:firstRow="1" w:lastRow="0" w:firstColumn="1" w:lastColumn="0" w:noHBand="0" w:noVBand="1"/>
      </w:tblPr>
      <w:tblGrid>
        <w:gridCol w:w="3860"/>
        <w:gridCol w:w="1480"/>
      </w:tblGrid>
      <w:tr w:rsidR="00EF7B6D" w14:paraId="5D837A58" w14:textId="77777777" w:rsidTr="00EF7B6D">
        <w:trPr>
          <w:trHeight w:val="315"/>
          <w:jc w:val="center"/>
        </w:trPr>
        <w:tc>
          <w:tcPr>
            <w:tcW w:w="3860" w:type="dxa"/>
            <w:tcBorders>
              <w:top w:val="single" w:sz="4" w:space="0" w:color="auto"/>
              <w:left w:val="single" w:sz="4" w:space="0" w:color="auto"/>
              <w:bottom w:val="nil"/>
              <w:right w:val="nil"/>
            </w:tcBorders>
            <w:noWrap/>
            <w:vAlign w:val="bottom"/>
            <w:hideMark/>
          </w:tcPr>
          <w:p w14:paraId="6ABA1829" w14:textId="77777777" w:rsidR="00EF7B6D" w:rsidRDefault="00EF7B6D">
            <w:pPr>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 </w:t>
            </w:r>
          </w:p>
        </w:tc>
        <w:tc>
          <w:tcPr>
            <w:tcW w:w="1480" w:type="dxa"/>
            <w:tcBorders>
              <w:top w:val="single" w:sz="4" w:space="0" w:color="auto"/>
              <w:left w:val="nil"/>
              <w:bottom w:val="nil"/>
              <w:right w:val="single" w:sz="4" w:space="0" w:color="auto"/>
            </w:tcBorders>
            <w:noWrap/>
            <w:vAlign w:val="center"/>
            <w:hideMark/>
          </w:tcPr>
          <w:p w14:paraId="003DCA38" w14:textId="77777777" w:rsidR="00EF7B6D" w:rsidRDefault="00EF7B6D">
            <w:pPr>
              <w:jc w:val="center"/>
              <w:rPr>
                <w:rFonts w:eastAsia="Times New Roman" w:cs="Calibri"/>
                <w:b/>
                <w:bCs/>
                <w:color w:val="000000"/>
                <w:lang w:val="en-GB" w:eastAsia="en-GB"/>
              </w:rPr>
            </w:pPr>
            <w:r>
              <w:rPr>
                <w:rFonts w:eastAsia="Times New Roman" w:cs="Calibri"/>
                <w:b/>
                <w:bCs/>
                <w:color w:val="000000"/>
                <w:lang w:eastAsia="en-GB"/>
              </w:rPr>
              <w:t>Surrey</w:t>
            </w:r>
          </w:p>
        </w:tc>
      </w:tr>
      <w:tr w:rsidR="00EF7B6D" w14:paraId="3A3EC54B" w14:textId="77777777" w:rsidTr="00EF7B6D">
        <w:trPr>
          <w:trHeight w:val="285"/>
          <w:jc w:val="center"/>
        </w:trPr>
        <w:tc>
          <w:tcPr>
            <w:tcW w:w="3860" w:type="dxa"/>
            <w:tcBorders>
              <w:top w:val="nil"/>
              <w:left w:val="single" w:sz="4" w:space="0" w:color="auto"/>
              <w:bottom w:val="single" w:sz="4" w:space="0" w:color="auto"/>
              <w:right w:val="nil"/>
            </w:tcBorders>
            <w:noWrap/>
            <w:vAlign w:val="center"/>
            <w:hideMark/>
          </w:tcPr>
          <w:p w14:paraId="17F95E0F" w14:textId="77777777" w:rsidR="00EF7B6D" w:rsidRDefault="00EF7B6D">
            <w:pPr>
              <w:rPr>
                <w:rFonts w:eastAsia="Times New Roman" w:cs="Calibri"/>
                <w:b/>
                <w:bCs/>
                <w:color w:val="000000"/>
                <w:lang w:val="en-GB" w:eastAsia="en-GB"/>
              </w:rPr>
            </w:pPr>
            <w:r>
              <w:rPr>
                <w:rFonts w:eastAsia="Times New Roman" w:cs="Calibri"/>
                <w:b/>
                <w:bCs/>
                <w:color w:val="000000"/>
                <w:lang w:eastAsia="en-GB"/>
              </w:rPr>
              <w:t>Expenditure</w:t>
            </w:r>
          </w:p>
        </w:tc>
        <w:tc>
          <w:tcPr>
            <w:tcW w:w="1480" w:type="dxa"/>
            <w:tcBorders>
              <w:top w:val="nil"/>
              <w:left w:val="nil"/>
              <w:bottom w:val="single" w:sz="4" w:space="0" w:color="auto"/>
              <w:right w:val="single" w:sz="4" w:space="0" w:color="auto"/>
            </w:tcBorders>
            <w:noWrap/>
            <w:vAlign w:val="center"/>
            <w:hideMark/>
          </w:tcPr>
          <w:p w14:paraId="549A3060" w14:textId="77777777" w:rsidR="00EF7B6D" w:rsidRDefault="00EF7B6D">
            <w:pPr>
              <w:jc w:val="center"/>
              <w:rPr>
                <w:rFonts w:eastAsia="Times New Roman" w:cs="Calibri"/>
                <w:b/>
                <w:bCs/>
                <w:color w:val="000000"/>
                <w:lang w:val="en-GB" w:eastAsia="en-GB"/>
              </w:rPr>
            </w:pPr>
            <w:r>
              <w:rPr>
                <w:rFonts w:eastAsia="Times New Roman" w:cs="Calibri"/>
                <w:b/>
                <w:bCs/>
                <w:color w:val="000000"/>
                <w:lang w:eastAsia="en-GB"/>
              </w:rPr>
              <w:t>£m</w:t>
            </w:r>
          </w:p>
        </w:tc>
      </w:tr>
      <w:tr w:rsidR="00EF7B6D" w14:paraId="18F155AF" w14:textId="77777777" w:rsidTr="00EF7B6D">
        <w:trPr>
          <w:trHeight w:val="285"/>
          <w:jc w:val="center"/>
        </w:trPr>
        <w:tc>
          <w:tcPr>
            <w:tcW w:w="3860" w:type="dxa"/>
            <w:tcBorders>
              <w:top w:val="nil"/>
              <w:left w:val="single" w:sz="4" w:space="0" w:color="auto"/>
              <w:bottom w:val="nil"/>
              <w:right w:val="nil"/>
            </w:tcBorders>
            <w:noWrap/>
            <w:vAlign w:val="center"/>
            <w:hideMark/>
          </w:tcPr>
          <w:p w14:paraId="15238FBD" w14:textId="77777777" w:rsidR="00EF7B6D" w:rsidRDefault="00EF7B6D">
            <w:pPr>
              <w:rPr>
                <w:rFonts w:eastAsia="Times New Roman" w:cs="Calibri"/>
                <w:color w:val="000000"/>
                <w:lang w:val="en-GB" w:eastAsia="en-GB"/>
              </w:rPr>
            </w:pPr>
            <w:r>
              <w:rPr>
                <w:rFonts w:eastAsia="Times New Roman" w:cs="Calibri"/>
                <w:color w:val="000000"/>
                <w:lang w:eastAsia="en-GB"/>
              </w:rPr>
              <w:t>National PPE</w:t>
            </w:r>
          </w:p>
        </w:tc>
        <w:tc>
          <w:tcPr>
            <w:tcW w:w="1480" w:type="dxa"/>
            <w:tcBorders>
              <w:top w:val="nil"/>
              <w:left w:val="nil"/>
              <w:bottom w:val="nil"/>
              <w:right w:val="single" w:sz="4" w:space="0" w:color="auto"/>
            </w:tcBorders>
            <w:noWrap/>
            <w:vAlign w:val="center"/>
            <w:hideMark/>
          </w:tcPr>
          <w:p w14:paraId="104DEFB3" w14:textId="77777777" w:rsidR="00EF7B6D" w:rsidRDefault="00EF7B6D">
            <w:pPr>
              <w:jc w:val="right"/>
              <w:rPr>
                <w:rFonts w:eastAsia="Times New Roman" w:cs="Calibri"/>
                <w:color w:val="000000"/>
                <w:lang w:val="en-GB" w:eastAsia="en-GB"/>
              </w:rPr>
            </w:pPr>
            <w:r>
              <w:rPr>
                <w:rFonts w:eastAsia="Times New Roman" w:cs="Calibri"/>
                <w:color w:val="000000"/>
                <w:lang w:eastAsia="en-GB"/>
              </w:rPr>
              <w:t>2.275</w:t>
            </w:r>
          </w:p>
        </w:tc>
      </w:tr>
      <w:tr w:rsidR="00EF7B6D" w14:paraId="09EFC8EF" w14:textId="77777777" w:rsidTr="00EF7B6D">
        <w:trPr>
          <w:trHeight w:val="285"/>
          <w:jc w:val="center"/>
        </w:trPr>
        <w:tc>
          <w:tcPr>
            <w:tcW w:w="3860" w:type="dxa"/>
            <w:tcBorders>
              <w:top w:val="nil"/>
              <w:left w:val="single" w:sz="4" w:space="0" w:color="auto"/>
              <w:bottom w:val="nil"/>
              <w:right w:val="nil"/>
            </w:tcBorders>
            <w:noWrap/>
            <w:vAlign w:val="center"/>
            <w:hideMark/>
          </w:tcPr>
          <w:p w14:paraId="7D70E221" w14:textId="77777777" w:rsidR="00EF7B6D" w:rsidRDefault="00EF7B6D">
            <w:pPr>
              <w:rPr>
                <w:rFonts w:eastAsia="Times New Roman" w:cs="Calibri"/>
                <w:color w:val="000000"/>
                <w:lang w:val="en-GB" w:eastAsia="en-GB"/>
              </w:rPr>
            </w:pPr>
            <w:r>
              <w:rPr>
                <w:rFonts w:eastAsia="Times New Roman" w:cs="Calibri"/>
                <w:color w:val="000000"/>
                <w:lang w:eastAsia="en-GB"/>
              </w:rPr>
              <w:t>Local PPE</w:t>
            </w:r>
          </w:p>
        </w:tc>
        <w:tc>
          <w:tcPr>
            <w:tcW w:w="1480" w:type="dxa"/>
            <w:tcBorders>
              <w:top w:val="nil"/>
              <w:left w:val="nil"/>
              <w:bottom w:val="nil"/>
              <w:right w:val="single" w:sz="4" w:space="0" w:color="auto"/>
            </w:tcBorders>
            <w:noWrap/>
            <w:vAlign w:val="center"/>
            <w:hideMark/>
          </w:tcPr>
          <w:p w14:paraId="6E9FF7BC" w14:textId="77777777" w:rsidR="00EF7B6D" w:rsidRDefault="00EF7B6D">
            <w:pPr>
              <w:jc w:val="right"/>
              <w:rPr>
                <w:rFonts w:eastAsia="Times New Roman" w:cs="Calibri"/>
                <w:color w:val="000000"/>
                <w:lang w:val="en-GB" w:eastAsia="en-GB"/>
              </w:rPr>
            </w:pPr>
            <w:r>
              <w:rPr>
                <w:rFonts w:eastAsia="Times New Roman" w:cs="Calibri"/>
                <w:color w:val="000000"/>
                <w:lang w:eastAsia="en-GB"/>
              </w:rPr>
              <w:t>0.049</w:t>
            </w:r>
          </w:p>
        </w:tc>
      </w:tr>
      <w:tr w:rsidR="00EF7B6D" w14:paraId="6FDF5842" w14:textId="77777777" w:rsidTr="00EF7B6D">
        <w:trPr>
          <w:trHeight w:val="285"/>
          <w:jc w:val="center"/>
        </w:trPr>
        <w:tc>
          <w:tcPr>
            <w:tcW w:w="3860" w:type="dxa"/>
            <w:tcBorders>
              <w:top w:val="nil"/>
              <w:left w:val="single" w:sz="4" w:space="0" w:color="auto"/>
              <w:bottom w:val="nil"/>
              <w:right w:val="nil"/>
            </w:tcBorders>
            <w:noWrap/>
            <w:vAlign w:val="center"/>
            <w:hideMark/>
          </w:tcPr>
          <w:p w14:paraId="4EFC2003" w14:textId="77777777" w:rsidR="00EF7B6D" w:rsidRDefault="00EF7B6D">
            <w:pPr>
              <w:rPr>
                <w:rFonts w:eastAsia="Times New Roman" w:cs="Calibri"/>
                <w:color w:val="000000"/>
                <w:lang w:val="en-GB" w:eastAsia="en-GB"/>
              </w:rPr>
            </w:pPr>
            <w:r>
              <w:rPr>
                <w:rFonts w:eastAsia="Times New Roman" w:cs="Calibri"/>
                <w:color w:val="000000"/>
                <w:lang w:eastAsia="en-GB"/>
              </w:rPr>
              <w:t>Other Local Costs</w:t>
            </w:r>
          </w:p>
        </w:tc>
        <w:tc>
          <w:tcPr>
            <w:tcW w:w="1480" w:type="dxa"/>
            <w:tcBorders>
              <w:top w:val="nil"/>
              <w:left w:val="nil"/>
              <w:bottom w:val="nil"/>
              <w:right w:val="single" w:sz="4" w:space="0" w:color="auto"/>
            </w:tcBorders>
            <w:noWrap/>
            <w:vAlign w:val="center"/>
            <w:hideMark/>
          </w:tcPr>
          <w:p w14:paraId="3964ECDB" w14:textId="77777777" w:rsidR="00EF7B6D" w:rsidRDefault="00EF7B6D">
            <w:pPr>
              <w:jc w:val="right"/>
              <w:rPr>
                <w:rFonts w:eastAsia="Times New Roman" w:cs="Calibri"/>
                <w:color w:val="000000"/>
                <w:lang w:val="en-GB" w:eastAsia="en-GB"/>
              </w:rPr>
            </w:pPr>
            <w:r>
              <w:rPr>
                <w:rFonts w:eastAsia="Times New Roman" w:cs="Calibri"/>
                <w:color w:val="000000"/>
                <w:lang w:eastAsia="en-GB"/>
              </w:rPr>
              <w:t>3.867</w:t>
            </w:r>
          </w:p>
        </w:tc>
      </w:tr>
      <w:tr w:rsidR="00EF7B6D" w14:paraId="752CA7A1" w14:textId="77777777" w:rsidTr="00EF7B6D">
        <w:trPr>
          <w:trHeight w:val="285"/>
          <w:jc w:val="center"/>
        </w:trPr>
        <w:tc>
          <w:tcPr>
            <w:tcW w:w="3860" w:type="dxa"/>
            <w:tcBorders>
              <w:top w:val="single" w:sz="4" w:space="0" w:color="auto"/>
              <w:left w:val="single" w:sz="4" w:space="0" w:color="auto"/>
              <w:bottom w:val="single" w:sz="4" w:space="0" w:color="auto"/>
              <w:right w:val="nil"/>
            </w:tcBorders>
            <w:shd w:val="clear" w:color="auto" w:fill="FFFFCC"/>
            <w:noWrap/>
            <w:vAlign w:val="center"/>
            <w:hideMark/>
          </w:tcPr>
          <w:p w14:paraId="6649DFD9" w14:textId="77777777" w:rsidR="00EF7B6D" w:rsidRDefault="00EF7B6D">
            <w:pPr>
              <w:rPr>
                <w:rFonts w:eastAsia="Times New Roman" w:cs="Calibri"/>
                <w:b/>
                <w:bCs/>
                <w:color w:val="000000"/>
                <w:lang w:val="en-GB" w:eastAsia="en-GB"/>
              </w:rPr>
            </w:pPr>
            <w:r>
              <w:rPr>
                <w:rFonts w:eastAsia="Times New Roman" w:cs="Calibri"/>
                <w:b/>
                <w:bCs/>
                <w:color w:val="000000"/>
                <w:lang w:eastAsia="en-GB"/>
              </w:rPr>
              <w:t>Total Costs</w:t>
            </w:r>
          </w:p>
        </w:tc>
        <w:tc>
          <w:tcPr>
            <w:tcW w:w="1480" w:type="dxa"/>
            <w:tcBorders>
              <w:top w:val="single" w:sz="4" w:space="0" w:color="auto"/>
              <w:left w:val="nil"/>
              <w:bottom w:val="single" w:sz="4" w:space="0" w:color="auto"/>
              <w:right w:val="single" w:sz="4" w:space="0" w:color="auto"/>
            </w:tcBorders>
            <w:shd w:val="clear" w:color="auto" w:fill="FFFFCC"/>
            <w:noWrap/>
            <w:vAlign w:val="center"/>
            <w:hideMark/>
          </w:tcPr>
          <w:p w14:paraId="3B1D7C0C" w14:textId="77777777" w:rsidR="00EF7B6D" w:rsidRDefault="00EF7B6D">
            <w:pPr>
              <w:jc w:val="right"/>
              <w:rPr>
                <w:rFonts w:eastAsia="Times New Roman" w:cs="Calibri"/>
                <w:b/>
                <w:bCs/>
                <w:color w:val="000000"/>
                <w:lang w:val="en-GB" w:eastAsia="en-GB"/>
              </w:rPr>
            </w:pPr>
            <w:r>
              <w:rPr>
                <w:rFonts w:eastAsia="Times New Roman" w:cs="Calibri"/>
                <w:b/>
                <w:bCs/>
                <w:color w:val="000000"/>
                <w:lang w:eastAsia="en-GB"/>
              </w:rPr>
              <w:t>6.191</w:t>
            </w:r>
          </w:p>
        </w:tc>
      </w:tr>
      <w:tr w:rsidR="00EF7B6D" w14:paraId="7E4841E0" w14:textId="77777777" w:rsidTr="00EF7B6D">
        <w:trPr>
          <w:trHeight w:val="285"/>
          <w:jc w:val="center"/>
        </w:trPr>
        <w:tc>
          <w:tcPr>
            <w:tcW w:w="3860" w:type="dxa"/>
            <w:tcBorders>
              <w:top w:val="nil"/>
              <w:left w:val="single" w:sz="4" w:space="0" w:color="auto"/>
              <w:bottom w:val="nil"/>
              <w:right w:val="nil"/>
            </w:tcBorders>
            <w:noWrap/>
            <w:vAlign w:val="center"/>
            <w:hideMark/>
          </w:tcPr>
          <w:p w14:paraId="4D27D26F" w14:textId="77777777" w:rsidR="00EF7B6D" w:rsidRDefault="00EF7B6D">
            <w:pPr>
              <w:rPr>
                <w:rFonts w:eastAsia="Times New Roman" w:cs="Calibri"/>
                <w:color w:val="000000"/>
                <w:lang w:val="en-GB" w:eastAsia="en-GB"/>
              </w:rPr>
            </w:pPr>
            <w:r>
              <w:rPr>
                <w:rFonts w:eastAsia="Times New Roman" w:cs="Calibri"/>
                <w:color w:val="000000"/>
                <w:lang w:eastAsia="en-GB"/>
              </w:rPr>
              <w:t>Related Income</w:t>
            </w:r>
          </w:p>
        </w:tc>
        <w:tc>
          <w:tcPr>
            <w:tcW w:w="1480" w:type="dxa"/>
            <w:tcBorders>
              <w:top w:val="nil"/>
              <w:left w:val="nil"/>
              <w:bottom w:val="nil"/>
              <w:right w:val="single" w:sz="4" w:space="0" w:color="auto"/>
            </w:tcBorders>
            <w:noWrap/>
            <w:vAlign w:val="center"/>
            <w:hideMark/>
          </w:tcPr>
          <w:p w14:paraId="0BC0CB69" w14:textId="77777777" w:rsidR="00EF7B6D" w:rsidRDefault="00EF7B6D">
            <w:pPr>
              <w:jc w:val="right"/>
              <w:rPr>
                <w:rFonts w:eastAsia="Times New Roman" w:cs="Calibri"/>
                <w:color w:val="000000"/>
                <w:lang w:val="en-GB" w:eastAsia="en-GB"/>
              </w:rPr>
            </w:pPr>
            <w:r>
              <w:rPr>
                <w:rFonts w:eastAsia="Times New Roman" w:cs="Calibri"/>
                <w:color w:val="FF0000"/>
                <w:lang w:eastAsia="en-GB"/>
              </w:rPr>
              <w:t>(4.229)</w:t>
            </w:r>
          </w:p>
        </w:tc>
      </w:tr>
      <w:tr w:rsidR="00EF7B6D" w14:paraId="62AEC0AF" w14:textId="77777777" w:rsidTr="00EF7B6D">
        <w:trPr>
          <w:trHeight w:val="285"/>
          <w:jc w:val="center"/>
        </w:trPr>
        <w:tc>
          <w:tcPr>
            <w:tcW w:w="3860" w:type="dxa"/>
            <w:tcBorders>
              <w:top w:val="single" w:sz="4" w:space="0" w:color="auto"/>
              <w:left w:val="single" w:sz="4" w:space="0" w:color="auto"/>
              <w:bottom w:val="single" w:sz="4" w:space="0" w:color="auto"/>
              <w:right w:val="nil"/>
            </w:tcBorders>
            <w:shd w:val="clear" w:color="auto" w:fill="FFFFCC"/>
            <w:noWrap/>
            <w:vAlign w:val="center"/>
            <w:hideMark/>
          </w:tcPr>
          <w:p w14:paraId="35141A33" w14:textId="77777777" w:rsidR="00EF7B6D" w:rsidRDefault="00EF7B6D">
            <w:pPr>
              <w:rPr>
                <w:rFonts w:eastAsia="Times New Roman" w:cs="Calibri"/>
                <w:b/>
                <w:bCs/>
                <w:color w:val="000000"/>
                <w:lang w:val="en-GB" w:eastAsia="en-GB"/>
              </w:rPr>
            </w:pPr>
            <w:r>
              <w:rPr>
                <w:rFonts w:eastAsia="Times New Roman" w:cs="Calibri"/>
                <w:b/>
                <w:bCs/>
                <w:color w:val="000000"/>
                <w:lang w:eastAsia="en-GB"/>
              </w:rPr>
              <w:t>Net Cost</w:t>
            </w:r>
          </w:p>
        </w:tc>
        <w:tc>
          <w:tcPr>
            <w:tcW w:w="1480" w:type="dxa"/>
            <w:tcBorders>
              <w:top w:val="single" w:sz="4" w:space="0" w:color="auto"/>
              <w:left w:val="nil"/>
              <w:bottom w:val="single" w:sz="4" w:space="0" w:color="auto"/>
              <w:right w:val="single" w:sz="4" w:space="0" w:color="auto"/>
            </w:tcBorders>
            <w:shd w:val="clear" w:color="auto" w:fill="FFFFCC"/>
            <w:noWrap/>
            <w:vAlign w:val="center"/>
            <w:hideMark/>
          </w:tcPr>
          <w:p w14:paraId="5F3DD8B0" w14:textId="77777777" w:rsidR="00EF7B6D" w:rsidRDefault="00EF7B6D">
            <w:pPr>
              <w:jc w:val="right"/>
              <w:rPr>
                <w:rFonts w:eastAsia="Times New Roman" w:cs="Calibri"/>
                <w:b/>
                <w:bCs/>
                <w:color w:val="000000"/>
                <w:lang w:val="en-GB" w:eastAsia="en-GB"/>
              </w:rPr>
            </w:pPr>
            <w:r>
              <w:rPr>
                <w:rFonts w:eastAsia="Times New Roman" w:cs="Calibri"/>
                <w:b/>
                <w:bCs/>
                <w:color w:val="000000"/>
                <w:lang w:eastAsia="en-GB"/>
              </w:rPr>
              <w:t>1.962</w:t>
            </w:r>
          </w:p>
        </w:tc>
      </w:tr>
      <w:tr w:rsidR="00EF7B6D" w14:paraId="29D184D7" w14:textId="77777777" w:rsidTr="00EF7B6D">
        <w:trPr>
          <w:trHeight w:val="70"/>
          <w:jc w:val="center"/>
        </w:trPr>
        <w:tc>
          <w:tcPr>
            <w:tcW w:w="3860" w:type="dxa"/>
            <w:tcBorders>
              <w:top w:val="nil"/>
              <w:left w:val="single" w:sz="4" w:space="0" w:color="auto"/>
              <w:bottom w:val="nil"/>
              <w:right w:val="nil"/>
            </w:tcBorders>
            <w:noWrap/>
            <w:vAlign w:val="bottom"/>
            <w:hideMark/>
          </w:tcPr>
          <w:p w14:paraId="6522F73A" w14:textId="77777777" w:rsidR="00EF7B6D" w:rsidRDefault="00EF7B6D">
            <w:pPr>
              <w:rPr>
                <w:rFonts w:ascii="Calibri" w:eastAsia="Times New Roman" w:hAnsi="Calibri" w:cs="Calibri"/>
                <w:color w:val="000000"/>
                <w:sz w:val="4"/>
                <w:szCs w:val="4"/>
                <w:lang w:val="en-GB" w:eastAsia="en-GB"/>
              </w:rPr>
            </w:pPr>
            <w:r>
              <w:rPr>
                <w:rFonts w:ascii="Calibri" w:eastAsia="Times New Roman" w:hAnsi="Calibri" w:cs="Calibri"/>
                <w:color w:val="000000"/>
                <w:sz w:val="4"/>
                <w:szCs w:val="4"/>
                <w:lang w:val="en-GB" w:eastAsia="en-GB"/>
              </w:rPr>
              <w:t> </w:t>
            </w:r>
          </w:p>
        </w:tc>
        <w:tc>
          <w:tcPr>
            <w:tcW w:w="1480" w:type="dxa"/>
            <w:tcBorders>
              <w:top w:val="nil"/>
              <w:left w:val="nil"/>
              <w:bottom w:val="nil"/>
              <w:right w:val="single" w:sz="4" w:space="0" w:color="auto"/>
            </w:tcBorders>
            <w:noWrap/>
            <w:vAlign w:val="bottom"/>
            <w:hideMark/>
          </w:tcPr>
          <w:p w14:paraId="09735D5E" w14:textId="77777777" w:rsidR="00EF7B6D" w:rsidRDefault="00EF7B6D">
            <w:pPr>
              <w:rPr>
                <w:rFonts w:ascii="Calibri" w:eastAsia="Times New Roman" w:hAnsi="Calibri" w:cs="Calibri"/>
                <w:color w:val="000000"/>
                <w:sz w:val="4"/>
                <w:szCs w:val="4"/>
                <w:lang w:val="en-GB" w:eastAsia="en-GB"/>
              </w:rPr>
            </w:pPr>
            <w:r>
              <w:rPr>
                <w:rFonts w:ascii="Calibri" w:eastAsia="Times New Roman" w:hAnsi="Calibri" w:cs="Calibri"/>
                <w:color w:val="000000"/>
                <w:sz w:val="4"/>
                <w:szCs w:val="4"/>
                <w:lang w:val="en-GB" w:eastAsia="en-GB"/>
              </w:rPr>
              <w:t> </w:t>
            </w:r>
          </w:p>
        </w:tc>
      </w:tr>
      <w:tr w:rsidR="00EF7B6D" w14:paraId="5CD8736A" w14:textId="77777777" w:rsidTr="00EF7B6D">
        <w:trPr>
          <w:trHeight w:val="285"/>
          <w:jc w:val="center"/>
        </w:trPr>
        <w:tc>
          <w:tcPr>
            <w:tcW w:w="3860" w:type="dxa"/>
            <w:tcBorders>
              <w:top w:val="single" w:sz="4" w:space="0" w:color="auto"/>
              <w:left w:val="single" w:sz="4" w:space="0" w:color="auto"/>
              <w:bottom w:val="single" w:sz="4" w:space="0" w:color="auto"/>
              <w:right w:val="nil"/>
            </w:tcBorders>
            <w:noWrap/>
            <w:vAlign w:val="center"/>
            <w:hideMark/>
          </w:tcPr>
          <w:p w14:paraId="65E1ED97" w14:textId="77777777" w:rsidR="00EF7B6D" w:rsidRDefault="00EF7B6D">
            <w:pPr>
              <w:rPr>
                <w:rFonts w:eastAsia="Times New Roman" w:cs="Calibri"/>
                <w:color w:val="000000"/>
                <w:lang w:val="en-GB" w:eastAsia="en-GB"/>
              </w:rPr>
            </w:pPr>
            <w:r>
              <w:rPr>
                <w:rFonts w:eastAsia="Times New Roman" w:cs="Calibri"/>
                <w:color w:val="000000"/>
                <w:lang w:eastAsia="en-GB"/>
              </w:rPr>
              <w:t>Total PPE</w:t>
            </w:r>
          </w:p>
        </w:tc>
        <w:tc>
          <w:tcPr>
            <w:tcW w:w="1480" w:type="dxa"/>
            <w:tcBorders>
              <w:top w:val="single" w:sz="4" w:space="0" w:color="auto"/>
              <w:left w:val="nil"/>
              <w:bottom w:val="single" w:sz="4" w:space="0" w:color="auto"/>
              <w:right w:val="single" w:sz="4" w:space="0" w:color="auto"/>
            </w:tcBorders>
            <w:noWrap/>
            <w:vAlign w:val="center"/>
            <w:hideMark/>
          </w:tcPr>
          <w:p w14:paraId="2764B09E" w14:textId="77777777" w:rsidR="00EF7B6D" w:rsidRDefault="00EF7B6D">
            <w:pPr>
              <w:jc w:val="right"/>
              <w:rPr>
                <w:rFonts w:eastAsia="Times New Roman" w:cs="Calibri"/>
                <w:color w:val="000000"/>
                <w:lang w:val="en-GB" w:eastAsia="en-GB"/>
              </w:rPr>
            </w:pPr>
            <w:r>
              <w:rPr>
                <w:rFonts w:eastAsia="Times New Roman" w:cs="Calibri"/>
                <w:color w:val="000000"/>
                <w:lang w:eastAsia="en-GB"/>
              </w:rPr>
              <w:t>2.764</w:t>
            </w:r>
          </w:p>
        </w:tc>
      </w:tr>
    </w:tbl>
    <w:p w14:paraId="76D0976D" w14:textId="77777777" w:rsidR="00EF7B6D" w:rsidRDefault="00EF7B6D" w:rsidP="00EF7B6D">
      <w:pPr>
        <w:jc w:val="both"/>
      </w:pPr>
    </w:p>
    <w:p w14:paraId="3B4E1C58" w14:textId="77777777" w:rsidR="00EF7B6D" w:rsidRDefault="00EF7B6D" w:rsidP="00EF7B6D">
      <w:pPr>
        <w:jc w:val="both"/>
      </w:pPr>
      <w:r>
        <w:t>At the moment it is not clear whether the pandemic is in its last throes or not. The requirement for PPE and additional cleaning remains and will continue to be a cost pressure, albeit reducing, for the Force. Similarly some events, such as the Derby, are likely to take place but in what form and hence what policing requirement they will need, is still being worked out.</w:t>
      </w:r>
    </w:p>
    <w:p w14:paraId="3EA23D9A" w14:textId="77777777" w:rsidR="00EF7B6D" w:rsidRDefault="00EF7B6D" w:rsidP="00EF7B6D">
      <w:pPr>
        <w:jc w:val="both"/>
      </w:pPr>
    </w:p>
    <w:p w14:paraId="71220A6B" w14:textId="72C6A613" w:rsidR="00EF7B6D" w:rsidRDefault="00EF7B6D" w:rsidP="00EF7B6D">
      <w:pPr>
        <w:jc w:val="both"/>
      </w:pPr>
      <w:r>
        <w:t>A more longer term issue is around the impact on the wider economy, especially in terms of Council Tax, where tax collection rates have fallen due to unemployment rising and there has been a reduction in house building. Whether this is just a temporary impact or is more long</w:t>
      </w:r>
      <w:r w:rsidR="00017F07">
        <w:t>-</w:t>
      </w:r>
      <w:r>
        <w:t>lasting will depend on how quickly it takes for the economy to recover. An increase in deprivation and unemployment in Surrey, especially in areas connected with airports, may also have operational implications. On top of this the increased Government borrowing requirement may lead to a squeeze on future public spending and hence funding for the Police</w:t>
      </w:r>
    </w:p>
    <w:p w14:paraId="41F6A408" w14:textId="77777777" w:rsidR="00EF7B6D" w:rsidRDefault="00EF7B6D" w:rsidP="00EF7B6D">
      <w:pPr>
        <w:jc w:val="both"/>
      </w:pPr>
    </w:p>
    <w:p w14:paraId="2DFF95CF" w14:textId="77777777" w:rsidR="00EF7B6D" w:rsidRDefault="00EF7B6D" w:rsidP="00EF7B6D">
      <w:pPr>
        <w:jc w:val="both"/>
      </w:pPr>
      <w:r>
        <w:t>As far as has been possible to predict these impacts have been taken account of the Medium Term Financial Strategy which as a result indicates that significant savings will be required over the next 3 years. However given the way things have changed in the last year how things will be in 3 years’ time is really anybody’s guess and so will be kept under regular review.</w:t>
      </w:r>
    </w:p>
    <w:p w14:paraId="4122E3F1" w14:textId="77777777" w:rsidR="00EF7B6D" w:rsidRDefault="00EF7B6D" w:rsidP="00EF7B6D">
      <w:pPr>
        <w:jc w:val="both"/>
        <w:rPr>
          <w:highlight w:val="yellow"/>
        </w:rPr>
      </w:pPr>
    </w:p>
    <w:p w14:paraId="728F61CD" w14:textId="77777777" w:rsidR="00EF7B6D" w:rsidRPr="006673FE" w:rsidRDefault="00EF7B6D" w:rsidP="00EF7B6D">
      <w:pPr>
        <w:jc w:val="both"/>
      </w:pPr>
      <w:r w:rsidRPr="006673FE">
        <w:t>Going Concern</w:t>
      </w:r>
    </w:p>
    <w:p w14:paraId="01A7D9BB" w14:textId="77777777" w:rsidR="00EF7B6D" w:rsidRDefault="00EF7B6D" w:rsidP="00EF7B6D">
      <w:pPr>
        <w:jc w:val="both"/>
      </w:pPr>
    </w:p>
    <w:p w14:paraId="1F588FE9" w14:textId="77777777" w:rsidR="00EF7B6D" w:rsidRDefault="00EF7B6D" w:rsidP="00EF7B6D">
      <w:pPr>
        <w:jc w:val="both"/>
      </w:pPr>
      <w:r>
        <w:t>Both the Police and Crime Commissioner and the Constabulary are established by statute and as such can only be dissolved through an Act of Parliament. The PCC has in theory unlimited tax raising powers by way of a precept (although this may be subject to a local referendum depending on the trigger set by Government) and this funding is what ultimately funds more than half the costs of the Force.</w:t>
      </w:r>
    </w:p>
    <w:p w14:paraId="2395A13C" w14:textId="77777777" w:rsidR="00EF7B6D" w:rsidRDefault="00EF7B6D" w:rsidP="00EF7B6D">
      <w:pPr>
        <w:jc w:val="both"/>
      </w:pPr>
    </w:p>
    <w:p w14:paraId="3E5733A1" w14:textId="77777777" w:rsidR="00EF7B6D" w:rsidRDefault="00EF7B6D" w:rsidP="00EF7B6D">
      <w:pPr>
        <w:jc w:val="both"/>
      </w:pPr>
      <w:r>
        <w:t xml:space="preserve">Whilst the level of future Government funding is not known history shows that funding changes, particularly reductions, are phased in rather than being presented a cliff edge. This gives time for organisations to take steps to reduce their expenditure, even if it is at the expense of services, in order to fit within the funding envelope presented. Unlike a number of public sector bodies, such as local authorities, the Force and PCC do not have a great deal of exposure to the Commercial market and are reliant on Government grant and Council Tax for virtually all of their funding – both of which are reasonably stable funding streams. The Force is also able to call upon additional funding from the Home Office to cope with significant unbudgeted operation costs due to a local emergency – this has been evidence recently with the additional funding given to cope with the additional costs of the Covid pandemic. It is also a reasonable expectation that given the public security role of the Police the Government would support any Force experiencing financial difficulties – although this has not been put to the test as yet. Hence overall the risk of the PCC or the Force becoming insolvent and therefore being unable to provide services is remote. </w:t>
      </w:r>
    </w:p>
    <w:p w14:paraId="32648BDB" w14:textId="77777777" w:rsidR="00EF7B6D" w:rsidRDefault="00EF7B6D" w:rsidP="00EF7B6D">
      <w:pPr>
        <w:jc w:val="both"/>
      </w:pPr>
    </w:p>
    <w:p w14:paraId="565622FB" w14:textId="77777777" w:rsidR="00EF7B6D" w:rsidRDefault="00EF7B6D" w:rsidP="00EF7B6D">
      <w:pPr>
        <w:jc w:val="both"/>
      </w:pPr>
      <w:r>
        <w:t xml:space="preserve">The Medium Term Financial Strategy which covers the next 3 years, based on a number of assumptions in respect of funding and service costs, indicates that potentially £17m of savings will be required over this period. Steps are being taken to identify these through efficiencies and collaboration rather than service cuts – however this would be possible as a last resort however unpalatable that may be. In addition the Force also hold reserves to enable delays in the delivery of savings to be covered should the need arise. </w:t>
      </w:r>
    </w:p>
    <w:p w14:paraId="4188C988" w14:textId="77777777" w:rsidR="00EF7B6D" w:rsidRDefault="00EF7B6D" w:rsidP="00EF7B6D">
      <w:pPr>
        <w:jc w:val="both"/>
      </w:pPr>
    </w:p>
    <w:p w14:paraId="37A831C9" w14:textId="77777777" w:rsidR="00EF7B6D" w:rsidRDefault="00EF7B6D" w:rsidP="00EF7B6D">
      <w:pPr>
        <w:jc w:val="both"/>
      </w:pPr>
      <w:r>
        <w:t xml:space="preserve">Hence taking all these factors in to account and in line with the recently published SGN01 (Going Concern – Auditors’ responsibilities for local public bodies) there is no reason to assume that both the Surrey Police and Crime Commissioner and Surrey Constabulary will not continue to operate for the foreseeable future and that therefore the accounts can be presented on a going concern basis. </w:t>
      </w:r>
    </w:p>
    <w:p w14:paraId="4A8ABB85" w14:textId="77777777" w:rsidR="00EF7B6D" w:rsidRDefault="00EF7B6D" w:rsidP="00EF7B6D">
      <w:pPr>
        <w:jc w:val="both"/>
        <w:rPr>
          <w:highlight w:val="yellow"/>
        </w:rPr>
      </w:pPr>
    </w:p>
    <w:p w14:paraId="4748AC71" w14:textId="77777777" w:rsidR="00EF7B6D" w:rsidRDefault="00EF7B6D" w:rsidP="00EF7B6D">
      <w:pPr>
        <w:jc w:val="both"/>
        <w:rPr>
          <w:highlight w:val="yellow"/>
        </w:rPr>
      </w:pPr>
    </w:p>
    <w:p w14:paraId="4A0C3DB2" w14:textId="77777777" w:rsidR="00EF7B6D" w:rsidRDefault="00EF7B6D" w:rsidP="00EF7B6D">
      <w:pPr>
        <w:pStyle w:val="Style1"/>
        <w:numPr>
          <w:ilvl w:val="0"/>
          <w:numId w:val="21"/>
        </w:numPr>
        <w:ind w:left="360"/>
        <w:rPr>
          <w:rFonts w:ascii="Verdana" w:hAnsi="Verdana"/>
          <w:sz w:val="22"/>
          <w:szCs w:val="22"/>
        </w:rPr>
      </w:pPr>
      <w:r>
        <w:rPr>
          <w:rFonts w:ascii="Verdana" w:hAnsi="Verdana"/>
          <w:sz w:val="22"/>
          <w:szCs w:val="22"/>
        </w:rPr>
        <w:t>Non-Financial Performance against priorities</w:t>
      </w:r>
    </w:p>
    <w:p w14:paraId="52A7BCEA" w14:textId="77777777" w:rsidR="00EF7B6D" w:rsidRDefault="00EF7B6D" w:rsidP="00EF7B6D">
      <w:pPr>
        <w:jc w:val="both"/>
      </w:pPr>
    </w:p>
    <w:p w14:paraId="08074264" w14:textId="77777777" w:rsidR="00EF7B6D" w:rsidRDefault="00EF7B6D" w:rsidP="00EF7B6D">
      <w:pPr>
        <w:spacing w:before="100" w:beforeAutospacing="1" w:after="100" w:afterAutospacing="1"/>
        <w:jc w:val="both"/>
      </w:pPr>
      <w:r>
        <w:t xml:space="preserve">The vision for Surrey Police is to make Surrey the safest it can be in which to live and work, and a welcoming place to visit. Surrey Police has a track record of successful crime reduction and problem solving activity. Building on this experience and know-how, there is an aspiration to make Surrey even safer. </w:t>
      </w:r>
    </w:p>
    <w:p w14:paraId="198AA097" w14:textId="77777777" w:rsidR="00EF7B6D" w:rsidRDefault="00EF7B6D" w:rsidP="00EF7B6D">
      <w:pPr>
        <w:spacing w:before="100" w:beforeAutospacing="1" w:after="100" w:afterAutospacing="1"/>
        <w:jc w:val="both"/>
        <w:rPr>
          <w:highlight w:val="yellow"/>
        </w:rPr>
      </w:pPr>
      <w:r>
        <w:t>Policing has become more complex; crime is changing and new demands are made of Surrey Police, this requires new ways of working along with new ways of leading. Surrey Police continues to work more closely with other forces, other agencies and with its communities to find new ways of managing demand and improving efficiency.</w:t>
      </w:r>
      <w:r>
        <w:rPr>
          <w:highlight w:val="yellow"/>
        </w:rPr>
        <w:t xml:space="preserve"> </w:t>
      </w:r>
    </w:p>
    <w:p w14:paraId="763F8569" w14:textId="77777777" w:rsidR="00EF7B6D" w:rsidRDefault="00EF7B6D" w:rsidP="00EF7B6D">
      <w:pPr>
        <w:jc w:val="both"/>
      </w:pPr>
      <w:r>
        <w:t xml:space="preserve">In May 2020 due to the postponement of the PCC elections the PCC asked the Force to concentrate on 3 key priorities which reflected the needs of the public. This was against a backdrop of all the challenges of Covid 19. The priorities were as follows: </w:t>
      </w:r>
    </w:p>
    <w:p w14:paraId="7DEE1510" w14:textId="77777777" w:rsidR="00EF7B6D" w:rsidRDefault="00EF7B6D" w:rsidP="00EF7B6D">
      <w:pPr>
        <w:jc w:val="both"/>
        <w:rPr>
          <w:highlight w:val="yellow"/>
        </w:rPr>
      </w:pPr>
    </w:p>
    <w:p w14:paraId="31AAF3D6" w14:textId="77777777" w:rsidR="00EF7B6D" w:rsidRDefault="00EF7B6D" w:rsidP="00EF7B6D">
      <w:pPr>
        <w:widowControl w:val="0"/>
        <w:numPr>
          <w:ilvl w:val="0"/>
          <w:numId w:val="26"/>
        </w:numPr>
        <w:spacing w:before="100" w:after="100"/>
        <w:ind w:right="146"/>
        <w:jc w:val="both"/>
      </w:pPr>
      <w:r>
        <w:rPr>
          <w:b/>
        </w:rPr>
        <w:t>More Police Officers and Frontline Staff</w:t>
      </w:r>
      <w:r>
        <w:t xml:space="preserve"> – to have a continued focus on recruitment following increased Council Tax and Government Grant and to ensure there are more officers on the streets and in communities both rural and urban </w:t>
      </w:r>
    </w:p>
    <w:p w14:paraId="06591750" w14:textId="77777777" w:rsidR="00EF7B6D" w:rsidRDefault="00EF7B6D" w:rsidP="00EF7B6D">
      <w:pPr>
        <w:widowControl w:val="0"/>
        <w:numPr>
          <w:ilvl w:val="0"/>
          <w:numId w:val="26"/>
        </w:numPr>
        <w:spacing w:before="100" w:after="100"/>
        <w:ind w:right="146"/>
        <w:jc w:val="both"/>
      </w:pPr>
      <w:r>
        <w:rPr>
          <w:b/>
        </w:rPr>
        <w:t>Better Crime Prevention</w:t>
      </w:r>
      <w:r>
        <w:t xml:space="preserve"> – through providing dedicated neighbourhood officers to prevent local crime and through preventing fraud and cyber-crime</w:t>
      </w:r>
    </w:p>
    <w:p w14:paraId="22DFFEE1" w14:textId="77777777" w:rsidR="00EF7B6D" w:rsidRDefault="00EF7B6D" w:rsidP="00EF7B6D">
      <w:pPr>
        <w:widowControl w:val="0"/>
        <w:numPr>
          <w:ilvl w:val="0"/>
          <w:numId w:val="26"/>
        </w:numPr>
        <w:spacing w:before="100" w:after="100"/>
        <w:ind w:right="146"/>
        <w:jc w:val="both"/>
      </w:pPr>
      <w:r>
        <w:rPr>
          <w:b/>
        </w:rPr>
        <w:t>More crimes solved</w:t>
      </w:r>
      <w:r>
        <w:t xml:space="preserve"> – to improve the rate as currently too many criminals aren’t being caught and held to account </w:t>
      </w:r>
    </w:p>
    <w:p w14:paraId="0641B4AA" w14:textId="77777777" w:rsidR="00EF7B6D" w:rsidRDefault="00EF7B6D" w:rsidP="00EF7B6D">
      <w:pPr>
        <w:jc w:val="both"/>
        <w:rPr>
          <w:highlight w:val="yellow"/>
        </w:rPr>
      </w:pPr>
    </w:p>
    <w:p w14:paraId="21BC96B5" w14:textId="77777777" w:rsidR="00EF7B6D" w:rsidRDefault="00EF7B6D" w:rsidP="00EF7B6D">
      <w:pPr>
        <w:pStyle w:val="Style1"/>
        <w:ind w:left="0" w:firstLine="0"/>
        <w:rPr>
          <w:rFonts w:ascii="Verdana" w:hAnsi="Verdana"/>
          <w:sz w:val="22"/>
          <w:szCs w:val="22"/>
          <w:u w:val="single"/>
        </w:rPr>
      </w:pPr>
      <w:r>
        <w:rPr>
          <w:rFonts w:ascii="Verdana" w:hAnsi="Verdana"/>
          <w:sz w:val="22"/>
          <w:szCs w:val="22"/>
          <w:u w:val="single"/>
        </w:rPr>
        <w:t xml:space="preserve">More Police Officers and Frontline Staff </w:t>
      </w:r>
    </w:p>
    <w:p w14:paraId="5AEE5307" w14:textId="77777777" w:rsidR="00EF7B6D" w:rsidRDefault="00EF7B6D" w:rsidP="00EF7B6D">
      <w:pPr>
        <w:widowControl w:val="0"/>
        <w:spacing w:before="100" w:after="100"/>
        <w:ind w:right="146"/>
        <w:jc w:val="both"/>
      </w:pPr>
      <w:r>
        <w:t xml:space="preserve">Despite the current pandemic, recruitment of police officers has continued at pace with 242 new officers having joined the Force during 2020/21 across all entry routes including Degree Holder Entry Programme (DHEP), Police Now and Police Now Detectives. In addition, the Force has also recruited a total of 54 PCSOs. The Force met and maintained its establishment numbers in January 2021 which means that there will be more officers on the frontline dealing with calls for service, undertaking proactive work and dealing with problems in their communities. </w:t>
      </w:r>
    </w:p>
    <w:p w14:paraId="03F41301" w14:textId="77777777" w:rsidR="00EF7B6D" w:rsidRDefault="00EF7B6D" w:rsidP="00EF7B6D">
      <w:pPr>
        <w:widowControl w:val="0"/>
        <w:spacing w:before="100" w:after="100"/>
        <w:ind w:right="146"/>
        <w:jc w:val="both"/>
      </w:pPr>
      <w:r>
        <w:t xml:space="preserve">In respect of Safer Neighbourhood Teams (SNT) this too has seen significant investment through 2019/20 and 2020/21 precept uplifts. The Force has increased its Neighbourhood Specialist Officer (NSO) posts from 22 to 52 and has doubled the number of Youth Engagement Officers (YEO) across the Force from 11 to 22 posts. 40 of the 52 NSO posts and 20 of the 22 YEO posts have been filled.  This means that the Force now has more officers than ever working in their communities on prevention and problem solving activity along with increased engagement with the county’s young people, providing early intervention where it is needed.  </w:t>
      </w:r>
    </w:p>
    <w:p w14:paraId="4589D093" w14:textId="77777777" w:rsidR="00EF7B6D" w:rsidRDefault="00EF7B6D" w:rsidP="00EF7B6D">
      <w:pPr>
        <w:pStyle w:val="Style1"/>
        <w:ind w:left="0" w:firstLine="0"/>
        <w:rPr>
          <w:rFonts w:ascii="Verdana" w:hAnsi="Verdana"/>
          <w:sz w:val="22"/>
          <w:szCs w:val="22"/>
          <w:u w:val="single"/>
        </w:rPr>
      </w:pPr>
      <w:r>
        <w:rPr>
          <w:rFonts w:ascii="Verdana" w:hAnsi="Verdana"/>
          <w:sz w:val="22"/>
          <w:szCs w:val="22"/>
          <w:u w:val="single"/>
        </w:rPr>
        <w:t>Better Crime Prevention</w:t>
      </w:r>
    </w:p>
    <w:p w14:paraId="53136E9E" w14:textId="77777777" w:rsidR="00EF7B6D" w:rsidRDefault="00EF7B6D" w:rsidP="00EF7B6D">
      <w:pPr>
        <w:pStyle w:val="Style1"/>
        <w:ind w:left="0" w:firstLine="0"/>
        <w:rPr>
          <w:rFonts w:ascii="Verdana" w:hAnsi="Verdana"/>
          <w:b w:val="0"/>
          <w:sz w:val="22"/>
          <w:szCs w:val="22"/>
          <w:u w:val="single"/>
        </w:rPr>
      </w:pPr>
    </w:p>
    <w:p w14:paraId="2B878DB9" w14:textId="77777777" w:rsidR="00EF7B6D" w:rsidRDefault="00EF7B6D" w:rsidP="00EF7B6D">
      <w:pPr>
        <w:pStyle w:val="Style1"/>
        <w:ind w:left="0" w:firstLine="0"/>
        <w:rPr>
          <w:rFonts w:ascii="Verdana" w:hAnsi="Verdana"/>
          <w:b w:val="0"/>
          <w:sz w:val="22"/>
          <w:szCs w:val="22"/>
          <w:u w:val="single"/>
        </w:rPr>
      </w:pPr>
      <w:r>
        <w:rPr>
          <w:rFonts w:ascii="Verdana" w:hAnsi="Verdana"/>
          <w:b w:val="0"/>
          <w:sz w:val="22"/>
          <w:szCs w:val="22"/>
          <w:u w:val="single"/>
        </w:rPr>
        <w:t xml:space="preserve">Prevention and Problem Solving Team </w:t>
      </w:r>
    </w:p>
    <w:p w14:paraId="0A54C262" w14:textId="77777777" w:rsidR="00EF7B6D" w:rsidRDefault="00EF7B6D" w:rsidP="00EF7B6D">
      <w:pPr>
        <w:pStyle w:val="ListParagraph"/>
        <w:numPr>
          <w:ilvl w:val="0"/>
          <w:numId w:val="0"/>
        </w:numPr>
        <w:ind w:left="-351"/>
        <w:jc w:val="both"/>
        <w:rPr>
          <w:rFonts w:ascii="Arial" w:hAnsi="Arial"/>
          <w:snapToGrid w:val="0"/>
        </w:rPr>
      </w:pPr>
    </w:p>
    <w:p w14:paraId="70B1EAB6" w14:textId="77777777" w:rsidR="00EF7B6D" w:rsidRDefault="00EF7B6D">
      <w:pPr>
        <w:pStyle w:val="ListParagraph"/>
        <w:numPr>
          <w:ilvl w:val="0"/>
          <w:numId w:val="0"/>
        </w:numPr>
        <w:jc w:val="both"/>
        <w:rPr>
          <w:rFonts w:eastAsiaTheme="minorHAnsi" w:cstheme="minorBidi"/>
          <w:sz w:val="22"/>
          <w:lang w:val="en-US" w:eastAsia="en-US"/>
        </w:rPr>
      </w:pPr>
      <w:r>
        <w:rPr>
          <w:rFonts w:eastAsiaTheme="minorHAnsi" w:cstheme="minorBidi"/>
          <w:sz w:val="22"/>
          <w:lang w:val="en-US" w:eastAsia="en-US"/>
        </w:rPr>
        <w:t xml:space="preserve">In addition to the investment in Specialist Neighbourhood Teams the Force has seen the creation of a central Prevention and Problem Solving Team from 2019/20 and 2020/21 precept investment. This team draws together all key prevention and problem solving roles across the Force, encouraging closer working relationships and consistency. This team assists across the Force providing detailed analytical support and research of national best practice. This extends beyond the traditional work of problem solving in Safer Neighbourhoods Teams with support and guidance being given to other areas including the Serious and Organised Crime Unit, CID and Criminal Justice, to name a few. </w:t>
      </w:r>
    </w:p>
    <w:p w14:paraId="74864266" w14:textId="77777777" w:rsidR="00EF7B6D" w:rsidRDefault="00EF7B6D" w:rsidP="0041394A">
      <w:pPr>
        <w:pStyle w:val="ListParagraph"/>
        <w:numPr>
          <w:ilvl w:val="0"/>
          <w:numId w:val="0"/>
        </w:numPr>
        <w:jc w:val="both"/>
        <w:rPr>
          <w:rFonts w:eastAsiaTheme="minorHAnsi" w:cstheme="minorBidi"/>
          <w:sz w:val="22"/>
          <w:lang w:val="en-US" w:eastAsia="en-US"/>
        </w:rPr>
      </w:pPr>
    </w:p>
    <w:p w14:paraId="5DAE2DAD" w14:textId="77777777" w:rsidR="00EF7B6D" w:rsidRDefault="00EF7B6D" w:rsidP="0041394A">
      <w:pPr>
        <w:pStyle w:val="ListParagraph"/>
        <w:numPr>
          <w:ilvl w:val="0"/>
          <w:numId w:val="0"/>
        </w:numPr>
        <w:jc w:val="both"/>
        <w:rPr>
          <w:rFonts w:eastAsiaTheme="minorHAnsi" w:cstheme="minorBidi"/>
          <w:sz w:val="22"/>
          <w:lang w:val="en-US" w:eastAsia="en-US"/>
        </w:rPr>
      </w:pPr>
      <w:r>
        <w:rPr>
          <w:rFonts w:eastAsiaTheme="minorHAnsi" w:cstheme="minorBidi"/>
          <w:sz w:val="22"/>
          <w:lang w:val="en-US" w:eastAsia="en-US"/>
        </w:rPr>
        <w:t>Examples of work done by the team include:</w:t>
      </w:r>
    </w:p>
    <w:p w14:paraId="7E1B31F7" w14:textId="77777777" w:rsidR="00EF7B6D" w:rsidRDefault="00EF7B6D" w:rsidP="0041394A">
      <w:pPr>
        <w:pStyle w:val="ListParagraph"/>
        <w:numPr>
          <w:ilvl w:val="0"/>
          <w:numId w:val="0"/>
        </w:numPr>
        <w:jc w:val="both"/>
        <w:rPr>
          <w:rFonts w:eastAsiaTheme="minorHAnsi" w:cstheme="minorBidi"/>
          <w:sz w:val="22"/>
          <w:lang w:val="en-US" w:eastAsia="en-US"/>
        </w:rPr>
      </w:pPr>
    </w:p>
    <w:p w14:paraId="7458D50D" w14:textId="77777777" w:rsidR="00EF7B6D" w:rsidRDefault="00EF7B6D" w:rsidP="0041394A">
      <w:pPr>
        <w:pStyle w:val="ListParagraph"/>
        <w:numPr>
          <w:ilvl w:val="0"/>
          <w:numId w:val="27"/>
        </w:numPr>
        <w:jc w:val="both"/>
        <w:rPr>
          <w:rFonts w:eastAsiaTheme="minorHAnsi" w:cstheme="minorBidi"/>
          <w:sz w:val="22"/>
          <w:lang w:val="en-US" w:eastAsia="en-US"/>
        </w:rPr>
      </w:pPr>
      <w:r>
        <w:rPr>
          <w:rFonts w:eastAsiaTheme="minorHAnsi" w:cstheme="minorBidi"/>
          <w:sz w:val="22"/>
          <w:lang w:val="en-US" w:eastAsia="en-US"/>
        </w:rPr>
        <w:t xml:space="preserve">Preparing a detailed analysis of residential burglary committed in Surrey over the past 3 years, resulting in the creation of bespoke prevention plans for each borough/district; </w:t>
      </w:r>
    </w:p>
    <w:p w14:paraId="0EF24B89" w14:textId="77777777" w:rsidR="00EF7B6D" w:rsidRDefault="00EF7B6D" w:rsidP="0041394A">
      <w:pPr>
        <w:pStyle w:val="ListParagraph"/>
        <w:numPr>
          <w:ilvl w:val="0"/>
          <w:numId w:val="27"/>
        </w:numPr>
        <w:jc w:val="both"/>
        <w:rPr>
          <w:rFonts w:eastAsiaTheme="minorHAnsi" w:cstheme="minorBidi"/>
          <w:sz w:val="22"/>
          <w:lang w:val="en-US" w:eastAsia="en-US"/>
        </w:rPr>
      </w:pPr>
      <w:r>
        <w:rPr>
          <w:rFonts w:eastAsiaTheme="minorHAnsi" w:cstheme="minorBidi"/>
          <w:sz w:val="22"/>
          <w:lang w:val="en-US" w:eastAsia="en-US"/>
        </w:rPr>
        <w:t>Tactical advice on dealing with an emerging problem of catalytic converter thefts;</w:t>
      </w:r>
    </w:p>
    <w:p w14:paraId="00488B55" w14:textId="77777777" w:rsidR="00EF7B6D" w:rsidRDefault="00EF7B6D" w:rsidP="0041394A">
      <w:pPr>
        <w:pStyle w:val="ListParagraph"/>
        <w:numPr>
          <w:ilvl w:val="0"/>
          <w:numId w:val="27"/>
        </w:numPr>
        <w:jc w:val="both"/>
        <w:rPr>
          <w:rFonts w:eastAsiaTheme="minorHAnsi" w:cstheme="minorBidi"/>
          <w:sz w:val="22"/>
          <w:lang w:val="en-US" w:eastAsia="en-US"/>
        </w:rPr>
      </w:pPr>
      <w:r>
        <w:rPr>
          <w:rFonts w:eastAsiaTheme="minorHAnsi" w:cstheme="minorBidi"/>
          <w:sz w:val="22"/>
          <w:lang w:val="en-US" w:eastAsia="en-US"/>
        </w:rPr>
        <w:t xml:space="preserve">Working with local teams to tackle the high number of cycle thefts in Guildford and Woking. </w:t>
      </w:r>
    </w:p>
    <w:p w14:paraId="7A15F712" w14:textId="77777777" w:rsidR="00EF7B6D" w:rsidRDefault="00EF7B6D" w:rsidP="0041394A">
      <w:pPr>
        <w:pStyle w:val="ListParagraph"/>
        <w:numPr>
          <w:ilvl w:val="0"/>
          <w:numId w:val="27"/>
        </w:numPr>
        <w:jc w:val="both"/>
        <w:rPr>
          <w:rFonts w:eastAsiaTheme="minorHAnsi" w:cstheme="minorBidi"/>
          <w:sz w:val="22"/>
          <w:lang w:val="en-US" w:eastAsia="en-US"/>
        </w:rPr>
      </w:pPr>
      <w:r>
        <w:rPr>
          <w:rFonts w:eastAsiaTheme="minorHAnsi" w:cstheme="minorBidi"/>
          <w:sz w:val="22"/>
          <w:lang w:val="en-US" w:eastAsia="en-US"/>
        </w:rPr>
        <w:t>Working with the OPCC in securing £500k in Safer Streets funding for Spelthorne for crime prevention and public safety improvements;</w:t>
      </w:r>
    </w:p>
    <w:p w14:paraId="37B45A6A" w14:textId="77777777" w:rsidR="00EF7B6D" w:rsidRDefault="00EF7B6D" w:rsidP="0041394A">
      <w:pPr>
        <w:pStyle w:val="ListParagraph"/>
        <w:numPr>
          <w:ilvl w:val="0"/>
          <w:numId w:val="27"/>
        </w:numPr>
        <w:jc w:val="both"/>
        <w:rPr>
          <w:rFonts w:eastAsiaTheme="minorHAnsi" w:cstheme="minorBidi"/>
          <w:sz w:val="22"/>
          <w:lang w:val="en-US" w:eastAsia="en-US"/>
        </w:rPr>
      </w:pPr>
      <w:r>
        <w:rPr>
          <w:rFonts w:eastAsiaTheme="minorHAnsi" w:cstheme="minorBidi"/>
          <w:sz w:val="22"/>
          <w:lang w:val="en-US" w:eastAsia="en-US"/>
        </w:rPr>
        <w:t>Assisting with problem solving work to tackle youth ASB in Runnymede which resulted in Surrey Police achieving national recognition by winning the Police Now category of the Tilley Awards.</w:t>
      </w:r>
    </w:p>
    <w:p w14:paraId="1CFD5386" w14:textId="77777777" w:rsidR="00EF7B6D" w:rsidRDefault="00EF7B6D" w:rsidP="0041394A">
      <w:pPr>
        <w:pStyle w:val="ListParagraph"/>
        <w:numPr>
          <w:ilvl w:val="0"/>
          <w:numId w:val="0"/>
        </w:numPr>
        <w:jc w:val="both"/>
        <w:rPr>
          <w:rFonts w:eastAsiaTheme="minorHAnsi" w:cstheme="minorBidi"/>
          <w:sz w:val="22"/>
          <w:lang w:val="en-US" w:eastAsia="en-US"/>
        </w:rPr>
      </w:pPr>
    </w:p>
    <w:p w14:paraId="3D7A0C4E" w14:textId="77777777" w:rsidR="00EF7B6D" w:rsidRDefault="00EF7B6D" w:rsidP="0041394A">
      <w:pPr>
        <w:pStyle w:val="ListParagraph"/>
        <w:numPr>
          <w:ilvl w:val="0"/>
          <w:numId w:val="0"/>
        </w:numPr>
        <w:jc w:val="both"/>
        <w:rPr>
          <w:rFonts w:ascii="Arial" w:hAnsi="Arial"/>
          <w:snapToGrid w:val="0"/>
        </w:rPr>
      </w:pPr>
      <w:r>
        <w:rPr>
          <w:rFonts w:eastAsiaTheme="minorHAnsi" w:cstheme="minorBidi"/>
          <w:sz w:val="22"/>
          <w:lang w:val="en-US" w:eastAsia="en-US"/>
        </w:rPr>
        <w:t xml:space="preserve">Whilst it is difficult to assess the impact this has had on performance against a background of Covid residential burglary has reduced by 44% with total crime down by 14.5%.  Victim satisfaction levels are higher than last year and the latest data from the Joint Neighbourhood Survey shows that 88% of those surveyed had confidence in their local police. </w:t>
      </w:r>
    </w:p>
    <w:p w14:paraId="0E36D0E6" w14:textId="77777777" w:rsidR="00EF7B6D" w:rsidRDefault="00EF7B6D" w:rsidP="0041394A">
      <w:pPr>
        <w:jc w:val="both"/>
        <w:rPr>
          <w:rFonts w:ascii="Arial" w:hAnsi="Arial"/>
          <w:b/>
          <w:snapToGrid w:val="0"/>
        </w:rPr>
      </w:pPr>
    </w:p>
    <w:p w14:paraId="67F8C2BF" w14:textId="77777777" w:rsidR="00EF7B6D" w:rsidRDefault="00EF7B6D">
      <w:pPr>
        <w:pStyle w:val="Style1"/>
        <w:ind w:left="0" w:firstLine="0"/>
        <w:rPr>
          <w:rFonts w:ascii="Verdana" w:hAnsi="Verdana"/>
          <w:b w:val="0"/>
          <w:sz w:val="22"/>
          <w:szCs w:val="22"/>
          <w:u w:val="single"/>
        </w:rPr>
      </w:pPr>
      <w:r>
        <w:rPr>
          <w:rFonts w:ascii="Verdana" w:hAnsi="Verdana"/>
          <w:b w:val="0"/>
          <w:sz w:val="22"/>
          <w:szCs w:val="22"/>
          <w:u w:val="single"/>
        </w:rPr>
        <w:t>Fraud and Cybercrime</w:t>
      </w:r>
    </w:p>
    <w:p w14:paraId="4D540642" w14:textId="77777777" w:rsidR="00EF7B6D" w:rsidRDefault="00EF7B6D" w:rsidP="0041394A">
      <w:pPr>
        <w:ind w:left="720"/>
        <w:jc w:val="both"/>
        <w:rPr>
          <w:rFonts w:ascii="Arial" w:eastAsia="Times New Roman" w:hAnsi="Arial" w:cs="Arial"/>
          <w:snapToGrid w:val="0"/>
        </w:rPr>
      </w:pPr>
    </w:p>
    <w:p w14:paraId="2B80E8E5" w14:textId="77777777" w:rsidR="00EF7B6D" w:rsidRDefault="00EF7B6D" w:rsidP="0041394A">
      <w:pPr>
        <w:pStyle w:val="ListParagraph"/>
        <w:numPr>
          <w:ilvl w:val="0"/>
          <w:numId w:val="0"/>
        </w:numPr>
        <w:jc w:val="both"/>
        <w:rPr>
          <w:rFonts w:eastAsiaTheme="minorHAnsi" w:cstheme="minorBidi"/>
          <w:sz w:val="22"/>
          <w:lang w:val="en-US" w:eastAsia="en-US"/>
        </w:rPr>
      </w:pPr>
      <w:r>
        <w:rPr>
          <w:rFonts w:eastAsiaTheme="minorHAnsi" w:cstheme="minorBidi"/>
          <w:sz w:val="22"/>
          <w:lang w:val="en-US" w:eastAsia="en-US"/>
        </w:rPr>
        <w:t xml:space="preserve">Surrey Police continues to provide dedicated support to victims by identifying vulnerable victims of fraud and then putting preventative measures and support in place. As a result of Covid demand for this has increased over the year. Surrey Police have been working with UK Finance to embed an enhanced protocol to protect vulnerable victims of fraud from financial loss and further targeting across all banking channels. Developed initially as an ‘in-branch’ response, this has now been extended to include transactions being attempted through telephone and online banking. This has been a resounding success and collectively this process has prevented over £2 million in losses since its introduction in Surrey. In the last year (2020) the protocol has been responsible for 164 calls from banks, significantly increasing the reporting of crime and the safeguarding of vulnerable victims. </w:t>
      </w:r>
    </w:p>
    <w:p w14:paraId="0B7367A5" w14:textId="77777777" w:rsidR="00EF7B6D" w:rsidRDefault="00EF7B6D" w:rsidP="0041394A">
      <w:pPr>
        <w:pStyle w:val="ListParagraph"/>
        <w:numPr>
          <w:ilvl w:val="0"/>
          <w:numId w:val="0"/>
        </w:numPr>
        <w:jc w:val="both"/>
        <w:rPr>
          <w:rFonts w:eastAsiaTheme="minorHAnsi" w:cstheme="minorBidi"/>
          <w:sz w:val="22"/>
          <w:lang w:val="en-US" w:eastAsia="en-US"/>
        </w:rPr>
      </w:pPr>
    </w:p>
    <w:p w14:paraId="655BDF3C" w14:textId="77777777" w:rsidR="00EF7B6D" w:rsidRDefault="00EF7B6D" w:rsidP="0041394A">
      <w:pPr>
        <w:pStyle w:val="ListParagraph"/>
        <w:numPr>
          <w:ilvl w:val="0"/>
          <w:numId w:val="0"/>
        </w:numPr>
        <w:jc w:val="both"/>
        <w:rPr>
          <w:rFonts w:ascii="Arial" w:hAnsi="Arial"/>
          <w:snapToGrid w:val="0"/>
        </w:rPr>
      </w:pPr>
      <w:r>
        <w:rPr>
          <w:rFonts w:eastAsiaTheme="minorHAnsi" w:cstheme="minorBidi"/>
          <w:sz w:val="22"/>
          <w:lang w:val="en-US" w:eastAsia="en-US"/>
        </w:rPr>
        <w:t>Surrey’s in-house Victim and Witness Care Team have also introduced two Fraud Caseworkers who provide ongoing, one to one, support for the most vulnerable victims of fraud identified with a total of 358 victims being supported to date.</w:t>
      </w:r>
    </w:p>
    <w:p w14:paraId="108FE6C7" w14:textId="77777777" w:rsidR="00EF7B6D" w:rsidRDefault="00EF7B6D" w:rsidP="00EF7B6D">
      <w:pPr>
        <w:rPr>
          <w:rFonts w:ascii="Arial" w:eastAsia="Times New Roman" w:hAnsi="Arial" w:cs="Arial"/>
          <w:snapToGrid w:val="0"/>
        </w:rPr>
      </w:pPr>
    </w:p>
    <w:p w14:paraId="7B951BEF" w14:textId="77777777" w:rsidR="00EF7B6D" w:rsidRDefault="00EF7B6D" w:rsidP="0041394A">
      <w:pPr>
        <w:jc w:val="both"/>
      </w:pPr>
      <w:r>
        <w:t>The Force has also, with the support of Government, invested a Cybercrime Unit which provided specific Cybercrime staff and training. This Unit works very closely with the Force Economic Crime Units to provide an effective response to both Cyber dependent criminality and internet facilitated Cyber Enabled crime.</w:t>
      </w:r>
    </w:p>
    <w:p w14:paraId="225D9025" w14:textId="77777777" w:rsidR="00EF7B6D" w:rsidRDefault="00EF7B6D">
      <w:pPr>
        <w:jc w:val="both"/>
        <w:rPr>
          <w:highlight w:val="yellow"/>
        </w:rPr>
      </w:pPr>
    </w:p>
    <w:p w14:paraId="7A6F99B4" w14:textId="77777777" w:rsidR="00EF7B6D" w:rsidRDefault="00EF7B6D" w:rsidP="0041394A">
      <w:pPr>
        <w:jc w:val="both"/>
        <w:rPr>
          <w:b/>
          <w:u w:val="single"/>
        </w:rPr>
      </w:pPr>
      <w:r>
        <w:rPr>
          <w:b/>
          <w:u w:val="single"/>
        </w:rPr>
        <w:t>More Crimes Solved</w:t>
      </w:r>
    </w:p>
    <w:p w14:paraId="26688C6C" w14:textId="77777777" w:rsidR="00EF7B6D" w:rsidRDefault="00EF7B6D" w:rsidP="0041394A">
      <w:pPr>
        <w:jc w:val="both"/>
      </w:pPr>
    </w:p>
    <w:p w14:paraId="13DFD2CB" w14:textId="77777777" w:rsidR="00EF7B6D" w:rsidRDefault="00EF7B6D" w:rsidP="0041394A">
      <w:pPr>
        <w:jc w:val="both"/>
      </w:pPr>
      <w:r>
        <w:t>Despite the challenges of the past year in dealing with the global pandemic the Force has continued in its efforts to improve the way it investigates and solves crime. Current financial year to date performance shows that the Force’s overall solved rate (Total Notifiable Crime) is 15% which is slightly up on last year with residential burglary, rape, robbery, adult abuse and child abuse all showing performance improvement.</w:t>
      </w:r>
    </w:p>
    <w:p w14:paraId="0CA67B22" w14:textId="77777777" w:rsidR="00EF7B6D" w:rsidRDefault="00EF7B6D" w:rsidP="0041394A">
      <w:pPr>
        <w:jc w:val="both"/>
      </w:pPr>
      <w:r>
        <w:t xml:space="preserve">  </w:t>
      </w:r>
    </w:p>
    <w:p w14:paraId="69CE8278" w14:textId="77777777" w:rsidR="00EF7B6D" w:rsidRDefault="00EF7B6D" w:rsidP="0041394A">
      <w:pPr>
        <w:jc w:val="both"/>
        <w:rPr>
          <w:u w:val="single"/>
        </w:rPr>
      </w:pPr>
      <w:r>
        <w:rPr>
          <w:u w:val="single"/>
        </w:rPr>
        <w:t>Investigation Improvement Programme</w:t>
      </w:r>
    </w:p>
    <w:p w14:paraId="32701B7F" w14:textId="77777777" w:rsidR="00EF7B6D" w:rsidRDefault="00EF7B6D" w:rsidP="0041394A">
      <w:pPr>
        <w:jc w:val="both"/>
      </w:pPr>
    </w:p>
    <w:p w14:paraId="11DBB22E" w14:textId="49DE1472" w:rsidR="00EF7B6D" w:rsidRDefault="00EF7B6D" w:rsidP="0041394A">
      <w:pPr>
        <w:jc w:val="both"/>
      </w:pPr>
      <w:r>
        <w:t>This comprehensive programme of work consists of three separate projects which are designed to improve the Forces performance in Crime Solving. These are:</w:t>
      </w:r>
    </w:p>
    <w:p w14:paraId="344F366D" w14:textId="77777777" w:rsidR="00EF7B6D" w:rsidRDefault="00EF7B6D" w:rsidP="0041394A">
      <w:pPr>
        <w:jc w:val="both"/>
      </w:pPr>
    </w:p>
    <w:p w14:paraId="5DE7B169" w14:textId="77777777" w:rsidR="00EF7B6D" w:rsidRDefault="00EF7B6D" w:rsidP="0041394A">
      <w:pPr>
        <w:pStyle w:val="ListParagraph"/>
        <w:numPr>
          <w:ilvl w:val="0"/>
          <w:numId w:val="28"/>
        </w:numPr>
        <w:jc w:val="both"/>
        <w:rPr>
          <w:rFonts w:eastAsiaTheme="minorHAnsi" w:cstheme="minorBidi"/>
          <w:sz w:val="22"/>
          <w:lang w:val="en-US" w:eastAsia="en-US"/>
        </w:rPr>
      </w:pPr>
      <w:r>
        <w:rPr>
          <w:rFonts w:eastAsiaTheme="minorHAnsi" w:cstheme="minorBidi"/>
          <w:sz w:val="22"/>
          <w:lang w:val="en-US" w:eastAsia="en-US"/>
        </w:rPr>
        <w:t>Introduction of an Incident Review Team</w:t>
      </w:r>
    </w:p>
    <w:p w14:paraId="1C8E03BB" w14:textId="77777777" w:rsidR="00EF7B6D" w:rsidRDefault="00EF7B6D" w:rsidP="0041394A">
      <w:pPr>
        <w:pStyle w:val="ListParagraph"/>
        <w:numPr>
          <w:ilvl w:val="0"/>
          <w:numId w:val="28"/>
        </w:numPr>
        <w:jc w:val="both"/>
        <w:rPr>
          <w:rFonts w:eastAsiaTheme="minorHAnsi" w:cstheme="minorBidi"/>
          <w:sz w:val="22"/>
          <w:lang w:val="en-US" w:eastAsia="en-US"/>
        </w:rPr>
      </w:pPr>
      <w:r>
        <w:rPr>
          <w:rFonts w:eastAsiaTheme="minorHAnsi" w:cstheme="minorBidi"/>
          <w:sz w:val="22"/>
          <w:lang w:val="en-US" w:eastAsia="en-US"/>
        </w:rPr>
        <w:t>Volume Crime Investigation Improvement Plan</w:t>
      </w:r>
    </w:p>
    <w:p w14:paraId="0F31D6B5" w14:textId="77777777" w:rsidR="00EF7B6D" w:rsidRDefault="00EF7B6D" w:rsidP="0041394A">
      <w:pPr>
        <w:pStyle w:val="ListParagraph"/>
        <w:numPr>
          <w:ilvl w:val="0"/>
          <w:numId w:val="28"/>
        </w:numPr>
        <w:jc w:val="both"/>
        <w:rPr>
          <w:rFonts w:eastAsiaTheme="minorHAnsi" w:cstheme="minorBidi"/>
          <w:sz w:val="22"/>
          <w:lang w:val="en-US" w:eastAsia="en-US"/>
        </w:rPr>
      </w:pPr>
      <w:r>
        <w:rPr>
          <w:rFonts w:eastAsiaTheme="minorHAnsi" w:cstheme="minorBidi"/>
          <w:sz w:val="22"/>
          <w:lang w:val="en-US" w:eastAsia="en-US"/>
        </w:rPr>
        <w:t>Investigation Structure Review.</w:t>
      </w:r>
    </w:p>
    <w:p w14:paraId="060692F5" w14:textId="77777777" w:rsidR="00EF7B6D" w:rsidRDefault="00EF7B6D" w:rsidP="0041394A">
      <w:pPr>
        <w:jc w:val="both"/>
      </w:pPr>
    </w:p>
    <w:p w14:paraId="45407322" w14:textId="77777777" w:rsidR="00EF7B6D" w:rsidRDefault="00EF7B6D" w:rsidP="0041394A">
      <w:pPr>
        <w:jc w:val="both"/>
      </w:pPr>
      <w:r>
        <w:rPr>
          <w:u w:val="single"/>
        </w:rPr>
        <w:t>Incident Review Team (IRT)</w:t>
      </w:r>
      <w:r>
        <w:t xml:space="preserve"> </w:t>
      </w:r>
    </w:p>
    <w:p w14:paraId="548DA6AF" w14:textId="77777777" w:rsidR="00EF7B6D" w:rsidRDefault="00EF7B6D" w:rsidP="0041394A">
      <w:pPr>
        <w:jc w:val="both"/>
      </w:pPr>
    </w:p>
    <w:p w14:paraId="59405E6A" w14:textId="77777777" w:rsidR="00EF7B6D" w:rsidRDefault="00EF7B6D" w:rsidP="0041394A">
      <w:pPr>
        <w:jc w:val="both"/>
      </w:pPr>
      <w:r>
        <w:t xml:space="preserve">As a result of additional precept and Government funding the Force created a new team of police officers and staff who are responsible for dealing with slower time (grade 3) incidents over the phone or tasking them out for police attendance as appropriate. This has enabled the Neighbourhood Policing Teams (NPTs) to have more time to concentrate on more serious investigations and undertake proactive work. The IRT is now dealing with over 80% of the grade 3 incidents which used to be sent to NPT thereby freeing up resource in the NPT and hence giving a more effective and efficient service to the public. </w:t>
      </w:r>
    </w:p>
    <w:p w14:paraId="1572F65B" w14:textId="77777777" w:rsidR="00EF7B6D" w:rsidRDefault="00EF7B6D" w:rsidP="0041394A">
      <w:pPr>
        <w:jc w:val="both"/>
      </w:pPr>
    </w:p>
    <w:p w14:paraId="7661BF79" w14:textId="77777777" w:rsidR="00EF7B6D" w:rsidRDefault="00EF7B6D" w:rsidP="0041394A">
      <w:pPr>
        <w:jc w:val="both"/>
      </w:pPr>
      <w:r>
        <w:rPr>
          <w:u w:val="single"/>
        </w:rPr>
        <w:t>Volume Crime Investigation Improvement</w:t>
      </w:r>
    </w:p>
    <w:p w14:paraId="1EFB6A90" w14:textId="77777777" w:rsidR="00EF7B6D" w:rsidRDefault="00EF7B6D" w:rsidP="0041394A">
      <w:pPr>
        <w:jc w:val="both"/>
      </w:pPr>
    </w:p>
    <w:p w14:paraId="2E33D57A" w14:textId="0B1326AF" w:rsidR="00EF7B6D" w:rsidRDefault="00EF7B6D" w:rsidP="0041394A">
      <w:pPr>
        <w:jc w:val="both"/>
      </w:pPr>
      <w:r>
        <w:t>As a result of resources from the precept and the Government Neighbourhood Policing Investigation Teams (NPITs) have been created. Comprising a small team of PCs, Investigating Officers and a Detective Sergeant officers</w:t>
      </w:r>
      <w:r w:rsidR="00017F07">
        <w:t>’</w:t>
      </w:r>
      <w:r>
        <w:t xml:space="preserve"> from NPT are seconded into NPITs on rotation so that they become proficient as investigators and hence are able to acquire new skills such as the production of Court Files. Although it is early days this should, based on practice in other forces, see sustained improvement in volume crime investigative capability across the Force. </w:t>
      </w:r>
    </w:p>
    <w:p w14:paraId="159187E2" w14:textId="77777777" w:rsidR="00EF7B6D" w:rsidRDefault="00EF7B6D" w:rsidP="0041394A">
      <w:pPr>
        <w:jc w:val="both"/>
      </w:pPr>
    </w:p>
    <w:p w14:paraId="0B16A56C" w14:textId="77777777" w:rsidR="00EF7B6D" w:rsidRDefault="00EF7B6D" w:rsidP="0041394A">
      <w:pPr>
        <w:jc w:val="both"/>
      </w:pPr>
      <w:r>
        <w:rPr>
          <w:u w:val="single"/>
        </w:rPr>
        <w:t>Investigation Structure Review</w:t>
      </w:r>
      <w:r>
        <w:t xml:space="preserve"> </w:t>
      </w:r>
    </w:p>
    <w:p w14:paraId="7ED4DC2C" w14:textId="77777777" w:rsidR="00EF7B6D" w:rsidRDefault="00EF7B6D" w:rsidP="0041394A">
      <w:pPr>
        <w:jc w:val="both"/>
      </w:pPr>
    </w:p>
    <w:p w14:paraId="470F902D" w14:textId="77777777" w:rsidR="00EF7B6D" w:rsidRDefault="00EF7B6D" w:rsidP="0041394A">
      <w:pPr>
        <w:jc w:val="both"/>
      </w:pPr>
      <w:r>
        <w:t xml:space="preserve">This review aims to ensure that the Force has the most appropriate workforce model to deal with more serious crime and specifically Child Abuse, Domestic Abuse and Stalking thereby giving the best possible service to victims. At the current time the Force has three Safeguarding Investigation Units (SIUs) who deal with medium and high risk domestic abuse, all child abuse and offences involving vulnerable adults. </w:t>
      </w:r>
    </w:p>
    <w:p w14:paraId="3B1AE27E" w14:textId="77777777" w:rsidR="00EF7B6D" w:rsidRDefault="00EF7B6D" w:rsidP="0041394A">
      <w:pPr>
        <w:jc w:val="both"/>
      </w:pPr>
    </w:p>
    <w:p w14:paraId="116FD4F1" w14:textId="77777777" w:rsidR="00EF7B6D" w:rsidRDefault="00EF7B6D" w:rsidP="0041394A">
      <w:pPr>
        <w:jc w:val="both"/>
      </w:pPr>
      <w:r>
        <w:t xml:space="preserve">This resulted in a dedicated Child Abuse and Domestic Abuse team being formed which seeks to assign staff to incidents most appropriate to their skills, training and experience. So far initial feedback has been positive and may be a model that could be used force wide. </w:t>
      </w:r>
    </w:p>
    <w:p w14:paraId="0A48DAE0" w14:textId="77777777" w:rsidR="00EF7B6D" w:rsidRDefault="00EF7B6D" w:rsidP="0041394A">
      <w:pPr>
        <w:jc w:val="both"/>
      </w:pPr>
    </w:p>
    <w:p w14:paraId="28017521" w14:textId="77777777" w:rsidR="00EF7B6D" w:rsidRDefault="00EF7B6D" w:rsidP="0041394A">
      <w:pPr>
        <w:jc w:val="both"/>
        <w:rPr>
          <w:u w:val="single"/>
        </w:rPr>
      </w:pPr>
      <w:r>
        <w:rPr>
          <w:u w:val="single"/>
        </w:rPr>
        <w:t>Investment in Performance Teams</w:t>
      </w:r>
    </w:p>
    <w:p w14:paraId="5AF73DD7" w14:textId="77777777" w:rsidR="00EF7B6D" w:rsidRDefault="00EF7B6D" w:rsidP="0041394A">
      <w:pPr>
        <w:jc w:val="both"/>
      </w:pPr>
    </w:p>
    <w:p w14:paraId="5A0C4C8D" w14:textId="77777777" w:rsidR="00EF7B6D" w:rsidRDefault="00EF7B6D" w:rsidP="0041394A">
      <w:pPr>
        <w:jc w:val="both"/>
      </w:pPr>
      <w:r>
        <w:t xml:space="preserve">As outlined in the paper submitted to the PCC Performance Meeting in May 2020, each division has introduced a small performance team in order to have access to more in depth individual and team performance data. These teams produce a suite of comprehensive products to identify trends, gaps and specific areas of focus allowing comparisons to be drawn where appropriate. This has been taken a step further during 2020 with each division trialling a new post of a Performance Inspector who is responsible for trying to improve volume crime solved rates by scrutinising volume crime investigation by NPT. Although early days, Divisional Commanders state that the post is proving extremely beneficial and consideration is currently being given to funding these posts on a permanent basis. </w:t>
      </w:r>
    </w:p>
    <w:p w14:paraId="24E1A932" w14:textId="77777777" w:rsidR="00EF7B6D" w:rsidRDefault="00EF7B6D">
      <w:pPr>
        <w:jc w:val="both"/>
        <w:rPr>
          <w:highlight w:val="yellow"/>
        </w:rPr>
      </w:pPr>
    </w:p>
    <w:p w14:paraId="0024B331" w14:textId="77777777" w:rsidR="00EF7B6D" w:rsidRDefault="00EF7B6D">
      <w:pPr>
        <w:jc w:val="both"/>
        <w:rPr>
          <w:b/>
        </w:rPr>
      </w:pPr>
      <w:r>
        <w:rPr>
          <w:b/>
        </w:rPr>
        <w:t>Collaboration</w:t>
      </w:r>
    </w:p>
    <w:p w14:paraId="1AFB11FB" w14:textId="77777777" w:rsidR="00EF7B6D" w:rsidRDefault="00EF7B6D">
      <w:pPr>
        <w:jc w:val="both"/>
      </w:pPr>
    </w:p>
    <w:p w14:paraId="2CED7FFC" w14:textId="77777777" w:rsidR="00EF7B6D" w:rsidRDefault="00EF7B6D">
      <w:pPr>
        <w:jc w:val="both"/>
      </w:pPr>
      <w:r>
        <w:t>The majority of services within the Support Services functions are collaborated including; Procurement, Insurance, Transport, People Services, Information &amp; Communication Technology, and Finance. Further work is ongoing to develop a Shared Business Service Centre along with the implementation of the new Enterprise Resource Planning (ERP).</w:t>
      </w:r>
    </w:p>
    <w:p w14:paraId="2E53B872" w14:textId="77777777" w:rsidR="00EF7B6D" w:rsidRDefault="00EF7B6D">
      <w:pPr>
        <w:jc w:val="both"/>
      </w:pPr>
    </w:p>
    <w:p w14:paraId="5CD7B558" w14:textId="77777777" w:rsidR="00EF7B6D" w:rsidRDefault="00EF7B6D">
      <w:pPr>
        <w:jc w:val="both"/>
      </w:pPr>
      <w:r>
        <w:t>Surrey Police and Sussex Police are leading on a new project to address the risk posed by the seizure and retention of crypto currency, involving cyber-crime and insurance teams. Facilities teams are trialing the use of tablet devices for recording compliance checks across the police estate. Insurance and transport teams have implemented a new electronic Driver Management System for recording driver records.</w:t>
      </w:r>
    </w:p>
    <w:p w14:paraId="5A54D931" w14:textId="77777777" w:rsidR="00EF7B6D" w:rsidRDefault="00EF7B6D" w:rsidP="00EF7B6D">
      <w:pPr>
        <w:jc w:val="both"/>
      </w:pPr>
    </w:p>
    <w:p w14:paraId="041D200B" w14:textId="77777777" w:rsidR="00EF7B6D" w:rsidRDefault="00EF7B6D" w:rsidP="00EF7B6D">
      <w:pPr>
        <w:jc w:val="both"/>
      </w:pPr>
      <w:r>
        <w:t>Surrey Police also works closely with regional and national partners in order to share best practice and realise efficiencies. Examples include SEROCU which focuses on cross border organised and Blue Light which seeks to procurement savings by purchasing jointly. Recently Surrey’s Chief Constbale has become the NPCC representative for finance which will give him access at the highest levels and should assist even further</w:t>
      </w:r>
    </w:p>
    <w:p w14:paraId="6C630768" w14:textId="77777777" w:rsidR="00EF7B6D" w:rsidRDefault="00EF7B6D" w:rsidP="00EF7B6D">
      <w:pPr>
        <w:jc w:val="both"/>
        <w:rPr>
          <w:b/>
        </w:rPr>
      </w:pPr>
    </w:p>
    <w:p w14:paraId="2E201093" w14:textId="77777777" w:rsidR="00EF7B6D" w:rsidRDefault="00EF7B6D" w:rsidP="00EF7B6D">
      <w:pPr>
        <w:jc w:val="both"/>
        <w:rPr>
          <w:b/>
        </w:rPr>
      </w:pPr>
      <w:r>
        <w:rPr>
          <w:b/>
        </w:rPr>
        <w:t>Financial Excellence</w:t>
      </w:r>
    </w:p>
    <w:p w14:paraId="1F28B18B" w14:textId="77777777" w:rsidR="00EF7B6D" w:rsidRDefault="00EF7B6D" w:rsidP="00EF7B6D">
      <w:pPr>
        <w:jc w:val="both"/>
      </w:pPr>
    </w:p>
    <w:p w14:paraId="772FE8AD" w14:textId="77777777" w:rsidR="00EF7B6D" w:rsidRDefault="00EF7B6D" w:rsidP="00EF7B6D">
      <w:pPr>
        <w:jc w:val="both"/>
      </w:pPr>
      <w:r>
        <w:t xml:space="preserve">Surrey Police originally was one of only 3 forces nationally to have piloted the national Chartered Institute of Public Finance and Accountancy’s “Achieving Finance Excellence in Policing” programme. This has proved to be such a success that the Force has signed up for AFEP2 which seeks to extend these benefits even further in areas such as up skilling staff, financial awareness and financial resilience to name a few. The Force has also engaged CIPFA to provide advice on the longer time strategic financial direction with a focus on efficiencies and savings. </w:t>
      </w:r>
    </w:p>
    <w:p w14:paraId="03FE241F" w14:textId="77777777" w:rsidR="00EF7B6D" w:rsidRDefault="00EF7B6D" w:rsidP="00EF7B6D">
      <w:pPr>
        <w:jc w:val="both"/>
        <w:rPr>
          <w:b/>
        </w:rPr>
      </w:pPr>
    </w:p>
    <w:p w14:paraId="47BC62B2" w14:textId="77777777" w:rsidR="00EF7B6D" w:rsidRDefault="00EF7B6D" w:rsidP="00EF7B6D">
      <w:pPr>
        <w:jc w:val="both"/>
        <w:rPr>
          <w:b/>
        </w:rPr>
      </w:pPr>
      <w:r>
        <w:rPr>
          <w:b/>
        </w:rPr>
        <w:t>Building the Future</w:t>
      </w:r>
    </w:p>
    <w:p w14:paraId="212331AA" w14:textId="77777777" w:rsidR="00EF7B6D" w:rsidRDefault="00EF7B6D" w:rsidP="00EF7B6D">
      <w:pPr>
        <w:jc w:val="both"/>
      </w:pPr>
    </w:p>
    <w:p w14:paraId="5E3508EB" w14:textId="77777777" w:rsidR="00EF7B6D" w:rsidRPr="00EF7B6D" w:rsidRDefault="00EF7B6D" w:rsidP="00EF7B6D">
      <w:pPr>
        <w:jc w:val="both"/>
      </w:pPr>
      <w:r>
        <w:t xml:space="preserve">The site for a new Force headquarters was purchased in 2019 and work on designing the new HQ is well advanced. In the design the Force is seeking to maximize not only the operational and financial benefits a new HQ can bring but also for it to be environmentally sustainable. Key worker housing for new officers is also a key element of the development of the new HQ. The project is proceeding at pace and it will be interesting to see how it develops over the next few years to enable it to provide a </w:t>
      </w:r>
      <w:r w:rsidRPr="00EF7B6D">
        <w:t xml:space="preserve">modern and cost-effective building that will allow the Force to meet the challenges of modern policing.  </w:t>
      </w:r>
    </w:p>
    <w:p w14:paraId="33A4081F" w14:textId="77777777" w:rsidR="00EF7B6D" w:rsidRPr="00EF7B6D" w:rsidRDefault="00EF7B6D" w:rsidP="00EF7B6D">
      <w:pPr>
        <w:jc w:val="both"/>
      </w:pPr>
    </w:p>
    <w:p w14:paraId="36D8648E" w14:textId="58D289C0" w:rsidR="00EF7B6D" w:rsidRPr="00EF7B6D" w:rsidRDefault="00EF7B6D" w:rsidP="00EF7B6D">
      <w:pPr>
        <w:jc w:val="both"/>
      </w:pPr>
      <w:r w:rsidRPr="00EF7B6D">
        <w:rPr>
          <w:b/>
        </w:rPr>
        <w:t>Enterprise Resource Planning Solution (Equip):</w:t>
      </w:r>
      <w:r w:rsidRPr="00EF7B6D">
        <w:t xml:space="preserve"> </w:t>
      </w:r>
    </w:p>
    <w:p w14:paraId="26966684" w14:textId="77777777" w:rsidR="00EF7B6D" w:rsidRPr="00EF7B6D" w:rsidRDefault="00EF7B6D" w:rsidP="00EF7B6D">
      <w:pPr>
        <w:jc w:val="both"/>
      </w:pPr>
    </w:p>
    <w:p w14:paraId="72E7A201" w14:textId="77777777" w:rsidR="00EF7B6D" w:rsidRPr="00EF7B6D" w:rsidRDefault="00EF7B6D" w:rsidP="00EF7B6D">
      <w:pPr>
        <w:jc w:val="both"/>
        <w:rPr>
          <w:shd w:val="clear" w:color="auto" w:fill="FFFFFF"/>
        </w:rPr>
      </w:pPr>
      <w:r w:rsidRPr="00EF7B6D">
        <w:rPr>
          <w:color w:val="000000"/>
          <w:shd w:val="clear" w:color="auto" w:fill="FFFFFF"/>
        </w:rPr>
        <w:t>In 2016 the three forces (Surrey, Sussex and Thames Valley) took a decision to work collaboratively to jointly develop a new Enterprise Resource Planning (ERP) system to improve the way they do business and help improve efficiency. This programme was known as Equip. The ERP system aimed to replace back-office systems currently used across all three forces with new systems that are able to interact seamlessly with each other, reducing the need for duplication of information and thereby resulting in a more efficient way of working. This aimed to free up staff time to focus on preventing and detecting crime, protecting vulnerable people and keeping our communities safe. Following a competitive tender process, the forces have been working in partnership with KPMG on the programme since 2016.</w:t>
      </w:r>
    </w:p>
    <w:p w14:paraId="3B3EE837" w14:textId="77777777" w:rsidR="00EF7B6D" w:rsidRPr="00EF7B6D" w:rsidRDefault="00EF7B6D" w:rsidP="00EF7B6D">
      <w:pPr>
        <w:jc w:val="both"/>
        <w:rPr>
          <w:shd w:val="clear" w:color="auto" w:fill="FFFFFF"/>
        </w:rPr>
      </w:pPr>
    </w:p>
    <w:p w14:paraId="775F5686" w14:textId="77777777" w:rsidR="00EF7B6D" w:rsidRPr="00EF7B6D" w:rsidRDefault="00EF7B6D" w:rsidP="00EF7B6D">
      <w:pPr>
        <w:jc w:val="both"/>
      </w:pPr>
      <w:r w:rsidRPr="00EF7B6D">
        <w:t>In December 2020 the Chief Constables agreed that the ERP product developed by KPMG should be transferred to the three forces to mitigate against future financial risk. Following recommendation by the three force Chief Constables, approval was granted by the three PCCs. The forces have worked closely with KPMG to achieve the transfer of the ERP Software, Documentation and Licenced assets.</w:t>
      </w:r>
    </w:p>
    <w:p w14:paraId="1F875D00" w14:textId="77777777" w:rsidR="00EF7B6D" w:rsidRPr="00EF7B6D" w:rsidRDefault="00EF7B6D" w:rsidP="00EF7B6D">
      <w:pPr>
        <w:jc w:val="both"/>
      </w:pPr>
    </w:p>
    <w:p w14:paraId="27078877" w14:textId="77777777" w:rsidR="00EF7B6D" w:rsidRPr="00EF7B6D" w:rsidRDefault="00EF7B6D" w:rsidP="00EF7B6D">
      <w:pPr>
        <w:jc w:val="both"/>
      </w:pPr>
      <w:r w:rsidRPr="00EF7B6D">
        <w:t xml:space="preserve">Following closure of the tri-force Equip programme, a new Surrey &amp; Sussex ERP Programme has been set up to look at future ERP work. In Sussex and Surrey Police the respective Chief Constable’s and PCC’s are considering a range of options for use, development of the Equip assets and/or additional ERP solutions for enhanced functionality. Surrey Police bears 22% of the total partnership project costs.  </w:t>
      </w:r>
    </w:p>
    <w:p w14:paraId="670B114C" w14:textId="77777777" w:rsidR="00EF7B6D" w:rsidRPr="00EF7B6D" w:rsidRDefault="00EF7B6D" w:rsidP="00EF7B6D">
      <w:pPr>
        <w:jc w:val="both"/>
      </w:pPr>
    </w:p>
    <w:p w14:paraId="2EA3892C" w14:textId="77777777" w:rsidR="00EF7B6D" w:rsidRPr="00EF7B6D" w:rsidRDefault="00EF7B6D" w:rsidP="00EF7B6D">
      <w:pPr>
        <w:jc w:val="both"/>
      </w:pPr>
      <w:r w:rsidRPr="00EF7B6D">
        <w:t>Prior to 2020/21 Sussex Police and Surrey Police had spent £7.276m and £5.723m respectively on the Equip programme and this had been fully released to revenue on the basis that the end asset platform providing the software as a service to Sussex and Surrey would not be owned by Sussex Police or Surrey Police.</w:t>
      </w:r>
    </w:p>
    <w:p w14:paraId="52D21A6D" w14:textId="77777777" w:rsidR="00EF7B6D" w:rsidRPr="00EF7B6D" w:rsidRDefault="00EF7B6D" w:rsidP="00EF7B6D">
      <w:pPr>
        <w:jc w:val="both"/>
      </w:pPr>
    </w:p>
    <w:p w14:paraId="614C9F56" w14:textId="77777777" w:rsidR="00EF7B6D" w:rsidRPr="00EF7B6D" w:rsidRDefault="00EF7B6D" w:rsidP="00EF7B6D">
      <w:pPr>
        <w:jc w:val="both"/>
      </w:pPr>
      <w:r w:rsidRPr="00EF7B6D">
        <w:t>During 2020/21 Sussex Police spent a further £5.385m and Surrey Police spent a further £3.791m on the Equip programme. Sussex Police spent £2.752m of that amount on the capital asset purchase from KPMG whilst Surrey Police spent £1.918m of the total on the capital asset purchase from KPMG. All remaining amounts were revenue charges for the Equip team and related running costs during the year.</w:t>
      </w:r>
    </w:p>
    <w:p w14:paraId="53899AFB" w14:textId="77777777" w:rsidR="00EF7B6D" w:rsidRPr="00EF7B6D" w:rsidRDefault="00EF7B6D" w:rsidP="00EF7B6D">
      <w:pPr>
        <w:jc w:val="both"/>
      </w:pPr>
    </w:p>
    <w:p w14:paraId="610B68DF" w14:textId="77777777" w:rsidR="00EF7B6D" w:rsidRPr="00EF7B6D" w:rsidRDefault="00EF7B6D" w:rsidP="00EF7B6D">
      <w:pPr>
        <w:jc w:val="both"/>
      </w:pPr>
      <w:r w:rsidRPr="00EF7B6D">
        <w:t xml:space="preserve">No further sums will be spent on the Equip programme in 2021/22 or later years. </w:t>
      </w:r>
    </w:p>
    <w:p w14:paraId="0DC31D1D" w14:textId="77777777" w:rsidR="00EF7B6D" w:rsidRPr="00EF7B6D" w:rsidRDefault="00EF7B6D" w:rsidP="00EF7B6D">
      <w:pPr>
        <w:jc w:val="both"/>
      </w:pPr>
    </w:p>
    <w:p w14:paraId="11409CCE" w14:textId="77777777" w:rsidR="00EF7B6D" w:rsidRPr="00EF7B6D" w:rsidRDefault="00EF7B6D" w:rsidP="00EF7B6D">
      <w:pPr>
        <w:pStyle w:val="Style1"/>
        <w:numPr>
          <w:ilvl w:val="0"/>
          <w:numId w:val="21"/>
        </w:numPr>
        <w:ind w:left="360"/>
        <w:rPr>
          <w:rFonts w:ascii="Verdana" w:hAnsi="Verdana"/>
          <w:sz w:val="22"/>
          <w:szCs w:val="22"/>
        </w:rPr>
      </w:pPr>
      <w:r w:rsidRPr="00EF7B6D">
        <w:rPr>
          <w:rFonts w:ascii="Verdana" w:hAnsi="Verdana"/>
          <w:sz w:val="22"/>
          <w:szCs w:val="22"/>
        </w:rPr>
        <w:t>The Statement of Accounts</w:t>
      </w:r>
    </w:p>
    <w:p w14:paraId="76CC584F" w14:textId="77777777" w:rsidR="00EF7B6D" w:rsidRDefault="00EF7B6D" w:rsidP="00EF7B6D"/>
    <w:p w14:paraId="1864C7DC" w14:textId="77777777" w:rsidR="00EF7B6D" w:rsidRDefault="00EF7B6D" w:rsidP="00EF7B6D">
      <w:pPr>
        <w:jc w:val="both"/>
      </w:pPr>
      <w:r>
        <w:t>The Police Reform and Social Responsibility Act 2011 established the Police and Crime Commissioner and the Chief Constable as separate entities (known as ‘corporations sole’). As separate bodies, both the Commissioner and the Chief Constable are required to appoint their own Chief Finance Officers, each with statutory responsibilities, as being the person responsible for proper financial administration under the provisions of the Act. A consequence is also that each body is required to be subject to audit under the Local Audit and Accountability Act 2014 and are thus required to prepare a set of accounts. Additionally, the Commissioner, with his ultimate control over the Chief Constable’s resources, has to prepare group accounts.</w:t>
      </w:r>
    </w:p>
    <w:p w14:paraId="6D5411D2" w14:textId="77777777" w:rsidR="00EF7B6D" w:rsidRDefault="00EF7B6D" w:rsidP="00EF7B6D">
      <w:pPr>
        <w:jc w:val="both"/>
      </w:pPr>
    </w:p>
    <w:p w14:paraId="4D3C8965" w14:textId="77777777" w:rsidR="00EF7B6D" w:rsidRDefault="00EF7B6D" w:rsidP="00EF7B6D">
      <w:pPr>
        <w:jc w:val="both"/>
      </w:pPr>
      <w:r>
        <w:t>The Home Office has produced a Financial Management Code of Practice (FMCP) which sets out the responsibilities of the respective Chief Finance Officers. This was updated by the Home Office in 2018. The FMCP outlines how the two bodies should work together in managing the finances and covers such things as the Scheme of Corporate Governance which includes the Scheme of Consent, Financial Regulations and Contract Standing Orders and delegation which identifies the powers and responsibilities of each CFO.</w:t>
      </w:r>
    </w:p>
    <w:p w14:paraId="266FB4F2" w14:textId="77777777" w:rsidR="00EF7B6D" w:rsidRDefault="00EF7B6D" w:rsidP="00EF7B6D">
      <w:pPr>
        <w:jc w:val="both"/>
      </w:pPr>
    </w:p>
    <w:p w14:paraId="267D65CF" w14:textId="77777777" w:rsidR="00EF7B6D" w:rsidRDefault="00EF7B6D" w:rsidP="00EF7B6D">
      <w:pPr>
        <w:jc w:val="both"/>
      </w:pPr>
      <w:r>
        <w:t>All the financial transactions incurred during 2020/21 for policing Surrey have been recognised and recorded within this Statement of Accounts, which sets out the overall position of the PCC and the PCC Group for the year ending 31 March 2021. Where the Group position differs from the PCC position this is made clear in the statements and notes. Separate statutory accounts are prepared for the Chief Constable.</w:t>
      </w:r>
    </w:p>
    <w:p w14:paraId="33B76B06" w14:textId="77777777" w:rsidR="00EF7B6D" w:rsidRDefault="00EF7B6D" w:rsidP="00EF7B6D">
      <w:pPr>
        <w:jc w:val="both"/>
      </w:pPr>
    </w:p>
    <w:p w14:paraId="1E91A132" w14:textId="77777777" w:rsidR="00EF7B6D" w:rsidRDefault="00EF7B6D" w:rsidP="00EF7B6D">
      <w:pPr>
        <w:jc w:val="both"/>
      </w:pPr>
      <w:r>
        <w:t>The 2020/21 Financial Statements which follow this narrative report, have been prepared in accordance with the Code of Practice on Local Authority Accounting in the United Kingdom 2020/21 based on International Financial Reporting Standards issued by Chartered Institute of Public Finance &amp; Accountancy (CIPFA) and comprise of:</w:t>
      </w:r>
    </w:p>
    <w:p w14:paraId="53E1B0BD" w14:textId="77777777" w:rsidR="00EF7B6D" w:rsidRDefault="00EF7B6D" w:rsidP="00EF7B6D">
      <w:pPr>
        <w:jc w:val="both"/>
      </w:pPr>
    </w:p>
    <w:p w14:paraId="144617A2" w14:textId="77777777" w:rsidR="00EF7B6D" w:rsidRDefault="00EF7B6D" w:rsidP="00EF7B6D">
      <w:pPr>
        <w:jc w:val="both"/>
        <w:rPr>
          <w:b/>
        </w:rPr>
      </w:pPr>
      <w:r>
        <w:rPr>
          <w:b/>
        </w:rPr>
        <w:t>Movement in Reserves Statement (MIRS)</w:t>
      </w:r>
    </w:p>
    <w:p w14:paraId="60055494" w14:textId="77777777" w:rsidR="00EF7B6D" w:rsidRDefault="00EF7B6D" w:rsidP="00EF7B6D">
      <w:pPr>
        <w:jc w:val="both"/>
      </w:pPr>
      <w:r>
        <w:t xml:space="preserve">The Movement in Reserves Statement (MIRS) is a summary of the changes that have taken place in the bottom half of the Balance Sheet over the financial year. It shows the movement in the year on the different reserves, analysed into ‘usable reserves’ (i.e. those that can be applied to fund expenditure or reduce local taxation) and other reserves. </w:t>
      </w:r>
    </w:p>
    <w:p w14:paraId="478A8A7B" w14:textId="77777777" w:rsidR="00EF7B6D" w:rsidRDefault="00EF7B6D" w:rsidP="00EF7B6D">
      <w:pPr>
        <w:jc w:val="both"/>
      </w:pPr>
    </w:p>
    <w:p w14:paraId="28EF6CEC" w14:textId="77777777" w:rsidR="00EF7B6D" w:rsidRDefault="00EF7B6D" w:rsidP="00EF7B6D">
      <w:pPr>
        <w:jc w:val="both"/>
        <w:rPr>
          <w:b/>
        </w:rPr>
      </w:pPr>
      <w:r>
        <w:rPr>
          <w:b/>
        </w:rPr>
        <w:t>Comprehensive Income and Expenditure Statement (CIES)</w:t>
      </w:r>
    </w:p>
    <w:p w14:paraId="04326438" w14:textId="77777777" w:rsidR="00EF7B6D" w:rsidRDefault="00EF7B6D" w:rsidP="00EF7B6D">
      <w:pPr>
        <w:jc w:val="both"/>
      </w:pPr>
      <w:r>
        <w:t>The CIES consolidates all income, expenditure, gains and losses experienced during the financial year. This includes all day-to-day expenses and related income prepared on an accruals basis, as well as transactions measuring the value of fixed assets consumed and the real projected value of retirement benefits earned by employees in the year. The PCC raises taxation to cover expenditure in accordance with specific rules as to how tax rates are set in relation to the income and expenses of the Group. This means the expenditure covered by local taxation (funding basis) may be different to the full accounting cost recorded in the CIES (accounting basis). The adjustments between the funding basis and accounting basis are shown in the Movement in Reserves Statement (MIRS).</w:t>
      </w:r>
    </w:p>
    <w:p w14:paraId="1C3B5A97" w14:textId="77777777" w:rsidR="00EF7B6D" w:rsidRDefault="00EF7B6D" w:rsidP="00EF7B6D">
      <w:pPr>
        <w:jc w:val="both"/>
      </w:pPr>
    </w:p>
    <w:p w14:paraId="2C0F06B5" w14:textId="77777777" w:rsidR="00EF7B6D" w:rsidRDefault="00EF7B6D" w:rsidP="00EF7B6D">
      <w:pPr>
        <w:rPr>
          <w:b/>
        </w:rPr>
      </w:pPr>
      <w:r>
        <w:rPr>
          <w:b/>
        </w:rPr>
        <w:br w:type="page"/>
      </w:r>
    </w:p>
    <w:p w14:paraId="57811BE7" w14:textId="77777777" w:rsidR="00EF7B6D" w:rsidRDefault="00EF7B6D" w:rsidP="00EF7B6D">
      <w:pPr>
        <w:jc w:val="both"/>
        <w:rPr>
          <w:b/>
        </w:rPr>
      </w:pPr>
      <w:r>
        <w:rPr>
          <w:b/>
        </w:rPr>
        <w:t>Balance Sheet</w:t>
      </w:r>
    </w:p>
    <w:p w14:paraId="0F185812" w14:textId="77777777" w:rsidR="00EF7B6D" w:rsidRDefault="00EF7B6D" w:rsidP="00EF7B6D">
      <w:pPr>
        <w:jc w:val="both"/>
      </w:pPr>
      <w:r>
        <w:t>This shows the value of the assets and liabilities held as at 31 March for the current and prior years. The net liabilities (assets less liabilities) are matched by the total reserves.</w:t>
      </w:r>
    </w:p>
    <w:p w14:paraId="33F75446" w14:textId="77777777" w:rsidR="00EF7B6D" w:rsidRDefault="00EF7B6D" w:rsidP="00EF7B6D">
      <w:pPr>
        <w:jc w:val="both"/>
      </w:pPr>
      <w:r>
        <w:t xml:space="preserve"> </w:t>
      </w:r>
    </w:p>
    <w:p w14:paraId="3268E1F0" w14:textId="77777777" w:rsidR="00EF7B6D" w:rsidRDefault="00EF7B6D" w:rsidP="00EF7B6D">
      <w:pPr>
        <w:jc w:val="both"/>
        <w:rPr>
          <w:b/>
        </w:rPr>
      </w:pPr>
      <w:r>
        <w:rPr>
          <w:b/>
        </w:rPr>
        <w:t>Cash Flow Statement</w:t>
      </w:r>
    </w:p>
    <w:p w14:paraId="7CB08C3A" w14:textId="77777777" w:rsidR="00EF7B6D" w:rsidRDefault="00EF7B6D" w:rsidP="00EF7B6D">
      <w:pPr>
        <w:jc w:val="both"/>
      </w:pPr>
      <w:r>
        <w:t xml:space="preserve">This statement shows the changes in cash and cash equivalents of the PCC and PCC Group during the reporting period. The statement shows how the PCC and PCC Group generates and uses cash and cash equivalents by classifying cash flows as operating, investing and financing activities. </w:t>
      </w:r>
    </w:p>
    <w:p w14:paraId="1C007752" w14:textId="77777777" w:rsidR="00EF7B6D" w:rsidRDefault="00EF7B6D" w:rsidP="00EF7B6D">
      <w:pPr>
        <w:jc w:val="both"/>
      </w:pPr>
    </w:p>
    <w:p w14:paraId="58EE4E25" w14:textId="77777777" w:rsidR="00EF7B6D" w:rsidRDefault="00EF7B6D" w:rsidP="00EF7B6D">
      <w:pPr>
        <w:jc w:val="both"/>
        <w:rPr>
          <w:b/>
        </w:rPr>
      </w:pPr>
      <w:r>
        <w:rPr>
          <w:b/>
        </w:rPr>
        <w:t>Notes to the Accounts</w:t>
      </w:r>
    </w:p>
    <w:p w14:paraId="4938B49D" w14:textId="77777777" w:rsidR="00EF7B6D" w:rsidRDefault="00EF7B6D" w:rsidP="00EF7B6D">
      <w:pPr>
        <w:jc w:val="both"/>
      </w:pPr>
      <w:r>
        <w:t>These provide additional information to support the figures included in the financial statements and are designed to aid the reader. They comprise significant accounting policies and other explanatory information.</w:t>
      </w:r>
    </w:p>
    <w:p w14:paraId="1F75B657" w14:textId="77777777" w:rsidR="00EF7B6D" w:rsidRDefault="00EF7B6D" w:rsidP="00EF7B6D">
      <w:pPr>
        <w:jc w:val="both"/>
      </w:pPr>
    </w:p>
    <w:p w14:paraId="01E0F024" w14:textId="77777777" w:rsidR="00EF7B6D" w:rsidRDefault="00EF7B6D" w:rsidP="00EF7B6D">
      <w:pPr>
        <w:jc w:val="both"/>
        <w:rPr>
          <w:b/>
        </w:rPr>
      </w:pPr>
      <w:r>
        <w:rPr>
          <w:b/>
        </w:rPr>
        <w:t>Governance</w:t>
      </w:r>
    </w:p>
    <w:p w14:paraId="2D6941F6" w14:textId="77777777" w:rsidR="00EF7B6D" w:rsidRDefault="00EF7B6D" w:rsidP="00EF7B6D">
      <w:pPr>
        <w:jc w:val="both"/>
      </w:pPr>
      <w:r>
        <w:t xml:space="preserve">The accounts are subject to detailed review by an independent external auditor. The auditor provides assurance that the accounts provide a true and fair view of financial position, are prepared correctly, that proper accounting practices have been followed and that arrangements have been made for securing economy, efficiency and effectiveness in the use of resources. </w:t>
      </w:r>
    </w:p>
    <w:p w14:paraId="3A144CA4" w14:textId="77777777" w:rsidR="00EF7B6D" w:rsidRDefault="00EF7B6D" w:rsidP="00EF7B6D">
      <w:pPr>
        <w:jc w:val="both"/>
      </w:pPr>
    </w:p>
    <w:p w14:paraId="37CD0AFE" w14:textId="77777777" w:rsidR="00EF7B6D" w:rsidRDefault="00EF7B6D" w:rsidP="00EF7B6D">
      <w:pPr>
        <w:jc w:val="both"/>
      </w:pPr>
      <w:r>
        <w:t xml:space="preserve">In addition to the Financial Statements, the annual accounts include a Statement of Responsibilities for the Accounts and information on the Police Officer Pension Fund (providing statements for pension fund income and expenditure, assets and liabilities). </w:t>
      </w:r>
    </w:p>
    <w:p w14:paraId="502B7CD4" w14:textId="77777777" w:rsidR="00EF7B6D" w:rsidRDefault="00EF7B6D" w:rsidP="00EF7B6D">
      <w:pPr>
        <w:jc w:val="both"/>
        <w:rPr>
          <w:highlight w:val="yellow"/>
        </w:rPr>
      </w:pPr>
    </w:p>
    <w:p w14:paraId="2F60A097" w14:textId="77777777" w:rsidR="00EF7B6D" w:rsidRDefault="00EF7B6D" w:rsidP="00EF7B6D">
      <w:pPr>
        <w:pStyle w:val="Style1"/>
        <w:numPr>
          <w:ilvl w:val="0"/>
          <w:numId w:val="21"/>
        </w:numPr>
        <w:ind w:left="360"/>
        <w:rPr>
          <w:rFonts w:ascii="Verdana" w:hAnsi="Verdana"/>
          <w:sz w:val="22"/>
          <w:szCs w:val="22"/>
        </w:rPr>
      </w:pPr>
      <w:r>
        <w:rPr>
          <w:rFonts w:ascii="Verdana" w:hAnsi="Verdana"/>
          <w:sz w:val="22"/>
          <w:szCs w:val="22"/>
        </w:rPr>
        <w:t>Changes to the Accounts</w:t>
      </w:r>
    </w:p>
    <w:p w14:paraId="28FD96F3" w14:textId="77777777" w:rsidR="00EF7B6D" w:rsidRDefault="00EF7B6D" w:rsidP="00EF7B6D">
      <w:pPr>
        <w:jc w:val="both"/>
      </w:pPr>
    </w:p>
    <w:p w14:paraId="2394B6CE" w14:textId="77777777" w:rsidR="00EF7B6D" w:rsidRDefault="00EF7B6D" w:rsidP="00EF7B6D">
      <w:pPr>
        <w:jc w:val="both"/>
      </w:pPr>
      <w:r>
        <w:t>Due to the disruption caused by Covid-19, the statutory dates for publishing the accounts were changed again this year. The deadline for publishing the draft accounts was moved back to the 1</w:t>
      </w:r>
      <w:r>
        <w:rPr>
          <w:vertAlign w:val="superscript"/>
        </w:rPr>
        <w:t>st</w:t>
      </w:r>
      <w:r>
        <w:t xml:space="preserve"> August and the deadline for publishing the audited accounts was moved from to the 30</w:t>
      </w:r>
      <w:r>
        <w:rPr>
          <w:vertAlign w:val="superscript"/>
        </w:rPr>
        <w:t>th</w:t>
      </w:r>
      <w:r>
        <w:t xml:space="preserve"> September. </w:t>
      </w:r>
    </w:p>
    <w:p w14:paraId="1B35BE1A" w14:textId="77777777" w:rsidR="00EF7B6D" w:rsidRDefault="00EF7B6D" w:rsidP="00EF7B6D"/>
    <w:p w14:paraId="77CAA6EF" w14:textId="77777777" w:rsidR="00EF7B6D" w:rsidRDefault="00EF7B6D" w:rsidP="00EF7B6D">
      <w:pPr>
        <w:pStyle w:val="Style1"/>
        <w:numPr>
          <w:ilvl w:val="0"/>
          <w:numId w:val="21"/>
        </w:numPr>
        <w:ind w:left="360"/>
        <w:rPr>
          <w:rFonts w:ascii="Verdana" w:hAnsi="Verdana"/>
          <w:sz w:val="22"/>
          <w:szCs w:val="22"/>
        </w:rPr>
      </w:pPr>
      <w:r>
        <w:rPr>
          <w:rFonts w:ascii="Verdana" w:hAnsi="Verdana"/>
          <w:sz w:val="22"/>
          <w:szCs w:val="22"/>
        </w:rPr>
        <w:t>Significant changes in accounting policies</w:t>
      </w:r>
    </w:p>
    <w:p w14:paraId="34732792" w14:textId="77777777" w:rsidR="00EF7B6D" w:rsidRDefault="00EF7B6D" w:rsidP="00EF7B6D"/>
    <w:p w14:paraId="40C1D28C" w14:textId="77777777" w:rsidR="00EF7B6D" w:rsidRDefault="00EF7B6D" w:rsidP="00EF7B6D">
      <w:r>
        <w:t>There have been no significant changes in accounting policies in the year.</w:t>
      </w:r>
    </w:p>
    <w:p w14:paraId="66B71BC6" w14:textId="77777777" w:rsidR="00EF7B6D" w:rsidRDefault="00EF7B6D" w:rsidP="00EF7B6D">
      <w:pPr>
        <w:rPr>
          <w:b/>
        </w:rPr>
      </w:pPr>
    </w:p>
    <w:p w14:paraId="19B16FBF" w14:textId="77777777" w:rsidR="00EF7B6D" w:rsidRDefault="00EF7B6D" w:rsidP="00EF7B6D">
      <w:pPr>
        <w:rPr>
          <w:rFonts w:eastAsia="Times New Roman" w:cs="Arial"/>
          <w:b/>
          <w:lang w:eastAsia="en-GB"/>
        </w:rPr>
      </w:pPr>
      <w:r>
        <w:br w:type="page"/>
      </w:r>
    </w:p>
    <w:p w14:paraId="4718ACAE" w14:textId="77777777" w:rsidR="00EF7B6D" w:rsidRDefault="00EF7B6D" w:rsidP="00EF7B6D">
      <w:pPr>
        <w:pStyle w:val="Style1"/>
        <w:numPr>
          <w:ilvl w:val="0"/>
          <w:numId w:val="21"/>
        </w:numPr>
        <w:ind w:left="360"/>
        <w:rPr>
          <w:rFonts w:ascii="Verdana" w:hAnsi="Verdana"/>
          <w:sz w:val="22"/>
          <w:szCs w:val="22"/>
        </w:rPr>
      </w:pPr>
      <w:r>
        <w:rPr>
          <w:rFonts w:ascii="Verdana" w:hAnsi="Verdana"/>
          <w:sz w:val="22"/>
          <w:szCs w:val="22"/>
        </w:rPr>
        <w:t>Further Sources of Information</w:t>
      </w:r>
    </w:p>
    <w:p w14:paraId="18A57531" w14:textId="77777777" w:rsidR="00EF7B6D" w:rsidRDefault="00EF7B6D" w:rsidP="00EF7B6D"/>
    <w:p w14:paraId="1E8D9472" w14:textId="77777777" w:rsidR="00EF7B6D" w:rsidRDefault="00EF7B6D" w:rsidP="00EF7B6D">
      <w:pPr>
        <w:jc w:val="both"/>
      </w:pPr>
      <w:r>
        <w:t xml:space="preserve">Details of the PCC’s plans for revenue and capital expenditure in 2021/22 budget can be found in the Surrey Police and Crime Commissioner’s Precept Setting proposal. Whilst the annual budget is agreed by the PCC it is scrutinised by the Police and Crime Panel before a final decision is made. Copies of the documents can be obtained from the Office of the Police and Crime Commissioner for Surrey by telephoning: 01483 630200, or from the website at www.surrey-pcc.gov.uk. </w:t>
      </w:r>
    </w:p>
    <w:p w14:paraId="3884A35E" w14:textId="77777777" w:rsidR="00EF7B6D" w:rsidRDefault="00EF7B6D" w:rsidP="00EF7B6D">
      <w:pPr>
        <w:jc w:val="both"/>
      </w:pPr>
    </w:p>
    <w:p w14:paraId="537C31B4" w14:textId="77777777" w:rsidR="00EF7B6D" w:rsidRDefault="00EF7B6D" w:rsidP="00EF7B6D">
      <w:pPr>
        <w:jc w:val="both"/>
      </w:pPr>
      <w:r>
        <w:t xml:space="preserve">If you have any questions, comments or suggestions about these financial statements please contact us using the following email address: </w:t>
      </w:r>
      <w:hyperlink r:id="rId13" w:history="1">
        <w:r>
          <w:rPr>
            <w:rStyle w:val="Hyperlink"/>
          </w:rPr>
          <w:t>CorporateFinance@Surrey.pnn.police.uk</w:t>
        </w:r>
      </w:hyperlink>
      <w:r>
        <w:t>.</w:t>
      </w:r>
    </w:p>
    <w:p w14:paraId="5E8B9716" w14:textId="77777777" w:rsidR="00EF7B6D" w:rsidRDefault="00EF7B6D" w:rsidP="00EF7B6D">
      <w:pPr>
        <w:jc w:val="both"/>
        <w:rPr>
          <w:highlight w:val="yellow"/>
        </w:rPr>
      </w:pPr>
    </w:p>
    <w:p w14:paraId="2C3018E2" w14:textId="77777777" w:rsidR="00EF7B6D" w:rsidRDefault="00EF7B6D" w:rsidP="00EF7B6D"/>
    <w:p w14:paraId="4C377389" w14:textId="77777777" w:rsidR="00EF7B6D" w:rsidRDefault="00EF7B6D" w:rsidP="00EF7B6D">
      <w:pPr>
        <w:rPr>
          <w:noProof/>
          <w:lang w:val="en-GB" w:eastAsia="en-GB"/>
        </w:rPr>
      </w:pPr>
    </w:p>
    <w:p w14:paraId="06583C05" w14:textId="77777777" w:rsidR="00EF7B6D" w:rsidRDefault="00EF7B6D" w:rsidP="00EF7B6D"/>
    <w:p w14:paraId="020338DA" w14:textId="77777777" w:rsidR="00EF7B6D" w:rsidRDefault="00EF7B6D" w:rsidP="00EF7B6D"/>
    <w:p w14:paraId="50A8BD0A" w14:textId="77777777" w:rsidR="00EF7B6D" w:rsidRDefault="00EF7B6D" w:rsidP="00EF7B6D">
      <w:r>
        <w:rPr>
          <w:b/>
        </w:rPr>
        <w:t>Kelvin Menon</w:t>
      </w:r>
      <w:r>
        <w:t xml:space="preserve">, Chief Finance Officer, Office of the Police and Crime Commissioner for Surrey                   </w:t>
      </w:r>
      <w:r>
        <w:tab/>
        <w:t xml:space="preserve">             </w:t>
      </w:r>
    </w:p>
    <w:p w14:paraId="74690B2A" w14:textId="77777777" w:rsidR="00EF7B6D" w:rsidRDefault="00EF7B6D" w:rsidP="00EF7B6D">
      <w:pPr>
        <w:rPr>
          <w:highlight w:val="yellow"/>
        </w:rPr>
      </w:pPr>
      <w:r>
        <w:rPr>
          <w:highlight w:val="yellow"/>
        </w:rPr>
        <w:t xml:space="preserve">Date: </w:t>
      </w:r>
    </w:p>
    <w:p w14:paraId="132764F9" w14:textId="69594DF7" w:rsidR="00EF7B6D" w:rsidRPr="00EF7B6D" w:rsidRDefault="00EF7B6D" w:rsidP="00D91109">
      <w:pPr>
        <w:pStyle w:val="Default"/>
        <w:jc w:val="both"/>
        <w:rPr>
          <w:rFonts w:ascii="Verdana" w:hAnsi="Verdana"/>
          <w:b/>
          <w:bCs/>
          <w:sz w:val="22"/>
          <w:szCs w:val="22"/>
        </w:rPr>
      </w:pPr>
    </w:p>
    <w:p w14:paraId="2210EEB3" w14:textId="77777777" w:rsidR="00EF7B6D" w:rsidRPr="00EF7B6D" w:rsidRDefault="00EF7B6D" w:rsidP="00D91109">
      <w:pPr>
        <w:pStyle w:val="Default"/>
        <w:jc w:val="both"/>
        <w:rPr>
          <w:rFonts w:ascii="Verdana" w:hAnsi="Verdana"/>
          <w:b/>
          <w:bCs/>
          <w:sz w:val="22"/>
          <w:szCs w:val="22"/>
        </w:rPr>
      </w:pPr>
    </w:p>
    <w:p w14:paraId="1DE4AE28" w14:textId="77777777" w:rsidR="00EF7B6D" w:rsidRPr="00EF7B6D" w:rsidRDefault="00EF7B6D" w:rsidP="00D91109">
      <w:pPr>
        <w:pStyle w:val="Default"/>
        <w:jc w:val="both"/>
        <w:rPr>
          <w:rFonts w:ascii="Verdana" w:hAnsi="Verdana"/>
          <w:b/>
          <w:bCs/>
          <w:sz w:val="22"/>
          <w:szCs w:val="22"/>
        </w:rPr>
      </w:pPr>
    </w:p>
    <w:p w14:paraId="28F6004D" w14:textId="77777777" w:rsidR="00EF7B6D" w:rsidRDefault="00EF7B6D" w:rsidP="000D6EF8">
      <w:pPr>
        <w:rPr>
          <w:highlight w:val="yellow"/>
        </w:rPr>
      </w:pPr>
    </w:p>
    <w:p w14:paraId="218EA6AA" w14:textId="7EA20711" w:rsidR="00781162" w:rsidRPr="003516A4" w:rsidRDefault="005272A1" w:rsidP="000D6EF8">
      <w:pPr>
        <w:rPr>
          <w:rFonts w:asciiTheme="majorHAnsi" w:eastAsiaTheme="majorEastAsia" w:hAnsiTheme="majorHAnsi" w:cstheme="majorBidi"/>
          <w:color w:val="2E74B5" w:themeColor="accent1" w:themeShade="BF"/>
          <w:sz w:val="32"/>
          <w:szCs w:val="32"/>
          <w:highlight w:val="yellow"/>
        </w:rPr>
      </w:pPr>
      <w:r w:rsidRPr="003516A4" w:rsidDel="005272A1">
        <w:rPr>
          <w:highlight w:val="yellow"/>
        </w:rPr>
        <w:t xml:space="preserve"> </w:t>
      </w:r>
      <w:r w:rsidR="00781162" w:rsidRPr="003516A4">
        <w:rPr>
          <w:highlight w:val="yellow"/>
        </w:rPr>
        <w:br w:type="page"/>
      </w:r>
    </w:p>
    <w:p w14:paraId="789C9DFF" w14:textId="77777777" w:rsidR="00CA6653" w:rsidRPr="003516A4" w:rsidRDefault="00CA6653" w:rsidP="00A31A9E">
      <w:pPr>
        <w:pStyle w:val="Heading1"/>
        <w:rPr>
          <w:highlight w:val="yellow"/>
        </w:rPr>
      </w:pPr>
      <w:bookmarkStart w:id="5" w:name="_Toc75122762"/>
      <w:r w:rsidRPr="003516A4">
        <w:rPr>
          <w:highlight w:val="yellow"/>
        </w:rPr>
        <w:t>External Auditor’s Report</w:t>
      </w:r>
      <w:bookmarkEnd w:id="5"/>
    </w:p>
    <w:p w14:paraId="2B664277" w14:textId="624F46F2" w:rsidR="002C25DC" w:rsidRPr="003516A4" w:rsidRDefault="006673FE">
      <w:pPr>
        <w:pStyle w:val="Normal0"/>
        <w:rPr>
          <w:rFonts w:ascii="Verdana" w:eastAsia="Calibri" w:hAnsi="Verdana" w:cs="Times New Roman"/>
          <w:highlight w:val="yellow"/>
        </w:rPr>
      </w:pPr>
      <w:r>
        <w:rPr>
          <w:rFonts w:ascii="Verdana" w:eastAsia="Calibri" w:hAnsi="Verdana" w:cs="Times New Roman"/>
          <w:highlight w:val="yellow"/>
        </w:rPr>
        <w:t>This page is deliberately blank until the External Audit has been completed</w:t>
      </w:r>
    </w:p>
    <w:p w14:paraId="0D108867" w14:textId="77777777" w:rsidR="002C25DC" w:rsidRPr="003516A4" w:rsidRDefault="002C25DC">
      <w:pPr>
        <w:pStyle w:val="Normal0"/>
        <w:rPr>
          <w:rFonts w:ascii="Verdana" w:eastAsia="Calibri" w:hAnsi="Verdana" w:cs="Times New Roman"/>
          <w:highlight w:val="yellow"/>
        </w:rPr>
      </w:pPr>
    </w:p>
    <w:p w14:paraId="4E4DA199" w14:textId="77777777" w:rsidR="002C25DC" w:rsidRPr="003516A4" w:rsidRDefault="002C25DC">
      <w:pPr>
        <w:pStyle w:val="Normal0"/>
        <w:rPr>
          <w:rFonts w:ascii="Verdana" w:eastAsia="Calibri" w:hAnsi="Verdana" w:cs="Times New Roman"/>
          <w:highlight w:val="yellow"/>
        </w:rPr>
      </w:pPr>
    </w:p>
    <w:p w14:paraId="133D3DAE" w14:textId="77777777" w:rsidR="002C25DC" w:rsidRPr="003516A4" w:rsidRDefault="002C25DC">
      <w:pPr>
        <w:pStyle w:val="Normal0"/>
        <w:rPr>
          <w:rFonts w:ascii="Verdana" w:eastAsia="Calibri" w:hAnsi="Verdana" w:cs="Times New Roman"/>
          <w:highlight w:val="yellow"/>
        </w:rPr>
      </w:pPr>
    </w:p>
    <w:p w14:paraId="2F74008C" w14:textId="77777777" w:rsidR="002C25DC" w:rsidRPr="003516A4" w:rsidRDefault="002C25DC">
      <w:pPr>
        <w:pStyle w:val="Normal0"/>
        <w:rPr>
          <w:rFonts w:ascii="Verdana" w:eastAsia="Calibri" w:hAnsi="Verdana" w:cs="Times New Roman"/>
          <w:highlight w:val="yellow"/>
        </w:rPr>
      </w:pPr>
    </w:p>
    <w:p w14:paraId="1045C784" w14:textId="77777777" w:rsidR="002C25DC" w:rsidRPr="003516A4" w:rsidRDefault="002C25DC">
      <w:pPr>
        <w:pStyle w:val="Normal0"/>
        <w:rPr>
          <w:rFonts w:ascii="Verdana" w:eastAsia="Calibri" w:hAnsi="Verdana" w:cs="Times New Roman"/>
          <w:highlight w:val="yellow"/>
        </w:rPr>
      </w:pPr>
    </w:p>
    <w:p w14:paraId="6003BF75" w14:textId="77777777" w:rsidR="002C25DC" w:rsidRPr="003516A4" w:rsidRDefault="002C25DC">
      <w:pPr>
        <w:pStyle w:val="Normal0"/>
        <w:rPr>
          <w:rFonts w:ascii="Verdana" w:eastAsia="Calibri" w:hAnsi="Verdana" w:cs="Times New Roman"/>
          <w:highlight w:val="yellow"/>
        </w:rPr>
      </w:pPr>
    </w:p>
    <w:p w14:paraId="0AD4E7AA" w14:textId="77777777" w:rsidR="002C25DC" w:rsidRPr="003516A4" w:rsidRDefault="002C25DC">
      <w:pPr>
        <w:pStyle w:val="Normal0"/>
        <w:rPr>
          <w:rFonts w:ascii="Verdana" w:eastAsia="Calibri" w:hAnsi="Verdana" w:cs="Times New Roman"/>
          <w:highlight w:val="yellow"/>
        </w:rPr>
      </w:pPr>
    </w:p>
    <w:p w14:paraId="24C81769" w14:textId="77777777" w:rsidR="002C25DC" w:rsidRPr="003516A4" w:rsidRDefault="002C25DC">
      <w:pPr>
        <w:pStyle w:val="Normal0"/>
        <w:rPr>
          <w:rFonts w:ascii="Verdana" w:eastAsia="Calibri" w:hAnsi="Verdana" w:cs="Times New Roman"/>
          <w:highlight w:val="yellow"/>
        </w:rPr>
      </w:pPr>
    </w:p>
    <w:p w14:paraId="2B36E8E5" w14:textId="77777777" w:rsidR="002C25DC" w:rsidRPr="003516A4" w:rsidRDefault="002C25DC">
      <w:pPr>
        <w:pStyle w:val="Normal0"/>
        <w:rPr>
          <w:rFonts w:ascii="Verdana" w:eastAsia="Calibri" w:hAnsi="Verdana" w:cs="Times New Roman"/>
          <w:highlight w:val="yellow"/>
        </w:rPr>
      </w:pPr>
    </w:p>
    <w:p w14:paraId="7491532F" w14:textId="77777777" w:rsidR="002C25DC" w:rsidRPr="003516A4" w:rsidRDefault="002C25DC">
      <w:pPr>
        <w:pStyle w:val="Normal0"/>
        <w:rPr>
          <w:rFonts w:ascii="Verdana" w:eastAsia="Calibri" w:hAnsi="Verdana" w:cs="Times New Roman"/>
          <w:highlight w:val="yellow"/>
        </w:rPr>
      </w:pPr>
    </w:p>
    <w:p w14:paraId="0631228C" w14:textId="77777777" w:rsidR="002C25DC" w:rsidRPr="003516A4" w:rsidRDefault="002C25DC">
      <w:pPr>
        <w:pStyle w:val="Normal0"/>
        <w:rPr>
          <w:rFonts w:ascii="Verdana" w:eastAsia="Calibri" w:hAnsi="Verdana" w:cs="Times New Roman"/>
          <w:highlight w:val="yellow"/>
        </w:rPr>
      </w:pPr>
    </w:p>
    <w:p w14:paraId="2606FAB3" w14:textId="77777777" w:rsidR="002C25DC" w:rsidRPr="003516A4" w:rsidRDefault="002C25DC">
      <w:pPr>
        <w:pStyle w:val="Normal0"/>
        <w:rPr>
          <w:rFonts w:ascii="Verdana" w:eastAsia="Calibri" w:hAnsi="Verdana" w:cs="Times New Roman"/>
          <w:highlight w:val="yellow"/>
        </w:rPr>
      </w:pPr>
    </w:p>
    <w:p w14:paraId="74CC7473" w14:textId="77777777" w:rsidR="002C25DC" w:rsidRPr="003516A4" w:rsidRDefault="002C25DC">
      <w:pPr>
        <w:pStyle w:val="Normal0"/>
        <w:rPr>
          <w:rFonts w:ascii="Verdana" w:eastAsia="Calibri" w:hAnsi="Verdana" w:cs="Times New Roman"/>
          <w:highlight w:val="yellow"/>
        </w:rPr>
      </w:pPr>
    </w:p>
    <w:p w14:paraId="629C4E4B" w14:textId="77777777" w:rsidR="002C25DC" w:rsidRPr="003516A4" w:rsidRDefault="002C25DC">
      <w:pPr>
        <w:pStyle w:val="Normal0"/>
        <w:rPr>
          <w:rFonts w:ascii="Verdana" w:eastAsia="Calibri" w:hAnsi="Verdana" w:cs="Times New Roman"/>
          <w:highlight w:val="yellow"/>
        </w:rPr>
      </w:pPr>
    </w:p>
    <w:p w14:paraId="21749074" w14:textId="77777777" w:rsidR="002C25DC" w:rsidRPr="003516A4" w:rsidRDefault="002C25DC">
      <w:pPr>
        <w:pStyle w:val="Normal0"/>
        <w:rPr>
          <w:rFonts w:ascii="Verdana" w:eastAsia="Calibri" w:hAnsi="Verdana" w:cs="Times New Roman"/>
          <w:highlight w:val="yellow"/>
        </w:rPr>
      </w:pPr>
    </w:p>
    <w:p w14:paraId="0FD679A0" w14:textId="77777777" w:rsidR="002C25DC" w:rsidRPr="003516A4" w:rsidRDefault="002C25DC">
      <w:pPr>
        <w:pStyle w:val="Normal0"/>
        <w:rPr>
          <w:rFonts w:ascii="Verdana" w:eastAsia="Calibri" w:hAnsi="Verdana" w:cs="Times New Roman"/>
          <w:highlight w:val="yellow"/>
        </w:rPr>
      </w:pPr>
    </w:p>
    <w:p w14:paraId="3204AD8B" w14:textId="77777777" w:rsidR="002C25DC" w:rsidRPr="003516A4" w:rsidRDefault="002C25DC">
      <w:pPr>
        <w:pStyle w:val="Normal0"/>
        <w:rPr>
          <w:rFonts w:ascii="Verdana" w:eastAsia="Calibri" w:hAnsi="Verdana" w:cs="Times New Roman"/>
          <w:highlight w:val="yellow"/>
        </w:rPr>
      </w:pPr>
    </w:p>
    <w:p w14:paraId="78826CBC" w14:textId="77777777" w:rsidR="002C25DC" w:rsidRPr="003516A4" w:rsidRDefault="002C25DC">
      <w:pPr>
        <w:pStyle w:val="Normal0"/>
        <w:rPr>
          <w:rFonts w:ascii="Verdana" w:eastAsia="Calibri" w:hAnsi="Verdana" w:cs="Times New Roman"/>
          <w:highlight w:val="yellow"/>
        </w:rPr>
      </w:pPr>
    </w:p>
    <w:p w14:paraId="3E924DD3" w14:textId="77777777" w:rsidR="002C25DC" w:rsidRPr="003516A4" w:rsidRDefault="002C25DC">
      <w:pPr>
        <w:pStyle w:val="Normal0"/>
        <w:rPr>
          <w:rFonts w:ascii="Verdana" w:eastAsia="Calibri" w:hAnsi="Verdana" w:cs="Times New Roman"/>
          <w:highlight w:val="yellow"/>
        </w:rPr>
      </w:pPr>
    </w:p>
    <w:p w14:paraId="0DC0764A" w14:textId="77777777" w:rsidR="00EB0E41" w:rsidRDefault="00EB0E41">
      <w:pPr>
        <w:rPr>
          <w:rFonts w:eastAsia="Calibri" w:cs="Times New Roman"/>
          <w:sz w:val="20"/>
          <w:szCs w:val="20"/>
          <w:highlight w:val="yellow"/>
        </w:rPr>
      </w:pPr>
      <w:r>
        <w:rPr>
          <w:rFonts w:eastAsia="Calibri" w:cs="Times New Roman"/>
          <w:highlight w:val="yellow"/>
        </w:rPr>
        <w:br w:type="page"/>
      </w:r>
    </w:p>
    <w:p w14:paraId="2B86B82C" w14:textId="77777777" w:rsidR="00EB0E41" w:rsidRPr="000A76E3" w:rsidRDefault="00EB0E41" w:rsidP="00EB0E41">
      <w:pPr>
        <w:pStyle w:val="Heading1"/>
        <w:spacing w:after="0"/>
      </w:pPr>
      <w:bookmarkStart w:id="6" w:name="_Toc71295611"/>
      <w:bookmarkStart w:id="7" w:name="_Toc75122763"/>
      <w:r w:rsidRPr="000A76E3">
        <w:t>Statements of Responsibilities</w:t>
      </w:r>
      <w:bookmarkEnd w:id="6"/>
      <w:bookmarkEnd w:id="7"/>
    </w:p>
    <w:p w14:paraId="6A5427CE" w14:textId="77777777" w:rsidR="00EB0E41" w:rsidRPr="000A76E3" w:rsidRDefault="00EB0E41" w:rsidP="00EB0E41">
      <w:pPr>
        <w:pStyle w:val="Normal00"/>
        <w:rPr>
          <w:rFonts w:ascii="Verdana" w:eastAsia="Times New Roman" w:hAnsi="Verdana" w:cs="Times New Roman"/>
          <w:bCs/>
          <w:color w:val="8496B0" w:themeColor="text2" w:themeTint="99"/>
          <w:sz w:val="22"/>
          <w:szCs w:val="22"/>
          <w:lang w:val="en-GB" w:eastAsia="en-GB"/>
        </w:rPr>
      </w:pPr>
      <w:r w:rsidRPr="000A76E3">
        <w:rPr>
          <w:rFonts w:ascii="Verdana" w:eastAsia="Times New Roman" w:hAnsi="Verdana" w:cs="Times New Roman"/>
          <w:bCs/>
          <w:color w:val="2E74B5" w:themeColor="accent1" w:themeShade="BF"/>
          <w:sz w:val="22"/>
          <w:szCs w:val="22"/>
          <w:lang w:val="en-GB" w:eastAsia="en-GB"/>
        </w:rPr>
        <w:t>This section explains the responsibilities for managing the financial affairs of the Police and Crime Commissioner</w:t>
      </w:r>
      <w:r w:rsidRPr="000A76E3">
        <w:rPr>
          <w:rFonts w:ascii="Verdana" w:eastAsia="Times New Roman" w:hAnsi="Verdana" w:cs="Times New Roman"/>
          <w:bCs/>
          <w:color w:val="8496B0" w:themeColor="text2" w:themeTint="99"/>
          <w:sz w:val="22"/>
          <w:szCs w:val="22"/>
          <w:lang w:val="en-GB" w:eastAsia="en-GB"/>
        </w:rPr>
        <w:t xml:space="preserve"> </w:t>
      </w:r>
    </w:p>
    <w:p w14:paraId="3987F00A" w14:textId="77777777" w:rsidR="00EB0E41" w:rsidRPr="000A76E3" w:rsidRDefault="00EB0E41" w:rsidP="00EB0E41">
      <w:pPr>
        <w:pStyle w:val="Normal00"/>
        <w:rPr>
          <w:rFonts w:eastAsia="Times New Roman" w:cs="Arial"/>
          <w:b/>
          <w:color w:val="8496B0" w:themeColor="text2" w:themeTint="99"/>
          <w:szCs w:val="22"/>
          <w:lang w:val="en-GB" w:eastAsia="en-GB"/>
        </w:rPr>
      </w:pPr>
    </w:p>
    <w:p w14:paraId="2F10802F" w14:textId="53D19B90" w:rsidR="00EB0E41" w:rsidRPr="000A76E3" w:rsidRDefault="00EB0E41" w:rsidP="00EB0E41">
      <w:pPr>
        <w:pStyle w:val="Normal00"/>
        <w:spacing w:after="120"/>
        <w:rPr>
          <w:rFonts w:ascii="Verdana" w:eastAsia="Times New Roman" w:hAnsi="Verdana" w:cs="Arial"/>
          <w:b/>
          <w:color w:val="8496B0" w:themeColor="text2" w:themeTint="99"/>
          <w:sz w:val="22"/>
          <w:szCs w:val="22"/>
        </w:rPr>
      </w:pPr>
      <w:r w:rsidRPr="000A76E3">
        <w:rPr>
          <w:rFonts w:ascii="Verdana" w:hAnsi="Verdana"/>
          <w:noProof/>
          <w:color w:val="2E74B5" w:themeColor="accent1" w:themeShade="BF"/>
          <w:sz w:val="22"/>
          <w:szCs w:val="22"/>
          <w:lang w:val="en-GB" w:eastAsia="en-GB"/>
        </w:rPr>
        <mc:AlternateContent>
          <mc:Choice Requires="wps">
            <w:drawing>
              <wp:anchor distT="0" distB="0" distL="114300" distR="114300" simplePos="0" relativeHeight="251660288" behindDoc="0" locked="0" layoutInCell="1" allowOverlap="1" wp14:anchorId="1F5EA3D5" wp14:editId="0CBFF840">
                <wp:simplePos x="0" y="0"/>
                <wp:positionH relativeFrom="column">
                  <wp:posOffset>6019800</wp:posOffset>
                </wp:positionH>
                <wp:positionV relativeFrom="paragraph">
                  <wp:posOffset>24130</wp:posOffset>
                </wp:positionV>
                <wp:extent cx="2295525" cy="1714500"/>
                <wp:effectExtent l="0" t="0" r="28575" b="19050"/>
                <wp:wrapNone/>
                <wp:docPr id="7442556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714500"/>
                        </a:xfrm>
                        <a:prstGeom prst="rect">
                          <a:avLst/>
                        </a:prstGeom>
                        <a:solidFill>
                          <a:srgbClr val="FFFFFF"/>
                        </a:solidFill>
                        <a:ln w="9525">
                          <a:solidFill>
                            <a:srgbClr val="000000"/>
                          </a:solidFill>
                          <a:miter lim="800000"/>
                          <a:headEnd/>
                          <a:tailEnd/>
                        </a:ln>
                      </wps:spPr>
                      <wps:txbx>
                        <w:txbxContent>
                          <w:p w14:paraId="7B833F19" w14:textId="13058A21" w:rsidR="008C3196" w:rsidRPr="00EB0E41" w:rsidRDefault="008C3196" w:rsidP="00EB0E41">
                            <w:pPr>
                              <w:pStyle w:val="Normal00"/>
                              <w:rPr>
                                <w:rFonts w:ascii="Verdana" w:eastAsia="Times New Roman" w:hAnsi="Verdana" w:cs="Arial"/>
                                <w:sz w:val="18"/>
                                <w:szCs w:val="18"/>
                              </w:rPr>
                            </w:pPr>
                            <w:r w:rsidRPr="00EB0E41">
                              <w:rPr>
                                <w:rFonts w:ascii="Verdana" w:eastAsia="Times New Roman" w:hAnsi="Verdana" w:cs="Arial"/>
                                <w:sz w:val="18"/>
                                <w:szCs w:val="18"/>
                              </w:rPr>
                              <w:t>I approve the Statement of Accounts for the year ended 31 March 202</w:t>
                            </w:r>
                            <w:r>
                              <w:rPr>
                                <w:rFonts w:ascii="Verdana" w:eastAsia="Times New Roman" w:hAnsi="Verdana" w:cs="Arial"/>
                                <w:sz w:val="18"/>
                                <w:szCs w:val="18"/>
                              </w:rPr>
                              <w:t>1</w:t>
                            </w:r>
                          </w:p>
                          <w:p w14:paraId="7518AA86" w14:textId="77777777" w:rsidR="008C3196" w:rsidRPr="00EB0E41" w:rsidRDefault="008C3196" w:rsidP="00EB0E41">
                            <w:pPr>
                              <w:pStyle w:val="Normal0"/>
                              <w:rPr>
                                <w:rFonts w:ascii="Verdana" w:hAnsi="Verdana"/>
                                <w:lang w:val="en-GB" w:eastAsia="en-GB"/>
                              </w:rPr>
                            </w:pPr>
                          </w:p>
                          <w:p w14:paraId="4E52CE0A" w14:textId="77777777" w:rsidR="008C3196" w:rsidRPr="00EB0E41" w:rsidRDefault="008C3196" w:rsidP="00EB0E41">
                            <w:pPr>
                              <w:pStyle w:val="Normal0"/>
                              <w:rPr>
                                <w:rFonts w:ascii="Verdana" w:hAnsi="Verdana"/>
                                <w:noProof/>
                                <w:lang w:val="en-GB" w:eastAsia="en-GB"/>
                              </w:rPr>
                            </w:pPr>
                          </w:p>
                          <w:p w14:paraId="59B73D1C" w14:textId="77777777" w:rsidR="008C3196" w:rsidRPr="00EB0E41" w:rsidRDefault="008C3196" w:rsidP="00EB0E41">
                            <w:pPr>
                              <w:pStyle w:val="Normal0"/>
                              <w:rPr>
                                <w:rFonts w:ascii="Verdana" w:hAnsi="Verdana"/>
                                <w:lang w:val="en-GB" w:eastAsia="en-GB"/>
                              </w:rPr>
                            </w:pPr>
                          </w:p>
                          <w:p w14:paraId="65B02F17" w14:textId="075C6F29" w:rsidR="008C3196" w:rsidRPr="00EB0E41" w:rsidRDefault="008C3196" w:rsidP="00EB0E41">
                            <w:pPr>
                              <w:pStyle w:val="Normal00"/>
                              <w:rPr>
                                <w:rFonts w:ascii="Verdana" w:eastAsia="Times New Roman" w:hAnsi="Verdana" w:cs="Times New Roman"/>
                                <w:sz w:val="18"/>
                                <w:szCs w:val="18"/>
                              </w:rPr>
                            </w:pPr>
                            <w:r>
                              <w:rPr>
                                <w:rFonts w:ascii="Verdana" w:eastAsia="Times New Roman" w:hAnsi="Verdana" w:cs="Times New Roman"/>
                                <w:sz w:val="18"/>
                                <w:szCs w:val="18"/>
                              </w:rPr>
                              <w:t>Lisa Townsend</w:t>
                            </w:r>
                          </w:p>
                          <w:p w14:paraId="330B6FFB" w14:textId="77777777" w:rsidR="008C3196" w:rsidRPr="00EB0E41" w:rsidRDefault="008C3196" w:rsidP="00EB0E41">
                            <w:pPr>
                              <w:pStyle w:val="Normal0"/>
                              <w:rPr>
                                <w:rFonts w:ascii="Verdana" w:hAnsi="Verdana"/>
                                <w:sz w:val="18"/>
                                <w:szCs w:val="18"/>
                              </w:rPr>
                            </w:pPr>
                            <w:r w:rsidRPr="00EB0E41">
                              <w:rPr>
                                <w:rFonts w:ascii="Verdana" w:hAnsi="Verdana"/>
                                <w:sz w:val="18"/>
                                <w:szCs w:val="18"/>
                              </w:rPr>
                              <w:t>Police and Crime Commissioner for Surrey</w:t>
                            </w:r>
                          </w:p>
                          <w:p w14:paraId="58D3B5DE" w14:textId="77777777" w:rsidR="008C3196" w:rsidRPr="00EB0E41" w:rsidRDefault="008C3196" w:rsidP="00EB0E41">
                            <w:pPr>
                              <w:pStyle w:val="Normal00"/>
                              <w:rPr>
                                <w:rFonts w:ascii="Verdana" w:eastAsia="Times New Roman" w:hAnsi="Verdana" w:cs="Times New Roman"/>
                                <w:sz w:val="18"/>
                                <w:szCs w:val="18"/>
                              </w:rPr>
                            </w:pPr>
                            <w:r w:rsidRPr="00EB0E41">
                              <w:rPr>
                                <w:rFonts w:ascii="Verdana" w:eastAsia="Times New Roman" w:hAnsi="Verdana" w:cs="Times New Roman"/>
                                <w:sz w:val="18"/>
                                <w:szCs w:val="18"/>
                              </w:rPr>
                              <w:t xml:space="preserve">Dated:  </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EA3D5" id="_x0000_t202" coordsize="21600,21600" o:spt="202" path="m,l,21600r21600,l21600,xe">
                <v:stroke joinstyle="miter"/>
                <v:path gradientshapeok="t" o:connecttype="rect"/>
              </v:shapetype>
              <v:shape id="Text Box 8" o:spid="_x0000_s1026" type="#_x0000_t202" style="position:absolute;margin-left:474pt;margin-top:1.9pt;width:180.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">
                <v:textbox>
                  <w:txbxContent>
                    <w:p w14:paraId="7B833F19" w14:textId="13058A21" w:rsidR="008C3196" w:rsidRPr="00EB0E41" w:rsidRDefault="008C3196" w:rsidP="00EB0E41">
                      <w:pPr>
                        <w:pStyle w:val="Normal00"/>
                        <w:rPr>
                          <w:rFonts w:ascii="Verdana" w:eastAsia="Times New Roman" w:hAnsi="Verdana" w:cs="Arial"/>
                          <w:sz w:val="18"/>
                          <w:szCs w:val="18"/>
                        </w:rPr>
                      </w:pPr>
                      <w:r w:rsidRPr="00EB0E41">
                        <w:rPr>
                          <w:rFonts w:ascii="Verdana" w:eastAsia="Times New Roman" w:hAnsi="Verdana" w:cs="Arial"/>
                          <w:sz w:val="18"/>
                          <w:szCs w:val="18"/>
                        </w:rPr>
                        <w:t>I approve the Statement of Accounts for the year ended 31 March 202</w:t>
                      </w:r>
                      <w:r>
                        <w:rPr>
                          <w:rFonts w:ascii="Verdana" w:eastAsia="Times New Roman" w:hAnsi="Verdana" w:cs="Arial"/>
                          <w:sz w:val="18"/>
                          <w:szCs w:val="18"/>
                        </w:rPr>
                        <w:t>1</w:t>
                      </w:r>
                    </w:p>
                    <w:p w14:paraId="7518AA86" w14:textId="77777777" w:rsidR="008C3196" w:rsidRPr="00EB0E41" w:rsidRDefault="008C3196" w:rsidP="00EB0E41">
                      <w:pPr>
                        <w:pStyle w:val="Normal0"/>
                        <w:rPr>
                          <w:rFonts w:ascii="Verdana" w:hAnsi="Verdana"/>
                          <w:lang w:val="en-GB" w:eastAsia="en-GB"/>
                        </w:rPr>
                      </w:pPr>
                    </w:p>
                    <w:p w14:paraId="4E52CE0A" w14:textId="77777777" w:rsidR="008C3196" w:rsidRPr="00EB0E41" w:rsidRDefault="008C3196" w:rsidP="00EB0E41">
                      <w:pPr>
                        <w:pStyle w:val="Normal0"/>
                        <w:rPr>
                          <w:rFonts w:ascii="Verdana" w:hAnsi="Verdana"/>
                          <w:noProof/>
                          <w:lang w:val="en-GB" w:eastAsia="en-GB"/>
                        </w:rPr>
                      </w:pPr>
                    </w:p>
                    <w:p w14:paraId="59B73D1C" w14:textId="77777777" w:rsidR="008C3196" w:rsidRPr="00EB0E41" w:rsidRDefault="008C3196" w:rsidP="00EB0E41">
                      <w:pPr>
                        <w:pStyle w:val="Normal0"/>
                        <w:rPr>
                          <w:rFonts w:ascii="Verdana" w:hAnsi="Verdana"/>
                          <w:lang w:val="en-GB" w:eastAsia="en-GB"/>
                        </w:rPr>
                      </w:pPr>
                    </w:p>
                    <w:p w14:paraId="65B02F17" w14:textId="075C6F29" w:rsidR="008C3196" w:rsidRPr="00EB0E41" w:rsidRDefault="008C3196" w:rsidP="00EB0E41">
                      <w:pPr>
                        <w:pStyle w:val="Normal00"/>
                        <w:rPr>
                          <w:rFonts w:ascii="Verdana" w:eastAsia="Times New Roman" w:hAnsi="Verdana" w:cs="Times New Roman"/>
                          <w:sz w:val="18"/>
                          <w:szCs w:val="18"/>
                        </w:rPr>
                      </w:pPr>
                      <w:r>
                        <w:rPr>
                          <w:rFonts w:ascii="Verdana" w:eastAsia="Times New Roman" w:hAnsi="Verdana" w:cs="Times New Roman"/>
                          <w:sz w:val="18"/>
                          <w:szCs w:val="18"/>
                        </w:rPr>
                        <w:t>Lisa Townsend</w:t>
                      </w:r>
                    </w:p>
                    <w:p w14:paraId="330B6FFB" w14:textId="77777777" w:rsidR="008C3196" w:rsidRPr="00EB0E41" w:rsidRDefault="008C3196" w:rsidP="00EB0E41">
                      <w:pPr>
                        <w:pStyle w:val="Normal0"/>
                        <w:rPr>
                          <w:rFonts w:ascii="Verdana" w:hAnsi="Verdana"/>
                          <w:sz w:val="18"/>
                          <w:szCs w:val="18"/>
                        </w:rPr>
                      </w:pPr>
                      <w:r w:rsidRPr="00EB0E41">
                        <w:rPr>
                          <w:rFonts w:ascii="Verdana" w:hAnsi="Verdana"/>
                          <w:sz w:val="18"/>
                          <w:szCs w:val="18"/>
                        </w:rPr>
                        <w:t>Police and Crime Commissioner for Surrey</w:t>
                      </w:r>
                    </w:p>
                    <w:p w14:paraId="58D3B5DE" w14:textId="77777777" w:rsidR="008C3196" w:rsidRPr="00EB0E41" w:rsidRDefault="008C3196" w:rsidP="00EB0E41">
                      <w:pPr>
                        <w:pStyle w:val="Normal00"/>
                        <w:rPr>
                          <w:rFonts w:ascii="Verdana" w:eastAsia="Times New Roman" w:hAnsi="Verdana" w:cs="Times New Roman"/>
                          <w:sz w:val="18"/>
                          <w:szCs w:val="18"/>
                        </w:rPr>
                      </w:pPr>
                      <w:r w:rsidRPr="00EB0E41">
                        <w:rPr>
                          <w:rFonts w:ascii="Verdana" w:eastAsia="Times New Roman" w:hAnsi="Verdana" w:cs="Times New Roman"/>
                          <w:sz w:val="18"/>
                          <w:szCs w:val="18"/>
                        </w:rPr>
                        <w:t xml:space="preserve">Dated:  </w:t>
                      </w:r>
                    </w:p>
                  </w:txbxContent>
                </v:textbox>
              </v:shape>
            </w:pict>
          </mc:Fallback>
        </mc:AlternateContent>
      </w:r>
      <w:r w:rsidR="000A76E3" w:rsidRPr="000A76E3">
        <w:rPr>
          <w:rFonts w:ascii="Verdana" w:eastAsia="Times New Roman" w:hAnsi="Verdana" w:cs="Arial"/>
          <w:b/>
          <w:color w:val="2E74B5" w:themeColor="accent1" w:themeShade="BF"/>
          <w:sz w:val="22"/>
          <w:szCs w:val="22"/>
        </w:rPr>
        <w:t>Responsibilities of t</w:t>
      </w:r>
      <w:r w:rsidRPr="000A76E3">
        <w:rPr>
          <w:rFonts w:ascii="Verdana" w:eastAsia="Times New Roman" w:hAnsi="Verdana" w:cs="Arial"/>
          <w:b/>
          <w:color w:val="2E74B5" w:themeColor="accent1" w:themeShade="BF"/>
          <w:sz w:val="22"/>
          <w:szCs w:val="22"/>
        </w:rPr>
        <w:t>he Police and Crime Commissioner</w:t>
      </w:r>
      <w:r w:rsidR="000A76E3" w:rsidRPr="000A76E3">
        <w:rPr>
          <w:rFonts w:ascii="Verdana" w:eastAsia="Times New Roman" w:hAnsi="Verdana" w:cs="Arial"/>
          <w:b/>
          <w:color w:val="2E74B5" w:themeColor="accent1" w:themeShade="BF"/>
          <w:sz w:val="22"/>
          <w:szCs w:val="22"/>
        </w:rPr>
        <w:t>:</w:t>
      </w:r>
    </w:p>
    <w:p w14:paraId="271248AB" w14:textId="77777777" w:rsidR="00EB0E41" w:rsidRPr="000A76E3" w:rsidRDefault="00EB0E41" w:rsidP="00EB0E41">
      <w:pPr>
        <w:ind w:left="357" w:hanging="357"/>
        <w:rPr>
          <w:b/>
        </w:rPr>
      </w:pPr>
      <w:r w:rsidRPr="000A76E3">
        <w:rPr>
          <w:b/>
        </w:rPr>
        <w:t>The Police and Crime Commissioner is required to:</w:t>
      </w:r>
      <w:r w:rsidRPr="000A76E3">
        <w:rPr>
          <w:noProof/>
          <w:lang w:val="en-GB" w:eastAsia="en-GB"/>
        </w:rPr>
        <w:t xml:space="preserve"> </w:t>
      </w:r>
    </w:p>
    <w:p w14:paraId="037A8771" w14:textId="77777777" w:rsidR="00EB0E41" w:rsidRPr="000A76E3" w:rsidRDefault="00EB0E41" w:rsidP="00EB0E41">
      <w:pPr>
        <w:pStyle w:val="ListParagraph"/>
        <w:numPr>
          <w:ilvl w:val="0"/>
          <w:numId w:val="0"/>
        </w:numPr>
        <w:ind w:left="357" w:right="4820"/>
        <w:jc w:val="both"/>
        <w:rPr>
          <w:sz w:val="22"/>
        </w:rPr>
      </w:pPr>
    </w:p>
    <w:p w14:paraId="0EAA99D3" w14:textId="4235E0B4" w:rsidR="00EB0E41" w:rsidRPr="000A76E3" w:rsidRDefault="000A76E3" w:rsidP="00EB0E41">
      <w:pPr>
        <w:pStyle w:val="ListParagraph"/>
        <w:numPr>
          <w:ilvl w:val="0"/>
          <w:numId w:val="2"/>
        </w:numPr>
        <w:ind w:left="357" w:right="4820" w:hanging="357"/>
        <w:jc w:val="both"/>
        <w:rPr>
          <w:b/>
          <w:sz w:val="22"/>
        </w:rPr>
      </w:pPr>
      <w:r w:rsidRPr="000A76E3">
        <w:rPr>
          <w:sz w:val="22"/>
        </w:rPr>
        <w:t xml:space="preserve">To </w:t>
      </w:r>
      <w:r w:rsidR="00EB0E41" w:rsidRPr="000A76E3">
        <w:rPr>
          <w:sz w:val="22"/>
        </w:rPr>
        <w:t>make arrangements for the proper administration of its financial affairs and to ensure that one of its officers has the responsibility for the administration of those affairs. That officer is the Chief Finance Officer;</w:t>
      </w:r>
    </w:p>
    <w:p w14:paraId="41DBE7BA" w14:textId="239AC951" w:rsidR="00EB0E41" w:rsidRPr="000A76E3" w:rsidRDefault="000A76E3" w:rsidP="00EB0E41">
      <w:pPr>
        <w:pStyle w:val="ListParagraph"/>
        <w:numPr>
          <w:ilvl w:val="0"/>
          <w:numId w:val="2"/>
        </w:numPr>
        <w:ind w:left="357" w:right="4820" w:hanging="357"/>
        <w:jc w:val="both"/>
        <w:rPr>
          <w:b/>
          <w:sz w:val="22"/>
        </w:rPr>
      </w:pPr>
      <w:r w:rsidRPr="000A76E3">
        <w:rPr>
          <w:sz w:val="22"/>
        </w:rPr>
        <w:t xml:space="preserve">To </w:t>
      </w:r>
      <w:r w:rsidR="00EB0E41" w:rsidRPr="000A76E3">
        <w:rPr>
          <w:sz w:val="22"/>
        </w:rPr>
        <w:t>manage its affairs to secure economic, efficient and effective use of resources and safeguard its assets; and</w:t>
      </w:r>
      <w:bookmarkStart w:id="8" w:name="_GoBack_6"/>
    </w:p>
    <w:bookmarkEnd w:id="8"/>
    <w:p w14:paraId="2C55ADA1" w14:textId="78C55D52" w:rsidR="00EB0E41" w:rsidRPr="000A76E3" w:rsidRDefault="000A76E3" w:rsidP="00EB0E41">
      <w:pPr>
        <w:pStyle w:val="ListParagraph"/>
        <w:numPr>
          <w:ilvl w:val="0"/>
          <w:numId w:val="2"/>
        </w:numPr>
        <w:ind w:left="357" w:right="4820" w:hanging="357"/>
        <w:jc w:val="both"/>
        <w:rPr>
          <w:sz w:val="22"/>
        </w:rPr>
      </w:pPr>
      <w:r w:rsidRPr="000A76E3">
        <w:rPr>
          <w:sz w:val="22"/>
        </w:rPr>
        <w:t xml:space="preserve">To </w:t>
      </w:r>
      <w:r w:rsidR="00EB0E41" w:rsidRPr="000A76E3">
        <w:rPr>
          <w:sz w:val="22"/>
        </w:rPr>
        <w:t>approve the Statement of Accounts.</w:t>
      </w:r>
    </w:p>
    <w:p w14:paraId="6DF2B1E8" w14:textId="77777777" w:rsidR="00EB0E41" w:rsidRPr="000A76E3" w:rsidRDefault="00EB0E41" w:rsidP="00EB0E41">
      <w:pPr>
        <w:pStyle w:val="Normal00"/>
        <w:ind w:left="-160"/>
        <w:rPr>
          <w:rFonts w:ascii="Verdana" w:eastAsia="Times New Roman" w:hAnsi="Verdana" w:cs="Arial"/>
          <w:sz w:val="22"/>
          <w:szCs w:val="22"/>
          <w:lang w:val="en-GB" w:eastAsia="en-GB"/>
        </w:rPr>
      </w:pPr>
    </w:p>
    <w:p w14:paraId="12A008DF" w14:textId="120AF32A" w:rsidR="00EB0E41" w:rsidRPr="000A76E3" w:rsidRDefault="000A76E3" w:rsidP="00EB0E41">
      <w:pPr>
        <w:pStyle w:val="Normal00"/>
        <w:spacing w:after="120"/>
        <w:ind w:left="-160" w:firstLine="160"/>
        <w:rPr>
          <w:rFonts w:ascii="Verdana" w:eastAsia="Times New Roman" w:hAnsi="Verdana" w:cs="Arial"/>
          <w:b/>
          <w:color w:val="8496B0" w:themeColor="text2" w:themeTint="99"/>
          <w:sz w:val="22"/>
          <w:szCs w:val="22"/>
        </w:rPr>
      </w:pPr>
      <w:r w:rsidRPr="000A76E3">
        <w:rPr>
          <w:rFonts w:ascii="Verdana" w:eastAsia="Times New Roman" w:hAnsi="Verdana" w:cs="Arial"/>
          <w:b/>
          <w:color w:val="2E74B5" w:themeColor="accent1" w:themeShade="BF"/>
          <w:sz w:val="22"/>
          <w:szCs w:val="22"/>
        </w:rPr>
        <w:t xml:space="preserve">Responsibilities of the </w:t>
      </w:r>
      <w:r w:rsidR="00EB0E41" w:rsidRPr="000A76E3">
        <w:rPr>
          <w:rFonts w:ascii="Verdana" w:eastAsia="Times New Roman" w:hAnsi="Verdana" w:cs="Arial"/>
          <w:b/>
          <w:color w:val="2E74B5" w:themeColor="accent1" w:themeShade="BF"/>
          <w:sz w:val="22"/>
          <w:szCs w:val="22"/>
        </w:rPr>
        <w:t>Chief Finance Officer</w:t>
      </w:r>
      <w:r w:rsidRPr="000A76E3">
        <w:rPr>
          <w:rFonts w:ascii="Verdana" w:eastAsia="Times New Roman" w:hAnsi="Verdana" w:cs="Arial"/>
          <w:b/>
          <w:color w:val="2E74B5" w:themeColor="accent1" w:themeShade="BF"/>
          <w:sz w:val="22"/>
          <w:szCs w:val="22"/>
        </w:rPr>
        <w:t>:</w:t>
      </w:r>
    </w:p>
    <w:p w14:paraId="20810298" w14:textId="77777777" w:rsidR="00EB0E41" w:rsidRPr="000A76E3" w:rsidRDefault="00EB0E41" w:rsidP="00EB0E41">
      <w:pPr>
        <w:pStyle w:val="Normal00"/>
        <w:spacing w:after="120"/>
        <w:ind w:right="5160"/>
        <w:rPr>
          <w:rFonts w:ascii="Verdana" w:eastAsia="Times New Roman" w:hAnsi="Verdana" w:cs="Arial"/>
          <w:b/>
          <w:sz w:val="22"/>
          <w:szCs w:val="22"/>
        </w:rPr>
      </w:pPr>
      <w:r w:rsidRPr="000A76E3">
        <w:rPr>
          <w:rFonts w:ascii="Verdana" w:hAnsi="Verdana"/>
          <w:noProof/>
          <w:sz w:val="22"/>
          <w:szCs w:val="22"/>
          <w:lang w:val="en-GB" w:eastAsia="en-GB"/>
        </w:rPr>
        <mc:AlternateContent>
          <mc:Choice Requires="wps">
            <w:drawing>
              <wp:anchor distT="0" distB="0" distL="114300" distR="114300" simplePos="0" relativeHeight="251659264" behindDoc="0" locked="0" layoutInCell="1" allowOverlap="1" wp14:anchorId="3BA368DF" wp14:editId="06FB00A4">
                <wp:simplePos x="0" y="0"/>
                <wp:positionH relativeFrom="column">
                  <wp:posOffset>5992238</wp:posOffset>
                </wp:positionH>
                <wp:positionV relativeFrom="paragraph">
                  <wp:posOffset>48341</wp:posOffset>
                </wp:positionV>
                <wp:extent cx="2305685" cy="2529192"/>
                <wp:effectExtent l="0" t="0" r="18415" b="2413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2529192"/>
                        </a:xfrm>
                        <a:prstGeom prst="rect">
                          <a:avLst/>
                        </a:prstGeom>
                        <a:solidFill>
                          <a:srgbClr val="FFFFFF"/>
                        </a:solidFill>
                        <a:ln w="9525">
                          <a:solidFill>
                            <a:srgbClr val="000000"/>
                          </a:solidFill>
                          <a:miter lim="800000"/>
                          <a:headEnd/>
                          <a:tailEnd/>
                        </a:ln>
                      </wps:spPr>
                      <wps:txbx>
                        <w:txbxContent>
                          <w:p w14:paraId="68C154FF" w14:textId="05DA521E" w:rsidR="008C3196" w:rsidRPr="00EB0E41" w:rsidRDefault="008C3196" w:rsidP="00EB0E41">
                            <w:pPr>
                              <w:pStyle w:val="Normal00"/>
                              <w:rPr>
                                <w:rFonts w:ascii="Verdana" w:eastAsia="Times New Roman" w:hAnsi="Verdana" w:cs="Arial"/>
                                <w:sz w:val="18"/>
                                <w:szCs w:val="18"/>
                              </w:rPr>
                            </w:pPr>
                            <w:r w:rsidRPr="00EB0E41">
                              <w:rPr>
                                <w:rFonts w:ascii="Verdana" w:eastAsia="Times New Roman" w:hAnsi="Verdana" w:cs="Arial"/>
                                <w:sz w:val="18"/>
                                <w:szCs w:val="18"/>
                              </w:rPr>
                              <w:t>I certify that the Statement of Accounts gives a true and fair view of the financial position of the PCC for Surrey and the Group at the accounting date and of the income and expenditure for the year ended 31 March 202</w:t>
                            </w:r>
                            <w:r>
                              <w:rPr>
                                <w:rFonts w:ascii="Verdana" w:eastAsia="Times New Roman" w:hAnsi="Verdana" w:cs="Arial"/>
                                <w:sz w:val="18"/>
                                <w:szCs w:val="18"/>
                              </w:rPr>
                              <w:t>1</w:t>
                            </w:r>
                            <w:r w:rsidRPr="00EB0E41">
                              <w:rPr>
                                <w:rFonts w:ascii="Verdana" w:eastAsia="Times New Roman" w:hAnsi="Verdana" w:cs="Arial"/>
                                <w:sz w:val="18"/>
                                <w:szCs w:val="18"/>
                              </w:rPr>
                              <w:t>.</w:t>
                            </w:r>
                          </w:p>
                          <w:p w14:paraId="5BE6972C" w14:textId="77777777" w:rsidR="008C3196" w:rsidRPr="00EB0E41" w:rsidRDefault="008C3196" w:rsidP="00EB0E41">
                            <w:pPr>
                              <w:pStyle w:val="Normal0"/>
                              <w:rPr>
                                <w:rFonts w:ascii="Verdana" w:hAnsi="Verdana"/>
                                <w:lang w:val="en-GB" w:eastAsia="en-GB"/>
                              </w:rPr>
                            </w:pPr>
                          </w:p>
                          <w:p w14:paraId="38425956" w14:textId="77777777" w:rsidR="008C3196" w:rsidRPr="00EB0E41" w:rsidRDefault="008C3196" w:rsidP="00EB0E41">
                            <w:pPr>
                              <w:pStyle w:val="Normal0"/>
                              <w:rPr>
                                <w:rFonts w:ascii="Verdana" w:hAnsi="Verdana"/>
                                <w:lang w:val="en-GB" w:eastAsia="en-GB"/>
                              </w:rPr>
                            </w:pPr>
                          </w:p>
                          <w:p w14:paraId="646A16BA" w14:textId="77777777" w:rsidR="008C3196" w:rsidRPr="00EB0E41" w:rsidRDefault="008C3196" w:rsidP="00EB0E41">
                            <w:pPr>
                              <w:pStyle w:val="Normal0"/>
                              <w:rPr>
                                <w:rFonts w:ascii="Verdana" w:hAnsi="Verdana"/>
                                <w:lang w:val="en-GB" w:eastAsia="en-GB"/>
                              </w:rPr>
                            </w:pPr>
                          </w:p>
                          <w:p w14:paraId="54F6B948" w14:textId="77777777" w:rsidR="008C3196" w:rsidRPr="00EB0E41" w:rsidRDefault="008C3196" w:rsidP="00EB0E41">
                            <w:pPr>
                              <w:pStyle w:val="Normal0"/>
                              <w:rPr>
                                <w:rFonts w:ascii="Verdana" w:hAnsi="Verdana"/>
                                <w:lang w:val="en-GB" w:eastAsia="en-GB"/>
                              </w:rPr>
                            </w:pPr>
                          </w:p>
                          <w:p w14:paraId="182EE596" w14:textId="77777777" w:rsidR="008C3196" w:rsidRPr="00EB0E41" w:rsidRDefault="008C3196" w:rsidP="00EB0E41">
                            <w:pPr>
                              <w:pStyle w:val="Normal0"/>
                              <w:rPr>
                                <w:rFonts w:ascii="Verdana" w:hAnsi="Verdana"/>
                                <w:lang w:val="en-GB" w:eastAsia="en-GB"/>
                              </w:rPr>
                            </w:pPr>
                          </w:p>
                          <w:p w14:paraId="5A2A6A95" w14:textId="77777777" w:rsidR="008C3196" w:rsidRPr="00EB0E41" w:rsidRDefault="008C3196" w:rsidP="00EB0E41">
                            <w:pPr>
                              <w:pStyle w:val="Normal00"/>
                              <w:rPr>
                                <w:rFonts w:ascii="Verdana" w:eastAsia="Times New Roman" w:hAnsi="Verdana" w:cs="Times New Roman"/>
                                <w:sz w:val="18"/>
                                <w:szCs w:val="18"/>
                              </w:rPr>
                            </w:pPr>
                            <w:r w:rsidRPr="00EB0E41">
                              <w:rPr>
                                <w:rFonts w:ascii="Verdana" w:eastAsia="Times New Roman" w:hAnsi="Verdana" w:cs="Times New Roman"/>
                                <w:sz w:val="18"/>
                                <w:szCs w:val="18"/>
                              </w:rPr>
                              <w:t>Kelvin Menon FCPFA</w:t>
                            </w:r>
                          </w:p>
                          <w:p w14:paraId="2847ADB9" w14:textId="77777777" w:rsidR="008C3196" w:rsidRPr="00EB0E41" w:rsidRDefault="008C3196" w:rsidP="00EB0E41">
                            <w:pPr>
                              <w:pStyle w:val="Normal00"/>
                              <w:rPr>
                                <w:rFonts w:ascii="Verdana" w:eastAsia="Times New Roman" w:hAnsi="Verdana" w:cs="Times New Roman"/>
                                <w:sz w:val="18"/>
                                <w:szCs w:val="18"/>
                              </w:rPr>
                            </w:pPr>
                            <w:r w:rsidRPr="00EB0E41">
                              <w:rPr>
                                <w:rFonts w:ascii="Verdana" w:eastAsia="Times New Roman" w:hAnsi="Verdana" w:cs="Times New Roman"/>
                                <w:sz w:val="18"/>
                                <w:szCs w:val="18"/>
                              </w:rPr>
                              <w:t>Chief Finance Officer</w:t>
                            </w:r>
                          </w:p>
                          <w:p w14:paraId="60E052A5" w14:textId="77777777" w:rsidR="008C3196" w:rsidRPr="00597AB3" w:rsidRDefault="008C3196" w:rsidP="00EB0E41">
                            <w:pPr>
                              <w:pStyle w:val="Normal00"/>
                              <w:rPr>
                                <w:rFonts w:eastAsia="Times New Roman" w:cs="Times New Roman"/>
                                <w:sz w:val="18"/>
                                <w:szCs w:val="18"/>
                              </w:rPr>
                            </w:pPr>
                            <w:r w:rsidRPr="00EB0E41">
                              <w:rPr>
                                <w:rFonts w:ascii="Verdana" w:eastAsia="Times New Roman" w:hAnsi="Verdana" w:cs="Times New Roman"/>
                                <w:sz w:val="18"/>
                                <w:szCs w:val="18"/>
                              </w:rPr>
                              <w:t>Dated:</w:t>
                            </w:r>
                            <w:r w:rsidRPr="00B61258">
                              <w:rPr>
                                <w:rFonts w:eastAsia="Times New Roman" w:cs="Times New Roman"/>
                                <w:sz w:val="18"/>
                                <w:szCs w:val="18"/>
                              </w:rPr>
                              <w:t xml:space="preserve">  </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68DF" id="_x0000_s1027" type="#_x0000_t202" style="position:absolute;margin-left:471.85pt;margin-top:3.8pt;width:181.55pt;height:19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">
                <v:textbox>
                  <w:txbxContent>
                    <w:p w14:paraId="68C154FF" w14:textId="05DA521E" w:rsidR="008C3196" w:rsidRPr="00EB0E41" w:rsidRDefault="008C3196" w:rsidP="00EB0E41">
                      <w:pPr>
                        <w:pStyle w:val="Normal00"/>
                        <w:rPr>
                          <w:rFonts w:ascii="Verdana" w:eastAsia="Times New Roman" w:hAnsi="Verdana" w:cs="Arial"/>
                          <w:sz w:val="18"/>
                          <w:szCs w:val="18"/>
                        </w:rPr>
                      </w:pPr>
                      <w:r w:rsidRPr="00EB0E41">
                        <w:rPr>
                          <w:rFonts w:ascii="Verdana" w:eastAsia="Times New Roman" w:hAnsi="Verdana" w:cs="Arial"/>
                          <w:sz w:val="18"/>
                          <w:szCs w:val="18"/>
                        </w:rPr>
                        <w:t>I certify that the Statement of Accounts gives a true and fair view of the financial position of the PCC for Surrey and the Group at the accounting date and of the income and expenditure for the year ended 31 March 202</w:t>
                      </w:r>
                      <w:r>
                        <w:rPr>
                          <w:rFonts w:ascii="Verdana" w:eastAsia="Times New Roman" w:hAnsi="Verdana" w:cs="Arial"/>
                          <w:sz w:val="18"/>
                          <w:szCs w:val="18"/>
                        </w:rPr>
                        <w:t>1</w:t>
                      </w:r>
                      <w:r w:rsidRPr="00EB0E41">
                        <w:rPr>
                          <w:rFonts w:ascii="Verdana" w:eastAsia="Times New Roman" w:hAnsi="Verdana" w:cs="Arial"/>
                          <w:sz w:val="18"/>
                          <w:szCs w:val="18"/>
                        </w:rPr>
                        <w:t>.</w:t>
                      </w:r>
                    </w:p>
                    <w:p w14:paraId="5BE6972C" w14:textId="77777777" w:rsidR="008C3196" w:rsidRPr="00EB0E41" w:rsidRDefault="008C3196" w:rsidP="00EB0E41">
                      <w:pPr>
                        <w:pStyle w:val="Normal0"/>
                        <w:rPr>
                          <w:rFonts w:ascii="Verdana" w:hAnsi="Verdana"/>
                          <w:lang w:val="en-GB" w:eastAsia="en-GB"/>
                        </w:rPr>
                      </w:pPr>
                    </w:p>
                    <w:p w14:paraId="38425956" w14:textId="77777777" w:rsidR="008C3196" w:rsidRPr="00EB0E41" w:rsidRDefault="008C3196" w:rsidP="00EB0E41">
                      <w:pPr>
                        <w:pStyle w:val="Normal0"/>
                        <w:rPr>
                          <w:rFonts w:ascii="Verdana" w:hAnsi="Verdana"/>
                          <w:lang w:val="en-GB" w:eastAsia="en-GB"/>
                        </w:rPr>
                      </w:pPr>
                    </w:p>
                    <w:p w14:paraId="646A16BA" w14:textId="77777777" w:rsidR="008C3196" w:rsidRPr="00EB0E41" w:rsidRDefault="008C3196" w:rsidP="00EB0E41">
                      <w:pPr>
                        <w:pStyle w:val="Normal0"/>
                        <w:rPr>
                          <w:rFonts w:ascii="Verdana" w:hAnsi="Verdana"/>
                          <w:lang w:val="en-GB" w:eastAsia="en-GB"/>
                        </w:rPr>
                      </w:pPr>
                    </w:p>
                    <w:p w14:paraId="54F6B948" w14:textId="77777777" w:rsidR="008C3196" w:rsidRPr="00EB0E41" w:rsidRDefault="008C3196" w:rsidP="00EB0E41">
                      <w:pPr>
                        <w:pStyle w:val="Normal0"/>
                        <w:rPr>
                          <w:rFonts w:ascii="Verdana" w:hAnsi="Verdana"/>
                          <w:lang w:val="en-GB" w:eastAsia="en-GB"/>
                        </w:rPr>
                      </w:pPr>
                    </w:p>
                    <w:p w14:paraId="182EE596" w14:textId="77777777" w:rsidR="008C3196" w:rsidRPr="00EB0E41" w:rsidRDefault="008C3196" w:rsidP="00EB0E41">
                      <w:pPr>
                        <w:pStyle w:val="Normal0"/>
                        <w:rPr>
                          <w:rFonts w:ascii="Verdana" w:hAnsi="Verdana"/>
                          <w:lang w:val="en-GB" w:eastAsia="en-GB"/>
                        </w:rPr>
                      </w:pPr>
                    </w:p>
                    <w:p w14:paraId="5A2A6A95" w14:textId="77777777" w:rsidR="008C3196" w:rsidRPr="00EB0E41" w:rsidRDefault="008C3196" w:rsidP="00EB0E41">
                      <w:pPr>
                        <w:pStyle w:val="Normal00"/>
                        <w:rPr>
                          <w:rFonts w:ascii="Verdana" w:eastAsia="Times New Roman" w:hAnsi="Verdana" w:cs="Times New Roman"/>
                          <w:sz w:val="18"/>
                          <w:szCs w:val="18"/>
                        </w:rPr>
                      </w:pPr>
                      <w:r w:rsidRPr="00EB0E41">
                        <w:rPr>
                          <w:rFonts w:ascii="Verdana" w:eastAsia="Times New Roman" w:hAnsi="Verdana" w:cs="Times New Roman"/>
                          <w:sz w:val="18"/>
                          <w:szCs w:val="18"/>
                        </w:rPr>
                        <w:t>Kelvin Menon FCPFA</w:t>
                      </w:r>
                    </w:p>
                    <w:p w14:paraId="2847ADB9" w14:textId="77777777" w:rsidR="008C3196" w:rsidRPr="00EB0E41" w:rsidRDefault="008C3196" w:rsidP="00EB0E41">
                      <w:pPr>
                        <w:pStyle w:val="Normal00"/>
                        <w:rPr>
                          <w:rFonts w:ascii="Verdana" w:eastAsia="Times New Roman" w:hAnsi="Verdana" w:cs="Times New Roman"/>
                          <w:sz w:val="18"/>
                          <w:szCs w:val="18"/>
                        </w:rPr>
                      </w:pPr>
                      <w:r w:rsidRPr="00EB0E41">
                        <w:rPr>
                          <w:rFonts w:ascii="Verdana" w:eastAsia="Times New Roman" w:hAnsi="Verdana" w:cs="Times New Roman"/>
                          <w:sz w:val="18"/>
                          <w:szCs w:val="18"/>
                        </w:rPr>
                        <w:t>Chief Finance Officer</w:t>
                      </w:r>
                    </w:p>
                    <w:p w14:paraId="60E052A5" w14:textId="77777777" w:rsidR="008C3196" w:rsidRPr="00597AB3" w:rsidRDefault="008C3196" w:rsidP="00EB0E41">
                      <w:pPr>
                        <w:pStyle w:val="Normal00"/>
                        <w:rPr>
                          <w:rFonts w:eastAsia="Times New Roman" w:cs="Times New Roman"/>
                          <w:sz w:val="18"/>
                          <w:szCs w:val="18"/>
                        </w:rPr>
                      </w:pPr>
                      <w:r w:rsidRPr="00EB0E41">
                        <w:rPr>
                          <w:rFonts w:ascii="Verdana" w:eastAsia="Times New Roman" w:hAnsi="Verdana" w:cs="Times New Roman"/>
                          <w:sz w:val="18"/>
                          <w:szCs w:val="18"/>
                        </w:rPr>
                        <w:t>Dated:</w:t>
                      </w:r>
                      <w:r w:rsidRPr="00B61258">
                        <w:rPr>
                          <w:rFonts w:eastAsia="Times New Roman" w:cs="Times New Roman"/>
                          <w:sz w:val="18"/>
                          <w:szCs w:val="18"/>
                        </w:rPr>
                        <w:t xml:space="preserve">  </w:t>
                      </w:r>
                    </w:p>
                  </w:txbxContent>
                </v:textbox>
              </v:shape>
            </w:pict>
          </mc:Fallback>
        </mc:AlternateContent>
      </w:r>
      <w:r w:rsidRPr="000A76E3">
        <w:rPr>
          <w:rFonts w:ascii="Verdana" w:eastAsia="Times New Roman" w:hAnsi="Verdana" w:cs="Arial"/>
          <w:b/>
          <w:sz w:val="22"/>
          <w:szCs w:val="22"/>
        </w:rPr>
        <w:t xml:space="preserve">The Chief Finance Officer is responsible for: </w:t>
      </w:r>
    </w:p>
    <w:p w14:paraId="104D41CF" w14:textId="509D8524" w:rsidR="00EB0E41" w:rsidRPr="000A76E3" w:rsidRDefault="000A76E3" w:rsidP="00EB0E41">
      <w:pPr>
        <w:pStyle w:val="ListParagraph"/>
        <w:numPr>
          <w:ilvl w:val="0"/>
          <w:numId w:val="2"/>
        </w:numPr>
        <w:ind w:left="357" w:right="4820" w:hanging="357"/>
        <w:jc w:val="both"/>
        <w:rPr>
          <w:sz w:val="22"/>
        </w:rPr>
      </w:pPr>
      <w:r w:rsidRPr="000A76E3">
        <w:rPr>
          <w:sz w:val="22"/>
        </w:rPr>
        <w:t>P</w:t>
      </w:r>
      <w:r w:rsidR="00EB0E41" w:rsidRPr="000A76E3">
        <w:rPr>
          <w:sz w:val="22"/>
        </w:rPr>
        <w:t>reparation of the Statement of Accounts for the Police and Crime Commissioner in accordance with proper practices as set out in the CIPFA/LASAAC Code of Practice on Local Authority Accounting in the United Kingdom (‘the Code’).</w:t>
      </w:r>
    </w:p>
    <w:p w14:paraId="7EE26BB3" w14:textId="77777777" w:rsidR="00EB0E41" w:rsidRPr="000A76E3" w:rsidRDefault="00EB0E41" w:rsidP="00EB0E41">
      <w:pPr>
        <w:pStyle w:val="ListParagraph"/>
        <w:numPr>
          <w:ilvl w:val="0"/>
          <w:numId w:val="0"/>
        </w:numPr>
        <w:ind w:left="357" w:right="4820"/>
        <w:jc w:val="both"/>
        <w:rPr>
          <w:sz w:val="22"/>
        </w:rPr>
      </w:pPr>
    </w:p>
    <w:p w14:paraId="4F4AB97F" w14:textId="77777777" w:rsidR="00EB0E41" w:rsidRPr="000A76E3" w:rsidRDefault="00EB0E41" w:rsidP="00EB0E41">
      <w:pPr>
        <w:pStyle w:val="Normal00"/>
        <w:spacing w:after="120"/>
        <w:ind w:right="5160"/>
        <w:rPr>
          <w:rFonts w:ascii="Verdana" w:eastAsia="Times New Roman" w:hAnsi="Verdana" w:cs="Arial"/>
          <w:b/>
          <w:sz w:val="22"/>
          <w:szCs w:val="22"/>
        </w:rPr>
      </w:pPr>
      <w:r w:rsidRPr="000A76E3">
        <w:rPr>
          <w:rFonts w:ascii="Verdana" w:eastAsia="Times New Roman" w:hAnsi="Verdana" w:cs="Arial"/>
          <w:b/>
          <w:sz w:val="22"/>
          <w:szCs w:val="22"/>
        </w:rPr>
        <w:t>In preparing the Statement of Accounts, the Chief Finance Officer</w:t>
      </w:r>
      <w:r w:rsidRPr="000A76E3">
        <w:rPr>
          <w:rFonts w:ascii="Verdana" w:eastAsia="Times New Roman" w:hAnsi="Verdana" w:cs="Times New Roman"/>
          <w:sz w:val="22"/>
          <w:szCs w:val="22"/>
        </w:rPr>
        <w:t xml:space="preserve"> </w:t>
      </w:r>
      <w:r w:rsidRPr="000A76E3">
        <w:rPr>
          <w:rFonts w:ascii="Verdana" w:eastAsia="Times New Roman" w:hAnsi="Verdana" w:cs="Arial"/>
          <w:b/>
          <w:sz w:val="22"/>
          <w:szCs w:val="22"/>
        </w:rPr>
        <w:t>has:</w:t>
      </w:r>
    </w:p>
    <w:p w14:paraId="00BB2691" w14:textId="76E047AE" w:rsidR="00EB0E41" w:rsidRPr="000A76E3" w:rsidRDefault="000A76E3" w:rsidP="00EB0E41">
      <w:pPr>
        <w:pStyle w:val="ListParagraph"/>
        <w:numPr>
          <w:ilvl w:val="0"/>
          <w:numId w:val="2"/>
        </w:numPr>
        <w:ind w:left="357" w:right="4820" w:hanging="357"/>
        <w:jc w:val="both"/>
        <w:rPr>
          <w:sz w:val="22"/>
        </w:rPr>
      </w:pPr>
      <w:r w:rsidRPr="000A76E3">
        <w:rPr>
          <w:sz w:val="22"/>
        </w:rPr>
        <w:t>S</w:t>
      </w:r>
      <w:r w:rsidR="00EB0E41" w:rsidRPr="000A76E3">
        <w:rPr>
          <w:sz w:val="22"/>
        </w:rPr>
        <w:t>elected suitable accounting policies and applied them consistently;</w:t>
      </w:r>
    </w:p>
    <w:p w14:paraId="26C32B98" w14:textId="26A97105" w:rsidR="00EB0E41" w:rsidRPr="000A76E3" w:rsidRDefault="000A76E3" w:rsidP="00EB0E41">
      <w:pPr>
        <w:pStyle w:val="ListParagraph"/>
        <w:numPr>
          <w:ilvl w:val="0"/>
          <w:numId w:val="2"/>
        </w:numPr>
        <w:ind w:left="357" w:right="4820" w:hanging="357"/>
        <w:jc w:val="both"/>
        <w:rPr>
          <w:sz w:val="22"/>
        </w:rPr>
      </w:pPr>
      <w:r w:rsidRPr="000A76E3">
        <w:rPr>
          <w:sz w:val="22"/>
        </w:rPr>
        <w:t>M</w:t>
      </w:r>
      <w:r w:rsidR="00EB0E41" w:rsidRPr="000A76E3">
        <w:rPr>
          <w:sz w:val="22"/>
        </w:rPr>
        <w:t>ade judgements and estimates that were reasonable and prudent; and</w:t>
      </w:r>
    </w:p>
    <w:p w14:paraId="286C326C" w14:textId="30F3A9E0" w:rsidR="00EB0E41" w:rsidRPr="000A76E3" w:rsidRDefault="000A76E3" w:rsidP="00EB0E41">
      <w:pPr>
        <w:pStyle w:val="ListParagraph"/>
        <w:numPr>
          <w:ilvl w:val="0"/>
          <w:numId w:val="2"/>
        </w:numPr>
        <w:ind w:left="357" w:right="4820" w:hanging="357"/>
        <w:jc w:val="both"/>
        <w:rPr>
          <w:sz w:val="22"/>
        </w:rPr>
      </w:pPr>
      <w:r w:rsidRPr="000A76E3">
        <w:rPr>
          <w:sz w:val="22"/>
        </w:rPr>
        <w:t>C</w:t>
      </w:r>
      <w:r w:rsidR="00EB0E41" w:rsidRPr="000A76E3">
        <w:rPr>
          <w:sz w:val="22"/>
        </w:rPr>
        <w:t>omplied with the code and its application to the accounts of the Police and Crime Commissioner.</w:t>
      </w:r>
    </w:p>
    <w:p w14:paraId="79AAAD3E" w14:textId="47C08CF9" w:rsidR="00EB0E41" w:rsidRPr="000A76E3" w:rsidRDefault="000A76E3" w:rsidP="00EB0E41">
      <w:pPr>
        <w:pStyle w:val="ListParagraph"/>
        <w:numPr>
          <w:ilvl w:val="0"/>
          <w:numId w:val="2"/>
        </w:numPr>
        <w:ind w:left="357" w:right="4820" w:hanging="357"/>
        <w:jc w:val="both"/>
        <w:rPr>
          <w:sz w:val="22"/>
        </w:rPr>
      </w:pPr>
      <w:r w:rsidRPr="000A76E3">
        <w:rPr>
          <w:sz w:val="22"/>
        </w:rPr>
        <w:t>K</w:t>
      </w:r>
      <w:r w:rsidR="00EB0E41" w:rsidRPr="000A76E3">
        <w:rPr>
          <w:sz w:val="22"/>
        </w:rPr>
        <w:t>ept proper accounting records which are up to date; and</w:t>
      </w:r>
    </w:p>
    <w:p w14:paraId="23C50DD9" w14:textId="6064FFCA" w:rsidR="00EB0E41" w:rsidRPr="000A76E3" w:rsidRDefault="000A76E3" w:rsidP="00EB0E41">
      <w:pPr>
        <w:pStyle w:val="ListParagraph"/>
        <w:numPr>
          <w:ilvl w:val="0"/>
          <w:numId w:val="2"/>
        </w:numPr>
        <w:ind w:left="357" w:right="4820" w:hanging="357"/>
        <w:jc w:val="both"/>
        <w:rPr>
          <w:sz w:val="22"/>
        </w:rPr>
      </w:pPr>
      <w:r w:rsidRPr="000A76E3">
        <w:rPr>
          <w:sz w:val="22"/>
        </w:rPr>
        <w:t>T</w:t>
      </w:r>
      <w:r w:rsidR="00EB0E41" w:rsidRPr="000A76E3">
        <w:rPr>
          <w:sz w:val="22"/>
        </w:rPr>
        <w:t xml:space="preserve">aken reasonable steps for the prevention and detection of fraud and other </w:t>
      </w:r>
    </w:p>
    <w:p w14:paraId="59B10E14" w14:textId="77777777" w:rsidR="00781162" w:rsidRPr="000A76E3" w:rsidRDefault="00EB0E41" w:rsidP="000A76E3">
      <w:pPr>
        <w:pStyle w:val="ListParagraph"/>
        <w:numPr>
          <w:ilvl w:val="0"/>
          <w:numId w:val="0"/>
        </w:numPr>
        <w:ind w:left="357" w:right="4820"/>
        <w:jc w:val="both"/>
        <w:rPr>
          <w:rFonts w:eastAsia="Calibri" w:cs="Times New Roman"/>
        </w:rPr>
      </w:pPr>
      <w:r w:rsidRPr="000A76E3">
        <w:rPr>
          <w:sz w:val="22"/>
        </w:rPr>
        <w:t xml:space="preserve">irregularities.  </w:t>
      </w:r>
    </w:p>
    <w:p w14:paraId="787603B5" w14:textId="77777777" w:rsidR="00781162" w:rsidRPr="003516A4" w:rsidRDefault="00781162">
      <w:pPr>
        <w:pStyle w:val="Normal0"/>
        <w:rPr>
          <w:rFonts w:ascii="Verdana" w:hAnsi="Verdana" w:cs="Times New Roman"/>
          <w:highlight w:val="yellow"/>
        </w:rPr>
        <w:sectPr w:rsidR="00781162" w:rsidRPr="003516A4" w:rsidSect="00EB0E41">
          <w:type w:val="nextColumn"/>
          <w:pgSz w:w="16840" w:h="11900" w:orient="landscape"/>
          <w:pgMar w:top="1440" w:right="1440" w:bottom="1440" w:left="1440" w:header="708" w:footer="708" w:gutter="0"/>
          <w:cols w:space="708"/>
          <w:docGrid w:linePitch="360"/>
        </w:sectPr>
      </w:pPr>
    </w:p>
    <w:p w14:paraId="62792CEA" w14:textId="77777777" w:rsidR="0009073C" w:rsidRPr="006A009B" w:rsidRDefault="0009073C" w:rsidP="0009073C">
      <w:pPr>
        <w:pStyle w:val="Heading1"/>
      </w:pPr>
      <w:bookmarkStart w:id="9" w:name="_Toc43735710"/>
      <w:bookmarkStart w:id="10" w:name="_Toc75122764"/>
      <w:r w:rsidRPr="006A009B">
        <w:t>Annual Governance Statement</w:t>
      </w:r>
      <w:bookmarkEnd w:id="9"/>
      <w:bookmarkEnd w:id="10"/>
    </w:p>
    <w:p w14:paraId="5DBCF814" w14:textId="77777777" w:rsidR="00763097" w:rsidRPr="006A009B" w:rsidRDefault="00763097" w:rsidP="00763097"/>
    <w:p w14:paraId="358606C3" w14:textId="77777777" w:rsidR="00763097" w:rsidRPr="006A009B" w:rsidRDefault="00763097" w:rsidP="00763097"/>
    <w:p w14:paraId="71BE251A" w14:textId="77777777" w:rsidR="00763097" w:rsidRPr="006A009B" w:rsidRDefault="00763097" w:rsidP="00763097">
      <w:pPr>
        <w:jc w:val="right"/>
      </w:pPr>
      <w:r w:rsidRPr="006A009B">
        <w:rPr>
          <w:noProof/>
          <w:lang w:val="en-GB" w:eastAsia="en-GB"/>
        </w:rPr>
        <w:drawing>
          <wp:inline distT="0" distB="0" distL="0" distR="0" wp14:anchorId="66544DF2" wp14:editId="4B3F29DC">
            <wp:extent cx="1783080" cy="1935480"/>
            <wp:effectExtent l="0" t="0" r="7620" b="7620"/>
            <wp:docPr id="1" name="Picture 1" descr="SurreyCrest_Colou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reyCrest_Colour (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3080" cy="1935480"/>
                    </a:xfrm>
                    <a:prstGeom prst="rect">
                      <a:avLst/>
                    </a:prstGeom>
                    <a:noFill/>
                    <a:ln>
                      <a:noFill/>
                    </a:ln>
                  </pic:spPr>
                </pic:pic>
              </a:graphicData>
            </a:graphic>
          </wp:inline>
        </w:drawing>
      </w:r>
    </w:p>
    <w:p w14:paraId="26A2547A" w14:textId="77777777" w:rsidR="00763097" w:rsidRPr="006A009B" w:rsidRDefault="00763097" w:rsidP="00763097"/>
    <w:p w14:paraId="3C8F93E1" w14:textId="77777777" w:rsidR="00763097" w:rsidRPr="006A009B" w:rsidRDefault="00763097" w:rsidP="00763097"/>
    <w:p w14:paraId="6B28E41F" w14:textId="77777777" w:rsidR="00763097" w:rsidRPr="006A009B" w:rsidRDefault="00763097" w:rsidP="00763097"/>
    <w:p w14:paraId="1AC45ABF" w14:textId="77777777" w:rsidR="00763097" w:rsidRPr="006A009B" w:rsidRDefault="00763097" w:rsidP="00763097">
      <w:pPr>
        <w:rPr>
          <w:rFonts w:ascii="Calibri" w:hAnsi="Calibri"/>
        </w:rPr>
      </w:pPr>
    </w:p>
    <w:p w14:paraId="79DA10FF" w14:textId="77777777" w:rsidR="00763097" w:rsidRPr="006A009B" w:rsidRDefault="00763097" w:rsidP="00763097">
      <w:pPr>
        <w:rPr>
          <w:rFonts w:ascii="Calibri" w:hAnsi="Calibri"/>
        </w:rPr>
      </w:pPr>
    </w:p>
    <w:p w14:paraId="3DCB0F02" w14:textId="77777777" w:rsidR="00763097" w:rsidRPr="006A009B" w:rsidRDefault="00763097" w:rsidP="00763097">
      <w:pPr>
        <w:pBdr>
          <w:top w:val="single" w:sz="4" w:space="1" w:color="auto"/>
        </w:pBdr>
        <w:rPr>
          <w:rFonts w:ascii="Calibri" w:hAnsi="Calibri"/>
          <w:color w:val="4472C4"/>
          <w:sz w:val="48"/>
          <w:szCs w:val="48"/>
        </w:rPr>
      </w:pPr>
      <w:r w:rsidRPr="006A009B">
        <w:rPr>
          <w:rFonts w:ascii="Calibri" w:hAnsi="Calibri"/>
          <w:color w:val="4472C4"/>
          <w:sz w:val="48"/>
          <w:szCs w:val="48"/>
        </w:rPr>
        <w:t xml:space="preserve">Surrey Police </w:t>
      </w:r>
    </w:p>
    <w:p w14:paraId="320B89AF" w14:textId="7E3CD558" w:rsidR="00763097" w:rsidRPr="006A009B" w:rsidRDefault="00763097" w:rsidP="00763097">
      <w:pPr>
        <w:pBdr>
          <w:top w:val="single" w:sz="4" w:space="1" w:color="auto"/>
        </w:pBdr>
        <w:rPr>
          <w:rFonts w:ascii="Calibri" w:hAnsi="Calibri"/>
          <w:b/>
          <w:sz w:val="44"/>
          <w:szCs w:val="44"/>
        </w:rPr>
      </w:pPr>
      <w:r w:rsidRPr="006A009B">
        <w:rPr>
          <w:rFonts w:ascii="Calibri" w:hAnsi="Calibri"/>
          <w:b/>
          <w:color w:val="4472C4"/>
          <w:sz w:val="44"/>
          <w:szCs w:val="44"/>
        </w:rPr>
        <w:t>Police and Crime Commissioner’s Annual Governance Statement</w:t>
      </w:r>
      <w:r w:rsidRPr="006A009B">
        <w:rPr>
          <w:rFonts w:ascii="Calibri" w:hAnsi="Calibri"/>
          <w:color w:val="4472C4"/>
          <w:sz w:val="44"/>
          <w:szCs w:val="44"/>
        </w:rPr>
        <w:t xml:space="preserve"> 2020</w:t>
      </w:r>
      <w:r w:rsidR="006A009B" w:rsidRPr="006A009B">
        <w:rPr>
          <w:rFonts w:ascii="Calibri" w:hAnsi="Calibri"/>
          <w:color w:val="4472C4"/>
          <w:sz w:val="44"/>
          <w:szCs w:val="44"/>
        </w:rPr>
        <w:t>-21</w:t>
      </w:r>
    </w:p>
    <w:p w14:paraId="7FADBCC3" w14:textId="77777777" w:rsidR="00763097" w:rsidRPr="006A009B" w:rsidRDefault="00763097" w:rsidP="00763097">
      <w:pPr>
        <w:pBdr>
          <w:bottom w:val="single" w:sz="4" w:space="1" w:color="auto"/>
        </w:pBdr>
        <w:jc w:val="both"/>
        <w:outlineLvl w:val="0"/>
        <w:rPr>
          <w:rFonts w:ascii="Calibri" w:hAnsi="Calibri"/>
          <w:b/>
          <w:u w:val="single"/>
        </w:rPr>
      </w:pPr>
    </w:p>
    <w:p w14:paraId="472F7BE7" w14:textId="77777777" w:rsidR="00763097" w:rsidRPr="006A009B" w:rsidRDefault="00763097" w:rsidP="00763097">
      <w:pPr>
        <w:jc w:val="both"/>
        <w:rPr>
          <w:b/>
        </w:rPr>
      </w:pPr>
      <w:r w:rsidRPr="006A009B">
        <w:rPr>
          <w:b/>
        </w:rPr>
        <w:br w:type="page"/>
      </w:r>
    </w:p>
    <w:p w14:paraId="03B11886" w14:textId="77777777" w:rsidR="003F4361" w:rsidRPr="002B67FD" w:rsidRDefault="003F4361" w:rsidP="003F4361">
      <w:pPr>
        <w:autoSpaceDE w:val="0"/>
        <w:ind w:left="720"/>
        <w:jc w:val="both"/>
        <w:rPr>
          <w:rFonts w:ascii="Calibri" w:hAnsi="Calibri"/>
        </w:rPr>
      </w:pPr>
    </w:p>
    <w:p w14:paraId="3C068AB9" w14:textId="77777777" w:rsidR="003F4361" w:rsidRPr="002B67FD" w:rsidRDefault="003F4361" w:rsidP="003F4361">
      <w:pPr>
        <w:shd w:val="clear" w:color="auto" w:fill="4472C4"/>
        <w:autoSpaceDE w:val="0"/>
        <w:jc w:val="both"/>
        <w:rPr>
          <w:rFonts w:ascii="Calibri" w:hAnsi="Calibri"/>
          <w:b/>
          <w:color w:val="FFFFFF"/>
        </w:rPr>
      </w:pPr>
      <w:r w:rsidRPr="002B67FD">
        <w:rPr>
          <w:rFonts w:ascii="Calibri" w:hAnsi="Calibri"/>
          <w:b/>
          <w:color w:val="FFFFFF"/>
        </w:rPr>
        <w:t>1</w:t>
      </w:r>
      <w:r w:rsidRPr="002B67FD">
        <w:rPr>
          <w:rFonts w:ascii="Calibri" w:hAnsi="Calibri"/>
          <w:b/>
          <w:color w:val="FFFFFF"/>
        </w:rPr>
        <w:tab/>
        <w:t>Introduction</w:t>
      </w:r>
    </w:p>
    <w:p w14:paraId="62049DF7" w14:textId="77777777" w:rsidR="00763097" w:rsidRPr="002B67FD" w:rsidRDefault="00763097" w:rsidP="003F4361">
      <w:pPr>
        <w:autoSpaceDE w:val="0"/>
        <w:ind w:left="720"/>
        <w:jc w:val="both"/>
        <w:rPr>
          <w:rFonts w:ascii="Calibri" w:hAnsi="Calibri"/>
        </w:rPr>
      </w:pPr>
    </w:p>
    <w:p w14:paraId="662D06DD" w14:textId="741FDF5E" w:rsidR="00763097" w:rsidRPr="002B67FD" w:rsidRDefault="00442446" w:rsidP="00442446">
      <w:pPr>
        <w:suppressAutoHyphens/>
        <w:autoSpaceDE w:val="0"/>
        <w:ind w:left="720" w:hanging="720"/>
        <w:jc w:val="both"/>
        <w:rPr>
          <w:rFonts w:ascii="Calibri" w:hAnsi="Calibri"/>
        </w:rPr>
      </w:pPr>
      <w:r w:rsidRPr="002B67FD">
        <w:rPr>
          <w:rFonts w:ascii="Calibri" w:hAnsi="Calibri"/>
        </w:rPr>
        <w:t>1.1</w:t>
      </w:r>
      <w:r w:rsidRPr="002B67FD">
        <w:rPr>
          <w:rFonts w:ascii="Calibri" w:hAnsi="Calibri"/>
        </w:rPr>
        <w:tab/>
      </w:r>
      <w:r w:rsidR="00763097" w:rsidRPr="002B67FD">
        <w:rPr>
          <w:rFonts w:ascii="Calibri" w:hAnsi="Calibri"/>
        </w:rPr>
        <w:t>This Annual Governance Statement sets out how the Surrey Police &amp; Crime Commissioner (PCC) and Office of the Police &amp; Crime Commissioner (OPCC) have complied with the corporate governance framework set out in the Scheme of Governance for Surrey in place for the year ended 31 March 202</w:t>
      </w:r>
      <w:r w:rsidR="002B67FD" w:rsidRPr="002B67FD">
        <w:rPr>
          <w:rFonts w:ascii="Calibri" w:hAnsi="Calibri"/>
        </w:rPr>
        <w:t>1</w:t>
      </w:r>
      <w:r w:rsidR="00763097" w:rsidRPr="002B67FD">
        <w:rPr>
          <w:rFonts w:ascii="Calibri" w:hAnsi="Calibri"/>
        </w:rPr>
        <w:t>.</w:t>
      </w:r>
    </w:p>
    <w:p w14:paraId="686D28F8" w14:textId="77777777" w:rsidR="00763097" w:rsidRPr="002B67FD" w:rsidRDefault="00763097" w:rsidP="00763097">
      <w:pPr>
        <w:autoSpaceDE w:val="0"/>
        <w:ind w:left="720"/>
        <w:jc w:val="both"/>
        <w:rPr>
          <w:rFonts w:ascii="Calibri" w:hAnsi="Calibri"/>
        </w:rPr>
      </w:pPr>
      <w:r w:rsidRPr="002B67FD">
        <w:rPr>
          <w:rFonts w:ascii="Calibri" w:hAnsi="Calibri"/>
        </w:rPr>
        <w:t xml:space="preserve"> </w:t>
      </w:r>
    </w:p>
    <w:p w14:paraId="3EC9A662" w14:textId="51767FD1" w:rsidR="00763097" w:rsidRPr="002B67FD" w:rsidRDefault="00442446" w:rsidP="00442446">
      <w:pPr>
        <w:suppressAutoHyphens/>
        <w:autoSpaceDE w:val="0"/>
        <w:ind w:left="720" w:hanging="720"/>
        <w:jc w:val="both"/>
        <w:rPr>
          <w:rFonts w:ascii="Calibri" w:hAnsi="Calibri"/>
        </w:rPr>
      </w:pPr>
      <w:r w:rsidRPr="002B67FD">
        <w:rPr>
          <w:rFonts w:ascii="Calibri" w:hAnsi="Calibri"/>
        </w:rPr>
        <w:t>1.2</w:t>
      </w:r>
      <w:r w:rsidRPr="002B67FD">
        <w:rPr>
          <w:rFonts w:ascii="Calibri" w:hAnsi="Calibri"/>
        </w:rPr>
        <w:tab/>
      </w:r>
      <w:r w:rsidR="00763097" w:rsidRPr="002B67FD">
        <w:rPr>
          <w:rFonts w:ascii="Calibri" w:hAnsi="Calibri"/>
        </w:rPr>
        <w:t xml:space="preserve">It is designed to complement the annual governance statement of the </w:t>
      </w:r>
      <w:r w:rsidR="002B67FD" w:rsidRPr="002B67FD">
        <w:rPr>
          <w:rFonts w:ascii="Calibri" w:hAnsi="Calibri"/>
        </w:rPr>
        <w:t xml:space="preserve">Chief Constable of </w:t>
      </w:r>
      <w:r w:rsidR="00763097" w:rsidRPr="002B67FD">
        <w:rPr>
          <w:rFonts w:ascii="Calibri" w:hAnsi="Calibri"/>
        </w:rPr>
        <w:t>Surrey, to give the full picture of governance within Surrey Police and the Office of the PCC.</w:t>
      </w:r>
    </w:p>
    <w:p w14:paraId="5900D3D8" w14:textId="77777777" w:rsidR="00763097" w:rsidRPr="002B67FD" w:rsidRDefault="00763097" w:rsidP="00763097">
      <w:pPr>
        <w:autoSpaceDE w:val="0"/>
        <w:jc w:val="both"/>
        <w:rPr>
          <w:rFonts w:ascii="Calibri" w:hAnsi="Calibri"/>
        </w:rPr>
      </w:pPr>
    </w:p>
    <w:p w14:paraId="0FCBE1EF" w14:textId="77777777" w:rsidR="00763097" w:rsidRPr="002B67FD" w:rsidRDefault="00442446" w:rsidP="00442446">
      <w:pPr>
        <w:suppressAutoHyphens/>
        <w:autoSpaceDE w:val="0"/>
        <w:ind w:left="720" w:hanging="720"/>
        <w:jc w:val="both"/>
        <w:rPr>
          <w:rFonts w:ascii="Calibri" w:hAnsi="Calibri"/>
        </w:rPr>
      </w:pPr>
      <w:r w:rsidRPr="002B67FD">
        <w:rPr>
          <w:rFonts w:ascii="Calibri" w:hAnsi="Calibri"/>
        </w:rPr>
        <w:t>1.3</w:t>
      </w:r>
      <w:r w:rsidRPr="002B67FD">
        <w:rPr>
          <w:rFonts w:ascii="Calibri" w:hAnsi="Calibri"/>
        </w:rPr>
        <w:tab/>
      </w:r>
      <w:r w:rsidR="00763097" w:rsidRPr="002B67FD">
        <w:rPr>
          <w:rFonts w:ascii="Calibri" w:hAnsi="Calibri"/>
        </w:rPr>
        <w:t>This statement is informed by an annual review of governance arrangements with assurance on compliance with the seven principles of the Code of Corporate Governance, by on-going audit inspection and external review.</w:t>
      </w:r>
    </w:p>
    <w:p w14:paraId="1BA746D9" w14:textId="77777777" w:rsidR="00763097" w:rsidRPr="002B67FD" w:rsidRDefault="00763097" w:rsidP="00763097">
      <w:pPr>
        <w:autoSpaceDE w:val="0"/>
        <w:ind w:left="720"/>
        <w:jc w:val="both"/>
        <w:rPr>
          <w:rFonts w:ascii="Calibri" w:hAnsi="Calibri"/>
        </w:rPr>
      </w:pPr>
    </w:p>
    <w:p w14:paraId="7B55AF12" w14:textId="149E139A" w:rsidR="00763097" w:rsidRPr="002B67FD" w:rsidRDefault="00442446" w:rsidP="00442446">
      <w:pPr>
        <w:suppressAutoHyphens/>
        <w:autoSpaceDE w:val="0"/>
        <w:ind w:left="720" w:hanging="720"/>
        <w:jc w:val="both"/>
        <w:rPr>
          <w:rFonts w:ascii="Calibri" w:hAnsi="Calibri"/>
        </w:rPr>
      </w:pPr>
      <w:r w:rsidRPr="002B67FD">
        <w:rPr>
          <w:rFonts w:ascii="Calibri" w:hAnsi="Calibri"/>
        </w:rPr>
        <w:t>1.4</w:t>
      </w:r>
      <w:r w:rsidRPr="002B67FD">
        <w:rPr>
          <w:rFonts w:ascii="Calibri" w:hAnsi="Calibri"/>
        </w:rPr>
        <w:tab/>
      </w:r>
      <w:r w:rsidR="00763097" w:rsidRPr="002B67FD">
        <w:rPr>
          <w:rFonts w:ascii="Calibri" w:hAnsi="Calibri"/>
        </w:rPr>
        <w:t>Regulation 6(1)(a) of the Accounts and Audit Regulations 2015 requires an authority to conduct a review at least once in a year of the effectiveness of its system of internal control and include a statement reporting on the review with any published Statement of Accounts (England).  This term ‘authority’ includes the Chief Constable and the Police and Crime Commissioner legal entities.  This requirement is reflected in the Code of Practice on Local Authority Accounting in the United Kingdom 20</w:t>
      </w:r>
      <w:r w:rsidR="002B67FD" w:rsidRPr="002B67FD">
        <w:rPr>
          <w:rFonts w:ascii="Calibri" w:hAnsi="Calibri"/>
        </w:rPr>
        <w:t>20</w:t>
      </w:r>
      <w:r w:rsidR="00763097" w:rsidRPr="002B67FD">
        <w:rPr>
          <w:rFonts w:ascii="Calibri" w:hAnsi="Calibri"/>
        </w:rPr>
        <w:t>/2</w:t>
      </w:r>
      <w:r w:rsidR="002B67FD" w:rsidRPr="002B67FD">
        <w:rPr>
          <w:rFonts w:ascii="Calibri" w:hAnsi="Calibri"/>
        </w:rPr>
        <w:t>1</w:t>
      </w:r>
      <w:r w:rsidR="00763097" w:rsidRPr="002B67FD">
        <w:rPr>
          <w:rFonts w:ascii="Calibri" w:hAnsi="Calibri"/>
        </w:rPr>
        <w:t xml:space="preserve"> published by the Chartered Institute of Public Finance &amp; Accountancy (CIPFA).</w:t>
      </w:r>
    </w:p>
    <w:p w14:paraId="212A473E" w14:textId="77777777" w:rsidR="00763097" w:rsidRPr="002B67FD" w:rsidRDefault="00763097" w:rsidP="00763097">
      <w:pPr>
        <w:autoSpaceDE w:val="0"/>
        <w:ind w:left="720"/>
        <w:jc w:val="both"/>
        <w:rPr>
          <w:rFonts w:ascii="Calibri" w:hAnsi="Calibri"/>
        </w:rPr>
      </w:pPr>
    </w:p>
    <w:p w14:paraId="6DFBD92E" w14:textId="77777777" w:rsidR="00763097" w:rsidRPr="002B67FD" w:rsidRDefault="00763097" w:rsidP="00763097">
      <w:pPr>
        <w:shd w:val="clear" w:color="auto" w:fill="4472C4"/>
        <w:autoSpaceDE w:val="0"/>
        <w:jc w:val="both"/>
        <w:rPr>
          <w:rFonts w:ascii="Calibri" w:hAnsi="Calibri"/>
          <w:b/>
          <w:color w:val="FFFFFF"/>
        </w:rPr>
      </w:pPr>
      <w:r w:rsidRPr="002B67FD">
        <w:rPr>
          <w:rFonts w:ascii="Calibri" w:hAnsi="Calibri"/>
          <w:b/>
          <w:color w:val="FFFFFF"/>
        </w:rPr>
        <w:t>2</w:t>
      </w:r>
      <w:r w:rsidRPr="002B67FD">
        <w:rPr>
          <w:rFonts w:ascii="Calibri" w:hAnsi="Calibri"/>
          <w:b/>
          <w:color w:val="FFFFFF"/>
        </w:rPr>
        <w:tab/>
        <w:t>Scope of Responsibilities</w:t>
      </w:r>
    </w:p>
    <w:p w14:paraId="71C7BABC" w14:textId="77777777" w:rsidR="00763097" w:rsidRPr="00586225" w:rsidRDefault="00763097" w:rsidP="00763097">
      <w:pPr>
        <w:jc w:val="both"/>
        <w:rPr>
          <w:b/>
        </w:rPr>
      </w:pPr>
    </w:p>
    <w:p w14:paraId="1653B669" w14:textId="77777777" w:rsidR="00763097" w:rsidRPr="00586225" w:rsidRDefault="00763097" w:rsidP="00763097">
      <w:pPr>
        <w:ind w:left="709" w:hanging="709"/>
        <w:jc w:val="both"/>
        <w:rPr>
          <w:rFonts w:ascii="Calibri" w:hAnsi="Calibri"/>
        </w:rPr>
      </w:pPr>
      <w:r w:rsidRPr="00586225">
        <w:rPr>
          <w:rFonts w:ascii="Calibri" w:hAnsi="Calibri"/>
        </w:rPr>
        <w:t>2.1</w:t>
      </w:r>
      <w:r w:rsidRPr="00586225">
        <w:rPr>
          <w:rFonts w:ascii="Calibri" w:hAnsi="Calibri"/>
        </w:rPr>
        <w:tab/>
        <w:t>The respective roles of PCCs, Chief Constables and Police &amp; Crime Panels are detailed in the statutory instrument, Policing Protocol Order 2011. This cites that the PCC is responsible for the ‘totality of policing’ within Surrey. The over-arching key responsibilities of the PCC are:</w:t>
      </w:r>
    </w:p>
    <w:p w14:paraId="24899437" w14:textId="77777777" w:rsidR="00763097" w:rsidRPr="00586225" w:rsidRDefault="00763097" w:rsidP="00763097">
      <w:pPr>
        <w:ind w:left="709" w:hanging="709"/>
        <w:jc w:val="both"/>
        <w:rPr>
          <w:rFonts w:ascii="Calibri" w:hAnsi="Calibri"/>
        </w:rPr>
      </w:pPr>
    </w:p>
    <w:p w14:paraId="4D07D30D" w14:textId="77777777" w:rsidR="00763097" w:rsidRPr="00586225" w:rsidRDefault="00763097" w:rsidP="00763097">
      <w:pPr>
        <w:ind w:left="1418" w:hanging="709"/>
        <w:jc w:val="both"/>
        <w:rPr>
          <w:rFonts w:ascii="Calibri" w:hAnsi="Calibri"/>
        </w:rPr>
      </w:pPr>
      <w:r w:rsidRPr="00586225">
        <w:rPr>
          <w:rFonts w:ascii="Calibri" w:hAnsi="Calibri"/>
        </w:rPr>
        <w:t>•</w:t>
      </w:r>
      <w:r w:rsidRPr="00586225">
        <w:rPr>
          <w:rFonts w:ascii="Calibri" w:hAnsi="Calibri"/>
        </w:rPr>
        <w:tab/>
        <w:t>To secure the maintenance of an efficient and effective police force for the area</w:t>
      </w:r>
    </w:p>
    <w:p w14:paraId="40388818" w14:textId="77777777" w:rsidR="00763097" w:rsidRPr="00586225" w:rsidRDefault="00763097" w:rsidP="00763097">
      <w:pPr>
        <w:ind w:left="1418" w:hanging="709"/>
        <w:jc w:val="both"/>
        <w:rPr>
          <w:rFonts w:ascii="Calibri" w:hAnsi="Calibri"/>
        </w:rPr>
      </w:pPr>
      <w:r w:rsidRPr="00586225">
        <w:rPr>
          <w:rFonts w:ascii="Calibri" w:hAnsi="Calibri"/>
        </w:rPr>
        <w:t>•</w:t>
      </w:r>
      <w:r w:rsidRPr="00586225">
        <w:rPr>
          <w:rFonts w:ascii="Calibri" w:hAnsi="Calibri"/>
        </w:rPr>
        <w:tab/>
        <w:t xml:space="preserve">To hold the Chief Constable to account for the exercise of his or her functions </w:t>
      </w:r>
    </w:p>
    <w:p w14:paraId="53C9C98C" w14:textId="77777777" w:rsidR="00763097" w:rsidRPr="00586225" w:rsidRDefault="00763097" w:rsidP="00763097">
      <w:pPr>
        <w:ind w:left="1418" w:hanging="709"/>
        <w:jc w:val="both"/>
        <w:rPr>
          <w:rFonts w:ascii="Calibri" w:hAnsi="Calibri"/>
        </w:rPr>
      </w:pPr>
      <w:r w:rsidRPr="00586225">
        <w:rPr>
          <w:rFonts w:ascii="Calibri" w:hAnsi="Calibri"/>
        </w:rPr>
        <w:t>•</w:t>
      </w:r>
      <w:r w:rsidRPr="00586225">
        <w:rPr>
          <w:rFonts w:ascii="Calibri" w:hAnsi="Calibri"/>
        </w:rPr>
        <w:tab/>
        <w:t>Wider powers in relation to working with and bringing together community safety and criminal justice partners</w:t>
      </w:r>
    </w:p>
    <w:p w14:paraId="7F45EEF9" w14:textId="77777777" w:rsidR="00763097" w:rsidRPr="00586225" w:rsidRDefault="00763097" w:rsidP="00763097">
      <w:pPr>
        <w:ind w:left="709" w:hanging="709"/>
        <w:jc w:val="both"/>
        <w:rPr>
          <w:rFonts w:ascii="Calibri" w:hAnsi="Calibri"/>
        </w:rPr>
      </w:pPr>
    </w:p>
    <w:p w14:paraId="38EDD4F9" w14:textId="77777777" w:rsidR="00763097" w:rsidRPr="00945781" w:rsidRDefault="00763097" w:rsidP="00763097">
      <w:pPr>
        <w:ind w:left="709" w:hanging="709"/>
        <w:jc w:val="both"/>
        <w:rPr>
          <w:rFonts w:ascii="Calibri" w:hAnsi="Calibri"/>
        </w:rPr>
      </w:pPr>
      <w:r w:rsidRPr="00586225">
        <w:rPr>
          <w:rFonts w:ascii="Calibri" w:hAnsi="Calibri"/>
        </w:rPr>
        <w:t>2.2</w:t>
      </w:r>
      <w:r w:rsidRPr="00586225">
        <w:rPr>
          <w:rFonts w:ascii="Calibri" w:hAnsi="Calibri"/>
        </w:rPr>
        <w:tab/>
        <w:t xml:space="preserve">The Chief Constable retains operational control of the Force in governance arrangements, which must not be </w:t>
      </w:r>
      <w:r w:rsidRPr="00945781">
        <w:rPr>
          <w:rFonts w:ascii="Calibri" w:hAnsi="Calibri"/>
        </w:rPr>
        <w:t xml:space="preserve">fettered by the PCC.  </w:t>
      </w:r>
    </w:p>
    <w:p w14:paraId="17101A85" w14:textId="77777777" w:rsidR="00763097" w:rsidRPr="00945781" w:rsidRDefault="00763097" w:rsidP="00763097">
      <w:pPr>
        <w:ind w:left="709" w:hanging="709"/>
        <w:jc w:val="both"/>
        <w:rPr>
          <w:rFonts w:ascii="Calibri" w:hAnsi="Calibri"/>
        </w:rPr>
      </w:pPr>
    </w:p>
    <w:p w14:paraId="5FD60D6C" w14:textId="74C5E0A5" w:rsidR="00763097" w:rsidRPr="00945781" w:rsidRDefault="00763097" w:rsidP="00763097">
      <w:pPr>
        <w:ind w:left="709" w:hanging="709"/>
        <w:jc w:val="both"/>
        <w:rPr>
          <w:rFonts w:ascii="Calibri" w:hAnsi="Calibri"/>
        </w:rPr>
      </w:pPr>
      <w:r w:rsidRPr="00945781">
        <w:rPr>
          <w:rFonts w:ascii="Calibri" w:hAnsi="Calibri"/>
        </w:rPr>
        <w:t>2.3</w:t>
      </w:r>
      <w:r w:rsidRPr="00945781">
        <w:rPr>
          <w:rFonts w:ascii="Calibri" w:hAnsi="Calibri"/>
        </w:rPr>
        <w:tab/>
        <w:t xml:space="preserve">David Munro was elected as PCC for Surrey in May 2016 for a four-year term. Although elections were scheduled for May 2020, these were deferred by the Government until May 2021 and Mr Munro’s term extended by a further year. </w:t>
      </w:r>
      <w:r w:rsidR="00945781" w:rsidRPr="00945781">
        <w:rPr>
          <w:rFonts w:ascii="Calibri" w:hAnsi="Calibri"/>
        </w:rPr>
        <w:t xml:space="preserve">During the 2020/21 year, </w:t>
      </w:r>
      <w:r w:rsidRPr="00945781">
        <w:rPr>
          <w:rFonts w:ascii="Calibri" w:hAnsi="Calibri"/>
        </w:rPr>
        <w:t xml:space="preserve">Mr Munro </w:t>
      </w:r>
      <w:r w:rsidR="00945781" w:rsidRPr="00945781">
        <w:rPr>
          <w:rFonts w:ascii="Calibri" w:hAnsi="Calibri"/>
        </w:rPr>
        <w:t>wa</w:t>
      </w:r>
      <w:r w:rsidRPr="00945781">
        <w:rPr>
          <w:rFonts w:ascii="Calibri" w:hAnsi="Calibri"/>
        </w:rPr>
        <w:t xml:space="preserve">s supported by a small team of staff who form the Office of the Surrey Police &amp; Crime Commissioner.  The OPCC is responsible for ensuring that the PCC’s business is conducted in accordance with the law and proper standards, and that public money is safeguarded and properly accounted for, and used economically, efficiently and effectively. </w:t>
      </w:r>
    </w:p>
    <w:p w14:paraId="6647FF9E" w14:textId="73263CF7" w:rsidR="00945781" w:rsidRPr="00945781" w:rsidRDefault="00945781" w:rsidP="00763097">
      <w:pPr>
        <w:ind w:left="709" w:hanging="709"/>
        <w:jc w:val="both"/>
        <w:rPr>
          <w:rFonts w:ascii="Calibri" w:hAnsi="Calibri"/>
        </w:rPr>
      </w:pPr>
    </w:p>
    <w:p w14:paraId="1CFDD781" w14:textId="5C8763F3" w:rsidR="00945781" w:rsidRDefault="00945781" w:rsidP="00763097">
      <w:pPr>
        <w:ind w:left="709" w:hanging="709"/>
        <w:jc w:val="both"/>
        <w:rPr>
          <w:rFonts w:ascii="Calibri" w:hAnsi="Calibri"/>
        </w:rPr>
      </w:pPr>
      <w:r w:rsidRPr="00945781">
        <w:rPr>
          <w:rFonts w:ascii="Calibri" w:hAnsi="Calibri"/>
        </w:rPr>
        <w:t>2.4</w:t>
      </w:r>
      <w:r w:rsidRPr="00945781">
        <w:rPr>
          <w:rFonts w:ascii="Calibri" w:hAnsi="Calibri"/>
        </w:rPr>
        <w:tab/>
        <w:t>Following the PCC elections in May 2021, the elected official tasked with setting out the way crime is tackled by Surrey Police was Lisa Townsend who is now the current Police and Crime Commissioner for Surrey.</w:t>
      </w:r>
    </w:p>
    <w:p w14:paraId="51124E99" w14:textId="465E1DF2" w:rsidR="00945781" w:rsidRDefault="00945781" w:rsidP="00763097">
      <w:pPr>
        <w:ind w:left="709" w:hanging="709"/>
        <w:jc w:val="both"/>
        <w:rPr>
          <w:rFonts w:ascii="Calibri" w:hAnsi="Calibri"/>
        </w:rPr>
      </w:pPr>
    </w:p>
    <w:p w14:paraId="23AFA901" w14:textId="4EFBD90F" w:rsidR="00945781" w:rsidRPr="00945781" w:rsidRDefault="00945781" w:rsidP="00763097">
      <w:pPr>
        <w:ind w:left="709" w:hanging="709"/>
        <w:jc w:val="both"/>
        <w:rPr>
          <w:rFonts w:ascii="Calibri" w:hAnsi="Calibri"/>
        </w:rPr>
      </w:pPr>
      <w:r>
        <w:rPr>
          <w:rFonts w:ascii="Calibri" w:hAnsi="Calibri"/>
        </w:rPr>
        <w:t>2.5</w:t>
      </w:r>
      <w:r>
        <w:rPr>
          <w:rFonts w:ascii="Calibri" w:hAnsi="Calibri"/>
        </w:rPr>
        <w:tab/>
        <w:t>Lisa Townsend subsequently nominated Ellie Vesey-Thompson to support her work and be able to delegate functions to her and tackle key priorities such as violence against women and girls, domestic abuse, rural crime and pet theft.</w:t>
      </w:r>
    </w:p>
    <w:p w14:paraId="31CDCF69" w14:textId="77777777" w:rsidR="00763097" w:rsidRPr="00945781" w:rsidRDefault="00763097" w:rsidP="00763097">
      <w:pPr>
        <w:ind w:left="709" w:hanging="709"/>
        <w:jc w:val="both"/>
        <w:rPr>
          <w:rFonts w:ascii="Calibri" w:hAnsi="Calibri"/>
        </w:rPr>
      </w:pPr>
    </w:p>
    <w:p w14:paraId="3F9ACD8E" w14:textId="3F3AE353" w:rsidR="00763097" w:rsidRPr="00945781" w:rsidRDefault="00763097" w:rsidP="00763097">
      <w:pPr>
        <w:ind w:left="709" w:hanging="709"/>
        <w:jc w:val="both"/>
        <w:rPr>
          <w:rFonts w:ascii="Calibri" w:hAnsi="Calibri"/>
        </w:rPr>
      </w:pPr>
      <w:r w:rsidRPr="00945781">
        <w:rPr>
          <w:rFonts w:ascii="Calibri" w:hAnsi="Calibri"/>
        </w:rPr>
        <w:t>2.4</w:t>
      </w:r>
      <w:r w:rsidRPr="00945781">
        <w:rPr>
          <w:rFonts w:ascii="Calibri" w:hAnsi="Calibri"/>
        </w:rPr>
        <w:tab/>
        <w:t>In discharging this overall responsibility, the Surrey OPCC is responsible for putting in place proper arrangements for the governance of its affairs, facilitating the effective exercise of its functions and for the management of risk.</w:t>
      </w:r>
    </w:p>
    <w:p w14:paraId="512FAD0F" w14:textId="2D0F0459" w:rsidR="00945781" w:rsidRPr="00945781" w:rsidRDefault="00945781" w:rsidP="00763097">
      <w:pPr>
        <w:ind w:left="709" w:hanging="709"/>
        <w:jc w:val="both"/>
        <w:rPr>
          <w:rFonts w:ascii="Calibri" w:hAnsi="Calibri"/>
        </w:rPr>
      </w:pPr>
    </w:p>
    <w:p w14:paraId="34269363" w14:textId="5B2658AC" w:rsidR="00945781" w:rsidRPr="00945781" w:rsidRDefault="00945781" w:rsidP="00763097">
      <w:pPr>
        <w:ind w:left="709" w:hanging="709"/>
        <w:jc w:val="both"/>
        <w:rPr>
          <w:rFonts w:ascii="Calibri" w:hAnsi="Calibri"/>
        </w:rPr>
      </w:pPr>
      <w:r w:rsidRPr="00945781">
        <w:rPr>
          <w:rFonts w:ascii="Calibri" w:hAnsi="Calibri"/>
        </w:rPr>
        <w:t xml:space="preserve">2.5 </w:t>
      </w:r>
      <w:r w:rsidRPr="00945781">
        <w:rPr>
          <w:rFonts w:ascii="Calibri" w:hAnsi="Calibri"/>
        </w:rPr>
        <w:tab/>
        <w:t>The OPCC continues to follow the principles of the CIPFA Framework: ‘Delivering Good Governance in Local Government’</w:t>
      </w:r>
    </w:p>
    <w:p w14:paraId="30CC9555" w14:textId="77777777" w:rsidR="00763097" w:rsidRPr="002B67FD" w:rsidRDefault="00763097" w:rsidP="00763097">
      <w:pPr>
        <w:ind w:left="720"/>
        <w:jc w:val="both"/>
        <w:rPr>
          <w:rFonts w:ascii="Calibri" w:hAnsi="Calibri"/>
        </w:rPr>
      </w:pPr>
    </w:p>
    <w:p w14:paraId="3389A211" w14:textId="77777777" w:rsidR="00763097" w:rsidRPr="0019371D" w:rsidRDefault="00763097" w:rsidP="00763097">
      <w:pPr>
        <w:shd w:val="clear" w:color="auto" w:fill="4472C4"/>
        <w:jc w:val="both"/>
        <w:rPr>
          <w:rFonts w:ascii="Calibri" w:hAnsi="Calibri"/>
          <w:b/>
          <w:color w:val="FFFFFF"/>
        </w:rPr>
      </w:pPr>
      <w:r w:rsidRPr="0019371D">
        <w:rPr>
          <w:rFonts w:ascii="Calibri" w:hAnsi="Calibri"/>
          <w:b/>
          <w:color w:val="FFFFFF"/>
        </w:rPr>
        <w:t>3</w:t>
      </w:r>
      <w:r w:rsidRPr="0019371D">
        <w:rPr>
          <w:rFonts w:ascii="Calibri" w:hAnsi="Calibri"/>
          <w:b/>
          <w:color w:val="FFFFFF"/>
        </w:rPr>
        <w:tab/>
        <w:t>The Governance Framework</w:t>
      </w:r>
    </w:p>
    <w:p w14:paraId="421B24E4" w14:textId="77777777" w:rsidR="00763097" w:rsidRPr="0019371D" w:rsidRDefault="00763097" w:rsidP="00763097">
      <w:pPr>
        <w:autoSpaceDE w:val="0"/>
        <w:ind w:left="720" w:hanging="720"/>
        <w:jc w:val="both"/>
        <w:rPr>
          <w:rFonts w:ascii="Calibri" w:hAnsi="Calibri"/>
        </w:rPr>
      </w:pPr>
      <w:r w:rsidRPr="0019371D">
        <w:rPr>
          <w:rFonts w:ascii="Calibri" w:hAnsi="Calibri"/>
        </w:rPr>
        <w:tab/>
      </w:r>
    </w:p>
    <w:p w14:paraId="266319F1" w14:textId="77777777" w:rsidR="00763097" w:rsidRPr="0019371D" w:rsidRDefault="00763097" w:rsidP="00763097">
      <w:pPr>
        <w:autoSpaceDE w:val="0"/>
        <w:ind w:left="720" w:hanging="720"/>
        <w:jc w:val="both"/>
        <w:rPr>
          <w:rFonts w:ascii="Calibri" w:hAnsi="Calibri"/>
        </w:rPr>
      </w:pPr>
      <w:r w:rsidRPr="0019371D">
        <w:rPr>
          <w:rFonts w:ascii="Calibri" w:hAnsi="Calibri"/>
        </w:rPr>
        <w:t>3.1</w:t>
      </w:r>
      <w:r w:rsidRPr="0019371D">
        <w:rPr>
          <w:rFonts w:ascii="Calibri" w:hAnsi="Calibri"/>
        </w:rPr>
        <w:tab/>
        <w:t>Surrey OPCC has approved and adopted a Scheme of Governance which is consistent with the principles of the CIPFA Framework, ‘Delivering Good Governance’. The Scheme shows how the OPCC complies with the principles of ‘good governance’ as defined by CIPFA and sets out the arrangements in place for effective governance and financial management.  It comprises a number of elements, including:</w:t>
      </w:r>
    </w:p>
    <w:p w14:paraId="42E70798" w14:textId="77777777" w:rsidR="00763097" w:rsidRPr="0019371D" w:rsidRDefault="00763097" w:rsidP="00763097">
      <w:pPr>
        <w:autoSpaceDE w:val="0"/>
        <w:ind w:left="720" w:hanging="720"/>
        <w:jc w:val="both"/>
        <w:rPr>
          <w:rFonts w:ascii="Calibri" w:hAnsi="Calibri"/>
        </w:rPr>
      </w:pPr>
    </w:p>
    <w:p w14:paraId="341B3247" w14:textId="77777777" w:rsidR="00763097" w:rsidRPr="0019371D" w:rsidRDefault="00763097" w:rsidP="00763097">
      <w:pPr>
        <w:autoSpaceDE w:val="0"/>
        <w:ind w:left="1440" w:hanging="720"/>
        <w:jc w:val="both"/>
        <w:rPr>
          <w:rFonts w:ascii="Calibri" w:hAnsi="Calibri"/>
        </w:rPr>
      </w:pPr>
      <w:r w:rsidRPr="0019371D">
        <w:rPr>
          <w:rFonts w:ascii="Calibri" w:hAnsi="Calibri"/>
        </w:rPr>
        <w:t>•</w:t>
      </w:r>
      <w:r w:rsidRPr="0019371D">
        <w:rPr>
          <w:rFonts w:ascii="Calibri" w:hAnsi="Calibri"/>
        </w:rPr>
        <w:tab/>
        <w:t>Code of Corporate Governance: how the PCC and Chief Constable achieve the core principles of ‘good governance’</w:t>
      </w:r>
    </w:p>
    <w:p w14:paraId="1264A264" w14:textId="77777777" w:rsidR="00763097" w:rsidRPr="0019371D" w:rsidRDefault="00763097" w:rsidP="00763097">
      <w:pPr>
        <w:autoSpaceDE w:val="0"/>
        <w:ind w:left="1440" w:hanging="720"/>
        <w:jc w:val="both"/>
        <w:rPr>
          <w:rFonts w:ascii="Calibri" w:hAnsi="Calibri"/>
        </w:rPr>
      </w:pPr>
      <w:r w:rsidRPr="0019371D">
        <w:rPr>
          <w:rFonts w:ascii="Calibri" w:hAnsi="Calibri"/>
        </w:rPr>
        <w:t>•</w:t>
      </w:r>
      <w:r w:rsidRPr="0019371D">
        <w:rPr>
          <w:rFonts w:ascii="Calibri" w:hAnsi="Calibri"/>
        </w:rPr>
        <w:tab/>
        <w:t>Framework of Decision-Making and Accountability: how the PCC makes/publishes key decisions and holds the Chief Constable to account</w:t>
      </w:r>
    </w:p>
    <w:p w14:paraId="39B68C94" w14:textId="77777777" w:rsidR="00763097" w:rsidRPr="0019371D" w:rsidRDefault="00763097" w:rsidP="00763097">
      <w:pPr>
        <w:autoSpaceDE w:val="0"/>
        <w:ind w:left="1440" w:hanging="720"/>
        <w:jc w:val="both"/>
        <w:rPr>
          <w:rFonts w:ascii="Calibri" w:hAnsi="Calibri"/>
        </w:rPr>
      </w:pPr>
      <w:r w:rsidRPr="0019371D">
        <w:rPr>
          <w:rFonts w:ascii="Calibri" w:hAnsi="Calibri"/>
        </w:rPr>
        <w:t>•</w:t>
      </w:r>
      <w:r w:rsidRPr="0019371D">
        <w:rPr>
          <w:rFonts w:ascii="Calibri" w:hAnsi="Calibri"/>
        </w:rPr>
        <w:tab/>
        <w:t>Scheme of Delegation: key roles of the PCC and those functions delegated to others</w:t>
      </w:r>
    </w:p>
    <w:p w14:paraId="2B3BD0B9" w14:textId="77777777" w:rsidR="00763097" w:rsidRPr="0019371D" w:rsidRDefault="00763097" w:rsidP="00763097">
      <w:pPr>
        <w:autoSpaceDE w:val="0"/>
        <w:ind w:left="1440" w:hanging="720"/>
        <w:jc w:val="both"/>
        <w:rPr>
          <w:rFonts w:ascii="Calibri" w:hAnsi="Calibri"/>
        </w:rPr>
      </w:pPr>
      <w:r w:rsidRPr="0019371D">
        <w:rPr>
          <w:rFonts w:ascii="Calibri" w:hAnsi="Calibri"/>
        </w:rPr>
        <w:t>•</w:t>
      </w:r>
      <w:r w:rsidRPr="0019371D">
        <w:rPr>
          <w:rFonts w:ascii="Calibri" w:hAnsi="Calibri"/>
        </w:rPr>
        <w:tab/>
        <w:t xml:space="preserve">Memorandum of Understanding: setting out the cooperative arrangements between the PCC and Chief Constable for the provision of business support and administration. </w:t>
      </w:r>
    </w:p>
    <w:p w14:paraId="30C32392" w14:textId="77777777" w:rsidR="00763097" w:rsidRPr="0019371D" w:rsidRDefault="00763097" w:rsidP="00763097">
      <w:pPr>
        <w:autoSpaceDE w:val="0"/>
        <w:ind w:left="1440" w:hanging="720"/>
        <w:jc w:val="both"/>
        <w:rPr>
          <w:rFonts w:ascii="Calibri" w:hAnsi="Calibri"/>
        </w:rPr>
      </w:pPr>
      <w:r w:rsidRPr="0019371D">
        <w:rPr>
          <w:rFonts w:ascii="Calibri" w:hAnsi="Calibri"/>
        </w:rPr>
        <w:t>•</w:t>
      </w:r>
      <w:r w:rsidRPr="0019371D">
        <w:rPr>
          <w:rFonts w:ascii="Calibri" w:hAnsi="Calibri"/>
        </w:rPr>
        <w:tab/>
        <w:t>Financial Regulations: the framework for managing the PCC’s financial affairs</w:t>
      </w:r>
    </w:p>
    <w:p w14:paraId="49387420" w14:textId="77777777" w:rsidR="00763097" w:rsidRPr="0019371D" w:rsidRDefault="00763097" w:rsidP="00763097">
      <w:pPr>
        <w:autoSpaceDE w:val="0"/>
        <w:ind w:left="1440" w:hanging="720"/>
        <w:jc w:val="both"/>
        <w:rPr>
          <w:rFonts w:ascii="Calibri" w:hAnsi="Calibri"/>
        </w:rPr>
      </w:pPr>
      <w:r w:rsidRPr="0019371D">
        <w:rPr>
          <w:rFonts w:ascii="Calibri" w:hAnsi="Calibri"/>
        </w:rPr>
        <w:t>•</w:t>
      </w:r>
      <w:r w:rsidRPr="0019371D">
        <w:rPr>
          <w:rFonts w:ascii="Calibri" w:hAnsi="Calibri"/>
        </w:rPr>
        <w:tab/>
        <w:t>Contract Standing Orders: rules for the procurement of goods, works and services</w:t>
      </w:r>
    </w:p>
    <w:p w14:paraId="15CBD289" w14:textId="77777777" w:rsidR="00763097" w:rsidRPr="0019371D" w:rsidRDefault="00763097" w:rsidP="00763097">
      <w:pPr>
        <w:autoSpaceDE w:val="0"/>
        <w:ind w:left="720" w:hanging="720"/>
        <w:jc w:val="both"/>
        <w:rPr>
          <w:rFonts w:ascii="Calibri" w:hAnsi="Calibri"/>
        </w:rPr>
      </w:pPr>
    </w:p>
    <w:p w14:paraId="47587C41" w14:textId="77777777" w:rsidR="00763097" w:rsidRPr="0019371D" w:rsidRDefault="00763097" w:rsidP="00763097">
      <w:pPr>
        <w:autoSpaceDE w:val="0"/>
        <w:ind w:left="720" w:hanging="720"/>
        <w:jc w:val="both"/>
        <w:rPr>
          <w:rFonts w:ascii="Calibri" w:hAnsi="Calibri"/>
        </w:rPr>
      </w:pPr>
      <w:r w:rsidRPr="0019371D">
        <w:rPr>
          <w:rFonts w:ascii="Calibri" w:hAnsi="Calibri"/>
        </w:rPr>
        <w:t>The scheme is reviewed annually in tandem with Surrey Police, Sussex Police and Sussex OPCC.</w:t>
      </w:r>
    </w:p>
    <w:p w14:paraId="28A3A314" w14:textId="77777777" w:rsidR="00763097" w:rsidRPr="0019371D" w:rsidRDefault="00763097" w:rsidP="00763097">
      <w:pPr>
        <w:autoSpaceDE w:val="0"/>
        <w:ind w:left="720" w:hanging="720"/>
        <w:jc w:val="both"/>
        <w:rPr>
          <w:rFonts w:ascii="Calibri" w:hAnsi="Calibri"/>
        </w:rPr>
      </w:pPr>
    </w:p>
    <w:p w14:paraId="28B40B76" w14:textId="4875DAA3" w:rsidR="00763097" w:rsidRPr="0019371D" w:rsidRDefault="00763097" w:rsidP="00763097">
      <w:pPr>
        <w:autoSpaceDE w:val="0"/>
        <w:ind w:left="720" w:hanging="720"/>
        <w:jc w:val="both"/>
        <w:rPr>
          <w:rFonts w:ascii="Calibri" w:hAnsi="Calibri"/>
        </w:rPr>
      </w:pPr>
      <w:r w:rsidRPr="0019371D">
        <w:rPr>
          <w:rFonts w:ascii="Calibri" w:hAnsi="Calibri"/>
        </w:rPr>
        <w:t>3.2</w:t>
      </w:r>
      <w:r w:rsidRPr="0019371D">
        <w:rPr>
          <w:rFonts w:ascii="Calibri" w:hAnsi="Calibri"/>
        </w:rPr>
        <w:tab/>
        <w:t>A copy of the Scheme and its component parts is available on the PCC’s website or can be obtained from the Office of the Police &amp; Crime Commissioner, Mount Browne HQ, Guildford GU3 1HR. This Annual Governance Statement explains how Surrey OPCC has complied with the Scheme during the year 20</w:t>
      </w:r>
      <w:r w:rsidR="0019371D" w:rsidRPr="0019371D">
        <w:rPr>
          <w:rFonts w:ascii="Calibri" w:hAnsi="Calibri"/>
        </w:rPr>
        <w:t>20</w:t>
      </w:r>
      <w:r w:rsidRPr="0019371D">
        <w:rPr>
          <w:rFonts w:ascii="Calibri" w:hAnsi="Calibri"/>
        </w:rPr>
        <w:t>-2</w:t>
      </w:r>
      <w:r w:rsidR="0019371D" w:rsidRPr="0019371D">
        <w:rPr>
          <w:rFonts w:ascii="Calibri" w:hAnsi="Calibri"/>
        </w:rPr>
        <w:t>1</w:t>
      </w:r>
      <w:r w:rsidRPr="0019371D">
        <w:rPr>
          <w:rFonts w:ascii="Calibri" w:hAnsi="Calibri"/>
        </w:rPr>
        <w:t>.</w:t>
      </w:r>
    </w:p>
    <w:p w14:paraId="1E287580" w14:textId="77777777" w:rsidR="00763097" w:rsidRPr="0019371D" w:rsidRDefault="00763097" w:rsidP="00763097">
      <w:pPr>
        <w:autoSpaceDE w:val="0"/>
        <w:ind w:left="720" w:hanging="720"/>
        <w:jc w:val="both"/>
        <w:rPr>
          <w:rFonts w:ascii="Calibri" w:hAnsi="Calibri"/>
        </w:rPr>
      </w:pPr>
    </w:p>
    <w:p w14:paraId="11307BDB" w14:textId="77777777" w:rsidR="00763097" w:rsidRPr="0019371D" w:rsidRDefault="00763097" w:rsidP="00763097">
      <w:pPr>
        <w:autoSpaceDE w:val="0"/>
        <w:ind w:left="720" w:hanging="720"/>
        <w:jc w:val="both"/>
        <w:rPr>
          <w:rFonts w:ascii="Calibri" w:hAnsi="Calibri"/>
        </w:rPr>
      </w:pPr>
      <w:r w:rsidRPr="0019371D">
        <w:rPr>
          <w:rFonts w:ascii="Calibri" w:hAnsi="Calibri"/>
        </w:rPr>
        <w:t>3.3</w:t>
      </w:r>
      <w:r w:rsidRPr="0019371D">
        <w:rPr>
          <w:rFonts w:ascii="Calibri" w:hAnsi="Calibri"/>
        </w:rPr>
        <w:tab/>
        <w:t>The various elements of the Scheme of Corporate Governance set out the systems and processes, culture and values by which Surrey OPCC is directed and controlled and the activities it undertakes to engage with and be accountable to local communities. It enables the OPCC to monitor the achievement of the PCC’s strategic objectives and to consider whether those objectives have led to the delivery of appropriate services and value for money.</w:t>
      </w:r>
    </w:p>
    <w:p w14:paraId="0C0C378F" w14:textId="77777777" w:rsidR="00763097" w:rsidRPr="0019371D" w:rsidRDefault="00763097" w:rsidP="00763097">
      <w:pPr>
        <w:autoSpaceDE w:val="0"/>
        <w:ind w:left="720" w:hanging="720"/>
        <w:jc w:val="both"/>
        <w:rPr>
          <w:rFonts w:ascii="Calibri" w:hAnsi="Calibri"/>
        </w:rPr>
      </w:pPr>
    </w:p>
    <w:p w14:paraId="4BBC28DD" w14:textId="77777777" w:rsidR="00763097" w:rsidRPr="0019371D" w:rsidRDefault="00763097" w:rsidP="00763097">
      <w:pPr>
        <w:autoSpaceDE w:val="0"/>
        <w:ind w:left="720" w:hanging="720"/>
        <w:jc w:val="both"/>
        <w:rPr>
          <w:rFonts w:ascii="Calibri" w:hAnsi="Calibri"/>
        </w:rPr>
      </w:pPr>
      <w:r w:rsidRPr="0019371D">
        <w:rPr>
          <w:rFonts w:ascii="Calibri" w:hAnsi="Calibri"/>
        </w:rPr>
        <w:t>3.4</w:t>
      </w:r>
      <w:r w:rsidRPr="0019371D">
        <w:rPr>
          <w:rFonts w:ascii="Calibri" w:hAnsi="Calibri"/>
        </w:rPr>
        <w:tab/>
        <w:t>The systems of internal control are a significant part of the Scheme and are designed to manage risk to a reasonable level. They cannot eliminate all risk of failure to achieve policies, aims and objectives and can therefore only provide reasonable and not absolute assurance of effectiveness. The PCC has on-going processes designed to identify and prioritise risks to the achievement of the OPCC’s policies, aims and objectives, to evaluate the likelihood and potential impact of those risks being realised, and to manage them efficiently, effectively and economically.</w:t>
      </w:r>
    </w:p>
    <w:p w14:paraId="0C787DCE" w14:textId="77777777" w:rsidR="00763097" w:rsidRPr="0019371D" w:rsidRDefault="00763097" w:rsidP="00763097">
      <w:pPr>
        <w:autoSpaceDE w:val="0"/>
        <w:ind w:left="720" w:hanging="720"/>
        <w:jc w:val="both"/>
        <w:rPr>
          <w:rFonts w:ascii="Calibri" w:hAnsi="Calibri"/>
        </w:rPr>
      </w:pPr>
    </w:p>
    <w:p w14:paraId="057F014F" w14:textId="77777777" w:rsidR="00763097" w:rsidRPr="0019371D" w:rsidRDefault="00763097" w:rsidP="00763097">
      <w:pPr>
        <w:autoSpaceDE w:val="0"/>
        <w:ind w:left="720" w:hanging="720"/>
        <w:jc w:val="both"/>
        <w:rPr>
          <w:rFonts w:ascii="Calibri" w:hAnsi="Calibri"/>
        </w:rPr>
      </w:pPr>
      <w:r w:rsidRPr="0019371D">
        <w:rPr>
          <w:rFonts w:ascii="Calibri" w:hAnsi="Calibri"/>
        </w:rPr>
        <w:t>3.5</w:t>
      </w:r>
      <w:r w:rsidRPr="0019371D">
        <w:rPr>
          <w:rFonts w:ascii="Calibri" w:hAnsi="Calibri"/>
        </w:rPr>
        <w:tab/>
        <w:t xml:space="preserve">Below, we set out how the OPCC demonstrates the seven principles of good governance in policing, as defined by the CIPFA Guidance Notes for Policing Bodies in England and Wales (2016 Edition).  </w:t>
      </w:r>
    </w:p>
    <w:p w14:paraId="7461F363" w14:textId="77777777" w:rsidR="00763097" w:rsidRPr="0019371D" w:rsidRDefault="00763097" w:rsidP="00763097">
      <w:pPr>
        <w:autoSpaceDE w:val="0"/>
        <w:ind w:left="720" w:hanging="720"/>
        <w:jc w:val="both"/>
        <w:rPr>
          <w:rFonts w:ascii="Calibri" w:hAnsi="Calibri"/>
        </w:rPr>
      </w:pPr>
    </w:p>
    <w:p w14:paraId="6CC305F0" w14:textId="77777777" w:rsidR="00763097" w:rsidRPr="0019371D" w:rsidRDefault="00763097" w:rsidP="00763097">
      <w:pPr>
        <w:autoSpaceDE w:val="0"/>
        <w:ind w:left="720" w:hanging="720"/>
        <w:jc w:val="both"/>
        <w:rPr>
          <w:rFonts w:ascii="Calibri" w:hAnsi="Calibri"/>
          <w:b/>
        </w:rPr>
      </w:pPr>
      <w:r w:rsidRPr="0019371D">
        <w:rPr>
          <w:rFonts w:ascii="Calibri" w:hAnsi="Calibri"/>
        </w:rPr>
        <w:t>3.6</w:t>
      </w:r>
      <w:r w:rsidRPr="0019371D">
        <w:rPr>
          <w:rFonts w:ascii="Calibri" w:hAnsi="Calibri"/>
          <w:b/>
        </w:rPr>
        <w:t xml:space="preserve"> </w:t>
      </w:r>
      <w:r w:rsidRPr="0019371D">
        <w:rPr>
          <w:rFonts w:ascii="Calibri" w:hAnsi="Calibri"/>
          <w:b/>
        </w:rPr>
        <w:tab/>
        <w:t>Principle A: Behaving with integrity, demonstrating strong commitment to ethical values, and respecting the rule of law:</w:t>
      </w:r>
    </w:p>
    <w:p w14:paraId="10C7B476" w14:textId="77777777" w:rsidR="00763097" w:rsidRPr="0019371D" w:rsidRDefault="00763097" w:rsidP="00763097">
      <w:pPr>
        <w:autoSpaceDE w:val="0"/>
        <w:ind w:left="720" w:hanging="720"/>
        <w:jc w:val="both"/>
        <w:rPr>
          <w:rFonts w:ascii="Calibri" w:hAnsi="Calibri"/>
        </w:rPr>
      </w:pPr>
    </w:p>
    <w:p w14:paraId="5862D879" w14:textId="77777777" w:rsidR="00763097" w:rsidRPr="0019371D" w:rsidRDefault="00763097" w:rsidP="00763097">
      <w:pPr>
        <w:autoSpaceDE w:val="0"/>
        <w:ind w:left="720" w:hanging="720"/>
        <w:jc w:val="both"/>
        <w:rPr>
          <w:rFonts w:ascii="Calibri" w:hAnsi="Calibri"/>
        </w:rPr>
      </w:pPr>
      <w:r w:rsidRPr="0019371D">
        <w:rPr>
          <w:rFonts w:ascii="Calibri" w:hAnsi="Calibri"/>
        </w:rPr>
        <w:t>To achieve this principle, the PCC has:</w:t>
      </w:r>
    </w:p>
    <w:p w14:paraId="63179058" w14:textId="77777777" w:rsidR="00763097" w:rsidRPr="0019371D" w:rsidRDefault="00763097" w:rsidP="00763097">
      <w:pPr>
        <w:autoSpaceDE w:val="0"/>
        <w:ind w:left="1440" w:hanging="720"/>
        <w:jc w:val="both"/>
        <w:rPr>
          <w:rFonts w:ascii="Calibri" w:hAnsi="Calibri"/>
          <w:i/>
        </w:rPr>
      </w:pPr>
      <w:r w:rsidRPr="0019371D">
        <w:rPr>
          <w:rFonts w:ascii="Calibri" w:hAnsi="Calibri"/>
        </w:rPr>
        <w:t>•</w:t>
      </w:r>
      <w:r w:rsidRPr="0019371D">
        <w:rPr>
          <w:rFonts w:ascii="Calibri" w:hAnsi="Calibri"/>
        </w:rPr>
        <w:tab/>
      </w:r>
      <w:r w:rsidRPr="0019371D">
        <w:rPr>
          <w:rFonts w:ascii="Calibri" w:hAnsi="Calibri"/>
          <w:i/>
        </w:rPr>
        <w:t xml:space="preserve">Ensured that the </w:t>
      </w:r>
      <w:r w:rsidRPr="0019371D">
        <w:rPr>
          <w:rFonts w:ascii="Calibri" w:hAnsi="Calibri"/>
          <w:b/>
          <w:i/>
        </w:rPr>
        <w:t>Code of Ethics</w:t>
      </w:r>
      <w:r w:rsidRPr="0019371D">
        <w:rPr>
          <w:rFonts w:ascii="Calibri" w:hAnsi="Calibri"/>
          <w:i/>
        </w:rPr>
        <w:t xml:space="preserve"> is embedded in the organisation</w:t>
      </w:r>
    </w:p>
    <w:p w14:paraId="1A095983" w14:textId="77777777" w:rsidR="00763097" w:rsidRPr="006673FE" w:rsidRDefault="00763097" w:rsidP="00763097">
      <w:pPr>
        <w:autoSpaceDE w:val="0"/>
        <w:ind w:left="1440" w:hanging="720"/>
        <w:jc w:val="both"/>
        <w:rPr>
          <w:rFonts w:ascii="Calibri" w:hAnsi="Calibri"/>
          <w:i/>
        </w:rPr>
      </w:pPr>
      <w:r w:rsidRPr="0019371D">
        <w:rPr>
          <w:rFonts w:ascii="Calibri" w:hAnsi="Calibri"/>
          <w:i/>
        </w:rPr>
        <w:t>•</w:t>
      </w:r>
      <w:r w:rsidRPr="0019371D">
        <w:rPr>
          <w:rFonts w:ascii="Calibri" w:hAnsi="Calibri"/>
          <w:i/>
        </w:rPr>
        <w:tab/>
        <w:t xml:space="preserve">Been </w:t>
      </w:r>
      <w:r w:rsidRPr="006673FE">
        <w:rPr>
          <w:rFonts w:ascii="Calibri" w:hAnsi="Calibri"/>
          <w:i/>
        </w:rPr>
        <w:t>briefed on the Code of Ethics and signed up to an</w:t>
      </w:r>
      <w:r w:rsidRPr="006673FE">
        <w:rPr>
          <w:i/>
        </w:rPr>
        <w:t xml:space="preserve"> </w:t>
      </w:r>
      <w:hyperlink r:id="rId15" w:history="1">
        <w:r w:rsidRPr="006673FE">
          <w:rPr>
            <w:rStyle w:val="Hyperlink"/>
            <w:i/>
            <w:sz w:val="18"/>
            <w:szCs w:val="18"/>
          </w:rPr>
          <w:t>Ethical Checklist</w:t>
        </w:r>
      </w:hyperlink>
    </w:p>
    <w:p w14:paraId="73BBAC63" w14:textId="04B0F92A" w:rsidR="00763097" w:rsidRPr="006673FE" w:rsidRDefault="00763097" w:rsidP="00763097">
      <w:pPr>
        <w:autoSpaceDE w:val="0"/>
        <w:ind w:left="1440" w:hanging="720"/>
        <w:jc w:val="both"/>
        <w:rPr>
          <w:rFonts w:ascii="Calibri" w:hAnsi="Calibri"/>
          <w:i/>
        </w:rPr>
      </w:pPr>
      <w:r w:rsidRPr="006673FE">
        <w:rPr>
          <w:rFonts w:ascii="Calibri" w:hAnsi="Calibri"/>
          <w:i/>
        </w:rPr>
        <w:t>•</w:t>
      </w:r>
      <w:r w:rsidRPr="006673FE">
        <w:rPr>
          <w:rFonts w:ascii="Calibri" w:hAnsi="Calibri"/>
          <w:i/>
        </w:rPr>
        <w:tab/>
        <w:t xml:space="preserve">Linked the </w:t>
      </w:r>
      <w:hyperlink r:id="rId16" w:history="1">
        <w:r w:rsidRPr="006673FE">
          <w:rPr>
            <w:rStyle w:val="Hyperlink"/>
            <w:i/>
            <w:sz w:val="18"/>
            <w:szCs w:val="18"/>
          </w:rPr>
          <w:t>Police &amp; Crime Plan</w:t>
        </w:r>
      </w:hyperlink>
      <w:r w:rsidRPr="006673FE">
        <w:rPr>
          <w:rFonts w:ascii="Calibri" w:hAnsi="Calibri"/>
          <w:i/>
        </w:rPr>
        <w:t xml:space="preserve"> to the Force’s ‘Plan on a Page’ to ensure shared values are communicated clearly across the </w:t>
      </w:r>
      <w:r w:rsidR="0019371D" w:rsidRPr="006673FE">
        <w:rPr>
          <w:rFonts w:ascii="Calibri" w:hAnsi="Calibri"/>
          <w:i/>
        </w:rPr>
        <w:t xml:space="preserve">organization, </w:t>
      </w:r>
      <w:r w:rsidRPr="006673FE">
        <w:rPr>
          <w:rFonts w:ascii="Calibri" w:hAnsi="Calibri"/>
          <w:i/>
        </w:rPr>
        <w:t xml:space="preserve"> </w:t>
      </w:r>
    </w:p>
    <w:p w14:paraId="01D13BD8" w14:textId="77777777" w:rsidR="00763097" w:rsidRPr="002D4ACF" w:rsidRDefault="00763097" w:rsidP="00763097">
      <w:pPr>
        <w:autoSpaceDE w:val="0"/>
        <w:ind w:left="1440" w:hanging="720"/>
        <w:jc w:val="both"/>
        <w:rPr>
          <w:rFonts w:ascii="Calibri" w:hAnsi="Calibri"/>
          <w:i/>
        </w:rPr>
      </w:pPr>
      <w:r w:rsidRPr="006673FE">
        <w:rPr>
          <w:rFonts w:ascii="Calibri" w:hAnsi="Calibri"/>
          <w:i/>
        </w:rPr>
        <w:t>•</w:t>
      </w:r>
      <w:r w:rsidRPr="006673FE">
        <w:rPr>
          <w:rFonts w:ascii="Calibri" w:hAnsi="Calibri"/>
          <w:i/>
        </w:rPr>
        <w:tab/>
        <w:t>Signed up to a</w:t>
      </w:r>
      <w:r w:rsidRPr="0019371D">
        <w:rPr>
          <w:rFonts w:ascii="Calibri" w:hAnsi="Calibri"/>
          <w:i/>
        </w:rPr>
        <w:t xml:space="preserve"> </w:t>
      </w:r>
      <w:hyperlink r:id="rId17" w:history="1">
        <w:r w:rsidRPr="0019371D">
          <w:rPr>
            <w:rStyle w:val="Hyperlink"/>
            <w:i/>
            <w:sz w:val="18"/>
            <w:szCs w:val="18"/>
          </w:rPr>
          <w:t>Concordat</w:t>
        </w:r>
      </w:hyperlink>
      <w:r w:rsidRPr="0019371D">
        <w:rPr>
          <w:rFonts w:ascii="Calibri" w:hAnsi="Calibri"/>
          <w:i/>
        </w:rPr>
        <w:t xml:space="preserve"> with the Chief Constable, aligned to the Policing Protocol Order 2011, requiring abidance to the Seven Principles of Public Life (the Nolan Principles). The concordat highlights the expectation that the relationship between PCC </w:t>
      </w:r>
      <w:r w:rsidRPr="002D4ACF">
        <w:rPr>
          <w:rFonts w:ascii="Calibri" w:hAnsi="Calibri"/>
          <w:i/>
        </w:rPr>
        <w:t xml:space="preserve">and Chief Constable will be based on the principles of goodwill, professionalism, openness and trust </w:t>
      </w:r>
    </w:p>
    <w:p w14:paraId="52F173E8" w14:textId="77777777" w:rsidR="00763097" w:rsidRPr="002D4ACF" w:rsidRDefault="00763097" w:rsidP="00763097">
      <w:pPr>
        <w:autoSpaceDE w:val="0"/>
        <w:ind w:left="1440" w:hanging="720"/>
        <w:jc w:val="both"/>
        <w:rPr>
          <w:rFonts w:ascii="Calibri" w:hAnsi="Calibri"/>
          <w:i/>
        </w:rPr>
      </w:pPr>
      <w:r w:rsidRPr="002D4ACF">
        <w:rPr>
          <w:rFonts w:ascii="Calibri" w:hAnsi="Calibri"/>
          <w:i/>
        </w:rPr>
        <w:t>•</w:t>
      </w:r>
      <w:r w:rsidRPr="002D4ACF">
        <w:rPr>
          <w:rFonts w:ascii="Calibri" w:hAnsi="Calibri"/>
          <w:i/>
        </w:rPr>
        <w:tab/>
        <w:t xml:space="preserve">Taken the </w:t>
      </w:r>
      <w:r w:rsidRPr="002D4ACF">
        <w:rPr>
          <w:rFonts w:ascii="Calibri" w:hAnsi="Calibri"/>
          <w:b/>
          <w:i/>
        </w:rPr>
        <w:t>Oath of Office</w:t>
      </w:r>
      <w:r w:rsidRPr="002D4ACF">
        <w:rPr>
          <w:rFonts w:ascii="Calibri" w:hAnsi="Calibri"/>
          <w:i/>
        </w:rPr>
        <w:t xml:space="preserve"> on the day of election</w:t>
      </w:r>
    </w:p>
    <w:p w14:paraId="13F86C18" w14:textId="77777777" w:rsidR="00763097" w:rsidRPr="002D4ACF" w:rsidRDefault="00763097" w:rsidP="00763097">
      <w:pPr>
        <w:autoSpaceDE w:val="0"/>
        <w:ind w:left="1440" w:hanging="720"/>
        <w:jc w:val="both"/>
        <w:rPr>
          <w:rFonts w:ascii="Calibri" w:hAnsi="Calibri"/>
          <w:i/>
        </w:rPr>
      </w:pPr>
      <w:r w:rsidRPr="002D4ACF">
        <w:rPr>
          <w:rFonts w:ascii="Calibri" w:hAnsi="Calibri"/>
          <w:i/>
        </w:rPr>
        <w:t>•</w:t>
      </w:r>
      <w:r w:rsidRPr="002D4ACF">
        <w:rPr>
          <w:rFonts w:ascii="Calibri" w:hAnsi="Calibri"/>
          <w:i/>
        </w:rPr>
        <w:tab/>
        <w:t xml:space="preserve">Signed up to a voluntary </w:t>
      </w:r>
      <w:hyperlink r:id="rId18" w:history="1">
        <w:r w:rsidRPr="002D4ACF">
          <w:rPr>
            <w:rStyle w:val="Hyperlink"/>
            <w:i/>
            <w:sz w:val="18"/>
            <w:szCs w:val="18"/>
          </w:rPr>
          <w:t>Code of Conduct</w:t>
        </w:r>
      </w:hyperlink>
      <w:r w:rsidRPr="002D4ACF">
        <w:rPr>
          <w:rFonts w:ascii="Calibri" w:hAnsi="Calibri"/>
          <w:i/>
        </w:rPr>
        <w:t xml:space="preserve"> </w:t>
      </w:r>
    </w:p>
    <w:p w14:paraId="3C5792E9" w14:textId="77777777" w:rsidR="00763097" w:rsidRPr="002D4ACF" w:rsidRDefault="00763097" w:rsidP="00763097">
      <w:pPr>
        <w:autoSpaceDE w:val="0"/>
        <w:ind w:left="1440" w:hanging="720"/>
        <w:jc w:val="both"/>
        <w:rPr>
          <w:rFonts w:ascii="Calibri" w:hAnsi="Calibri"/>
          <w:i/>
        </w:rPr>
      </w:pPr>
      <w:r w:rsidRPr="002D4ACF">
        <w:rPr>
          <w:rFonts w:ascii="Calibri" w:hAnsi="Calibri"/>
          <w:i/>
        </w:rPr>
        <w:t>•</w:t>
      </w:r>
      <w:r w:rsidRPr="002D4ACF">
        <w:rPr>
          <w:rFonts w:ascii="Calibri" w:hAnsi="Calibri"/>
          <w:i/>
        </w:rPr>
        <w:tab/>
        <w:t xml:space="preserve">Published </w:t>
      </w:r>
      <w:hyperlink r:id="rId19" w:history="1">
        <w:r w:rsidRPr="002D4ACF">
          <w:rPr>
            <w:rStyle w:val="Hyperlink"/>
            <w:i/>
            <w:sz w:val="18"/>
            <w:szCs w:val="18"/>
          </w:rPr>
          <w:t>Registers of interests</w:t>
        </w:r>
      </w:hyperlink>
      <w:r w:rsidRPr="002D4ACF">
        <w:rPr>
          <w:rFonts w:ascii="Calibri" w:hAnsi="Calibri"/>
          <w:i/>
        </w:rPr>
        <w:t xml:space="preserve"> and records of gifts, hospitalities and expenses for the PCC, Chief Officers and relevant staff and shared these with the Audit Committee</w:t>
      </w:r>
    </w:p>
    <w:p w14:paraId="06ABC559" w14:textId="77777777" w:rsidR="00763097" w:rsidRPr="002D4ACF" w:rsidRDefault="00763097" w:rsidP="00763097">
      <w:pPr>
        <w:autoSpaceDE w:val="0"/>
        <w:ind w:left="1440" w:hanging="720"/>
        <w:jc w:val="both"/>
        <w:rPr>
          <w:rFonts w:ascii="Calibri" w:hAnsi="Calibri"/>
          <w:i/>
        </w:rPr>
      </w:pPr>
      <w:r w:rsidRPr="002D4ACF">
        <w:rPr>
          <w:rFonts w:ascii="Calibri" w:hAnsi="Calibri"/>
          <w:i/>
        </w:rPr>
        <w:t>•</w:t>
      </w:r>
      <w:r w:rsidRPr="002D4ACF">
        <w:rPr>
          <w:rFonts w:ascii="Calibri" w:hAnsi="Calibri"/>
          <w:i/>
        </w:rPr>
        <w:tab/>
        <w:t xml:space="preserve">Ensured that all staff have clear objectives and up-to-date Performance Development Reviews (PDRs) and job descriptions </w:t>
      </w:r>
    </w:p>
    <w:p w14:paraId="06BE8C80" w14:textId="2EFC0A88" w:rsidR="00763097" w:rsidRPr="002D4ACF" w:rsidRDefault="00763097" w:rsidP="00763097">
      <w:pPr>
        <w:autoSpaceDE w:val="0"/>
        <w:ind w:left="1440" w:hanging="720"/>
        <w:jc w:val="both"/>
        <w:rPr>
          <w:rFonts w:ascii="Calibri" w:hAnsi="Calibri"/>
          <w:i/>
        </w:rPr>
      </w:pPr>
      <w:r w:rsidRPr="002D4ACF">
        <w:rPr>
          <w:rFonts w:ascii="Calibri" w:hAnsi="Calibri"/>
          <w:i/>
        </w:rPr>
        <w:t>•</w:t>
      </w:r>
      <w:r w:rsidRPr="002D4ACF">
        <w:rPr>
          <w:rFonts w:ascii="Calibri" w:hAnsi="Calibri"/>
          <w:i/>
        </w:rPr>
        <w:tab/>
        <w:t xml:space="preserve">As part of </w:t>
      </w:r>
      <w:r w:rsidRPr="002D4ACF">
        <w:rPr>
          <w:rFonts w:ascii="Calibri" w:hAnsi="Calibri"/>
          <w:b/>
          <w:i/>
        </w:rPr>
        <w:t>governance arrangements</w:t>
      </w:r>
      <w:r w:rsidRPr="002D4ACF">
        <w:rPr>
          <w:rFonts w:ascii="Calibri" w:hAnsi="Calibri"/>
          <w:i/>
        </w:rPr>
        <w:t xml:space="preserve">, put in place a regular performance meeting which allows the PCC to hold the Chief Constable to account against the priorities of the Police &amp; Crime Plan </w:t>
      </w:r>
    </w:p>
    <w:p w14:paraId="5720C192" w14:textId="77777777" w:rsidR="00763097" w:rsidRPr="002D4ACF" w:rsidRDefault="00763097" w:rsidP="00763097">
      <w:pPr>
        <w:autoSpaceDE w:val="0"/>
        <w:ind w:left="1440" w:hanging="720"/>
        <w:jc w:val="both"/>
        <w:rPr>
          <w:rFonts w:ascii="Calibri" w:hAnsi="Calibri"/>
          <w:i/>
        </w:rPr>
      </w:pPr>
      <w:r w:rsidRPr="002D4ACF">
        <w:rPr>
          <w:rFonts w:ascii="Calibri" w:hAnsi="Calibri"/>
          <w:i/>
        </w:rPr>
        <w:t>•</w:t>
      </w:r>
      <w:r w:rsidRPr="002D4ACF">
        <w:rPr>
          <w:rFonts w:ascii="Calibri" w:hAnsi="Calibri"/>
          <w:i/>
        </w:rPr>
        <w:tab/>
        <w:t xml:space="preserve">Provided responses to all HMICFRS reports which make a recommendation for Surrey or the police service nationally </w:t>
      </w:r>
    </w:p>
    <w:p w14:paraId="1EAEEB49" w14:textId="77777777" w:rsidR="00763097" w:rsidRPr="002D4ACF" w:rsidRDefault="00763097" w:rsidP="00763097">
      <w:pPr>
        <w:autoSpaceDE w:val="0"/>
        <w:ind w:left="1440" w:hanging="720"/>
        <w:jc w:val="both"/>
        <w:rPr>
          <w:rFonts w:ascii="Calibri" w:hAnsi="Calibri"/>
          <w:i/>
        </w:rPr>
      </w:pPr>
      <w:r w:rsidRPr="002D4ACF">
        <w:rPr>
          <w:rFonts w:ascii="Calibri" w:hAnsi="Calibri"/>
          <w:i/>
        </w:rPr>
        <w:t>•</w:t>
      </w:r>
      <w:r w:rsidRPr="002D4ACF">
        <w:rPr>
          <w:rFonts w:ascii="Calibri" w:hAnsi="Calibri"/>
          <w:i/>
        </w:rPr>
        <w:tab/>
        <w:t xml:space="preserve">Kept </w:t>
      </w:r>
      <w:r w:rsidRPr="002D4ACF">
        <w:rPr>
          <w:rFonts w:ascii="Calibri" w:hAnsi="Calibri"/>
          <w:b/>
          <w:i/>
        </w:rPr>
        <w:t>Anti-fraud and corruption policies</w:t>
      </w:r>
      <w:r w:rsidRPr="002D4ACF">
        <w:rPr>
          <w:rFonts w:ascii="Calibri" w:hAnsi="Calibri"/>
          <w:i/>
        </w:rPr>
        <w:t xml:space="preserve"> up-to-date and under review by the Audit Committee </w:t>
      </w:r>
    </w:p>
    <w:p w14:paraId="378522EA" w14:textId="77777777" w:rsidR="00763097" w:rsidRPr="002D4ACF" w:rsidRDefault="00763097" w:rsidP="00763097">
      <w:pPr>
        <w:autoSpaceDE w:val="0"/>
        <w:ind w:left="1440" w:hanging="720"/>
        <w:jc w:val="both"/>
        <w:rPr>
          <w:rFonts w:ascii="Calibri" w:hAnsi="Calibri"/>
          <w:i/>
        </w:rPr>
      </w:pPr>
      <w:r w:rsidRPr="002D4ACF">
        <w:rPr>
          <w:rFonts w:ascii="Calibri" w:hAnsi="Calibri"/>
          <w:i/>
        </w:rPr>
        <w:t>•</w:t>
      </w:r>
      <w:r w:rsidRPr="002D4ACF">
        <w:rPr>
          <w:rFonts w:ascii="Calibri" w:hAnsi="Calibri"/>
          <w:i/>
        </w:rPr>
        <w:tab/>
        <w:t xml:space="preserve">Ensured that the OPCC has an up-to-date </w:t>
      </w:r>
      <w:hyperlink r:id="rId20" w:history="1">
        <w:r w:rsidRPr="002D4ACF">
          <w:rPr>
            <w:rStyle w:val="Hyperlink"/>
            <w:i/>
            <w:sz w:val="18"/>
            <w:szCs w:val="18"/>
          </w:rPr>
          <w:t>Freedom of Information</w:t>
        </w:r>
      </w:hyperlink>
      <w:r w:rsidRPr="002D4ACF">
        <w:rPr>
          <w:rFonts w:ascii="Calibri" w:hAnsi="Calibri"/>
          <w:i/>
        </w:rPr>
        <w:t xml:space="preserve"> Act </w:t>
      </w:r>
      <w:r w:rsidRPr="002D4ACF">
        <w:rPr>
          <w:rFonts w:ascii="Calibri" w:hAnsi="Calibri"/>
          <w:b/>
          <w:i/>
        </w:rPr>
        <w:t>Publication Scheme</w:t>
      </w:r>
      <w:r w:rsidRPr="002D4ACF">
        <w:rPr>
          <w:rFonts w:ascii="Calibri" w:hAnsi="Calibri"/>
          <w:i/>
        </w:rPr>
        <w:t xml:space="preserve"> and is compliant with new requirements for the General Data Protection Regulations </w:t>
      </w:r>
    </w:p>
    <w:p w14:paraId="09994B38" w14:textId="50701FBC" w:rsidR="00763097" w:rsidRPr="002D4ACF" w:rsidRDefault="002D4ACF" w:rsidP="00763097">
      <w:pPr>
        <w:autoSpaceDE w:val="0"/>
        <w:ind w:left="1440" w:hanging="720"/>
        <w:jc w:val="both"/>
        <w:rPr>
          <w:rFonts w:ascii="Calibri" w:hAnsi="Calibri"/>
          <w:i/>
        </w:rPr>
      </w:pPr>
      <w:r w:rsidRPr="002D4ACF">
        <w:rPr>
          <w:rFonts w:ascii="Calibri" w:hAnsi="Calibri"/>
          <w:i/>
        </w:rPr>
        <w:t>•</w:t>
      </w:r>
      <w:r w:rsidRPr="002D4ACF">
        <w:rPr>
          <w:rFonts w:ascii="Calibri" w:hAnsi="Calibri"/>
          <w:i/>
        </w:rPr>
        <w:tab/>
        <w:t>Has</w:t>
      </w:r>
      <w:r w:rsidR="00763097" w:rsidRPr="002D4ACF">
        <w:rPr>
          <w:rFonts w:ascii="Calibri" w:hAnsi="Calibri"/>
          <w:i/>
        </w:rPr>
        <w:t xml:space="preserve"> </w:t>
      </w:r>
      <w:r w:rsidR="00763097" w:rsidRPr="002D4ACF">
        <w:rPr>
          <w:rFonts w:ascii="Calibri" w:hAnsi="Calibri"/>
          <w:b/>
          <w:i/>
        </w:rPr>
        <w:t>Whistle-blowing</w:t>
      </w:r>
      <w:r w:rsidR="00763097" w:rsidRPr="002D4ACF">
        <w:rPr>
          <w:rFonts w:ascii="Calibri" w:hAnsi="Calibri"/>
          <w:i/>
        </w:rPr>
        <w:t xml:space="preserve"> policies in place that are published and subject to review by the Audit Committee </w:t>
      </w:r>
    </w:p>
    <w:p w14:paraId="58E75F83" w14:textId="77777777" w:rsidR="00763097" w:rsidRPr="002D4ACF" w:rsidRDefault="00763097" w:rsidP="00763097">
      <w:pPr>
        <w:autoSpaceDE w:val="0"/>
        <w:ind w:left="1440" w:hanging="720"/>
        <w:jc w:val="both"/>
        <w:rPr>
          <w:rFonts w:ascii="Calibri" w:hAnsi="Calibri"/>
          <w:i/>
        </w:rPr>
      </w:pPr>
      <w:r w:rsidRPr="002D4ACF">
        <w:rPr>
          <w:rFonts w:ascii="Calibri" w:hAnsi="Calibri"/>
          <w:i/>
        </w:rPr>
        <w:t>•</w:t>
      </w:r>
      <w:r w:rsidRPr="002D4ACF">
        <w:rPr>
          <w:rFonts w:ascii="Calibri" w:hAnsi="Calibri"/>
          <w:i/>
        </w:rPr>
        <w:tab/>
        <w:t xml:space="preserve">Published policies and procedures on </w:t>
      </w:r>
      <w:hyperlink r:id="rId21" w:history="1">
        <w:r w:rsidRPr="002D4ACF">
          <w:rPr>
            <w:rStyle w:val="Hyperlink"/>
            <w:i/>
            <w:sz w:val="18"/>
            <w:szCs w:val="18"/>
          </w:rPr>
          <w:t>complaints</w:t>
        </w:r>
      </w:hyperlink>
      <w:r w:rsidRPr="002D4ACF">
        <w:rPr>
          <w:rFonts w:ascii="Calibri" w:hAnsi="Calibri"/>
          <w:i/>
        </w:rPr>
        <w:t xml:space="preserve"> on our website and reviewed wider arrangements for the handling of complaints given the new provisions of the Policing and Crime Act 2017 (came into effect in February 2020)</w:t>
      </w:r>
    </w:p>
    <w:p w14:paraId="3F47F8F6" w14:textId="4AC6DC84" w:rsidR="00763097" w:rsidRPr="002D4ACF" w:rsidRDefault="002D4ACF" w:rsidP="00763097">
      <w:pPr>
        <w:autoSpaceDE w:val="0"/>
        <w:ind w:left="1440" w:hanging="720"/>
        <w:jc w:val="both"/>
        <w:rPr>
          <w:rFonts w:ascii="Calibri" w:hAnsi="Calibri"/>
          <w:i/>
        </w:rPr>
      </w:pPr>
      <w:r w:rsidRPr="002D4ACF">
        <w:rPr>
          <w:rFonts w:ascii="Calibri" w:hAnsi="Calibri"/>
          <w:i/>
        </w:rPr>
        <w:t>•</w:t>
      </w:r>
      <w:r w:rsidRPr="002D4ACF">
        <w:rPr>
          <w:rFonts w:ascii="Calibri" w:hAnsi="Calibri"/>
          <w:i/>
        </w:rPr>
        <w:tab/>
        <w:t>Had</w:t>
      </w:r>
      <w:r w:rsidR="00763097" w:rsidRPr="002D4ACF">
        <w:rPr>
          <w:rFonts w:ascii="Calibri" w:hAnsi="Calibri"/>
          <w:i/>
        </w:rPr>
        <w:t xml:space="preserve"> in place arrangements for the </w:t>
      </w:r>
      <w:r w:rsidR="00763097" w:rsidRPr="002D4ACF">
        <w:rPr>
          <w:rFonts w:ascii="Calibri" w:hAnsi="Calibri"/>
          <w:b/>
          <w:i/>
        </w:rPr>
        <w:t>oversight of professional standards</w:t>
      </w:r>
      <w:r w:rsidR="00763097" w:rsidRPr="002D4ACF">
        <w:rPr>
          <w:rFonts w:ascii="Calibri" w:hAnsi="Calibri"/>
          <w:i/>
        </w:rPr>
        <w:t xml:space="preserve"> and dip checking of complaints files</w:t>
      </w:r>
    </w:p>
    <w:p w14:paraId="4726BD13" w14:textId="77777777" w:rsidR="00763097" w:rsidRPr="002D4ACF" w:rsidRDefault="00763097" w:rsidP="00763097">
      <w:pPr>
        <w:autoSpaceDE w:val="0"/>
        <w:ind w:left="1440" w:hanging="720"/>
        <w:jc w:val="both"/>
        <w:rPr>
          <w:rFonts w:ascii="Calibri" w:hAnsi="Calibri"/>
          <w:i/>
        </w:rPr>
      </w:pPr>
      <w:r w:rsidRPr="002D4ACF">
        <w:rPr>
          <w:rFonts w:ascii="Calibri" w:hAnsi="Calibri"/>
          <w:i/>
        </w:rPr>
        <w:t>•</w:t>
      </w:r>
      <w:r w:rsidRPr="002D4ACF">
        <w:rPr>
          <w:rFonts w:ascii="Calibri" w:hAnsi="Calibri"/>
          <w:i/>
        </w:rPr>
        <w:tab/>
        <w:t xml:space="preserve">Run an effective </w:t>
      </w:r>
      <w:hyperlink r:id="rId22" w:history="1">
        <w:r w:rsidRPr="002D4ACF">
          <w:rPr>
            <w:rStyle w:val="Hyperlink"/>
            <w:i/>
            <w:sz w:val="18"/>
            <w:szCs w:val="18"/>
          </w:rPr>
          <w:t>Independent Custody Visitors Scheme</w:t>
        </w:r>
      </w:hyperlink>
      <w:r w:rsidRPr="002D4ACF">
        <w:rPr>
          <w:rFonts w:ascii="Calibri" w:hAnsi="Calibri"/>
          <w:i/>
        </w:rPr>
        <w:t xml:space="preserve"> which ensures the welfare of those detained in police custody and subjected the scheme to peer assessment</w:t>
      </w:r>
    </w:p>
    <w:p w14:paraId="34305539" w14:textId="6F0DBB73" w:rsidR="00763097" w:rsidRPr="00AE6186" w:rsidRDefault="002D4ACF" w:rsidP="00763097">
      <w:pPr>
        <w:autoSpaceDE w:val="0"/>
        <w:ind w:left="1440" w:hanging="720"/>
        <w:jc w:val="both"/>
        <w:rPr>
          <w:rFonts w:ascii="Calibri" w:hAnsi="Calibri"/>
          <w:i/>
        </w:rPr>
      </w:pPr>
      <w:r w:rsidRPr="002D4ACF">
        <w:rPr>
          <w:rFonts w:ascii="Calibri" w:hAnsi="Calibri"/>
          <w:i/>
        </w:rPr>
        <w:t>•</w:t>
      </w:r>
      <w:r w:rsidRPr="002D4ACF">
        <w:rPr>
          <w:rFonts w:ascii="Calibri" w:hAnsi="Calibri"/>
          <w:i/>
        </w:rPr>
        <w:tab/>
      </w:r>
      <w:r w:rsidRPr="00AE6186">
        <w:rPr>
          <w:rFonts w:ascii="Calibri" w:hAnsi="Calibri"/>
          <w:i/>
        </w:rPr>
        <w:t>Took</w:t>
      </w:r>
      <w:r w:rsidR="00763097" w:rsidRPr="00AE6186">
        <w:rPr>
          <w:rFonts w:ascii="Calibri" w:hAnsi="Calibri"/>
          <w:i/>
        </w:rPr>
        <w:t xml:space="preserve"> a </w:t>
      </w:r>
      <w:r w:rsidR="00763097" w:rsidRPr="00AE6186">
        <w:rPr>
          <w:rFonts w:ascii="Calibri" w:hAnsi="Calibri"/>
          <w:b/>
          <w:i/>
        </w:rPr>
        <w:t>national portfolio lead</w:t>
      </w:r>
      <w:r w:rsidR="00763097" w:rsidRPr="00AE6186">
        <w:rPr>
          <w:rFonts w:ascii="Calibri" w:hAnsi="Calibri"/>
          <w:i/>
        </w:rPr>
        <w:t xml:space="preserve"> for issues of equality, diversity and human rights</w:t>
      </w:r>
    </w:p>
    <w:p w14:paraId="3D4244F2"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Employed a Chief Executive who undertakes the responsibilities of </w:t>
      </w:r>
      <w:r w:rsidRPr="00AE6186">
        <w:rPr>
          <w:rFonts w:ascii="Calibri" w:hAnsi="Calibri"/>
          <w:b/>
          <w:i/>
        </w:rPr>
        <w:t>Monitoring Officer</w:t>
      </w:r>
    </w:p>
    <w:p w14:paraId="325BDE91" w14:textId="77777777" w:rsidR="00763097" w:rsidRPr="00AE6186" w:rsidRDefault="00763097" w:rsidP="00763097">
      <w:pPr>
        <w:autoSpaceDE w:val="0"/>
        <w:ind w:left="720" w:hanging="720"/>
        <w:jc w:val="both"/>
        <w:rPr>
          <w:rFonts w:ascii="Calibri" w:hAnsi="Calibri"/>
        </w:rPr>
      </w:pPr>
    </w:p>
    <w:p w14:paraId="097634AD" w14:textId="77777777" w:rsidR="00763097" w:rsidRPr="00AE6186" w:rsidRDefault="00763097" w:rsidP="00763097">
      <w:pPr>
        <w:autoSpaceDE w:val="0"/>
        <w:ind w:left="720" w:hanging="720"/>
        <w:jc w:val="both"/>
        <w:rPr>
          <w:rFonts w:ascii="Calibri" w:hAnsi="Calibri"/>
          <w:b/>
        </w:rPr>
      </w:pPr>
      <w:r w:rsidRPr="00AE6186">
        <w:rPr>
          <w:rFonts w:ascii="Calibri" w:hAnsi="Calibri"/>
        </w:rPr>
        <w:t>3.7</w:t>
      </w:r>
      <w:r w:rsidRPr="00AE6186">
        <w:rPr>
          <w:rFonts w:ascii="Calibri" w:hAnsi="Calibri"/>
        </w:rPr>
        <w:tab/>
      </w:r>
      <w:r w:rsidRPr="00AE6186">
        <w:rPr>
          <w:rFonts w:ascii="Calibri" w:hAnsi="Calibri"/>
          <w:b/>
        </w:rPr>
        <w:t>Principle B: Ensuring openness and comprehensive stakeholder engagement:</w:t>
      </w:r>
    </w:p>
    <w:p w14:paraId="16CF75B7" w14:textId="77777777" w:rsidR="00763097" w:rsidRPr="00AE6186" w:rsidRDefault="00763097" w:rsidP="00763097">
      <w:pPr>
        <w:autoSpaceDE w:val="0"/>
        <w:ind w:left="720" w:hanging="720"/>
        <w:jc w:val="both"/>
        <w:rPr>
          <w:rFonts w:ascii="Calibri" w:hAnsi="Calibri"/>
        </w:rPr>
      </w:pPr>
    </w:p>
    <w:p w14:paraId="2FE3AF0B" w14:textId="77777777" w:rsidR="00763097" w:rsidRPr="00AE6186" w:rsidRDefault="00763097" w:rsidP="00763097">
      <w:pPr>
        <w:autoSpaceDE w:val="0"/>
        <w:ind w:left="720" w:hanging="720"/>
        <w:jc w:val="both"/>
        <w:rPr>
          <w:rFonts w:ascii="Calibri" w:hAnsi="Calibri"/>
        </w:rPr>
      </w:pPr>
      <w:r w:rsidRPr="00AE6186">
        <w:rPr>
          <w:rFonts w:ascii="Calibri" w:hAnsi="Calibri"/>
        </w:rPr>
        <w:t xml:space="preserve">To achieve this principle, the PCC has: </w:t>
      </w:r>
    </w:p>
    <w:p w14:paraId="4CBF105D" w14:textId="77777777" w:rsidR="00763097" w:rsidRPr="00AE6186" w:rsidRDefault="00763097" w:rsidP="00763097">
      <w:pPr>
        <w:autoSpaceDE w:val="0"/>
        <w:ind w:left="1440" w:hanging="720"/>
        <w:jc w:val="both"/>
        <w:rPr>
          <w:rFonts w:ascii="Calibri" w:hAnsi="Calibri"/>
          <w:i/>
        </w:rPr>
      </w:pPr>
      <w:r w:rsidRPr="00AE6186">
        <w:rPr>
          <w:rFonts w:ascii="Calibri" w:hAnsi="Calibri"/>
        </w:rPr>
        <w:t>•</w:t>
      </w:r>
      <w:r w:rsidRPr="00AE6186">
        <w:rPr>
          <w:rFonts w:ascii="Calibri" w:hAnsi="Calibri"/>
        </w:rPr>
        <w:tab/>
      </w:r>
      <w:r w:rsidRPr="00AE6186">
        <w:rPr>
          <w:rFonts w:ascii="Calibri" w:hAnsi="Calibri"/>
          <w:i/>
        </w:rPr>
        <w:t xml:space="preserve">Published his </w:t>
      </w:r>
      <w:r w:rsidRPr="00AE6186">
        <w:rPr>
          <w:rFonts w:ascii="Calibri" w:hAnsi="Calibri"/>
          <w:b/>
          <w:i/>
        </w:rPr>
        <w:t>Police &amp; Crime Plan</w:t>
      </w:r>
      <w:r w:rsidRPr="00AE6186">
        <w:rPr>
          <w:rFonts w:ascii="Calibri" w:hAnsi="Calibri"/>
          <w:i/>
        </w:rPr>
        <w:t xml:space="preserve"> which clearly sets out the strategic direction and objectives for Surrey and how they will be delivered</w:t>
      </w:r>
    </w:p>
    <w:p w14:paraId="58E391AE" w14:textId="72ADAA85"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Published an </w:t>
      </w:r>
      <w:r w:rsidRPr="00AE6186">
        <w:rPr>
          <w:rFonts w:ascii="Calibri" w:hAnsi="Calibri"/>
          <w:b/>
          <w:i/>
        </w:rPr>
        <w:t>Annual Report</w:t>
      </w:r>
      <w:r w:rsidRPr="00AE6186">
        <w:rPr>
          <w:rFonts w:ascii="Calibri" w:hAnsi="Calibri"/>
          <w:i/>
        </w:rPr>
        <w:t xml:space="preserve"> against </w:t>
      </w:r>
      <w:r w:rsidR="00AE6186" w:rsidRPr="00AE6186">
        <w:rPr>
          <w:rFonts w:ascii="Calibri" w:hAnsi="Calibri"/>
          <w:i/>
        </w:rPr>
        <w:t>the</w:t>
      </w:r>
      <w:r w:rsidRPr="00AE6186">
        <w:rPr>
          <w:rFonts w:ascii="Calibri" w:hAnsi="Calibri"/>
          <w:i/>
        </w:rPr>
        <w:t xml:space="preserve"> plan which was approved by the Police &amp; Crime Panel </w:t>
      </w:r>
    </w:p>
    <w:p w14:paraId="2D58AE82" w14:textId="680E2534"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Undertaken a </w:t>
      </w:r>
      <w:r w:rsidRPr="00AE6186">
        <w:rPr>
          <w:rFonts w:ascii="Calibri" w:hAnsi="Calibri"/>
          <w:b/>
          <w:i/>
        </w:rPr>
        <w:t>survey</w:t>
      </w:r>
      <w:r w:rsidRPr="00AE6186">
        <w:rPr>
          <w:rFonts w:ascii="Calibri" w:hAnsi="Calibri"/>
          <w:i/>
        </w:rPr>
        <w:t xml:space="preserve"> prior to setting the council tax precept and published results on </w:t>
      </w:r>
      <w:r w:rsidR="00AE6186" w:rsidRPr="00AE6186">
        <w:rPr>
          <w:rFonts w:ascii="Calibri" w:hAnsi="Calibri"/>
          <w:i/>
        </w:rPr>
        <w:t>the</w:t>
      </w:r>
      <w:r w:rsidRPr="00AE6186">
        <w:rPr>
          <w:rFonts w:ascii="Calibri" w:hAnsi="Calibri"/>
          <w:i/>
        </w:rPr>
        <w:t xml:space="preserve"> website</w:t>
      </w:r>
    </w:p>
    <w:p w14:paraId="3E2B7317"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Held a </w:t>
      </w:r>
      <w:r w:rsidRPr="00AE6186">
        <w:rPr>
          <w:rFonts w:ascii="Calibri" w:hAnsi="Calibri"/>
          <w:b/>
          <w:i/>
        </w:rPr>
        <w:t>series of public engagement events</w:t>
      </w:r>
      <w:r w:rsidRPr="00AE6186">
        <w:rPr>
          <w:rFonts w:ascii="Calibri" w:hAnsi="Calibri"/>
          <w:i/>
        </w:rPr>
        <w:t xml:space="preserve"> to determine public views on the allocation of additional resource which will be funded via the increase in council tax precept </w:t>
      </w:r>
    </w:p>
    <w:p w14:paraId="23EB063C"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Fostered good working relationships with the </w:t>
      </w:r>
      <w:r w:rsidRPr="00AE6186">
        <w:rPr>
          <w:rFonts w:ascii="Calibri" w:hAnsi="Calibri"/>
          <w:b/>
          <w:i/>
        </w:rPr>
        <w:t>Police &amp; Crime Panel</w:t>
      </w:r>
      <w:r w:rsidRPr="00AE6186">
        <w:rPr>
          <w:rFonts w:ascii="Calibri" w:hAnsi="Calibri"/>
          <w:i/>
        </w:rPr>
        <w:t xml:space="preserve">, constituent local authorities and other partners </w:t>
      </w:r>
    </w:p>
    <w:p w14:paraId="0A5AED36"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Made a series of visits to a wide range of partner organisations, community groups and residents associations </w:t>
      </w:r>
    </w:p>
    <w:p w14:paraId="5D4AFA0C"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Developed an accessible and engaging </w:t>
      </w:r>
      <w:r w:rsidRPr="00AE6186">
        <w:rPr>
          <w:rFonts w:ascii="Calibri" w:hAnsi="Calibri"/>
          <w:b/>
          <w:i/>
        </w:rPr>
        <w:t>public website</w:t>
      </w:r>
      <w:r w:rsidRPr="00AE6186">
        <w:rPr>
          <w:rFonts w:ascii="Calibri" w:hAnsi="Calibri"/>
          <w:i/>
        </w:rPr>
        <w:t xml:space="preserve"> and social/digital media channels</w:t>
      </w:r>
    </w:p>
    <w:p w14:paraId="20677880"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Held regular </w:t>
      </w:r>
      <w:hyperlink r:id="rId23" w:history="1">
        <w:r w:rsidRPr="00AE6186">
          <w:rPr>
            <w:rStyle w:val="Hyperlink"/>
            <w:i/>
            <w:sz w:val="18"/>
            <w:szCs w:val="18"/>
          </w:rPr>
          <w:t>webcast performance meetings</w:t>
        </w:r>
      </w:hyperlink>
      <w:r w:rsidRPr="00AE6186">
        <w:rPr>
          <w:rFonts w:ascii="Calibri" w:hAnsi="Calibri"/>
          <w:i/>
        </w:rPr>
        <w:t xml:space="preserve"> which can be viewed by the public with papers published on the OPCC’s website</w:t>
      </w:r>
    </w:p>
    <w:p w14:paraId="3C868DAF" w14:textId="01B63A4C"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Discharged statutory, reciprocal duty with responsible authorities to co-operate to reduce crime, disorder and re-offending through good governance arrangements with partner agencies </w:t>
      </w:r>
    </w:p>
    <w:p w14:paraId="10F63B7C"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Provided chairmanship of the Local Criminal Justice Partnership and Community Safety Board </w:t>
      </w:r>
    </w:p>
    <w:p w14:paraId="5154AD68"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Engaged with </w:t>
      </w:r>
      <w:r w:rsidRPr="00AE6186">
        <w:rPr>
          <w:rFonts w:ascii="Calibri" w:hAnsi="Calibri"/>
          <w:b/>
          <w:i/>
        </w:rPr>
        <w:t>partnerships</w:t>
      </w:r>
      <w:r w:rsidRPr="00AE6186">
        <w:rPr>
          <w:rFonts w:ascii="Calibri" w:hAnsi="Calibri"/>
          <w:i/>
        </w:rPr>
        <w:t xml:space="preserve"> at a national level (e.g. taken a national lead on equality and diversity issues), at a regional level (e.g. South East collaboration board) as well as at a local level</w:t>
      </w:r>
    </w:p>
    <w:p w14:paraId="388D52D0"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Signed up to a number of </w:t>
      </w:r>
      <w:r w:rsidRPr="00AE6186">
        <w:rPr>
          <w:rFonts w:ascii="Calibri" w:hAnsi="Calibri"/>
          <w:b/>
          <w:i/>
        </w:rPr>
        <w:t>Collaboration agreements</w:t>
      </w:r>
      <w:r w:rsidRPr="00AE6186">
        <w:rPr>
          <w:rFonts w:ascii="Calibri" w:hAnsi="Calibri"/>
          <w:i/>
        </w:rPr>
        <w:t xml:space="preserve"> to set out those areas of business to be undertaken jointly with other Forces and Local Policing Bodies</w:t>
      </w:r>
    </w:p>
    <w:p w14:paraId="20AEBBD9"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Responded to </w:t>
      </w:r>
      <w:r w:rsidRPr="00AE6186">
        <w:rPr>
          <w:rFonts w:ascii="Calibri" w:hAnsi="Calibri"/>
          <w:b/>
          <w:i/>
        </w:rPr>
        <w:t>national consultations</w:t>
      </w:r>
      <w:r w:rsidRPr="00AE6186">
        <w:rPr>
          <w:rFonts w:ascii="Calibri" w:hAnsi="Calibri"/>
          <w:i/>
        </w:rPr>
        <w:t xml:space="preserve"> where appropriate, for example through the Association of PCCs</w:t>
      </w:r>
    </w:p>
    <w:p w14:paraId="6A6935D7"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Published a </w:t>
      </w:r>
      <w:r w:rsidRPr="00AE6186">
        <w:rPr>
          <w:rFonts w:ascii="Calibri" w:hAnsi="Calibri"/>
          <w:b/>
          <w:i/>
        </w:rPr>
        <w:t>commissioning and grants strategy</w:t>
      </w:r>
      <w:r w:rsidRPr="00AE6186">
        <w:rPr>
          <w:rFonts w:ascii="Calibri" w:hAnsi="Calibri"/>
          <w:i/>
        </w:rPr>
        <w:t xml:space="preserve"> to set the framework for how he will focus resources and work with partners and a </w:t>
      </w:r>
      <w:hyperlink r:id="rId24" w:history="1">
        <w:r w:rsidRPr="00AE6186">
          <w:rPr>
            <w:rStyle w:val="Hyperlink"/>
            <w:i/>
            <w:sz w:val="18"/>
            <w:szCs w:val="18"/>
          </w:rPr>
          <w:t>funding hub</w:t>
        </w:r>
      </w:hyperlink>
      <w:r w:rsidRPr="00AE6186">
        <w:rPr>
          <w:rFonts w:ascii="Calibri" w:hAnsi="Calibri"/>
          <w:i/>
        </w:rPr>
        <w:t xml:space="preserve"> to provide information on how monies have been spent</w:t>
      </w:r>
    </w:p>
    <w:p w14:paraId="61437A48" w14:textId="77777777" w:rsidR="00763097" w:rsidRPr="00AE6186" w:rsidRDefault="00763097" w:rsidP="00763097">
      <w:pPr>
        <w:autoSpaceDE w:val="0"/>
        <w:ind w:left="1440" w:hanging="720"/>
        <w:jc w:val="both"/>
        <w:rPr>
          <w:rFonts w:ascii="Calibri" w:hAnsi="Calibri"/>
        </w:rPr>
      </w:pPr>
      <w:r w:rsidRPr="00AE6186">
        <w:rPr>
          <w:rFonts w:ascii="Calibri" w:hAnsi="Calibri"/>
          <w:i/>
        </w:rPr>
        <w:t>•</w:t>
      </w:r>
      <w:r w:rsidRPr="00AE6186">
        <w:rPr>
          <w:rFonts w:ascii="Calibri" w:hAnsi="Calibri"/>
          <w:i/>
        </w:rPr>
        <w:tab/>
        <w:t xml:space="preserve">Played an active role in the </w:t>
      </w:r>
      <w:r w:rsidRPr="00AE6186">
        <w:rPr>
          <w:rFonts w:ascii="Calibri" w:hAnsi="Calibri"/>
          <w:b/>
          <w:i/>
        </w:rPr>
        <w:t>Independent Advisory Group</w:t>
      </w:r>
      <w:r w:rsidRPr="00AE6186">
        <w:rPr>
          <w:rFonts w:ascii="Calibri" w:hAnsi="Calibri"/>
          <w:i/>
        </w:rPr>
        <w:t xml:space="preserve"> and taken a national lead on issues around equality and diversity</w:t>
      </w:r>
    </w:p>
    <w:p w14:paraId="74B6FBB0" w14:textId="77777777" w:rsidR="00763097" w:rsidRPr="00AE6186" w:rsidRDefault="00763097" w:rsidP="00763097">
      <w:pPr>
        <w:autoSpaceDE w:val="0"/>
        <w:ind w:left="720" w:hanging="720"/>
        <w:jc w:val="both"/>
        <w:rPr>
          <w:rFonts w:ascii="Calibri" w:hAnsi="Calibri"/>
        </w:rPr>
      </w:pPr>
    </w:p>
    <w:p w14:paraId="2AE27F7B" w14:textId="77777777" w:rsidR="00763097" w:rsidRPr="00AE6186" w:rsidRDefault="00763097" w:rsidP="00763097">
      <w:pPr>
        <w:autoSpaceDE w:val="0"/>
        <w:ind w:left="720" w:hanging="720"/>
        <w:jc w:val="both"/>
        <w:rPr>
          <w:rFonts w:ascii="Calibri" w:hAnsi="Calibri"/>
          <w:b/>
        </w:rPr>
      </w:pPr>
      <w:r w:rsidRPr="00AE6186">
        <w:rPr>
          <w:rFonts w:ascii="Calibri" w:hAnsi="Calibri"/>
        </w:rPr>
        <w:t>3.8</w:t>
      </w:r>
      <w:r w:rsidRPr="00AE6186">
        <w:rPr>
          <w:rFonts w:ascii="Calibri" w:hAnsi="Calibri"/>
          <w:b/>
        </w:rPr>
        <w:t xml:space="preserve"> </w:t>
      </w:r>
      <w:r w:rsidRPr="00AE6186">
        <w:rPr>
          <w:rFonts w:ascii="Calibri" w:hAnsi="Calibri"/>
          <w:b/>
        </w:rPr>
        <w:tab/>
        <w:t>Principle C: Defining outcomes in terms of sustainable economic, social and environmental benefits</w:t>
      </w:r>
    </w:p>
    <w:p w14:paraId="4E4164EE" w14:textId="77777777" w:rsidR="00763097" w:rsidRPr="00AE6186" w:rsidRDefault="00763097" w:rsidP="00763097">
      <w:pPr>
        <w:autoSpaceDE w:val="0"/>
        <w:ind w:left="720" w:hanging="720"/>
        <w:jc w:val="both"/>
        <w:rPr>
          <w:rFonts w:ascii="Calibri" w:hAnsi="Calibri"/>
        </w:rPr>
      </w:pPr>
    </w:p>
    <w:p w14:paraId="3DC9D0BC" w14:textId="77777777" w:rsidR="00763097" w:rsidRPr="00AE6186" w:rsidRDefault="00763097" w:rsidP="00763097">
      <w:pPr>
        <w:autoSpaceDE w:val="0"/>
        <w:ind w:left="720" w:hanging="720"/>
        <w:jc w:val="both"/>
        <w:rPr>
          <w:rFonts w:ascii="Calibri" w:hAnsi="Calibri"/>
        </w:rPr>
      </w:pPr>
      <w:r w:rsidRPr="00AE6186">
        <w:rPr>
          <w:rFonts w:ascii="Calibri" w:hAnsi="Calibri"/>
        </w:rPr>
        <w:t>To achieve this principle, the PCC has:</w:t>
      </w:r>
    </w:p>
    <w:p w14:paraId="025980B6" w14:textId="77777777" w:rsidR="00763097" w:rsidRPr="00AE6186" w:rsidRDefault="00763097" w:rsidP="00763097">
      <w:pPr>
        <w:autoSpaceDE w:val="0"/>
        <w:ind w:left="1440" w:hanging="720"/>
        <w:jc w:val="both"/>
        <w:rPr>
          <w:rFonts w:ascii="Calibri" w:hAnsi="Calibri"/>
          <w:i/>
        </w:rPr>
      </w:pPr>
      <w:r w:rsidRPr="00AE6186">
        <w:rPr>
          <w:rFonts w:ascii="Calibri" w:hAnsi="Calibri"/>
        </w:rPr>
        <w:t>•</w:t>
      </w:r>
      <w:r w:rsidRPr="00AE6186">
        <w:rPr>
          <w:rFonts w:ascii="Calibri" w:hAnsi="Calibri"/>
        </w:rPr>
        <w:tab/>
      </w:r>
      <w:r w:rsidRPr="00AE6186">
        <w:rPr>
          <w:rFonts w:ascii="Calibri" w:hAnsi="Calibri"/>
          <w:i/>
        </w:rPr>
        <w:t xml:space="preserve">Ensured that the Force’s </w:t>
      </w:r>
      <w:r w:rsidRPr="00AE6186">
        <w:rPr>
          <w:rFonts w:ascii="Calibri" w:hAnsi="Calibri"/>
          <w:b/>
          <w:i/>
        </w:rPr>
        <w:t>Vision and Mission</w:t>
      </w:r>
      <w:r w:rsidRPr="00AE6186">
        <w:rPr>
          <w:rFonts w:ascii="Calibri" w:hAnsi="Calibri"/>
          <w:i/>
        </w:rPr>
        <w:t xml:space="preserve"> document is used as a basis for corporate and service planning and is linked to the Police &amp; Crime Plan </w:t>
      </w:r>
    </w:p>
    <w:p w14:paraId="3EAB7360"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Established </w:t>
      </w:r>
      <w:r w:rsidRPr="00AE6186">
        <w:rPr>
          <w:rFonts w:ascii="Calibri" w:hAnsi="Calibri"/>
          <w:b/>
          <w:i/>
        </w:rPr>
        <w:t>performance measures</w:t>
      </w:r>
      <w:r w:rsidRPr="00AE6186">
        <w:rPr>
          <w:rFonts w:ascii="Calibri" w:hAnsi="Calibri"/>
          <w:i/>
        </w:rPr>
        <w:t xml:space="preserve"> and governance structures that allow the PCC and Surrey Police to assess progress against their objectives </w:t>
      </w:r>
    </w:p>
    <w:p w14:paraId="5275F8A0"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Kept the </w:t>
      </w:r>
      <w:r w:rsidRPr="00AE6186">
        <w:rPr>
          <w:rFonts w:ascii="Calibri" w:hAnsi="Calibri"/>
          <w:b/>
          <w:i/>
        </w:rPr>
        <w:t>Medium Term Financial Plan</w:t>
      </w:r>
      <w:r w:rsidRPr="00AE6186">
        <w:rPr>
          <w:rFonts w:ascii="Calibri" w:hAnsi="Calibri"/>
          <w:i/>
        </w:rPr>
        <w:t xml:space="preserve"> under regular review</w:t>
      </w:r>
    </w:p>
    <w:p w14:paraId="12CFFF4C"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Ensured that reviews of </w:t>
      </w:r>
      <w:r w:rsidRPr="00AE6186">
        <w:rPr>
          <w:rFonts w:ascii="Calibri" w:hAnsi="Calibri"/>
          <w:b/>
          <w:i/>
        </w:rPr>
        <w:t>capital investment</w:t>
      </w:r>
      <w:r w:rsidRPr="00AE6186">
        <w:rPr>
          <w:rFonts w:ascii="Calibri" w:hAnsi="Calibri"/>
          <w:i/>
        </w:rPr>
        <w:t xml:space="preserve"> plans are undertaken to achieve appropriate lifespans and adaptability for future use</w:t>
      </w:r>
    </w:p>
    <w:p w14:paraId="5081D309"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Sought assurance that projects are subject to sound </w:t>
      </w:r>
      <w:r w:rsidRPr="00AE6186">
        <w:rPr>
          <w:rFonts w:ascii="Calibri" w:hAnsi="Calibri"/>
          <w:b/>
          <w:i/>
        </w:rPr>
        <w:t>business cases</w:t>
      </w:r>
      <w:r w:rsidRPr="00AE6186">
        <w:rPr>
          <w:rFonts w:ascii="Calibri" w:hAnsi="Calibri"/>
          <w:i/>
        </w:rPr>
        <w:t xml:space="preserve"> with appropriate ‘gateway’ sign-off points</w:t>
      </w:r>
    </w:p>
    <w:p w14:paraId="1F89E49A"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Subjected key strategic projects, e.g. the ERP system and estates strategy, to specific and expert oversight arrangements</w:t>
      </w:r>
    </w:p>
    <w:p w14:paraId="0813A3BE"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Commissioned and developed </w:t>
      </w:r>
      <w:r w:rsidRPr="00AE6186">
        <w:rPr>
          <w:rFonts w:ascii="Calibri" w:hAnsi="Calibri"/>
          <w:b/>
          <w:i/>
        </w:rPr>
        <w:t>services for adults, children and young people</w:t>
      </w:r>
      <w:r w:rsidRPr="00AE6186">
        <w:rPr>
          <w:rFonts w:ascii="Calibri" w:hAnsi="Calibri"/>
          <w:i/>
        </w:rPr>
        <w:t xml:space="preserve"> in Surrey that are informed by needs analysis and aligned to Police and Crime Plan and commissioning strategy</w:t>
      </w:r>
    </w:p>
    <w:p w14:paraId="09143A8A" w14:textId="0BA74DBC" w:rsidR="00763097" w:rsidRPr="00AE6186" w:rsidRDefault="00763097" w:rsidP="00AE6186">
      <w:pPr>
        <w:autoSpaceDE w:val="0"/>
        <w:ind w:left="1440" w:hanging="720"/>
        <w:jc w:val="both"/>
        <w:rPr>
          <w:rFonts w:ascii="Calibri" w:hAnsi="Calibri"/>
          <w:i/>
        </w:rPr>
      </w:pPr>
      <w:r w:rsidRPr="00AE6186">
        <w:rPr>
          <w:rFonts w:ascii="Calibri" w:hAnsi="Calibri"/>
          <w:i/>
        </w:rPr>
        <w:t>•</w:t>
      </w:r>
      <w:r w:rsidRPr="00AE6186">
        <w:rPr>
          <w:rFonts w:ascii="Calibri" w:hAnsi="Calibri"/>
          <w:i/>
        </w:rPr>
        <w:tab/>
        <w:t>Developed partnerships between Surrey Police and private and public sector partners to jointly tackle problems, for example promoting partnership wor</w:t>
      </w:r>
      <w:r w:rsidR="00AE6186">
        <w:rPr>
          <w:rFonts w:ascii="Calibri" w:hAnsi="Calibri"/>
          <w:i/>
        </w:rPr>
        <w:t>king in tackling Modern Slavery</w:t>
      </w:r>
      <w:r w:rsidRPr="00AE6186">
        <w:rPr>
          <w:rFonts w:ascii="Calibri" w:hAnsi="Calibri"/>
          <w:i/>
        </w:rPr>
        <w:t xml:space="preserve"> </w:t>
      </w:r>
    </w:p>
    <w:p w14:paraId="68166B37" w14:textId="77777777" w:rsidR="00763097" w:rsidRPr="00AE6186" w:rsidRDefault="00763097" w:rsidP="00763097">
      <w:pPr>
        <w:autoSpaceDE w:val="0"/>
        <w:ind w:left="720" w:hanging="720"/>
        <w:jc w:val="both"/>
        <w:rPr>
          <w:rFonts w:ascii="Calibri" w:hAnsi="Calibri"/>
        </w:rPr>
      </w:pPr>
    </w:p>
    <w:p w14:paraId="3F1C07D4" w14:textId="77777777" w:rsidR="00763097" w:rsidRPr="00AE6186" w:rsidRDefault="00763097" w:rsidP="00763097">
      <w:pPr>
        <w:autoSpaceDE w:val="0"/>
        <w:ind w:left="720" w:hanging="720"/>
        <w:jc w:val="both"/>
        <w:rPr>
          <w:rFonts w:ascii="Calibri" w:hAnsi="Calibri"/>
          <w:b/>
        </w:rPr>
      </w:pPr>
      <w:r w:rsidRPr="00AE6186">
        <w:rPr>
          <w:rFonts w:ascii="Calibri" w:hAnsi="Calibri"/>
        </w:rPr>
        <w:t>3.9</w:t>
      </w:r>
      <w:r w:rsidRPr="00AE6186">
        <w:rPr>
          <w:rFonts w:ascii="Calibri" w:hAnsi="Calibri"/>
        </w:rPr>
        <w:tab/>
      </w:r>
      <w:r w:rsidRPr="00AE6186">
        <w:rPr>
          <w:rFonts w:ascii="Calibri" w:hAnsi="Calibri"/>
          <w:b/>
        </w:rPr>
        <w:t>Principle D:  Determining the interventions necessary to optimise the achievement of the intended outcomes:</w:t>
      </w:r>
    </w:p>
    <w:p w14:paraId="31652A9B" w14:textId="77777777" w:rsidR="00763097" w:rsidRPr="00AE6186" w:rsidRDefault="00763097" w:rsidP="00763097">
      <w:pPr>
        <w:autoSpaceDE w:val="0"/>
        <w:ind w:left="720" w:hanging="720"/>
        <w:jc w:val="both"/>
        <w:rPr>
          <w:rFonts w:ascii="Calibri" w:hAnsi="Calibri"/>
        </w:rPr>
      </w:pPr>
    </w:p>
    <w:p w14:paraId="112046F1" w14:textId="77777777" w:rsidR="00763097" w:rsidRPr="00AE6186" w:rsidRDefault="00763097" w:rsidP="00763097">
      <w:pPr>
        <w:autoSpaceDE w:val="0"/>
        <w:ind w:left="720" w:hanging="720"/>
        <w:jc w:val="both"/>
        <w:rPr>
          <w:rFonts w:ascii="Calibri" w:hAnsi="Calibri"/>
        </w:rPr>
      </w:pPr>
      <w:r w:rsidRPr="00AE6186">
        <w:rPr>
          <w:rFonts w:ascii="Calibri" w:hAnsi="Calibri"/>
        </w:rPr>
        <w:t>To achieve this principle, the PCC has:</w:t>
      </w:r>
    </w:p>
    <w:p w14:paraId="1E4E3BBB" w14:textId="77777777" w:rsidR="00763097" w:rsidRPr="00AE6186" w:rsidRDefault="00763097" w:rsidP="00763097">
      <w:pPr>
        <w:autoSpaceDE w:val="0"/>
        <w:ind w:left="1440" w:hanging="720"/>
        <w:jc w:val="both"/>
        <w:rPr>
          <w:rFonts w:ascii="Calibri" w:hAnsi="Calibri"/>
          <w:i/>
        </w:rPr>
      </w:pPr>
      <w:r w:rsidRPr="00AE6186">
        <w:rPr>
          <w:rFonts w:ascii="Calibri" w:hAnsi="Calibri"/>
        </w:rPr>
        <w:t>•</w:t>
      </w:r>
      <w:r w:rsidRPr="00AE6186">
        <w:rPr>
          <w:rFonts w:ascii="Calibri" w:hAnsi="Calibri"/>
        </w:rPr>
        <w:tab/>
      </w:r>
      <w:r w:rsidRPr="00AE6186">
        <w:rPr>
          <w:rFonts w:ascii="Calibri" w:hAnsi="Calibri"/>
          <w:i/>
        </w:rPr>
        <w:t xml:space="preserve">Undertaken an annual review of the </w:t>
      </w:r>
      <w:r w:rsidRPr="00AE6186">
        <w:rPr>
          <w:rFonts w:ascii="Calibri" w:hAnsi="Calibri"/>
          <w:b/>
          <w:i/>
        </w:rPr>
        <w:t>corporate governance framework</w:t>
      </w:r>
      <w:r w:rsidRPr="00AE6186">
        <w:rPr>
          <w:rFonts w:ascii="Calibri" w:hAnsi="Calibri"/>
          <w:i/>
        </w:rPr>
        <w:t xml:space="preserve"> and key high level governance documents and subjected compliance with these documents to audit</w:t>
      </w:r>
    </w:p>
    <w:p w14:paraId="3A5646E8"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Agreed a </w:t>
      </w:r>
      <w:r w:rsidRPr="00AE6186">
        <w:rPr>
          <w:rFonts w:ascii="Calibri" w:hAnsi="Calibri"/>
          <w:b/>
          <w:i/>
        </w:rPr>
        <w:t>Memorandum of Understanding</w:t>
      </w:r>
      <w:r w:rsidRPr="00AE6186">
        <w:rPr>
          <w:rFonts w:ascii="Calibri" w:hAnsi="Calibri"/>
          <w:i/>
        </w:rPr>
        <w:t xml:space="preserve"> to set out the information and service requirements needed by the PCC and provided by the Force</w:t>
      </w:r>
    </w:p>
    <w:p w14:paraId="1AEB012F"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Maintained a </w:t>
      </w:r>
      <w:r w:rsidRPr="00AE6186">
        <w:rPr>
          <w:rFonts w:ascii="Calibri" w:hAnsi="Calibri"/>
          <w:b/>
          <w:i/>
        </w:rPr>
        <w:t>Medium Term Financial Strategy</w:t>
      </w:r>
      <w:r w:rsidRPr="00AE6186">
        <w:rPr>
          <w:rFonts w:ascii="Calibri" w:hAnsi="Calibri"/>
          <w:i/>
        </w:rPr>
        <w:t xml:space="preserve"> </w:t>
      </w:r>
    </w:p>
    <w:p w14:paraId="449925D1"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Ensured that processes are in place to allow proper </w:t>
      </w:r>
      <w:r w:rsidRPr="00AE6186">
        <w:rPr>
          <w:rFonts w:ascii="Calibri" w:hAnsi="Calibri"/>
          <w:b/>
          <w:i/>
        </w:rPr>
        <w:t>analysis and evaluation of plans</w:t>
      </w:r>
      <w:r w:rsidRPr="00AE6186">
        <w:rPr>
          <w:rFonts w:ascii="Calibri" w:hAnsi="Calibri"/>
          <w:i/>
        </w:rPr>
        <w:t xml:space="preserve"> including option appraisal, assessing the impact of alternative approaches and benefits realisation</w:t>
      </w:r>
    </w:p>
    <w:p w14:paraId="424C902D"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Overseen workforce </w:t>
      </w:r>
      <w:r w:rsidRPr="00AE6186">
        <w:rPr>
          <w:rFonts w:ascii="Calibri" w:hAnsi="Calibri"/>
          <w:b/>
          <w:i/>
        </w:rPr>
        <w:t>development and asset management plans</w:t>
      </w:r>
      <w:r w:rsidRPr="00AE6186">
        <w:rPr>
          <w:rFonts w:ascii="Calibri" w:hAnsi="Calibri"/>
          <w:i/>
        </w:rPr>
        <w:t xml:space="preserve"> (e.g. estates and ICT)</w:t>
      </w:r>
    </w:p>
    <w:p w14:paraId="0E43F29B"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Published a </w:t>
      </w:r>
      <w:r w:rsidRPr="00AE6186">
        <w:rPr>
          <w:rFonts w:ascii="Calibri" w:hAnsi="Calibri"/>
          <w:b/>
          <w:i/>
        </w:rPr>
        <w:t>forward plan</w:t>
      </w:r>
      <w:r w:rsidRPr="00AE6186">
        <w:rPr>
          <w:rFonts w:ascii="Calibri" w:hAnsi="Calibri"/>
          <w:i/>
        </w:rPr>
        <w:t xml:space="preserve"> of decisions</w:t>
      </w:r>
    </w:p>
    <w:p w14:paraId="5FBED922"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Kept </w:t>
      </w:r>
      <w:r w:rsidRPr="00AE6186">
        <w:rPr>
          <w:rFonts w:ascii="Calibri" w:hAnsi="Calibri"/>
          <w:b/>
          <w:i/>
        </w:rPr>
        <w:t>Risk Management</w:t>
      </w:r>
      <w:r w:rsidRPr="00AE6186">
        <w:rPr>
          <w:rFonts w:ascii="Calibri" w:hAnsi="Calibri"/>
          <w:i/>
        </w:rPr>
        <w:t xml:space="preserve"> policies under review, with assurances from the Audit Committee</w:t>
      </w:r>
    </w:p>
    <w:p w14:paraId="379CC95D"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Included a set of </w:t>
      </w:r>
      <w:r w:rsidRPr="00AE6186">
        <w:rPr>
          <w:rFonts w:ascii="Calibri" w:hAnsi="Calibri"/>
          <w:b/>
          <w:i/>
        </w:rPr>
        <w:t>performance aspirations</w:t>
      </w:r>
      <w:r w:rsidRPr="00AE6186">
        <w:rPr>
          <w:rFonts w:ascii="Calibri" w:hAnsi="Calibri"/>
          <w:i/>
        </w:rPr>
        <w:t xml:space="preserve"> to be monitored at performance meetings </w:t>
      </w:r>
    </w:p>
    <w:p w14:paraId="14E5D0BA"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Placed particular </w:t>
      </w:r>
      <w:r w:rsidRPr="00AE6186">
        <w:rPr>
          <w:rFonts w:ascii="Calibri" w:hAnsi="Calibri"/>
          <w:b/>
          <w:i/>
        </w:rPr>
        <w:t>focus on areas of underperformance</w:t>
      </w:r>
      <w:r w:rsidRPr="00AE6186">
        <w:rPr>
          <w:rFonts w:ascii="Calibri" w:hAnsi="Calibri"/>
          <w:i/>
        </w:rPr>
        <w:t>, e.g. positive outcomes for high harm offences</w:t>
      </w:r>
    </w:p>
    <w:p w14:paraId="4F851E2D" w14:textId="77777777" w:rsidR="00763097" w:rsidRPr="00AE6186" w:rsidRDefault="00763097" w:rsidP="00763097">
      <w:pPr>
        <w:autoSpaceDE w:val="0"/>
        <w:ind w:left="720" w:hanging="720"/>
        <w:jc w:val="both"/>
        <w:rPr>
          <w:rFonts w:ascii="Calibri" w:hAnsi="Calibri"/>
        </w:rPr>
      </w:pPr>
    </w:p>
    <w:p w14:paraId="40E37D70" w14:textId="77777777" w:rsidR="00763097" w:rsidRPr="00AE6186" w:rsidRDefault="00763097" w:rsidP="00763097">
      <w:pPr>
        <w:autoSpaceDE w:val="0"/>
        <w:ind w:left="720" w:hanging="720"/>
        <w:jc w:val="both"/>
        <w:rPr>
          <w:rFonts w:ascii="Calibri" w:hAnsi="Calibri"/>
          <w:b/>
        </w:rPr>
      </w:pPr>
      <w:r w:rsidRPr="00AE6186">
        <w:rPr>
          <w:rFonts w:ascii="Calibri" w:hAnsi="Calibri"/>
        </w:rPr>
        <w:t>3.10</w:t>
      </w:r>
      <w:r w:rsidRPr="00AE6186">
        <w:rPr>
          <w:rFonts w:ascii="Calibri" w:hAnsi="Calibri"/>
          <w:b/>
        </w:rPr>
        <w:tab/>
        <w:t>Principle E: Developing the entity’s capacity, including the capability of its leadership and the individuals within it</w:t>
      </w:r>
    </w:p>
    <w:p w14:paraId="72500A66" w14:textId="77777777" w:rsidR="00763097" w:rsidRPr="00AE6186" w:rsidRDefault="00763097" w:rsidP="00763097">
      <w:pPr>
        <w:autoSpaceDE w:val="0"/>
        <w:ind w:left="720" w:hanging="720"/>
        <w:jc w:val="both"/>
        <w:rPr>
          <w:rFonts w:ascii="Calibri" w:hAnsi="Calibri"/>
        </w:rPr>
      </w:pPr>
    </w:p>
    <w:p w14:paraId="03ABEDA9" w14:textId="77777777" w:rsidR="00763097" w:rsidRPr="00AE6186" w:rsidRDefault="00763097" w:rsidP="00763097">
      <w:pPr>
        <w:autoSpaceDE w:val="0"/>
        <w:ind w:left="720" w:hanging="720"/>
        <w:jc w:val="both"/>
        <w:rPr>
          <w:rFonts w:ascii="Calibri" w:hAnsi="Calibri"/>
        </w:rPr>
      </w:pPr>
      <w:r w:rsidRPr="00AE6186">
        <w:rPr>
          <w:rFonts w:ascii="Calibri" w:hAnsi="Calibri"/>
        </w:rPr>
        <w:t>To achieve this principle, the PCC has:</w:t>
      </w:r>
    </w:p>
    <w:p w14:paraId="75C91095" w14:textId="66050CFB" w:rsidR="00763097" w:rsidRPr="00AE6186" w:rsidRDefault="00763097" w:rsidP="00763097">
      <w:pPr>
        <w:autoSpaceDE w:val="0"/>
        <w:ind w:left="1440" w:hanging="720"/>
        <w:jc w:val="both"/>
        <w:rPr>
          <w:rFonts w:ascii="Calibri" w:hAnsi="Calibri"/>
          <w:i/>
        </w:rPr>
      </w:pPr>
      <w:r w:rsidRPr="00AE6186">
        <w:rPr>
          <w:rFonts w:ascii="Calibri" w:hAnsi="Calibri"/>
        </w:rPr>
        <w:t>•</w:t>
      </w:r>
      <w:r w:rsidRPr="00AE6186">
        <w:rPr>
          <w:rFonts w:ascii="Calibri" w:hAnsi="Calibri"/>
        </w:rPr>
        <w:tab/>
      </w:r>
      <w:r w:rsidR="00AE6186" w:rsidRPr="00AE6186">
        <w:rPr>
          <w:rFonts w:ascii="Calibri" w:hAnsi="Calibri"/>
          <w:i/>
        </w:rPr>
        <w:t>Held performance reviews with the</w:t>
      </w:r>
      <w:r w:rsidRPr="00AE6186">
        <w:rPr>
          <w:rFonts w:ascii="Calibri" w:hAnsi="Calibri"/>
          <w:i/>
        </w:rPr>
        <w:t xml:space="preserve"> </w:t>
      </w:r>
      <w:r w:rsidRPr="00AE6186">
        <w:rPr>
          <w:rFonts w:ascii="Calibri" w:hAnsi="Calibri"/>
          <w:b/>
          <w:i/>
        </w:rPr>
        <w:t>Chief Constable</w:t>
      </w:r>
      <w:r w:rsidRPr="00AE6186">
        <w:rPr>
          <w:rFonts w:ascii="Calibri" w:hAnsi="Calibri"/>
          <w:i/>
        </w:rPr>
        <w:t>, in accordance with guidance from the College of Policing, set</w:t>
      </w:r>
      <w:r w:rsidR="00AE6186" w:rsidRPr="00AE6186">
        <w:rPr>
          <w:rFonts w:ascii="Calibri" w:hAnsi="Calibri"/>
          <w:i/>
        </w:rPr>
        <w:t>ting</w:t>
      </w:r>
      <w:r w:rsidRPr="00AE6186">
        <w:rPr>
          <w:rFonts w:ascii="Calibri" w:hAnsi="Calibri"/>
          <w:i/>
        </w:rPr>
        <w:t xml:space="preserve"> clear objectives for this role and assessed performance against these</w:t>
      </w:r>
    </w:p>
    <w:p w14:paraId="3D8E1A11"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Ensured that </w:t>
      </w:r>
      <w:r w:rsidRPr="00AE6186">
        <w:rPr>
          <w:rFonts w:ascii="Calibri" w:hAnsi="Calibri"/>
          <w:b/>
          <w:i/>
        </w:rPr>
        <w:t>talent and succession plans</w:t>
      </w:r>
      <w:r w:rsidRPr="00AE6186">
        <w:rPr>
          <w:rFonts w:ascii="Calibri" w:hAnsi="Calibri"/>
          <w:i/>
        </w:rPr>
        <w:t xml:space="preserve"> are in place</w:t>
      </w:r>
    </w:p>
    <w:p w14:paraId="0F8AD46C"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Reviewed the Force’s preparations for new initiatives such as Apprenticeships and the Police Constable Degree (PCDA) programme</w:t>
      </w:r>
    </w:p>
    <w:p w14:paraId="5C03E955" w14:textId="77777777" w:rsidR="00763097" w:rsidRPr="00AE6186" w:rsidRDefault="00763097" w:rsidP="00763097">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Given staff of the Force and OPCC access to </w:t>
      </w:r>
      <w:r w:rsidRPr="00AE6186">
        <w:rPr>
          <w:rFonts w:ascii="Calibri" w:hAnsi="Calibri"/>
          <w:b/>
          <w:i/>
        </w:rPr>
        <w:t>learning and development resources</w:t>
      </w:r>
      <w:r w:rsidRPr="00AE6186">
        <w:rPr>
          <w:rFonts w:ascii="Calibri" w:hAnsi="Calibri"/>
          <w:i/>
        </w:rPr>
        <w:t xml:space="preserve"> and encouraged a focus on Continuous Professional Development</w:t>
      </w:r>
    </w:p>
    <w:p w14:paraId="38A8BFED" w14:textId="29C2C490" w:rsidR="00AE6186" w:rsidRPr="00AE6186" w:rsidRDefault="00763097" w:rsidP="00AE6186">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Kept a check on the Force’s approach to </w:t>
      </w:r>
      <w:r w:rsidRPr="00AE6186">
        <w:rPr>
          <w:rFonts w:ascii="Calibri" w:hAnsi="Calibri"/>
          <w:b/>
          <w:i/>
        </w:rPr>
        <w:t>reward</w:t>
      </w:r>
      <w:r w:rsidRPr="00AE6186">
        <w:rPr>
          <w:rFonts w:ascii="Calibri" w:hAnsi="Calibri"/>
          <w:i/>
        </w:rPr>
        <w:t xml:space="preserve"> that aims to attract and retain the best people with the most appropriate skills</w:t>
      </w:r>
    </w:p>
    <w:p w14:paraId="0BC7FB6D" w14:textId="77777777" w:rsidR="00AE6186" w:rsidRPr="00AE6186" w:rsidRDefault="00763097" w:rsidP="00AE6186">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Ensured that policies for </w:t>
      </w:r>
      <w:r w:rsidRPr="00AE6186">
        <w:rPr>
          <w:rFonts w:ascii="Calibri" w:hAnsi="Calibri"/>
          <w:b/>
          <w:i/>
        </w:rPr>
        <w:t>Equality and Diversity</w:t>
      </w:r>
      <w:r w:rsidRPr="00AE6186">
        <w:rPr>
          <w:rFonts w:ascii="Calibri" w:hAnsi="Calibri"/>
          <w:i/>
        </w:rPr>
        <w:t xml:space="preserve"> set out how the OPCC/Force will promote diversity by recognising, valuing and respecting the different contributions and needs of both communities and staff</w:t>
      </w:r>
    </w:p>
    <w:p w14:paraId="120531C8" w14:textId="6770756A" w:rsidR="00AE6186" w:rsidRPr="00AE6186" w:rsidRDefault="00AE6186" w:rsidP="00AE6186">
      <w:pPr>
        <w:autoSpaceDE w:val="0"/>
        <w:ind w:left="1440" w:hanging="720"/>
        <w:jc w:val="both"/>
        <w:rPr>
          <w:rFonts w:ascii="Calibri" w:hAnsi="Calibri"/>
          <w:i/>
        </w:rPr>
      </w:pPr>
      <w:r w:rsidRPr="00AE6186">
        <w:rPr>
          <w:rFonts w:ascii="Calibri" w:hAnsi="Calibri"/>
          <w:i/>
        </w:rPr>
        <w:t>•</w:t>
      </w:r>
      <w:r w:rsidRPr="00AE6186">
        <w:rPr>
          <w:rFonts w:ascii="Calibri" w:hAnsi="Calibri"/>
          <w:i/>
        </w:rPr>
        <w:tab/>
        <w:t xml:space="preserve">Continued to support a programme of collaboration between Sussex and Surrey Police to increase capacity, share expertise and provide the most efficient and cost-effective service. </w:t>
      </w:r>
    </w:p>
    <w:p w14:paraId="2C5DEDE7" w14:textId="77777777" w:rsidR="00AE6186" w:rsidRPr="00F4354D" w:rsidRDefault="00AE6186" w:rsidP="00763097">
      <w:pPr>
        <w:autoSpaceDE w:val="0"/>
        <w:ind w:left="1440" w:hanging="720"/>
        <w:jc w:val="both"/>
        <w:rPr>
          <w:rFonts w:ascii="Calibri" w:hAnsi="Calibri"/>
          <w:i/>
        </w:rPr>
      </w:pPr>
    </w:p>
    <w:p w14:paraId="56155939" w14:textId="77777777" w:rsidR="00763097" w:rsidRPr="00F4354D" w:rsidRDefault="00763097" w:rsidP="00763097">
      <w:pPr>
        <w:autoSpaceDE w:val="0"/>
        <w:ind w:left="720" w:hanging="720"/>
        <w:jc w:val="both"/>
        <w:rPr>
          <w:rFonts w:ascii="Calibri" w:hAnsi="Calibri"/>
        </w:rPr>
      </w:pPr>
      <w:r w:rsidRPr="00F4354D">
        <w:rPr>
          <w:rFonts w:ascii="Calibri" w:hAnsi="Calibri"/>
        </w:rPr>
        <w:t>3.11</w:t>
      </w:r>
      <w:r w:rsidRPr="00F4354D">
        <w:rPr>
          <w:rFonts w:ascii="Calibri" w:hAnsi="Calibri"/>
        </w:rPr>
        <w:tab/>
      </w:r>
      <w:r w:rsidRPr="00F4354D">
        <w:rPr>
          <w:rFonts w:ascii="Calibri" w:hAnsi="Calibri"/>
          <w:b/>
        </w:rPr>
        <w:t>Principle F: Managing risks and performance through robust internal control and strong public financial management</w:t>
      </w:r>
    </w:p>
    <w:p w14:paraId="0C0CB581" w14:textId="77777777" w:rsidR="00763097" w:rsidRPr="00F4354D" w:rsidRDefault="00763097" w:rsidP="00763097">
      <w:pPr>
        <w:autoSpaceDE w:val="0"/>
        <w:ind w:left="720" w:hanging="720"/>
        <w:jc w:val="both"/>
        <w:rPr>
          <w:rFonts w:ascii="Calibri" w:hAnsi="Calibri"/>
        </w:rPr>
      </w:pPr>
    </w:p>
    <w:p w14:paraId="5E9BC883" w14:textId="77777777" w:rsidR="00763097" w:rsidRPr="00F4354D" w:rsidRDefault="00763097" w:rsidP="00763097">
      <w:pPr>
        <w:autoSpaceDE w:val="0"/>
        <w:ind w:left="720" w:hanging="720"/>
        <w:jc w:val="both"/>
        <w:rPr>
          <w:rFonts w:ascii="Calibri" w:hAnsi="Calibri"/>
        </w:rPr>
      </w:pPr>
      <w:r w:rsidRPr="00F4354D">
        <w:rPr>
          <w:rFonts w:ascii="Calibri" w:hAnsi="Calibri"/>
        </w:rPr>
        <w:t>To achieve this principle, the PCC has:</w:t>
      </w:r>
    </w:p>
    <w:p w14:paraId="196841B4" w14:textId="18BB59D1" w:rsidR="00763097" w:rsidRPr="00F4354D" w:rsidRDefault="00763097" w:rsidP="00763097">
      <w:pPr>
        <w:autoSpaceDE w:val="0"/>
        <w:ind w:left="1440" w:hanging="720"/>
        <w:jc w:val="both"/>
        <w:rPr>
          <w:rFonts w:ascii="Calibri" w:hAnsi="Calibri"/>
          <w:i/>
        </w:rPr>
      </w:pPr>
      <w:r w:rsidRPr="00F4354D">
        <w:rPr>
          <w:rFonts w:ascii="Calibri" w:hAnsi="Calibri"/>
        </w:rPr>
        <w:t>•</w:t>
      </w:r>
      <w:r w:rsidRPr="00F4354D">
        <w:rPr>
          <w:rFonts w:ascii="Calibri" w:hAnsi="Calibri"/>
        </w:rPr>
        <w:tab/>
      </w:r>
      <w:r w:rsidR="00F4354D" w:rsidRPr="00F4354D">
        <w:rPr>
          <w:rFonts w:ascii="Calibri" w:hAnsi="Calibri"/>
          <w:i/>
        </w:rPr>
        <w:t>Maintained</w:t>
      </w:r>
      <w:r w:rsidRPr="00F4354D">
        <w:rPr>
          <w:rFonts w:ascii="Calibri" w:hAnsi="Calibri"/>
          <w:i/>
        </w:rPr>
        <w:t xml:space="preserve"> a </w:t>
      </w:r>
      <w:r w:rsidRPr="00F4354D">
        <w:rPr>
          <w:rFonts w:ascii="Calibri" w:hAnsi="Calibri"/>
          <w:b/>
          <w:i/>
        </w:rPr>
        <w:t>Risk Management Strategy</w:t>
      </w:r>
      <w:r w:rsidRPr="00F4354D">
        <w:rPr>
          <w:rFonts w:ascii="Calibri" w:hAnsi="Calibri"/>
          <w:i/>
        </w:rPr>
        <w:t xml:space="preserve"> that allows the Force and OPCC to identify and manage operational, strategy and project risks</w:t>
      </w:r>
    </w:p>
    <w:p w14:paraId="4FAD5062" w14:textId="77777777" w:rsidR="00763097" w:rsidRPr="00F4354D" w:rsidRDefault="00763097" w:rsidP="00763097">
      <w:pPr>
        <w:autoSpaceDE w:val="0"/>
        <w:ind w:left="1440" w:hanging="720"/>
        <w:jc w:val="both"/>
        <w:rPr>
          <w:rFonts w:ascii="Calibri" w:hAnsi="Calibri"/>
          <w:i/>
        </w:rPr>
      </w:pPr>
      <w:r w:rsidRPr="00F4354D">
        <w:rPr>
          <w:rFonts w:ascii="Calibri" w:hAnsi="Calibri"/>
          <w:i/>
        </w:rPr>
        <w:t>•</w:t>
      </w:r>
      <w:r w:rsidRPr="00F4354D">
        <w:rPr>
          <w:rFonts w:ascii="Calibri" w:hAnsi="Calibri"/>
          <w:i/>
        </w:rPr>
        <w:tab/>
        <w:t xml:space="preserve">Maintained a </w:t>
      </w:r>
      <w:r w:rsidRPr="00F4354D">
        <w:rPr>
          <w:rFonts w:ascii="Calibri" w:hAnsi="Calibri"/>
          <w:b/>
          <w:i/>
        </w:rPr>
        <w:t>Risk Register and Assurance Framework</w:t>
      </w:r>
      <w:r w:rsidRPr="00F4354D">
        <w:rPr>
          <w:rFonts w:ascii="Calibri" w:hAnsi="Calibri"/>
          <w:i/>
        </w:rPr>
        <w:t xml:space="preserve"> for the OPCC</w:t>
      </w:r>
    </w:p>
    <w:p w14:paraId="46F1B012" w14:textId="77777777" w:rsidR="00763097" w:rsidRPr="00F4354D" w:rsidRDefault="00763097" w:rsidP="00763097">
      <w:pPr>
        <w:autoSpaceDE w:val="0"/>
        <w:ind w:left="1440" w:hanging="720"/>
        <w:jc w:val="both"/>
        <w:rPr>
          <w:rFonts w:ascii="Calibri" w:hAnsi="Calibri"/>
          <w:i/>
        </w:rPr>
      </w:pPr>
      <w:r w:rsidRPr="00F4354D">
        <w:rPr>
          <w:rFonts w:ascii="Calibri" w:hAnsi="Calibri"/>
          <w:i/>
        </w:rPr>
        <w:t>•</w:t>
      </w:r>
      <w:r w:rsidRPr="00F4354D">
        <w:rPr>
          <w:rFonts w:ascii="Calibri" w:hAnsi="Calibri"/>
          <w:i/>
        </w:rPr>
        <w:tab/>
        <w:t xml:space="preserve">Received advice from the </w:t>
      </w:r>
      <w:hyperlink r:id="rId25" w:history="1">
        <w:r w:rsidRPr="00F4354D">
          <w:rPr>
            <w:rStyle w:val="Hyperlink"/>
            <w:i/>
            <w:sz w:val="18"/>
            <w:szCs w:val="18"/>
          </w:rPr>
          <w:t>Joint Audit Committee</w:t>
        </w:r>
      </w:hyperlink>
      <w:r w:rsidRPr="00F4354D">
        <w:rPr>
          <w:rFonts w:ascii="Calibri" w:hAnsi="Calibri"/>
          <w:i/>
        </w:rPr>
        <w:t xml:space="preserve"> which continues to provide </w:t>
      </w:r>
      <w:r w:rsidRPr="00F4354D">
        <w:rPr>
          <w:rFonts w:ascii="Calibri" w:hAnsi="Calibri"/>
          <w:b/>
          <w:i/>
        </w:rPr>
        <w:t>external scrutiny</w:t>
      </w:r>
      <w:r w:rsidRPr="00F4354D">
        <w:rPr>
          <w:rFonts w:ascii="Calibri" w:hAnsi="Calibri"/>
          <w:i/>
        </w:rPr>
        <w:t xml:space="preserve"> of strategic risks and which operates in line with Chartered Institute of Public Finance and Accountancy (CIPFA) guidance and within the guidance of the Financial Management Code of Practice</w:t>
      </w:r>
    </w:p>
    <w:p w14:paraId="40FC6EAB" w14:textId="77777777" w:rsidR="00763097" w:rsidRPr="00F4354D" w:rsidRDefault="00763097" w:rsidP="00763097">
      <w:pPr>
        <w:autoSpaceDE w:val="0"/>
        <w:ind w:left="1440" w:hanging="720"/>
        <w:jc w:val="both"/>
        <w:rPr>
          <w:rFonts w:ascii="Calibri" w:hAnsi="Calibri"/>
          <w:i/>
        </w:rPr>
      </w:pPr>
      <w:r w:rsidRPr="00F4354D">
        <w:rPr>
          <w:rFonts w:ascii="Calibri" w:hAnsi="Calibri"/>
          <w:i/>
        </w:rPr>
        <w:t>•</w:t>
      </w:r>
      <w:r w:rsidRPr="00F4354D">
        <w:rPr>
          <w:rFonts w:ascii="Calibri" w:hAnsi="Calibri"/>
          <w:i/>
        </w:rPr>
        <w:tab/>
        <w:t xml:space="preserve">Subjected decisions to scrutiny by the </w:t>
      </w:r>
      <w:r w:rsidRPr="00F4354D">
        <w:rPr>
          <w:rFonts w:ascii="Calibri" w:hAnsi="Calibri"/>
          <w:b/>
          <w:i/>
        </w:rPr>
        <w:t>Police &amp; Crime Panel</w:t>
      </w:r>
      <w:r w:rsidRPr="00F4354D">
        <w:rPr>
          <w:rFonts w:ascii="Calibri" w:hAnsi="Calibri"/>
          <w:i/>
        </w:rPr>
        <w:t xml:space="preserve"> </w:t>
      </w:r>
    </w:p>
    <w:p w14:paraId="2F2E5E94" w14:textId="77777777" w:rsidR="00763097" w:rsidRPr="00F4354D" w:rsidRDefault="00763097" w:rsidP="00763097">
      <w:pPr>
        <w:autoSpaceDE w:val="0"/>
        <w:ind w:left="1440" w:hanging="720"/>
        <w:jc w:val="both"/>
        <w:rPr>
          <w:rFonts w:ascii="Calibri" w:hAnsi="Calibri"/>
          <w:i/>
        </w:rPr>
      </w:pPr>
      <w:r w:rsidRPr="00F4354D">
        <w:rPr>
          <w:rFonts w:ascii="Calibri" w:hAnsi="Calibri"/>
          <w:i/>
        </w:rPr>
        <w:t>•</w:t>
      </w:r>
      <w:r w:rsidRPr="00F4354D">
        <w:rPr>
          <w:rFonts w:ascii="Calibri" w:hAnsi="Calibri"/>
          <w:i/>
        </w:rPr>
        <w:tab/>
        <w:t xml:space="preserve">Reviewed the overarching </w:t>
      </w:r>
      <w:r w:rsidRPr="00F4354D">
        <w:rPr>
          <w:rFonts w:ascii="Calibri" w:hAnsi="Calibri"/>
          <w:b/>
          <w:i/>
        </w:rPr>
        <w:t>Scheme of Governance</w:t>
      </w:r>
      <w:r w:rsidRPr="00F4354D">
        <w:rPr>
          <w:rFonts w:ascii="Calibri" w:hAnsi="Calibri"/>
          <w:i/>
        </w:rPr>
        <w:t xml:space="preserve"> which highlights the parameters for decision making, including the arrangements for governance, delegations, consents, financial limits for specific matters and standing orders for contracts</w:t>
      </w:r>
    </w:p>
    <w:p w14:paraId="20EF200B" w14:textId="77777777" w:rsidR="00763097" w:rsidRPr="00F4354D" w:rsidRDefault="00763097" w:rsidP="00763097">
      <w:pPr>
        <w:autoSpaceDE w:val="0"/>
        <w:ind w:left="1440" w:hanging="720"/>
        <w:jc w:val="both"/>
        <w:rPr>
          <w:rFonts w:ascii="Calibri" w:hAnsi="Calibri"/>
          <w:i/>
        </w:rPr>
      </w:pPr>
      <w:r w:rsidRPr="00F4354D">
        <w:rPr>
          <w:rFonts w:ascii="Calibri" w:hAnsi="Calibri"/>
          <w:i/>
        </w:rPr>
        <w:t>•</w:t>
      </w:r>
      <w:r w:rsidRPr="00F4354D">
        <w:rPr>
          <w:rFonts w:ascii="Calibri" w:hAnsi="Calibri"/>
          <w:i/>
        </w:rPr>
        <w:tab/>
        <w:t xml:space="preserve">Ensured that </w:t>
      </w:r>
      <w:r w:rsidRPr="00F4354D">
        <w:rPr>
          <w:rFonts w:ascii="Calibri" w:hAnsi="Calibri"/>
          <w:b/>
          <w:i/>
        </w:rPr>
        <w:t>Annual Governance Statements</w:t>
      </w:r>
      <w:r w:rsidRPr="00F4354D">
        <w:rPr>
          <w:rFonts w:ascii="Calibri" w:hAnsi="Calibri"/>
          <w:i/>
        </w:rPr>
        <w:t xml:space="preserve"> are produced for the Force and OPCC</w:t>
      </w:r>
    </w:p>
    <w:p w14:paraId="10AD1C64" w14:textId="77777777" w:rsidR="00763097" w:rsidRPr="00F4354D" w:rsidRDefault="00763097" w:rsidP="00763097">
      <w:pPr>
        <w:autoSpaceDE w:val="0"/>
        <w:ind w:left="1440" w:hanging="720"/>
        <w:jc w:val="both"/>
        <w:rPr>
          <w:rFonts w:ascii="Calibri" w:hAnsi="Calibri"/>
          <w:i/>
        </w:rPr>
      </w:pPr>
      <w:r w:rsidRPr="00F4354D">
        <w:rPr>
          <w:rFonts w:ascii="Calibri" w:hAnsi="Calibri"/>
          <w:i/>
        </w:rPr>
        <w:t>•</w:t>
      </w:r>
      <w:r w:rsidRPr="00F4354D">
        <w:rPr>
          <w:rFonts w:ascii="Calibri" w:hAnsi="Calibri"/>
          <w:i/>
        </w:rPr>
        <w:tab/>
        <w:t xml:space="preserve">Ensured that an effective </w:t>
      </w:r>
      <w:r w:rsidRPr="00F4354D">
        <w:rPr>
          <w:rFonts w:ascii="Calibri" w:hAnsi="Calibri"/>
          <w:b/>
          <w:i/>
        </w:rPr>
        <w:t>internal audit</w:t>
      </w:r>
      <w:r w:rsidRPr="00F4354D">
        <w:rPr>
          <w:rFonts w:ascii="Calibri" w:hAnsi="Calibri"/>
          <w:i/>
        </w:rPr>
        <w:t xml:space="preserve"> service has been resourced and that internal audit plans and reports are informed by and scrutinised by the Audit Committee</w:t>
      </w:r>
    </w:p>
    <w:p w14:paraId="5C26EC5D" w14:textId="77777777" w:rsidR="00763097" w:rsidRPr="00F4354D" w:rsidRDefault="00763097" w:rsidP="00763097">
      <w:pPr>
        <w:autoSpaceDE w:val="0"/>
        <w:ind w:left="1440" w:hanging="720"/>
        <w:jc w:val="both"/>
        <w:rPr>
          <w:rFonts w:ascii="Calibri" w:hAnsi="Calibri"/>
          <w:i/>
        </w:rPr>
      </w:pPr>
      <w:r w:rsidRPr="00F4354D">
        <w:rPr>
          <w:rFonts w:ascii="Calibri" w:hAnsi="Calibri"/>
          <w:i/>
        </w:rPr>
        <w:t>•</w:t>
      </w:r>
      <w:r w:rsidRPr="00F4354D">
        <w:rPr>
          <w:rFonts w:ascii="Calibri" w:hAnsi="Calibri"/>
          <w:i/>
        </w:rPr>
        <w:tab/>
        <w:t xml:space="preserve">Engaged with the </w:t>
      </w:r>
      <w:r w:rsidRPr="00F4354D">
        <w:rPr>
          <w:rFonts w:ascii="Calibri" w:hAnsi="Calibri"/>
          <w:b/>
          <w:i/>
        </w:rPr>
        <w:t>External audit</w:t>
      </w:r>
      <w:r w:rsidRPr="00F4354D">
        <w:rPr>
          <w:rFonts w:ascii="Calibri" w:hAnsi="Calibri"/>
          <w:i/>
        </w:rPr>
        <w:t xml:space="preserve"> service, whose reports are scrutinised by the Audit Committee</w:t>
      </w:r>
    </w:p>
    <w:p w14:paraId="5C4682ED" w14:textId="66716916" w:rsidR="00763097" w:rsidRPr="00F4354D" w:rsidRDefault="00763097" w:rsidP="00763097">
      <w:pPr>
        <w:autoSpaceDE w:val="0"/>
        <w:ind w:left="1440" w:hanging="720"/>
        <w:jc w:val="both"/>
        <w:rPr>
          <w:rFonts w:ascii="Calibri" w:hAnsi="Calibri"/>
          <w:i/>
        </w:rPr>
      </w:pPr>
      <w:r w:rsidRPr="00F4354D">
        <w:rPr>
          <w:rFonts w:ascii="Calibri" w:hAnsi="Calibri"/>
          <w:i/>
        </w:rPr>
        <w:t>•</w:t>
      </w:r>
      <w:r w:rsidRPr="00F4354D">
        <w:rPr>
          <w:rFonts w:ascii="Calibri" w:hAnsi="Calibri"/>
          <w:i/>
        </w:rPr>
        <w:tab/>
        <w:t xml:space="preserve">Put in place and published </w:t>
      </w:r>
      <w:r w:rsidRPr="00F4354D">
        <w:rPr>
          <w:rFonts w:ascii="Calibri" w:hAnsi="Calibri"/>
          <w:b/>
          <w:i/>
        </w:rPr>
        <w:t>Data protection</w:t>
      </w:r>
      <w:r w:rsidRPr="00F4354D">
        <w:rPr>
          <w:rFonts w:ascii="Calibri" w:hAnsi="Calibri"/>
          <w:i/>
        </w:rPr>
        <w:t xml:space="preserve"> policies and implemented arrangements for the new </w:t>
      </w:r>
      <w:r w:rsidRPr="00F4354D">
        <w:rPr>
          <w:rFonts w:ascii="Calibri" w:hAnsi="Calibri"/>
          <w:b/>
          <w:i/>
        </w:rPr>
        <w:t>General Data Protection Requirements</w:t>
      </w:r>
      <w:r w:rsidR="00F4354D" w:rsidRPr="00F4354D">
        <w:rPr>
          <w:rFonts w:ascii="Calibri" w:hAnsi="Calibri"/>
          <w:b/>
          <w:i/>
        </w:rPr>
        <w:t xml:space="preserve"> Regulation 2018</w:t>
      </w:r>
      <w:r w:rsidRPr="00F4354D">
        <w:rPr>
          <w:rFonts w:ascii="Calibri" w:hAnsi="Calibri"/>
          <w:i/>
        </w:rPr>
        <w:t xml:space="preserve"> </w:t>
      </w:r>
    </w:p>
    <w:p w14:paraId="1819A175" w14:textId="77777777" w:rsidR="00763097" w:rsidRPr="00F4354D" w:rsidRDefault="00763097" w:rsidP="00763097">
      <w:pPr>
        <w:autoSpaceDE w:val="0"/>
        <w:ind w:left="1440" w:hanging="720"/>
        <w:jc w:val="both"/>
        <w:rPr>
          <w:rFonts w:ascii="Calibri" w:hAnsi="Calibri"/>
          <w:i/>
        </w:rPr>
      </w:pPr>
      <w:r w:rsidRPr="00F4354D">
        <w:rPr>
          <w:rFonts w:ascii="Calibri" w:hAnsi="Calibri"/>
          <w:i/>
        </w:rPr>
        <w:t>•</w:t>
      </w:r>
      <w:r w:rsidRPr="00F4354D">
        <w:rPr>
          <w:rFonts w:ascii="Calibri" w:hAnsi="Calibri"/>
          <w:i/>
        </w:rPr>
        <w:tab/>
        <w:t xml:space="preserve">Received assurances from HMICFRS around Force </w:t>
      </w:r>
      <w:r w:rsidRPr="00F4354D">
        <w:rPr>
          <w:rFonts w:ascii="Calibri" w:hAnsi="Calibri"/>
          <w:b/>
          <w:i/>
        </w:rPr>
        <w:t>efficiency and effectiveness</w:t>
      </w:r>
    </w:p>
    <w:p w14:paraId="2A53B370" w14:textId="77777777" w:rsidR="00763097" w:rsidRPr="00F4354D" w:rsidRDefault="00763097" w:rsidP="00763097">
      <w:pPr>
        <w:autoSpaceDE w:val="0"/>
        <w:ind w:left="1440" w:hanging="720"/>
        <w:jc w:val="both"/>
        <w:rPr>
          <w:rFonts w:ascii="Calibri" w:hAnsi="Calibri"/>
          <w:i/>
        </w:rPr>
      </w:pPr>
      <w:r w:rsidRPr="00F4354D">
        <w:rPr>
          <w:rFonts w:ascii="Calibri" w:hAnsi="Calibri"/>
          <w:i/>
        </w:rPr>
        <w:t>•</w:t>
      </w:r>
      <w:r w:rsidRPr="00F4354D">
        <w:rPr>
          <w:rFonts w:ascii="Calibri" w:hAnsi="Calibri"/>
          <w:i/>
        </w:rPr>
        <w:tab/>
        <w:t xml:space="preserve">Received regular </w:t>
      </w:r>
      <w:r w:rsidRPr="00F4354D">
        <w:rPr>
          <w:rFonts w:ascii="Calibri" w:hAnsi="Calibri"/>
          <w:b/>
          <w:i/>
        </w:rPr>
        <w:t>budget monitoring</w:t>
      </w:r>
      <w:r w:rsidRPr="00F4354D">
        <w:rPr>
          <w:rFonts w:ascii="Calibri" w:hAnsi="Calibri"/>
          <w:i/>
        </w:rPr>
        <w:t xml:space="preserve"> reports</w:t>
      </w:r>
    </w:p>
    <w:p w14:paraId="6817906C" w14:textId="77777777" w:rsidR="00763097" w:rsidRPr="00F4354D" w:rsidRDefault="00763097" w:rsidP="00763097">
      <w:pPr>
        <w:autoSpaceDE w:val="0"/>
        <w:ind w:left="1440" w:hanging="720"/>
        <w:jc w:val="both"/>
        <w:rPr>
          <w:rFonts w:ascii="Calibri" w:hAnsi="Calibri"/>
          <w:i/>
        </w:rPr>
      </w:pPr>
      <w:r w:rsidRPr="00F4354D">
        <w:rPr>
          <w:rFonts w:ascii="Calibri" w:hAnsi="Calibri"/>
          <w:i/>
        </w:rPr>
        <w:t>•</w:t>
      </w:r>
      <w:r w:rsidRPr="00F4354D">
        <w:rPr>
          <w:rFonts w:ascii="Calibri" w:hAnsi="Calibri"/>
          <w:i/>
        </w:rPr>
        <w:tab/>
        <w:t xml:space="preserve">Approved a </w:t>
      </w:r>
      <w:r w:rsidRPr="00F4354D">
        <w:rPr>
          <w:rFonts w:ascii="Calibri" w:hAnsi="Calibri"/>
          <w:b/>
          <w:i/>
        </w:rPr>
        <w:t>treasury management</w:t>
      </w:r>
      <w:r w:rsidRPr="00F4354D">
        <w:rPr>
          <w:rFonts w:ascii="Calibri" w:hAnsi="Calibri"/>
          <w:i/>
        </w:rPr>
        <w:t xml:space="preserve"> strategy </w:t>
      </w:r>
    </w:p>
    <w:p w14:paraId="6B0C7D09" w14:textId="77777777" w:rsidR="00763097" w:rsidRPr="00F4354D" w:rsidRDefault="00763097" w:rsidP="00763097">
      <w:pPr>
        <w:autoSpaceDE w:val="0"/>
        <w:ind w:left="1440" w:hanging="720"/>
        <w:jc w:val="both"/>
        <w:rPr>
          <w:rFonts w:ascii="Calibri" w:hAnsi="Calibri"/>
          <w:i/>
        </w:rPr>
      </w:pPr>
      <w:r w:rsidRPr="00F4354D">
        <w:rPr>
          <w:rFonts w:ascii="Calibri" w:hAnsi="Calibri"/>
          <w:i/>
        </w:rPr>
        <w:t>•</w:t>
      </w:r>
      <w:r w:rsidRPr="00F4354D">
        <w:rPr>
          <w:rFonts w:ascii="Calibri" w:hAnsi="Calibri"/>
          <w:i/>
        </w:rPr>
        <w:tab/>
        <w:t>Been represented at force meetings where data quality issues are discussed</w:t>
      </w:r>
    </w:p>
    <w:p w14:paraId="5925C17F" w14:textId="77777777" w:rsidR="00763097" w:rsidRPr="00F4354D" w:rsidRDefault="00763097" w:rsidP="00763097">
      <w:pPr>
        <w:autoSpaceDE w:val="0"/>
        <w:ind w:left="1440" w:hanging="720"/>
        <w:jc w:val="both"/>
        <w:rPr>
          <w:rFonts w:ascii="Calibri" w:hAnsi="Calibri"/>
          <w:i/>
        </w:rPr>
      </w:pPr>
      <w:r w:rsidRPr="00F4354D">
        <w:rPr>
          <w:rFonts w:ascii="Calibri" w:hAnsi="Calibri"/>
          <w:i/>
        </w:rPr>
        <w:t>•</w:t>
      </w:r>
      <w:r w:rsidRPr="00F4354D">
        <w:rPr>
          <w:rFonts w:ascii="Calibri" w:hAnsi="Calibri"/>
          <w:i/>
        </w:rPr>
        <w:tab/>
        <w:t xml:space="preserve">Put in place </w:t>
      </w:r>
      <w:r w:rsidRPr="00F4354D">
        <w:rPr>
          <w:rFonts w:ascii="Calibri" w:hAnsi="Calibri"/>
          <w:b/>
          <w:i/>
        </w:rPr>
        <w:t>business continuity plans</w:t>
      </w:r>
    </w:p>
    <w:p w14:paraId="187D0F76" w14:textId="77777777" w:rsidR="00763097" w:rsidRPr="00F4354D" w:rsidRDefault="00763097" w:rsidP="00763097">
      <w:pPr>
        <w:autoSpaceDE w:val="0"/>
        <w:ind w:left="1440" w:hanging="720"/>
        <w:jc w:val="both"/>
        <w:rPr>
          <w:rFonts w:ascii="Calibri" w:hAnsi="Calibri"/>
          <w:i/>
        </w:rPr>
      </w:pPr>
      <w:r w:rsidRPr="00F4354D">
        <w:rPr>
          <w:rFonts w:ascii="Calibri" w:hAnsi="Calibri"/>
          <w:i/>
        </w:rPr>
        <w:t>•</w:t>
      </w:r>
      <w:r w:rsidRPr="00F4354D">
        <w:rPr>
          <w:rFonts w:ascii="Calibri" w:hAnsi="Calibri"/>
          <w:i/>
        </w:rPr>
        <w:tab/>
        <w:t xml:space="preserve">Ensured that The PCC and Chief Constable abide by the </w:t>
      </w:r>
      <w:r w:rsidRPr="00F4354D">
        <w:rPr>
          <w:rFonts w:ascii="Calibri" w:hAnsi="Calibri"/>
          <w:b/>
          <w:i/>
        </w:rPr>
        <w:t>CIPFA Financial Management Code of Practice</w:t>
      </w:r>
      <w:r w:rsidRPr="00F4354D">
        <w:rPr>
          <w:rFonts w:ascii="Calibri" w:hAnsi="Calibri"/>
          <w:i/>
        </w:rPr>
        <w:t xml:space="preserve"> </w:t>
      </w:r>
    </w:p>
    <w:p w14:paraId="10C6F20B" w14:textId="77777777" w:rsidR="00763097" w:rsidRPr="00F4354D" w:rsidRDefault="00763097" w:rsidP="00763097">
      <w:pPr>
        <w:autoSpaceDE w:val="0"/>
        <w:ind w:left="720" w:hanging="720"/>
        <w:jc w:val="both"/>
        <w:rPr>
          <w:rFonts w:ascii="Calibri" w:hAnsi="Calibri"/>
        </w:rPr>
      </w:pPr>
    </w:p>
    <w:p w14:paraId="3B40511C" w14:textId="77777777" w:rsidR="00763097" w:rsidRPr="00F4354D" w:rsidRDefault="00763097" w:rsidP="00763097">
      <w:pPr>
        <w:autoSpaceDE w:val="0"/>
        <w:ind w:left="720" w:hanging="720"/>
        <w:jc w:val="both"/>
        <w:rPr>
          <w:rFonts w:ascii="Calibri" w:hAnsi="Calibri"/>
        </w:rPr>
      </w:pPr>
      <w:r w:rsidRPr="00F4354D">
        <w:rPr>
          <w:rFonts w:ascii="Calibri" w:hAnsi="Calibri"/>
        </w:rPr>
        <w:t>3.12</w:t>
      </w:r>
      <w:r w:rsidRPr="00F4354D">
        <w:rPr>
          <w:rFonts w:ascii="Calibri" w:hAnsi="Calibri"/>
        </w:rPr>
        <w:tab/>
      </w:r>
      <w:r w:rsidRPr="00F4354D">
        <w:rPr>
          <w:rFonts w:ascii="Calibri" w:hAnsi="Calibri"/>
          <w:b/>
        </w:rPr>
        <w:t>Principle G: Implementing good practices in transparency, reporting and audit to deliver effective accountability</w:t>
      </w:r>
    </w:p>
    <w:p w14:paraId="2D747318" w14:textId="77777777" w:rsidR="00763097" w:rsidRPr="00F4354D" w:rsidRDefault="00763097" w:rsidP="00763097">
      <w:pPr>
        <w:autoSpaceDE w:val="0"/>
        <w:ind w:left="720" w:hanging="720"/>
        <w:jc w:val="both"/>
        <w:rPr>
          <w:rFonts w:ascii="Calibri" w:hAnsi="Calibri"/>
        </w:rPr>
      </w:pPr>
    </w:p>
    <w:p w14:paraId="677023FA" w14:textId="77777777" w:rsidR="00763097" w:rsidRPr="002B2668" w:rsidRDefault="00763097" w:rsidP="00763097">
      <w:pPr>
        <w:autoSpaceDE w:val="0"/>
        <w:ind w:left="720" w:hanging="720"/>
        <w:jc w:val="both"/>
        <w:rPr>
          <w:rFonts w:ascii="Calibri" w:hAnsi="Calibri"/>
          <w:i/>
        </w:rPr>
      </w:pPr>
      <w:r w:rsidRPr="00F4354D">
        <w:rPr>
          <w:rFonts w:ascii="Calibri" w:hAnsi="Calibri"/>
        </w:rPr>
        <w:t xml:space="preserve">To achieve this principle, the </w:t>
      </w:r>
      <w:r w:rsidRPr="002B2668">
        <w:rPr>
          <w:rFonts w:ascii="Calibri" w:hAnsi="Calibri"/>
        </w:rPr>
        <w:t>PCC has:</w:t>
      </w:r>
    </w:p>
    <w:p w14:paraId="542119DE" w14:textId="77777777" w:rsidR="00763097" w:rsidRPr="002B2668" w:rsidRDefault="00763097" w:rsidP="00763097">
      <w:pPr>
        <w:autoSpaceDE w:val="0"/>
        <w:ind w:left="720" w:hanging="720"/>
        <w:jc w:val="both"/>
        <w:rPr>
          <w:rFonts w:ascii="Calibri" w:hAnsi="Calibri"/>
          <w:i/>
        </w:rPr>
      </w:pPr>
      <w:r w:rsidRPr="002B2668">
        <w:rPr>
          <w:rFonts w:ascii="Calibri" w:hAnsi="Calibri"/>
          <w:i/>
        </w:rPr>
        <w:t>•</w:t>
      </w:r>
      <w:r w:rsidRPr="002B2668">
        <w:rPr>
          <w:rFonts w:ascii="Calibri" w:hAnsi="Calibri"/>
          <w:i/>
        </w:rPr>
        <w:tab/>
        <w:t xml:space="preserve">Held the </w:t>
      </w:r>
      <w:r w:rsidRPr="002B2668">
        <w:rPr>
          <w:rFonts w:ascii="Calibri" w:hAnsi="Calibri"/>
          <w:b/>
          <w:i/>
        </w:rPr>
        <w:t>Chief Constable to account</w:t>
      </w:r>
      <w:r w:rsidRPr="002B2668">
        <w:rPr>
          <w:rFonts w:ascii="Calibri" w:hAnsi="Calibri"/>
          <w:i/>
        </w:rPr>
        <w:t xml:space="preserve"> on a regular basis at performance meetings, with some of these being webcast so they are publicly available, with papers and minutes published</w:t>
      </w:r>
    </w:p>
    <w:p w14:paraId="14EA30A5" w14:textId="77777777" w:rsidR="00763097" w:rsidRPr="002B2668" w:rsidRDefault="00763097" w:rsidP="00763097">
      <w:pPr>
        <w:autoSpaceDE w:val="0"/>
        <w:ind w:left="720" w:hanging="720"/>
        <w:jc w:val="both"/>
        <w:rPr>
          <w:rFonts w:ascii="Calibri" w:hAnsi="Calibri"/>
          <w:i/>
        </w:rPr>
      </w:pPr>
      <w:r w:rsidRPr="002B2668">
        <w:rPr>
          <w:rFonts w:ascii="Calibri" w:hAnsi="Calibri"/>
          <w:i/>
        </w:rPr>
        <w:t>•</w:t>
      </w:r>
      <w:r w:rsidRPr="002B2668">
        <w:rPr>
          <w:rFonts w:ascii="Calibri" w:hAnsi="Calibri"/>
          <w:i/>
        </w:rPr>
        <w:tab/>
        <w:t xml:space="preserve">Been commended for compliance with the Local Policing Bodies Specified Information Order 2011 which determines which information should be </w:t>
      </w:r>
      <w:r w:rsidRPr="002B2668">
        <w:rPr>
          <w:rFonts w:ascii="Calibri" w:hAnsi="Calibri"/>
          <w:b/>
          <w:i/>
        </w:rPr>
        <w:t>published on the OPCC website</w:t>
      </w:r>
    </w:p>
    <w:p w14:paraId="7758D8FE" w14:textId="77777777" w:rsidR="00763097" w:rsidRPr="002B2668" w:rsidRDefault="00763097" w:rsidP="00763097">
      <w:pPr>
        <w:autoSpaceDE w:val="0"/>
        <w:ind w:left="720" w:hanging="720"/>
        <w:jc w:val="both"/>
        <w:rPr>
          <w:rFonts w:ascii="Calibri" w:hAnsi="Calibri"/>
          <w:i/>
        </w:rPr>
      </w:pPr>
      <w:r w:rsidRPr="002B2668">
        <w:rPr>
          <w:rFonts w:ascii="Calibri" w:hAnsi="Calibri"/>
          <w:i/>
        </w:rPr>
        <w:t>•</w:t>
      </w:r>
      <w:r w:rsidRPr="002B2668">
        <w:rPr>
          <w:rFonts w:ascii="Calibri" w:hAnsi="Calibri"/>
          <w:i/>
        </w:rPr>
        <w:tab/>
        <w:t xml:space="preserve">Ensured that the Force and OPCC publish their respective </w:t>
      </w:r>
      <w:r w:rsidRPr="002B2668">
        <w:rPr>
          <w:rFonts w:ascii="Calibri" w:hAnsi="Calibri"/>
          <w:b/>
          <w:i/>
        </w:rPr>
        <w:t>Statement of Accounts</w:t>
      </w:r>
      <w:r w:rsidRPr="002B2668">
        <w:rPr>
          <w:rFonts w:ascii="Calibri" w:hAnsi="Calibri"/>
          <w:i/>
        </w:rPr>
        <w:t xml:space="preserve"> and Annual Governance Statements</w:t>
      </w:r>
    </w:p>
    <w:p w14:paraId="26898B2D" w14:textId="37C40B05" w:rsidR="00763097" w:rsidRPr="002B2668" w:rsidRDefault="00763097" w:rsidP="00763097">
      <w:pPr>
        <w:autoSpaceDE w:val="0"/>
        <w:ind w:left="720" w:hanging="720"/>
        <w:jc w:val="both"/>
        <w:rPr>
          <w:rFonts w:ascii="Calibri" w:hAnsi="Calibri"/>
          <w:i/>
        </w:rPr>
      </w:pPr>
      <w:r w:rsidRPr="002B2668">
        <w:rPr>
          <w:rFonts w:ascii="Calibri" w:hAnsi="Calibri"/>
          <w:i/>
        </w:rPr>
        <w:t>•</w:t>
      </w:r>
      <w:r w:rsidRPr="002B2668">
        <w:rPr>
          <w:rFonts w:ascii="Calibri" w:hAnsi="Calibri"/>
          <w:i/>
        </w:rPr>
        <w:tab/>
        <w:t>Ensured compliance with the CIPFA Statement on the Role of the Head of Internal Audit (2010)</w:t>
      </w:r>
      <w:r w:rsidR="002B2668" w:rsidRPr="002B2668">
        <w:rPr>
          <w:rFonts w:ascii="Calibri" w:hAnsi="Calibri"/>
          <w:i/>
        </w:rPr>
        <w:t>, working with the internal audit service provider, Southern Internal Audit Partnership, to maximise the effectiveness of regular updates to the Joint Audit Committee</w:t>
      </w:r>
    </w:p>
    <w:p w14:paraId="05ACFD6A" w14:textId="688421CD" w:rsidR="00763097" w:rsidRPr="002B2668" w:rsidRDefault="00763097" w:rsidP="00763097">
      <w:pPr>
        <w:autoSpaceDE w:val="0"/>
        <w:ind w:left="720" w:hanging="720"/>
        <w:jc w:val="both"/>
        <w:rPr>
          <w:rFonts w:ascii="Calibri" w:hAnsi="Calibri"/>
          <w:i/>
        </w:rPr>
      </w:pPr>
      <w:r w:rsidRPr="002B2668">
        <w:rPr>
          <w:rFonts w:ascii="Calibri" w:hAnsi="Calibri"/>
          <w:i/>
        </w:rPr>
        <w:t>•</w:t>
      </w:r>
      <w:r w:rsidRPr="002B2668">
        <w:rPr>
          <w:rFonts w:ascii="Calibri" w:hAnsi="Calibri"/>
          <w:i/>
        </w:rPr>
        <w:tab/>
        <w:t xml:space="preserve">Published all </w:t>
      </w:r>
      <w:hyperlink r:id="rId26" w:history="1">
        <w:r w:rsidRPr="002B2668">
          <w:rPr>
            <w:rStyle w:val="Hyperlink"/>
            <w:i/>
            <w:sz w:val="18"/>
            <w:szCs w:val="18"/>
          </w:rPr>
          <w:t>all key decisions</w:t>
        </w:r>
      </w:hyperlink>
      <w:r w:rsidRPr="002B2668">
        <w:rPr>
          <w:rFonts w:ascii="Calibri" w:hAnsi="Calibri"/>
          <w:i/>
        </w:rPr>
        <w:t xml:space="preserve"> on </w:t>
      </w:r>
      <w:r w:rsidR="002B2668" w:rsidRPr="002B2668">
        <w:rPr>
          <w:rFonts w:ascii="Calibri" w:hAnsi="Calibri"/>
          <w:i/>
        </w:rPr>
        <w:t>the</w:t>
      </w:r>
      <w:r w:rsidRPr="002B2668">
        <w:rPr>
          <w:rFonts w:ascii="Calibri" w:hAnsi="Calibri"/>
          <w:i/>
        </w:rPr>
        <w:t xml:space="preserve"> website</w:t>
      </w:r>
    </w:p>
    <w:p w14:paraId="585D1E27" w14:textId="77777777" w:rsidR="002B2668" w:rsidRPr="002B2668" w:rsidRDefault="00763097" w:rsidP="002B2668">
      <w:pPr>
        <w:autoSpaceDE w:val="0"/>
        <w:ind w:left="720" w:hanging="720"/>
        <w:jc w:val="both"/>
        <w:rPr>
          <w:rFonts w:ascii="Calibri" w:hAnsi="Calibri"/>
          <w:i/>
        </w:rPr>
      </w:pPr>
      <w:r w:rsidRPr="002B2668">
        <w:rPr>
          <w:rFonts w:ascii="Calibri" w:hAnsi="Calibri"/>
          <w:i/>
        </w:rPr>
        <w:t>•</w:t>
      </w:r>
      <w:r w:rsidRPr="002B2668">
        <w:rPr>
          <w:rFonts w:ascii="Calibri" w:hAnsi="Calibri"/>
          <w:i/>
        </w:rPr>
        <w:tab/>
        <w:t xml:space="preserve">Reviewed </w:t>
      </w:r>
      <w:r w:rsidRPr="002B2668">
        <w:rPr>
          <w:rFonts w:ascii="Calibri" w:hAnsi="Calibri"/>
          <w:b/>
          <w:i/>
        </w:rPr>
        <w:t>decision-making practices</w:t>
      </w:r>
      <w:r w:rsidRPr="002B2668">
        <w:rPr>
          <w:rFonts w:ascii="Calibri" w:hAnsi="Calibri"/>
          <w:i/>
        </w:rPr>
        <w:t xml:space="preserve"> which are clearly set out in the Framework of Decision-Making and Accountability</w:t>
      </w:r>
    </w:p>
    <w:p w14:paraId="075AA99E" w14:textId="55ECFA88" w:rsidR="002B2668" w:rsidRPr="002B2668" w:rsidRDefault="002B2668" w:rsidP="002B2668">
      <w:pPr>
        <w:autoSpaceDE w:val="0"/>
        <w:ind w:left="720" w:hanging="720"/>
        <w:jc w:val="both"/>
        <w:rPr>
          <w:rFonts w:ascii="Calibri" w:hAnsi="Calibri"/>
          <w:i/>
        </w:rPr>
      </w:pPr>
      <w:r w:rsidRPr="002B2668">
        <w:rPr>
          <w:rFonts w:ascii="Calibri" w:hAnsi="Calibri"/>
          <w:i/>
        </w:rPr>
        <w:t>•</w:t>
      </w:r>
      <w:r w:rsidRPr="002B2668">
        <w:rPr>
          <w:rFonts w:ascii="Calibri" w:hAnsi="Calibri"/>
          <w:i/>
        </w:rPr>
        <w:tab/>
        <w:t>Continued to support the work of the Joint Audit Committee (JAC) in its role of monitoring governance and internal control, conducting effective recruitment procedures for new members during the year and providing training by the regulator CIPFA to ensure they are fully aware of role and expectations of JAC members</w:t>
      </w:r>
    </w:p>
    <w:p w14:paraId="230BE72D" w14:textId="77777777" w:rsidR="00763097" w:rsidRPr="002B67FD" w:rsidRDefault="00763097" w:rsidP="00763097">
      <w:pPr>
        <w:autoSpaceDE w:val="0"/>
        <w:jc w:val="both"/>
        <w:rPr>
          <w:rFonts w:ascii="Calibri" w:hAnsi="Calibri"/>
        </w:rPr>
      </w:pPr>
    </w:p>
    <w:p w14:paraId="1AB069CA" w14:textId="77777777" w:rsidR="00763097" w:rsidRPr="002B67FD" w:rsidRDefault="00763097" w:rsidP="00763097">
      <w:pPr>
        <w:shd w:val="clear" w:color="auto" w:fill="0070C0"/>
        <w:jc w:val="both"/>
        <w:rPr>
          <w:rFonts w:ascii="Calibri" w:hAnsi="Calibri"/>
          <w:b/>
          <w:color w:val="FFFFFF"/>
        </w:rPr>
      </w:pPr>
      <w:r w:rsidRPr="002B67FD">
        <w:rPr>
          <w:rFonts w:ascii="Calibri" w:hAnsi="Calibri"/>
          <w:b/>
          <w:color w:val="FFFFFF"/>
        </w:rPr>
        <w:t>4</w:t>
      </w:r>
      <w:r w:rsidRPr="002B67FD">
        <w:rPr>
          <w:rFonts w:ascii="Calibri" w:hAnsi="Calibri"/>
          <w:b/>
          <w:color w:val="FFFFFF"/>
        </w:rPr>
        <w:tab/>
        <w:t>Review of Effectiveness</w:t>
      </w:r>
    </w:p>
    <w:p w14:paraId="7CD725F3" w14:textId="77777777" w:rsidR="00763097" w:rsidRPr="002B67FD" w:rsidRDefault="00763097" w:rsidP="00763097">
      <w:pPr>
        <w:jc w:val="both"/>
      </w:pPr>
    </w:p>
    <w:p w14:paraId="64D7C4A0" w14:textId="77777777" w:rsidR="00763097" w:rsidRPr="002B2668" w:rsidRDefault="00763097" w:rsidP="00763097">
      <w:pPr>
        <w:ind w:left="720" w:hanging="720"/>
        <w:jc w:val="both"/>
        <w:rPr>
          <w:rFonts w:ascii="Calibri" w:hAnsi="Calibri"/>
          <w:color w:val="000000"/>
        </w:rPr>
      </w:pPr>
      <w:r w:rsidRPr="002B2668">
        <w:rPr>
          <w:rFonts w:ascii="Calibri" w:hAnsi="Calibri"/>
          <w:color w:val="000000"/>
        </w:rPr>
        <w:t>4.1</w:t>
      </w:r>
      <w:r w:rsidRPr="002B2668">
        <w:rPr>
          <w:rFonts w:ascii="Calibri" w:hAnsi="Calibri"/>
          <w:color w:val="000000"/>
        </w:rPr>
        <w:tab/>
        <w:t xml:space="preserve">The PCC must ensure the effectiveness of the governance framework, including the system of internal audit and control. </w:t>
      </w:r>
    </w:p>
    <w:p w14:paraId="449F16F3" w14:textId="77777777" w:rsidR="00763097" w:rsidRPr="002B2668" w:rsidRDefault="00763097" w:rsidP="00763097">
      <w:pPr>
        <w:jc w:val="both"/>
        <w:rPr>
          <w:rFonts w:ascii="Calibri" w:hAnsi="Calibri"/>
          <w:color w:val="000000"/>
        </w:rPr>
      </w:pPr>
    </w:p>
    <w:p w14:paraId="2640468A" w14:textId="77777777" w:rsidR="00763097" w:rsidRPr="002B2668" w:rsidRDefault="00763097" w:rsidP="00763097">
      <w:pPr>
        <w:ind w:left="720" w:hanging="720"/>
        <w:jc w:val="both"/>
        <w:rPr>
          <w:rFonts w:ascii="Calibri" w:hAnsi="Calibri"/>
          <w:color w:val="000000"/>
        </w:rPr>
      </w:pPr>
      <w:r w:rsidRPr="002B2668">
        <w:rPr>
          <w:rFonts w:ascii="Calibri" w:hAnsi="Calibri"/>
          <w:color w:val="000000"/>
        </w:rPr>
        <w:t>4.2</w:t>
      </w:r>
      <w:r w:rsidRPr="002B2668">
        <w:rPr>
          <w:rFonts w:ascii="Calibri" w:hAnsi="Calibri"/>
          <w:color w:val="000000"/>
        </w:rPr>
        <w:tab/>
        <w:t>Assessments and recommendations made by the internal and external auditors and other review agencies are kept under review by the OPCC and at meetings of the Joint Audit Committee.</w:t>
      </w:r>
    </w:p>
    <w:p w14:paraId="0ADEE2F2" w14:textId="77777777" w:rsidR="00763097" w:rsidRPr="002B2668" w:rsidRDefault="00763097" w:rsidP="00763097">
      <w:pPr>
        <w:jc w:val="both"/>
        <w:rPr>
          <w:rFonts w:ascii="Calibri" w:hAnsi="Calibri"/>
          <w:color w:val="000000"/>
        </w:rPr>
      </w:pPr>
    </w:p>
    <w:p w14:paraId="23B503FB" w14:textId="77777777" w:rsidR="00763097" w:rsidRPr="002B2668" w:rsidRDefault="00763097" w:rsidP="00763097">
      <w:pPr>
        <w:ind w:left="720" w:hanging="720"/>
        <w:jc w:val="both"/>
        <w:rPr>
          <w:rFonts w:ascii="Calibri" w:hAnsi="Calibri"/>
          <w:color w:val="000000"/>
        </w:rPr>
      </w:pPr>
      <w:r w:rsidRPr="002B2668">
        <w:rPr>
          <w:rFonts w:ascii="Calibri" w:hAnsi="Calibri"/>
          <w:color w:val="000000"/>
        </w:rPr>
        <w:t>4.3</w:t>
      </w:r>
      <w:r w:rsidRPr="002B2668">
        <w:rPr>
          <w:rFonts w:ascii="Calibri" w:hAnsi="Calibri"/>
          <w:color w:val="000000"/>
        </w:rPr>
        <w:tab/>
        <w:t xml:space="preserve">The Joint Audit Committee has been consulted on the development of the annual governance statement.  </w:t>
      </w:r>
    </w:p>
    <w:p w14:paraId="72667226" w14:textId="77777777" w:rsidR="00763097" w:rsidRPr="002B2668" w:rsidRDefault="00763097" w:rsidP="00763097">
      <w:pPr>
        <w:jc w:val="both"/>
        <w:rPr>
          <w:rFonts w:ascii="Calibri" w:hAnsi="Calibri"/>
          <w:color w:val="000000"/>
        </w:rPr>
      </w:pPr>
    </w:p>
    <w:p w14:paraId="5F35FDF6" w14:textId="77777777" w:rsidR="00763097" w:rsidRPr="002B2668" w:rsidRDefault="00763097" w:rsidP="00763097">
      <w:pPr>
        <w:ind w:left="720" w:hanging="720"/>
        <w:jc w:val="both"/>
        <w:rPr>
          <w:rFonts w:ascii="Calibri" w:hAnsi="Calibri"/>
          <w:color w:val="000000"/>
        </w:rPr>
      </w:pPr>
      <w:r w:rsidRPr="002B2668">
        <w:rPr>
          <w:rFonts w:ascii="Calibri" w:hAnsi="Calibri"/>
          <w:color w:val="000000"/>
        </w:rPr>
        <w:t>4.4</w:t>
      </w:r>
      <w:r w:rsidRPr="002B2668">
        <w:rPr>
          <w:rFonts w:ascii="Calibri" w:hAnsi="Calibri"/>
          <w:color w:val="000000"/>
        </w:rPr>
        <w:tab/>
        <w:t>A process is established to ensure the Chief Constable and Surrey PCC, approve and sign off their respective annual governance statements, in accordance with the CIPFA guidance.</w:t>
      </w:r>
    </w:p>
    <w:p w14:paraId="355C9E69" w14:textId="77777777" w:rsidR="00763097" w:rsidRPr="002B2668" w:rsidRDefault="00763097" w:rsidP="00763097">
      <w:pPr>
        <w:autoSpaceDE w:val="0"/>
        <w:jc w:val="both"/>
        <w:rPr>
          <w:rFonts w:ascii="Calibri" w:hAnsi="Calibri"/>
        </w:rPr>
      </w:pPr>
    </w:p>
    <w:p w14:paraId="3D35E608" w14:textId="77777777" w:rsidR="00763097" w:rsidRPr="002B67FD" w:rsidRDefault="00763097" w:rsidP="00763097">
      <w:pPr>
        <w:shd w:val="clear" w:color="auto" w:fill="0070C0"/>
        <w:jc w:val="both"/>
        <w:rPr>
          <w:rFonts w:ascii="Calibri" w:hAnsi="Calibri"/>
          <w:b/>
          <w:color w:val="FFFFFF"/>
        </w:rPr>
      </w:pPr>
      <w:r w:rsidRPr="002B2668">
        <w:rPr>
          <w:rFonts w:ascii="Calibri" w:hAnsi="Calibri"/>
          <w:b/>
          <w:color w:val="FFFFFF"/>
        </w:rPr>
        <w:t>5</w:t>
      </w:r>
      <w:r w:rsidRPr="002B2668">
        <w:rPr>
          <w:rFonts w:ascii="Calibri" w:hAnsi="Calibri"/>
          <w:b/>
          <w:color w:val="FFFFFF"/>
        </w:rPr>
        <w:tab/>
        <w:t>Internal Audit Opinion</w:t>
      </w:r>
    </w:p>
    <w:p w14:paraId="57C68A1C" w14:textId="77777777" w:rsidR="00763097" w:rsidRPr="002B67FD" w:rsidRDefault="00763097" w:rsidP="00763097">
      <w:pPr>
        <w:jc w:val="both"/>
      </w:pPr>
    </w:p>
    <w:p w14:paraId="76AD3FC4" w14:textId="77777777" w:rsidR="00360A13" w:rsidRPr="00742226" w:rsidRDefault="00763097" w:rsidP="00D91109">
      <w:pPr>
        <w:autoSpaceDE w:val="0"/>
        <w:ind w:left="720" w:hanging="720"/>
        <w:jc w:val="both"/>
        <w:rPr>
          <w:rFonts w:ascii="Calibri" w:hAnsi="Calibri"/>
          <w:bCs/>
        </w:rPr>
      </w:pPr>
      <w:r w:rsidRPr="00742226">
        <w:rPr>
          <w:rFonts w:ascii="Calibri" w:hAnsi="Calibri"/>
        </w:rPr>
        <w:t>5.1</w:t>
      </w:r>
      <w:r w:rsidRPr="00742226">
        <w:rPr>
          <w:rFonts w:ascii="Calibri" w:hAnsi="Calibri"/>
        </w:rPr>
        <w:tab/>
      </w:r>
      <w:r w:rsidR="00360A13" w:rsidRPr="00742226">
        <w:rPr>
          <w:rFonts w:ascii="Calibri" w:hAnsi="Calibri"/>
          <w:lang w:eastAsia="en-GB"/>
        </w:rPr>
        <w:t>The CIPFA code requires Internal Audit to provide an opinion on the overall adequacy and effectiveness of the governance framework.  That opinion is provided below:</w:t>
      </w:r>
    </w:p>
    <w:p w14:paraId="6F743C1C" w14:textId="77777777" w:rsidR="00360A13" w:rsidRPr="00742226" w:rsidRDefault="00360A13" w:rsidP="00360A13">
      <w:pPr>
        <w:ind w:left="709" w:hanging="709"/>
        <w:jc w:val="both"/>
        <w:rPr>
          <w:rFonts w:ascii="Calibri" w:hAnsi="Calibri"/>
          <w:bCs/>
        </w:rPr>
      </w:pPr>
    </w:p>
    <w:p w14:paraId="5932EC64" w14:textId="20485A8C" w:rsidR="00360A13" w:rsidRPr="00742226" w:rsidRDefault="00360A13" w:rsidP="00360A13">
      <w:pPr>
        <w:ind w:left="709"/>
        <w:jc w:val="both"/>
        <w:rPr>
          <w:rFonts w:ascii="Calibri" w:hAnsi="Calibri"/>
          <w:b/>
          <w:lang w:eastAsia="en-GB"/>
        </w:rPr>
      </w:pPr>
      <w:r w:rsidRPr="00742226">
        <w:rPr>
          <w:rFonts w:ascii="Calibri" w:hAnsi="Calibri"/>
          <w:b/>
          <w:lang w:eastAsia="en-GB"/>
        </w:rPr>
        <w:t>Annual Internal Audit Opinion 20</w:t>
      </w:r>
      <w:r w:rsidR="00742226" w:rsidRPr="00742226">
        <w:rPr>
          <w:rFonts w:ascii="Calibri" w:hAnsi="Calibri"/>
          <w:b/>
          <w:lang w:eastAsia="en-GB"/>
        </w:rPr>
        <w:t>20</w:t>
      </w:r>
      <w:r w:rsidRPr="00742226">
        <w:rPr>
          <w:rFonts w:ascii="Calibri" w:hAnsi="Calibri"/>
          <w:b/>
          <w:lang w:eastAsia="en-GB"/>
        </w:rPr>
        <w:t>-2</w:t>
      </w:r>
      <w:r w:rsidR="00742226" w:rsidRPr="00742226">
        <w:rPr>
          <w:rFonts w:ascii="Calibri" w:hAnsi="Calibri"/>
          <w:b/>
          <w:lang w:eastAsia="en-GB"/>
        </w:rPr>
        <w:t>1</w:t>
      </w:r>
      <w:r w:rsidRPr="00742226">
        <w:rPr>
          <w:rFonts w:ascii="Calibri" w:hAnsi="Calibri"/>
          <w:b/>
          <w:lang w:eastAsia="en-GB"/>
        </w:rPr>
        <w:t>:</w:t>
      </w:r>
    </w:p>
    <w:p w14:paraId="76523983" w14:textId="77777777" w:rsidR="003B3298" w:rsidRDefault="00360A13" w:rsidP="0041394A">
      <w:pPr>
        <w:keepLines/>
        <w:spacing w:before="60" w:after="60"/>
        <w:ind w:left="709"/>
        <w:jc w:val="both"/>
        <w:rPr>
          <w:rFonts w:ascii="Calibri" w:hAnsi="Calibri"/>
          <w:lang w:eastAsia="en-GB"/>
        </w:rPr>
      </w:pPr>
      <w:r w:rsidRPr="00742226">
        <w:rPr>
          <w:rFonts w:ascii="Calibri" w:hAnsi="Calibri"/>
          <w:lang w:eastAsia="en-GB"/>
        </w:rPr>
        <w:t>For the 12 months ended 31 March 2020, the Chief Internal Auditor’s opinion for the Office of the Police and Crime Commissioner for Surrey and the Surrey Police Force is as follows</w:t>
      </w:r>
      <w:r w:rsidRPr="00742226">
        <w:rPr>
          <w:rStyle w:val="FootnoteReference"/>
          <w:rFonts w:ascii="Calibri" w:hAnsi="Calibri"/>
        </w:rPr>
        <w:footnoteReference w:id="1"/>
      </w:r>
      <w:r w:rsidRPr="00742226">
        <w:rPr>
          <w:rFonts w:ascii="Calibri" w:hAnsi="Calibri"/>
          <w:lang w:eastAsia="en-GB"/>
        </w:rPr>
        <w:t>:</w:t>
      </w:r>
      <w:r w:rsidR="00742226">
        <w:rPr>
          <w:rFonts w:ascii="Calibri" w:hAnsi="Calibri"/>
          <w:lang w:eastAsia="en-GB"/>
        </w:rPr>
        <w:t xml:space="preserve"> </w:t>
      </w:r>
    </w:p>
    <w:p w14:paraId="6F666E5C" w14:textId="77777777" w:rsidR="009B5DF5" w:rsidRDefault="009B5DF5" w:rsidP="0041394A">
      <w:pPr>
        <w:keepLines/>
        <w:ind w:left="709"/>
        <w:jc w:val="both"/>
        <w:rPr>
          <w:rFonts w:ascii="Calibri" w:hAnsi="Calibri"/>
          <w:lang w:eastAsia="en-GB"/>
        </w:rPr>
      </w:pPr>
    </w:p>
    <w:p w14:paraId="2A7CCF4C" w14:textId="4B7556DE" w:rsidR="003B3298" w:rsidRDefault="003B3298" w:rsidP="0041394A">
      <w:pPr>
        <w:keepLines/>
        <w:ind w:left="709"/>
        <w:jc w:val="both"/>
        <w:rPr>
          <w:rFonts w:ascii="Calibri" w:hAnsi="Calibri"/>
          <w:lang w:eastAsia="en-GB"/>
        </w:rPr>
      </w:pPr>
      <w:r>
        <w:rPr>
          <w:rFonts w:ascii="Calibri" w:hAnsi="Calibri"/>
          <w:lang w:eastAsia="en-GB"/>
        </w:rPr>
        <w:t xml:space="preserve">“I am satisfied that sufficient assurance work has been carried out to allow me to form a reasonable conclusion on the adequacy and effectiveness of the internal control environment. </w:t>
      </w:r>
    </w:p>
    <w:p w14:paraId="012A4CB9" w14:textId="77777777" w:rsidR="003B3298" w:rsidRDefault="003B3298" w:rsidP="0041394A">
      <w:pPr>
        <w:keepLines/>
        <w:ind w:left="709"/>
        <w:jc w:val="both"/>
        <w:rPr>
          <w:rFonts w:ascii="Calibri" w:hAnsi="Calibri"/>
          <w:lang w:eastAsia="en-GB"/>
        </w:rPr>
      </w:pPr>
    </w:p>
    <w:p w14:paraId="7B5ED961" w14:textId="77777777" w:rsidR="003B3298" w:rsidRDefault="003B3298" w:rsidP="0041394A">
      <w:pPr>
        <w:keepLines/>
        <w:ind w:left="709"/>
        <w:jc w:val="both"/>
        <w:rPr>
          <w:rFonts w:ascii="Calibri" w:hAnsi="Calibri"/>
          <w:lang w:eastAsia="en-GB"/>
        </w:rPr>
      </w:pPr>
      <w:r>
        <w:rPr>
          <w:rFonts w:ascii="Calibri" w:hAnsi="Calibri"/>
          <w:lang w:eastAsia="en-GB"/>
        </w:rPr>
        <w:t xml:space="preserve">In my opinion frameworks of governance, risk management and management control are </w:t>
      </w:r>
      <w:r>
        <w:rPr>
          <w:rFonts w:ascii="Calibri" w:hAnsi="Calibri"/>
          <w:i/>
          <w:lang w:eastAsia="en-GB"/>
        </w:rPr>
        <w:t>reasonable</w:t>
      </w:r>
      <w:r>
        <w:rPr>
          <w:rFonts w:ascii="Calibri" w:hAnsi="Calibri"/>
          <w:lang w:eastAsia="en-GB"/>
        </w:rPr>
        <w:t xml:space="preserve"> and audit testing has demonstrated controls to be working in practice.  </w:t>
      </w:r>
    </w:p>
    <w:p w14:paraId="00C665CA" w14:textId="77777777" w:rsidR="003B3298" w:rsidRDefault="003B3298" w:rsidP="0041394A">
      <w:pPr>
        <w:keepLines/>
        <w:ind w:left="709"/>
        <w:jc w:val="both"/>
        <w:rPr>
          <w:rFonts w:ascii="Calibri" w:hAnsi="Calibri"/>
          <w:lang w:eastAsia="en-GB"/>
        </w:rPr>
      </w:pPr>
    </w:p>
    <w:p w14:paraId="11E9E8D2" w14:textId="77777777" w:rsidR="003B3298" w:rsidRDefault="003B3298" w:rsidP="0041394A">
      <w:pPr>
        <w:keepLines/>
        <w:ind w:left="709"/>
        <w:jc w:val="both"/>
        <w:rPr>
          <w:rFonts w:ascii="Calibri" w:hAnsi="Calibri"/>
          <w:lang w:eastAsia="en-GB"/>
        </w:rPr>
      </w:pPr>
      <w:r>
        <w:rPr>
          <w:rFonts w:ascii="Calibri" w:hAnsi="Calibri"/>
          <w:lang w:eastAsia="en-GB"/>
        </w:rPr>
        <w:t>In 2019-20 I gave a limited assurance opinion, primarily due to the results relating to IT reviews, given that this is such a critical area of control.  Prior to 2019-20 there had been very little assurance work completed in the collaborative area of IT and this was rectified from 2019-20 through delivery of a joint internal audit plan with Sussex Police, following our appointment as Surrey Police’s internal auditors from April 2019.  Whilst there remains work to be done in some areas, the results of our reviews and follow-up work in 2020-21 relating specifically to IT, have shown significant progress in addressing the issues raised.  The direction of travel remains positive with strong governance over monitoring and challenging progress in addressing the outstanding actions.</w:t>
      </w:r>
    </w:p>
    <w:p w14:paraId="61CBF4C5" w14:textId="77777777" w:rsidR="003B3298" w:rsidRDefault="003B3298" w:rsidP="0041394A">
      <w:pPr>
        <w:keepLines/>
        <w:ind w:left="709"/>
        <w:jc w:val="both"/>
        <w:rPr>
          <w:rFonts w:ascii="Calibri" w:hAnsi="Calibri"/>
          <w:lang w:eastAsia="en-GB"/>
        </w:rPr>
      </w:pPr>
    </w:p>
    <w:p w14:paraId="431583A6" w14:textId="1EE01CDD" w:rsidR="00742226" w:rsidRDefault="003B3298" w:rsidP="0041394A">
      <w:pPr>
        <w:keepLines/>
        <w:ind w:left="709"/>
        <w:jc w:val="both"/>
        <w:rPr>
          <w:rFonts w:ascii="Calibri" w:hAnsi="Calibri"/>
          <w:lang w:eastAsia="en-GB"/>
        </w:rPr>
      </w:pPr>
      <w:r>
        <w:rPr>
          <w:rFonts w:ascii="Calibri" w:hAnsi="Calibri"/>
          <w:lang w:eastAsia="en-GB"/>
        </w:rPr>
        <w:t>Where weaknesses have been identified through internal audit review, we have worked with management to agree appropriate corrective actions and a timescale for improvement.”</w:t>
      </w:r>
    </w:p>
    <w:p w14:paraId="31D81A4D" w14:textId="77777777" w:rsidR="00742226" w:rsidRDefault="00742226" w:rsidP="00360A13">
      <w:pPr>
        <w:autoSpaceDE w:val="0"/>
        <w:ind w:left="709" w:firstLine="11"/>
        <w:jc w:val="both"/>
        <w:rPr>
          <w:rFonts w:ascii="Calibri" w:hAnsi="Calibri"/>
          <w:lang w:eastAsia="en-GB"/>
        </w:rPr>
      </w:pPr>
    </w:p>
    <w:p w14:paraId="20F7EEE4" w14:textId="77777777" w:rsidR="00360A13" w:rsidRPr="002B67FD" w:rsidRDefault="00360A13" w:rsidP="00763097">
      <w:pPr>
        <w:autoSpaceDE w:val="0"/>
        <w:ind w:left="720" w:hanging="720"/>
        <w:jc w:val="both"/>
        <w:rPr>
          <w:rFonts w:ascii="Calibri" w:hAnsi="Calibri"/>
        </w:rPr>
      </w:pPr>
    </w:p>
    <w:p w14:paraId="62945414" w14:textId="77777777" w:rsidR="003F4361" w:rsidRPr="002B67FD" w:rsidRDefault="003F4361" w:rsidP="003F4361">
      <w:pPr>
        <w:shd w:val="clear" w:color="auto" w:fill="0070C0"/>
        <w:jc w:val="both"/>
        <w:rPr>
          <w:rFonts w:ascii="Calibri" w:hAnsi="Calibri"/>
          <w:b/>
          <w:color w:val="FFFFFF"/>
        </w:rPr>
      </w:pPr>
      <w:r w:rsidRPr="002B67FD">
        <w:rPr>
          <w:rFonts w:ascii="Calibri" w:hAnsi="Calibri"/>
          <w:b/>
          <w:color w:val="FFFFFF"/>
        </w:rPr>
        <w:t>6</w:t>
      </w:r>
      <w:r w:rsidRPr="002B67FD">
        <w:rPr>
          <w:rFonts w:ascii="Calibri" w:hAnsi="Calibri"/>
          <w:b/>
          <w:color w:val="FFFFFF"/>
        </w:rPr>
        <w:tab/>
      </w:r>
      <w:r w:rsidR="00410AF8" w:rsidRPr="002B67FD">
        <w:rPr>
          <w:rFonts w:ascii="Calibri" w:hAnsi="Calibri"/>
          <w:b/>
          <w:color w:val="FFFFFF"/>
        </w:rPr>
        <w:t>In response to Covid-19</w:t>
      </w:r>
    </w:p>
    <w:p w14:paraId="6F6A6665" w14:textId="2BF72493" w:rsidR="003F4361" w:rsidRPr="00F44E66" w:rsidRDefault="002B67FD" w:rsidP="003F4361">
      <w:pPr>
        <w:jc w:val="both"/>
        <w:rPr>
          <w:rFonts w:ascii="Calibri" w:hAnsi="Calibri"/>
          <w:b/>
          <w:bCs/>
          <w:i/>
          <w:iCs/>
          <w:color w:val="000000"/>
        </w:rPr>
      </w:pPr>
      <w:r w:rsidRPr="00F44E66">
        <w:rPr>
          <w:rFonts w:ascii="Calibri" w:hAnsi="Calibri"/>
          <w:b/>
          <w:bCs/>
          <w:i/>
          <w:iCs/>
          <w:color w:val="000000"/>
        </w:rPr>
        <w:t>NB: THIS SECTION IS AN INITIAL DRAFT WHICH WILL BE UPDATED IN SEPTEBMER 2021 TO PROVIDE THE POSITION AS AT THE SIGNING OF THE AGS</w:t>
      </w:r>
    </w:p>
    <w:p w14:paraId="4342E7FB" w14:textId="77777777" w:rsidR="00F44E66" w:rsidRPr="002B67FD" w:rsidRDefault="00F44E66" w:rsidP="003F4361">
      <w:pPr>
        <w:jc w:val="both"/>
        <w:rPr>
          <w:rFonts w:ascii="Calibri" w:hAnsi="Calibri"/>
          <w:color w:val="000000"/>
        </w:rPr>
      </w:pPr>
    </w:p>
    <w:p w14:paraId="5FE71671" w14:textId="03DBE809" w:rsidR="003F4361" w:rsidRPr="002B67FD" w:rsidRDefault="003F4361" w:rsidP="003F4361">
      <w:pPr>
        <w:ind w:left="720" w:hanging="720"/>
        <w:jc w:val="both"/>
        <w:rPr>
          <w:rFonts w:ascii="Calibri" w:hAnsi="Calibri"/>
          <w:color w:val="000000"/>
        </w:rPr>
      </w:pPr>
      <w:r w:rsidRPr="002B67FD">
        <w:rPr>
          <w:rFonts w:ascii="Calibri" w:hAnsi="Calibri"/>
          <w:color w:val="000000"/>
        </w:rPr>
        <w:t>6.1</w:t>
      </w:r>
      <w:r w:rsidRPr="002B67FD">
        <w:rPr>
          <w:rFonts w:ascii="Calibri" w:hAnsi="Calibri"/>
          <w:color w:val="000000"/>
        </w:rPr>
        <w:tab/>
        <w:t>The annual governance statement (AGS) needs to be current at the final date of publication which may be later than previous years due to the extended deadlines for statutory reporting for 20</w:t>
      </w:r>
      <w:r w:rsidR="002B67FD" w:rsidRPr="002B67FD">
        <w:rPr>
          <w:rFonts w:ascii="Calibri" w:hAnsi="Calibri"/>
          <w:color w:val="000000"/>
        </w:rPr>
        <w:t>21</w:t>
      </w:r>
      <w:r w:rsidRPr="002B67FD">
        <w:rPr>
          <w:rFonts w:ascii="Calibri" w:hAnsi="Calibri"/>
          <w:color w:val="000000"/>
        </w:rPr>
        <w:t>-2</w:t>
      </w:r>
      <w:r w:rsidR="002B67FD" w:rsidRPr="002B67FD">
        <w:rPr>
          <w:rFonts w:ascii="Calibri" w:hAnsi="Calibri"/>
          <w:color w:val="000000"/>
        </w:rPr>
        <w:t>1</w:t>
      </w:r>
      <w:r w:rsidRPr="002B67FD">
        <w:rPr>
          <w:rFonts w:ascii="Calibri" w:hAnsi="Calibri"/>
          <w:color w:val="000000"/>
        </w:rPr>
        <w:t>. As a result of Covid-19, statutory deadlines</w:t>
      </w:r>
      <w:r w:rsidR="002B67FD" w:rsidRPr="002B67FD">
        <w:rPr>
          <w:rFonts w:ascii="Calibri" w:hAnsi="Calibri"/>
          <w:color w:val="000000"/>
        </w:rPr>
        <w:t xml:space="preserve"> have been set for the next two years as 31 July</w:t>
      </w:r>
      <w:r w:rsidRPr="002B67FD">
        <w:rPr>
          <w:rFonts w:ascii="Calibri" w:hAnsi="Calibri"/>
          <w:color w:val="000000"/>
        </w:rPr>
        <w:t xml:space="preserve"> for</w:t>
      </w:r>
      <w:r w:rsidR="002B67FD" w:rsidRPr="002B67FD">
        <w:rPr>
          <w:rFonts w:ascii="Calibri" w:hAnsi="Calibri"/>
          <w:color w:val="000000"/>
        </w:rPr>
        <w:t xml:space="preserve"> publication of</w:t>
      </w:r>
      <w:r w:rsidRPr="002B67FD">
        <w:rPr>
          <w:rFonts w:ascii="Calibri" w:hAnsi="Calibri"/>
          <w:color w:val="000000"/>
        </w:rPr>
        <w:t xml:space="preserve"> the draft AGS with the final AGS (ideally post-audit) </w:t>
      </w:r>
      <w:r w:rsidR="002B67FD" w:rsidRPr="002B67FD">
        <w:rPr>
          <w:rFonts w:ascii="Calibri" w:hAnsi="Calibri"/>
          <w:color w:val="000000"/>
        </w:rPr>
        <w:t xml:space="preserve">deadline as </w:t>
      </w:r>
      <w:r w:rsidRPr="002B67FD">
        <w:rPr>
          <w:rFonts w:ascii="Calibri" w:hAnsi="Calibri"/>
          <w:color w:val="000000"/>
        </w:rPr>
        <w:t xml:space="preserve">30 </w:t>
      </w:r>
      <w:r w:rsidR="002B67FD" w:rsidRPr="002B67FD">
        <w:rPr>
          <w:rFonts w:ascii="Calibri" w:hAnsi="Calibri"/>
          <w:color w:val="000000"/>
        </w:rPr>
        <w:t>September</w:t>
      </w:r>
      <w:r w:rsidRPr="002B67FD">
        <w:rPr>
          <w:rFonts w:ascii="Calibri" w:hAnsi="Calibri"/>
          <w:color w:val="000000"/>
        </w:rPr>
        <w:t>.</w:t>
      </w:r>
    </w:p>
    <w:p w14:paraId="3F54E0AA" w14:textId="77777777" w:rsidR="003F4361" w:rsidRPr="002B67FD" w:rsidRDefault="003F4361" w:rsidP="003F4361">
      <w:pPr>
        <w:jc w:val="both"/>
        <w:rPr>
          <w:rFonts w:ascii="Calibri" w:hAnsi="Calibri"/>
          <w:color w:val="000000"/>
        </w:rPr>
      </w:pPr>
    </w:p>
    <w:p w14:paraId="363BBE03" w14:textId="2D51A243" w:rsidR="00763097" w:rsidRPr="002B67FD" w:rsidRDefault="003F4361" w:rsidP="003F4361">
      <w:pPr>
        <w:ind w:left="720" w:hanging="720"/>
        <w:jc w:val="both"/>
        <w:rPr>
          <w:rFonts w:ascii="Calibri" w:hAnsi="Calibri"/>
          <w:color w:val="000000"/>
        </w:rPr>
      </w:pPr>
      <w:r w:rsidRPr="002B67FD">
        <w:rPr>
          <w:rFonts w:ascii="Calibri" w:hAnsi="Calibri"/>
          <w:color w:val="000000"/>
        </w:rPr>
        <w:t>6.2</w:t>
      </w:r>
      <w:r w:rsidRPr="002B67FD">
        <w:rPr>
          <w:rFonts w:ascii="Calibri" w:hAnsi="Calibri"/>
          <w:color w:val="000000"/>
        </w:rPr>
        <w:tab/>
      </w:r>
      <w:r w:rsidRPr="002B67FD">
        <w:rPr>
          <w:rFonts w:ascii="Calibri" w:hAnsi="Calibri"/>
        </w:rPr>
        <w:t>The AGS assesses governance in place during the 20</w:t>
      </w:r>
      <w:r w:rsidR="002B67FD" w:rsidRPr="002B67FD">
        <w:rPr>
          <w:rFonts w:ascii="Calibri" w:hAnsi="Calibri"/>
        </w:rPr>
        <w:t>20</w:t>
      </w:r>
      <w:r w:rsidRPr="002B67FD">
        <w:rPr>
          <w:rFonts w:ascii="Calibri" w:hAnsi="Calibri"/>
        </w:rPr>
        <w:t>/2</w:t>
      </w:r>
      <w:r w:rsidR="002B67FD" w:rsidRPr="002B67FD">
        <w:rPr>
          <w:rFonts w:ascii="Calibri" w:hAnsi="Calibri"/>
        </w:rPr>
        <w:t xml:space="preserve">1, during which time the </w:t>
      </w:r>
      <w:r w:rsidRPr="002B67FD">
        <w:rPr>
          <w:rFonts w:ascii="Calibri" w:hAnsi="Calibri"/>
        </w:rPr>
        <w:t>Covid-19 coronavirus pandemic</w:t>
      </w:r>
      <w:r w:rsidR="002B67FD" w:rsidRPr="002B67FD">
        <w:rPr>
          <w:rFonts w:ascii="Calibri" w:hAnsi="Calibri"/>
        </w:rPr>
        <w:t xml:space="preserve"> had considerable impact on governance arrangements and has continued to do so beyond 31 March 2021</w:t>
      </w:r>
      <w:r w:rsidRPr="002B67FD">
        <w:rPr>
          <w:rFonts w:ascii="Calibri" w:hAnsi="Calibri"/>
        </w:rPr>
        <w:t xml:space="preserve">. </w:t>
      </w:r>
      <w:r w:rsidR="002B67FD" w:rsidRPr="002B67FD">
        <w:rPr>
          <w:rFonts w:ascii="Calibri" w:hAnsi="Calibri"/>
        </w:rPr>
        <w:t xml:space="preserve">The </w:t>
      </w:r>
      <w:r w:rsidRPr="002B67FD">
        <w:rPr>
          <w:rFonts w:ascii="Calibri" w:hAnsi="Calibri"/>
        </w:rPr>
        <w:t xml:space="preserve">impact </w:t>
      </w:r>
      <w:r w:rsidR="002B67FD" w:rsidRPr="002B67FD">
        <w:rPr>
          <w:rFonts w:ascii="Calibri" w:hAnsi="Calibri"/>
        </w:rPr>
        <w:t xml:space="preserve">of Covid-19 on existing </w:t>
      </w:r>
      <w:r w:rsidRPr="002B67FD">
        <w:rPr>
          <w:rFonts w:ascii="Calibri" w:hAnsi="Calibri"/>
        </w:rPr>
        <w:t>governance arrangements</w:t>
      </w:r>
      <w:r w:rsidR="002B67FD" w:rsidRPr="002B67FD">
        <w:rPr>
          <w:rFonts w:ascii="Calibri" w:hAnsi="Calibri"/>
        </w:rPr>
        <w:t xml:space="preserve"> is </w:t>
      </w:r>
      <w:r w:rsidRPr="002B67FD">
        <w:rPr>
          <w:rFonts w:ascii="Calibri" w:hAnsi="Calibri"/>
        </w:rPr>
        <w:t xml:space="preserve">under constant review through established risk monitoring processes. The </w:t>
      </w:r>
      <w:r w:rsidR="002B67FD" w:rsidRPr="002B67FD">
        <w:rPr>
          <w:rFonts w:ascii="Calibri" w:hAnsi="Calibri"/>
        </w:rPr>
        <w:t xml:space="preserve">Police and Crime Commissioner is </w:t>
      </w:r>
      <w:r w:rsidRPr="002B67FD">
        <w:rPr>
          <w:rFonts w:ascii="Calibri" w:hAnsi="Calibri"/>
        </w:rPr>
        <w:t>keeping under continuous review the impact of Covid-19 on the operation of the</w:t>
      </w:r>
      <w:r w:rsidR="002B67FD" w:rsidRPr="002B67FD">
        <w:rPr>
          <w:rFonts w:ascii="Calibri" w:hAnsi="Calibri"/>
        </w:rPr>
        <w:t xml:space="preserve"> Office of the PCC, the</w:t>
      </w:r>
      <w:r w:rsidRPr="002B67FD">
        <w:rPr>
          <w:rFonts w:ascii="Calibri" w:hAnsi="Calibri"/>
        </w:rPr>
        <w:t xml:space="preserve"> force and partner organisations.</w:t>
      </w:r>
      <w:r w:rsidRPr="002B67FD">
        <w:rPr>
          <w:rFonts w:ascii="Calibri" w:hAnsi="Calibri"/>
          <w:color w:val="000000"/>
        </w:rPr>
        <w:tab/>
      </w:r>
    </w:p>
    <w:p w14:paraId="00E58971" w14:textId="77777777" w:rsidR="00F44E66" w:rsidRDefault="00F44E66" w:rsidP="00612C28">
      <w:pPr>
        <w:suppressAutoHyphens/>
        <w:autoSpaceDE w:val="0"/>
        <w:ind w:left="720" w:hanging="720"/>
        <w:jc w:val="both"/>
        <w:rPr>
          <w:rFonts w:ascii="Calibri" w:hAnsi="Calibri"/>
        </w:rPr>
      </w:pPr>
    </w:p>
    <w:p w14:paraId="626BBFB1" w14:textId="56C5A155" w:rsidR="00612C28" w:rsidRDefault="00612C28" w:rsidP="00612C28">
      <w:pPr>
        <w:suppressAutoHyphens/>
        <w:autoSpaceDE w:val="0"/>
        <w:ind w:left="720" w:hanging="720"/>
        <w:jc w:val="both"/>
        <w:rPr>
          <w:rFonts w:ascii="Calibri" w:hAnsi="Calibri"/>
        </w:rPr>
      </w:pPr>
      <w:r w:rsidRPr="00612C28">
        <w:rPr>
          <w:rFonts w:ascii="Calibri" w:hAnsi="Calibri"/>
        </w:rPr>
        <w:t>6.</w:t>
      </w:r>
      <w:r w:rsidR="00F44E66">
        <w:rPr>
          <w:rFonts w:ascii="Calibri" w:hAnsi="Calibri"/>
        </w:rPr>
        <w:t>3</w:t>
      </w:r>
      <w:r w:rsidRPr="00612C28">
        <w:rPr>
          <w:rFonts w:ascii="Calibri" w:hAnsi="Calibri"/>
        </w:rPr>
        <w:tab/>
        <w:t xml:space="preserve">The OPCC </w:t>
      </w:r>
      <w:r w:rsidR="003655E2">
        <w:rPr>
          <w:rFonts w:ascii="Calibri" w:hAnsi="Calibri"/>
        </w:rPr>
        <w:t>adapted its working practices,</w:t>
      </w:r>
      <w:r w:rsidRPr="00612C28">
        <w:rPr>
          <w:rFonts w:ascii="Calibri" w:hAnsi="Calibri"/>
        </w:rPr>
        <w:t xml:space="preserve"> using electronic means of communication rather than face to face meetings</w:t>
      </w:r>
      <w:r w:rsidR="003655E2">
        <w:rPr>
          <w:rFonts w:ascii="Calibri" w:hAnsi="Calibri"/>
        </w:rPr>
        <w:t xml:space="preserve"> to </w:t>
      </w:r>
      <w:r w:rsidR="003655E2" w:rsidRPr="00612C28">
        <w:rPr>
          <w:rFonts w:ascii="Calibri" w:hAnsi="Calibri"/>
        </w:rPr>
        <w:t>scrutinise the Force</w:t>
      </w:r>
      <w:r w:rsidR="003655E2">
        <w:rPr>
          <w:rFonts w:ascii="Calibri" w:hAnsi="Calibri"/>
        </w:rPr>
        <w:t xml:space="preserve"> or ensuring appropriate social distancing measures in place</w:t>
      </w:r>
      <w:r w:rsidRPr="00612C28">
        <w:rPr>
          <w:rFonts w:ascii="Calibri" w:hAnsi="Calibri"/>
        </w:rPr>
        <w:t xml:space="preserve">. The PCC held Performance Meetings </w:t>
      </w:r>
      <w:r w:rsidR="003655E2">
        <w:rPr>
          <w:rFonts w:ascii="Calibri" w:hAnsi="Calibri"/>
        </w:rPr>
        <w:t xml:space="preserve">throughout the year </w:t>
      </w:r>
      <w:r w:rsidRPr="00612C28">
        <w:rPr>
          <w:rFonts w:ascii="Calibri" w:hAnsi="Calibri"/>
        </w:rPr>
        <w:t xml:space="preserve">with the Force remotely to ensure that the Chief Constable </w:t>
      </w:r>
      <w:r w:rsidR="003655E2">
        <w:rPr>
          <w:rFonts w:ascii="Calibri" w:hAnsi="Calibri"/>
        </w:rPr>
        <w:t>wa</w:t>
      </w:r>
      <w:r w:rsidRPr="00612C28">
        <w:rPr>
          <w:rFonts w:ascii="Calibri" w:hAnsi="Calibri"/>
        </w:rPr>
        <w:t xml:space="preserve">s still held to account. Remote meetings of the Joint Audit Committee and the Police and Crime Panel </w:t>
      </w:r>
      <w:r w:rsidR="003655E2">
        <w:rPr>
          <w:rFonts w:ascii="Calibri" w:hAnsi="Calibri"/>
        </w:rPr>
        <w:t>we</w:t>
      </w:r>
      <w:r w:rsidRPr="00612C28">
        <w:rPr>
          <w:rFonts w:ascii="Calibri" w:hAnsi="Calibri"/>
        </w:rPr>
        <w:t xml:space="preserve">re also scheduled to take place as usual. The Internal Audit plan for 2020/21 </w:t>
      </w:r>
      <w:r w:rsidR="003655E2">
        <w:rPr>
          <w:rFonts w:ascii="Calibri" w:hAnsi="Calibri"/>
        </w:rPr>
        <w:t>w</w:t>
      </w:r>
      <w:r w:rsidRPr="00612C28">
        <w:rPr>
          <w:rFonts w:ascii="Calibri" w:hAnsi="Calibri"/>
        </w:rPr>
        <w:t>as re-ordered to enable audits which c</w:t>
      </w:r>
      <w:r w:rsidR="003655E2">
        <w:rPr>
          <w:rFonts w:ascii="Calibri" w:hAnsi="Calibri"/>
        </w:rPr>
        <w:t>ould</w:t>
      </w:r>
      <w:r w:rsidRPr="00612C28">
        <w:rPr>
          <w:rFonts w:ascii="Calibri" w:hAnsi="Calibri"/>
        </w:rPr>
        <w:t xml:space="preserve"> be done remotely to be completed first. This </w:t>
      </w:r>
      <w:r w:rsidR="003655E2">
        <w:rPr>
          <w:rFonts w:ascii="Calibri" w:hAnsi="Calibri"/>
        </w:rPr>
        <w:t>wa</w:t>
      </w:r>
      <w:r w:rsidRPr="00612C28">
        <w:rPr>
          <w:rFonts w:ascii="Calibri" w:hAnsi="Calibri"/>
        </w:rPr>
        <w:t xml:space="preserve">s to ensure that any slippage in the overall timetable </w:t>
      </w:r>
      <w:r w:rsidR="003655E2">
        <w:rPr>
          <w:rFonts w:ascii="Calibri" w:hAnsi="Calibri"/>
        </w:rPr>
        <w:t>wa</w:t>
      </w:r>
      <w:r w:rsidRPr="00612C28">
        <w:rPr>
          <w:rFonts w:ascii="Calibri" w:hAnsi="Calibri"/>
        </w:rPr>
        <w:t xml:space="preserve">s minimised. The PCC </w:t>
      </w:r>
      <w:r w:rsidR="003655E2">
        <w:rPr>
          <w:rFonts w:ascii="Calibri" w:hAnsi="Calibri"/>
        </w:rPr>
        <w:t xml:space="preserve">in place at the time (David Munro) </w:t>
      </w:r>
      <w:r w:rsidRPr="00612C28">
        <w:rPr>
          <w:rFonts w:ascii="Calibri" w:hAnsi="Calibri"/>
        </w:rPr>
        <w:t xml:space="preserve">invited voluntary bodies to apply for special Covid-19 grants to support their work within the Community, especially in areas of Domestic and Child abuse, </w:t>
      </w:r>
      <w:r w:rsidR="003655E2">
        <w:rPr>
          <w:rFonts w:ascii="Calibri" w:hAnsi="Calibri"/>
        </w:rPr>
        <w:t xml:space="preserve">with </w:t>
      </w:r>
      <w:r w:rsidRPr="00612C28">
        <w:rPr>
          <w:rFonts w:ascii="Calibri" w:hAnsi="Calibri"/>
        </w:rPr>
        <w:t xml:space="preserve">£250,000 </w:t>
      </w:r>
      <w:r w:rsidR="003655E2">
        <w:rPr>
          <w:rFonts w:ascii="Calibri" w:hAnsi="Calibri"/>
        </w:rPr>
        <w:t>being</w:t>
      </w:r>
      <w:r w:rsidRPr="00612C28">
        <w:rPr>
          <w:rFonts w:ascii="Calibri" w:hAnsi="Calibri"/>
        </w:rPr>
        <w:t xml:space="preserve"> awarded.</w:t>
      </w:r>
    </w:p>
    <w:p w14:paraId="49739680" w14:textId="72617E18" w:rsidR="00F44E66" w:rsidRDefault="00F44E66" w:rsidP="00612C28">
      <w:pPr>
        <w:suppressAutoHyphens/>
        <w:autoSpaceDE w:val="0"/>
        <w:ind w:left="720" w:hanging="720"/>
        <w:jc w:val="both"/>
        <w:rPr>
          <w:rFonts w:ascii="Calibri" w:hAnsi="Calibri"/>
        </w:rPr>
      </w:pPr>
    </w:p>
    <w:p w14:paraId="212F5781" w14:textId="3ED5D272" w:rsidR="00F44E66" w:rsidRPr="00612C28" w:rsidRDefault="00F44E66" w:rsidP="00612C28">
      <w:pPr>
        <w:suppressAutoHyphens/>
        <w:autoSpaceDE w:val="0"/>
        <w:ind w:left="720" w:hanging="720"/>
        <w:jc w:val="both"/>
        <w:rPr>
          <w:rFonts w:ascii="Calibri" w:hAnsi="Calibri"/>
        </w:rPr>
      </w:pPr>
      <w:r>
        <w:rPr>
          <w:rFonts w:ascii="Calibri" w:hAnsi="Calibri"/>
        </w:rPr>
        <w:t>6.4</w:t>
      </w:r>
      <w:r>
        <w:rPr>
          <w:rFonts w:ascii="Calibri" w:hAnsi="Calibri"/>
        </w:rPr>
        <w:tab/>
        <w:t>With the easing of restrictions, later in the year, the office will be reopened and staff attend when necessary, with guidance being provided by the OPCC and Force for all areas of the police estates. It is anticipated that agile working will continue.</w:t>
      </w:r>
    </w:p>
    <w:p w14:paraId="4E254856" w14:textId="77777777" w:rsidR="00612C28" w:rsidRPr="003516A4" w:rsidRDefault="00612C28" w:rsidP="00612C28">
      <w:pPr>
        <w:suppressAutoHyphens/>
        <w:autoSpaceDE w:val="0"/>
        <w:jc w:val="both"/>
        <w:rPr>
          <w:rFonts w:ascii="Calibri" w:hAnsi="Calibri"/>
          <w:highlight w:val="yellow"/>
        </w:rPr>
      </w:pPr>
    </w:p>
    <w:p w14:paraId="768F28A2" w14:textId="77777777" w:rsidR="00763097" w:rsidRPr="002B67FD" w:rsidRDefault="00763097" w:rsidP="00763097">
      <w:pPr>
        <w:autoSpaceDE w:val="0"/>
        <w:ind w:left="720"/>
        <w:jc w:val="both"/>
        <w:rPr>
          <w:rFonts w:ascii="Calibri" w:hAnsi="Calibri"/>
        </w:rPr>
      </w:pPr>
    </w:p>
    <w:p w14:paraId="6D16D845" w14:textId="77777777" w:rsidR="00763097" w:rsidRPr="002B67FD" w:rsidRDefault="00763097" w:rsidP="00763097">
      <w:pPr>
        <w:shd w:val="clear" w:color="auto" w:fill="0070C0"/>
        <w:jc w:val="both"/>
        <w:rPr>
          <w:rFonts w:ascii="Calibri" w:hAnsi="Calibri"/>
          <w:b/>
          <w:color w:val="FFFFFF"/>
        </w:rPr>
      </w:pPr>
      <w:r w:rsidRPr="002B67FD">
        <w:rPr>
          <w:rFonts w:ascii="Calibri" w:hAnsi="Calibri"/>
          <w:b/>
          <w:color w:val="FFFFFF"/>
        </w:rPr>
        <w:t>7</w:t>
      </w:r>
      <w:r w:rsidRPr="002B67FD">
        <w:rPr>
          <w:rFonts w:ascii="Calibri" w:hAnsi="Calibri"/>
          <w:b/>
          <w:color w:val="FFFFFF"/>
        </w:rPr>
        <w:tab/>
        <w:t>Compliance with CIPFA’s Statement on the Role of the Chief Financial Officer (CFO)</w:t>
      </w:r>
    </w:p>
    <w:p w14:paraId="2073AE01" w14:textId="77777777" w:rsidR="00763097" w:rsidRPr="002B67FD" w:rsidRDefault="00763097" w:rsidP="00763097">
      <w:pPr>
        <w:jc w:val="both"/>
      </w:pPr>
    </w:p>
    <w:p w14:paraId="10E7153D" w14:textId="77777777" w:rsidR="00763097" w:rsidRPr="00742226" w:rsidRDefault="00763097" w:rsidP="00763097">
      <w:pPr>
        <w:ind w:left="709" w:hanging="709"/>
        <w:jc w:val="both"/>
        <w:rPr>
          <w:rFonts w:ascii="Calibri" w:hAnsi="Calibri"/>
          <w:bCs/>
        </w:rPr>
      </w:pPr>
      <w:r w:rsidRPr="00742226">
        <w:rPr>
          <w:rFonts w:ascii="Calibri" w:hAnsi="Calibri"/>
          <w:bCs/>
        </w:rPr>
        <w:t>7.1</w:t>
      </w:r>
      <w:r w:rsidRPr="00742226">
        <w:rPr>
          <w:rFonts w:ascii="Calibri" w:hAnsi="Calibri"/>
          <w:bCs/>
        </w:rPr>
        <w:tab/>
        <w:t>The PCC and Chief Constable must both have a suitably qualified CFO with defined responsibilities and powers. The CIPFA Statement requires that the CFO should be a professionally qualified accountant, report directly to the PCC or the Chief Constable (depending on the specific CFO concerned) and be a member of their respective leadership teams. In the OPCC, the role of the CFO meets these requirements. In Surrey Police, the CFO holds the title of Executive Director of Commercial and Financial Services and is a key member of the Chief Constable’s leadership team. The CFO has direct access to the Chief Constable on financial matters</w:t>
      </w:r>
      <w:r w:rsidR="00F969F8" w:rsidRPr="00742226">
        <w:rPr>
          <w:rFonts w:ascii="Calibri" w:hAnsi="Calibri"/>
          <w:bCs/>
        </w:rPr>
        <w:t xml:space="preserve"> as the CFO</w:t>
      </w:r>
      <w:r w:rsidRPr="00742226">
        <w:rPr>
          <w:rFonts w:ascii="Calibri" w:hAnsi="Calibri"/>
          <w:bCs/>
        </w:rPr>
        <w:t xml:space="preserve"> reports</w:t>
      </w:r>
      <w:r w:rsidR="00F969F8" w:rsidRPr="00742226">
        <w:rPr>
          <w:rFonts w:ascii="Calibri" w:hAnsi="Calibri"/>
          <w:bCs/>
        </w:rPr>
        <w:t xml:space="preserve"> directly</w:t>
      </w:r>
      <w:r w:rsidRPr="00742226">
        <w:rPr>
          <w:rFonts w:ascii="Calibri" w:hAnsi="Calibri"/>
          <w:bCs/>
        </w:rPr>
        <w:t xml:space="preserve"> to the Chief Constable. </w:t>
      </w:r>
    </w:p>
    <w:p w14:paraId="0C267378" w14:textId="77777777" w:rsidR="00360A13" w:rsidRPr="002B67FD" w:rsidRDefault="00360A13" w:rsidP="00360A13">
      <w:pPr>
        <w:autoSpaceDE w:val="0"/>
        <w:jc w:val="both"/>
        <w:rPr>
          <w:rFonts w:ascii="Calibri" w:hAnsi="Calibri"/>
        </w:rPr>
      </w:pPr>
    </w:p>
    <w:p w14:paraId="3A287FD0" w14:textId="77777777" w:rsidR="00360A13" w:rsidRPr="002B67FD" w:rsidRDefault="00360A13" w:rsidP="00360A13">
      <w:pPr>
        <w:shd w:val="clear" w:color="auto" w:fill="0070C0"/>
        <w:jc w:val="both"/>
        <w:rPr>
          <w:rFonts w:ascii="Calibri" w:hAnsi="Calibri"/>
          <w:b/>
          <w:color w:val="FFFFFF"/>
        </w:rPr>
      </w:pPr>
      <w:r w:rsidRPr="002B67FD">
        <w:rPr>
          <w:rFonts w:ascii="Calibri" w:hAnsi="Calibri"/>
          <w:b/>
          <w:color w:val="FFFFFF"/>
        </w:rPr>
        <w:t>8</w:t>
      </w:r>
      <w:r w:rsidRPr="002B67FD">
        <w:rPr>
          <w:rFonts w:ascii="Calibri" w:hAnsi="Calibri"/>
          <w:b/>
          <w:color w:val="FFFFFF"/>
        </w:rPr>
        <w:tab/>
        <w:t>Governance Issues</w:t>
      </w:r>
    </w:p>
    <w:p w14:paraId="3EBC1166" w14:textId="77777777" w:rsidR="00360A13" w:rsidRPr="002B67FD" w:rsidRDefault="00360A13" w:rsidP="00360A13">
      <w:pPr>
        <w:jc w:val="both"/>
      </w:pPr>
    </w:p>
    <w:p w14:paraId="4FF450CB" w14:textId="7F658D09" w:rsidR="00360A13" w:rsidRPr="002B2668" w:rsidRDefault="00360A13" w:rsidP="00360A13">
      <w:pPr>
        <w:ind w:left="709" w:hanging="709"/>
        <w:jc w:val="both"/>
        <w:rPr>
          <w:rFonts w:ascii="Calibri" w:hAnsi="Calibri"/>
          <w:bCs/>
        </w:rPr>
      </w:pPr>
      <w:r w:rsidRPr="002B2668">
        <w:rPr>
          <w:rFonts w:ascii="Calibri" w:hAnsi="Calibri"/>
          <w:bCs/>
        </w:rPr>
        <w:t>8.1</w:t>
      </w:r>
      <w:r w:rsidRPr="002B2668">
        <w:rPr>
          <w:rFonts w:ascii="Calibri" w:hAnsi="Calibri"/>
          <w:bCs/>
        </w:rPr>
        <w:tab/>
      </w:r>
      <w:r w:rsidRPr="002B2668">
        <w:rPr>
          <w:rFonts w:ascii="Calibri" w:hAnsi="Calibri"/>
        </w:rPr>
        <w:t xml:space="preserve">No significant concerns were raised during the internal review of the effectiveness of governance arrangements however, </w:t>
      </w:r>
      <w:r w:rsidRPr="002B2668">
        <w:rPr>
          <w:rFonts w:ascii="Calibri" w:hAnsi="Calibri"/>
          <w:bCs/>
        </w:rPr>
        <w:t xml:space="preserve">a number of areas for improvement were identified. These improvements, to further enhance the </w:t>
      </w:r>
      <w:r w:rsidR="002B2668" w:rsidRPr="002B2668">
        <w:rPr>
          <w:rFonts w:ascii="Calibri" w:hAnsi="Calibri"/>
          <w:bCs/>
        </w:rPr>
        <w:t>PCC’s</w:t>
      </w:r>
      <w:r w:rsidRPr="002B2668">
        <w:rPr>
          <w:rFonts w:ascii="Calibri" w:hAnsi="Calibri"/>
          <w:bCs/>
        </w:rPr>
        <w:t xml:space="preserve"> governance arrangements, are detailed in Appendix A together with any on-going areas for improvement continued from the action plan included in the 201</w:t>
      </w:r>
      <w:r w:rsidR="002B2668" w:rsidRPr="002B2668">
        <w:rPr>
          <w:rFonts w:ascii="Calibri" w:hAnsi="Calibri"/>
          <w:bCs/>
        </w:rPr>
        <w:t>9</w:t>
      </w:r>
      <w:r w:rsidRPr="002B2668">
        <w:rPr>
          <w:rFonts w:ascii="Calibri" w:hAnsi="Calibri"/>
          <w:bCs/>
        </w:rPr>
        <w:t>-</w:t>
      </w:r>
      <w:r w:rsidR="002B2668" w:rsidRPr="002B2668">
        <w:rPr>
          <w:rFonts w:ascii="Calibri" w:hAnsi="Calibri"/>
          <w:bCs/>
        </w:rPr>
        <w:t>20</w:t>
      </w:r>
      <w:r w:rsidRPr="002B2668">
        <w:rPr>
          <w:rFonts w:ascii="Calibri" w:hAnsi="Calibri"/>
          <w:bCs/>
        </w:rPr>
        <w:t xml:space="preserve"> </w:t>
      </w:r>
      <w:r w:rsidRPr="002B2668">
        <w:rPr>
          <w:rFonts w:ascii="Calibri" w:hAnsi="Calibri"/>
        </w:rPr>
        <w:t>annual governance statement</w:t>
      </w:r>
      <w:r w:rsidRPr="002B2668">
        <w:rPr>
          <w:rFonts w:ascii="Calibri" w:hAnsi="Calibri"/>
          <w:bCs/>
        </w:rPr>
        <w:t>. The actions to achieve these improvements will be monitored through the Force Organisational Reassurance Board and reported to the Joint Audit Committee.</w:t>
      </w:r>
    </w:p>
    <w:p w14:paraId="6ACC544F" w14:textId="77777777" w:rsidR="00360A13" w:rsidRPr="002B2668" w:rsidRDefault="00360A13" w:rsidP="00360A13">
      <w:pPr>
        <w:ind w:left="709" w:hanging="709"/>
        <w:jc w:val="both"/>
        <w:rPr>
          <w:rFonts w:ascii="Calibri" w:hAnsi="Calibri"/>
          <w:bCs/>
        </w:rPr>
      </w:pPr>
    </w:p>
    <w:p w14:paraId="3BCB4F5D" w14:textId="77777777" w:rsidR="00230B18" w:rsidRPr="002B2668" w:rsidRDefault="00230B18" w:rsidP="00360A13">
      <w:pPr>
        <w:ind w:left="709" w:hanging="709"/>
        <w:jc w:val="both"/>
        <w:rPr>
          <w:rFonts w:ascii="Calibri" w:hAnsi="Calibri"/>
          <w:b/>
          <w:bCs/>
        </w:rPr>
      </w:pPr>
      <w:r w:rsidRPr="002B2668">
        <w:rPr>
          <w:rFonts w:ascii="Calibri" w:hAnsi="Calibri"/>
          <w:bCs/>
        </w:rPr>
        <w:tab/>
      </w:r>
      <w:r w:rsidRPr="002B2668">
        <w:rPr>
          <w:rFonts w:ascii="Calibri" w:hAnsi="Calibri"/>
          <w:b/>
          <w:bCs/>
        </w:rPr>
        <w:t xml:space="preserve">Internal Audit </w:t>
      </w:r>
    </w:p>
    <w:p w14:paraId="01B07596" w14:textId="77777777" w:rsidR="00230B18" w:rsidRPr="002B2668" w:rsidRDefault="00230B18" w:rsidP="00360A13">
      <w:pPr>
        <w:ind w:left="709" w:hanging="709"/>
        <w:jc w:val="both"/>
        <w:rPr>
          <w:rFonts w:ascii="Calibri" w:hAnsi="Calibri"/>
          <w:b/>
          <w:bCs/>
        </w:rPr>
      </w:pPr>
    </w:p>
    <w:p w14:paraId="699BA3F4" w14:textId="77777777" w:rsidR="00360A13" w:rsidRPr="002B2668" w:rsidRDefault="00360A13" w:rsidP="00360A13">
      <w:pPr>
        <w:ind w:left="709" w:hanging="709"/>
        <w:jc w:val="both"/>
        <w:rPr>
          <w:rFonts w:ascii="Calibri" w:hAnsi="Calibri"/>
          <w:lang w:eastAsia="en-GB"/>
        </w:rPr>
      </w:pPr>
      <w:r w:rsidRPr="002B2668">
        <w:rPr>
          <w:rFonts w:ascii="Calibri" w:hAnsi="Calibri"/>
          <w:bCs/>
        </w:rPr>
        <w:t>8.2</w:t>
      </w:r>
      <w:r w:rsidRPr="002B2668">
        <w:rPr>
          <w:rFonts w:ascii="Calibri" w:hAnsi="Calibri"/>
          <w:bCs/>
        </w:rPr>
        <w:tab/>
      </w:r>
      <w:r w:rsidRPr="002B2668">
        <w:rPr>
          <w:rFonts w:ascii="Calibri" w:hAnsi="Calibri"/>
          <w:lang w:eastAsia="en-GB"/>
        </w:rPr>
        <w:t xml:space="preserve">The internal audit function is carried out by Southern Internal Audit Partnership for both the PCC and the Chief Constable. Audit reviews are undertaken in line with an annual internal audit plan, which is recommended by the Joint Audit Committee. </w:t>
      </w:r>
    </w:p>
    <w:p w14:paraId="12EDA4C8" w14:textId="77777777" w:rsidR="00360A13" w:rsidRPr="002B2668" w:rsidRDefault="00360A13" w:rsidP="00360A13">
      <w:pPr>
        <w:ind w:left="709" w:hanging="709"/>
        <w:jc w:val="both"/>
        <w:rPr>
          <w:rFonts w:ascii="Calibri" w:hAnsi="Calibri"/>
          <w:lang w:eastAsia="en-GB"/>
        </w:rPr>
      </w:pPr>
    </w:p>
    <w:p w14:paraId="41D74EAB" w14:textId="4361E219" w:rsidR="00360A13" w:rsidRPr="003516A4" w:rsidRDefault="00360A13" w:rsidP="00360A13">
      <w:pPr>
        <w:ind w:left="709" w:hanging="709"/>
        <w:jc w:val="both"/>
        <w:rPr>
          <w:rFonts w:ascii="Calibri" w:hAnsi="Calibri"/>
          <w:highlight w:val="yellow"/>
          <w:lang w:eastAsia="en-GB"/>
        </w:rPr>
      </w:pPr>
      <w:r w:rsidRPr="00DF330C">
        <w:rPr>
          <w:rFonts w:ascii="Calibri" w:hAnsi="Calibri"/>
          <w:lang w:eastAsia="en-GB"/>
        </w:rPr>
        <w:t>8.3</w:t>
      </w:r>
      <w:r w:rsidRPr="00DF330C">
        <w:rPr>
          <w:rFonts w:ascii="Calibri" w:hAnsi="Calibri"/>
          <w:lang w:eastAsia="en-GB"/>
        </w:rPr>
        <w:tab/>
        <w:t>The overall Annual Internal Audit Opinion for 20</w:t>
      </w:r>
      <w:r w:rsidR="002B2668" w:rsidRPr="00DF330C">
        <w:rPr>
          <w:rFonts w:ascii="Calibri" w:hAnsi="Calibri"/>
          <w:lang w:eastAsia="en-GB"/>
        </w:rPr>
        <w:t>20</w:t>
      </w:r>
      <w:r w:rsidRPr="00DF330C">
        <w:rPr>
          <w:rFonts w:ascii="Calibri" w:hAnsi="Calibri"/>
          <w:lang w:eastAsia="en-GB"/>
        </w:rPr>
        <w:t>-2</w:t>
      </w:r>
      <w:r w:rsidR="002B2668" w:rsidRPr="00DF330C">
        <w:rPr>
          <w:rFonts w:ascii="Calibri" w:hAnsi="Calibri"/>
          <w:lang w:eastAsia="en-GB"/>
        </w:rPr>
        <w:t>1</w:t>
      </w:r>
      <w:r w:rsidRPr="00DF330C">
        <w:rPr>
          <w:rFonts w:ascii="Calibri" w:hAnsi="Calibri"/>
          <w:lang w:eastAsia="en-GB"/>
        </w:rPr>
        <w:t xml:space="preserve"> from the Ch</w:t>
      </w:r>
      <w:r w:rsidR="00DF330C" w:rsidRPr="00DF330C">
        <w:rPr>
          <w:rFonts w:ascii="Calibri" w:hAnsi="Calibri"/>
          <w:lang w:eastAsia="en-GB"/>
        </w:rPr>
        <w:t>ief Internal Auditor of SIAP</w:t>
      </w:r>
      <w:r w:rsidR="003B3298">
        <w:rPr>
          <w:rFonts w:ascii="Calibri" w:hAnsi="Calibri"/>
          <w:lang w:eastAsia="en-GB"/>
        </w:rPr>
        <w:t xml:space="preserve"> was “reasonable.</w:t>
      </w:r>
      <w:r w:rsidR="00DF330C" w:rsidRPr="00DF330C">
        <w:rPr>
          <w:rFonts w:ascii="Calibri" w:hAnsi="Calibri"/>
          <w:lang w:eastAsia="en-GB"/>
        </w:rPr>
        <w:t xml:space="preserve"> </w:t>
      </w:r>
    </w:p>
    <w:p w14:paraId="7BF1D0EE" w14:textId="77777777" w:rsidR="00360A13" w:rsidRPr="00630E06" w:rsidRDefault="00360A13" w:rsidP="00360A13">
      <w:pPr>
        <w:ind w:left="709" w:hanging="709"/>
        <w:jc w:val="both"/>
        <w:rPr>
          <w:rFonts w:ascii="Calibri" w:hAnsi="Calibri"/>
          <w:lang w:eastAsia="en-GB"/>
        </w:rPr>
      </w:pPr>
    </w:p>
    <w:p w14:paraId="187D78DA" w14:textId="464C3442" w:rsidR="006673FE" w:rsidRDefault="00360A13" w:rsidP="00C56BFC">
      <w:pPr>
        <w:ind w:left="709" w:hanging="709"/>
        <w:jc w:val="both"/>
        <w:rPr>
          <w:rFonts w:ascii="Calibri" w:hAnsi="Calibri"/>
        </w:rPr>
      </w:pPr>
      <w:r w:rsidRPr="00630E06">
        <w:rPr>
          <w:rFonts w:ascii="Calibri" w:hAnsi="Calibri"/>
          <w:lang w:eastAsia="en-GB"/>
        </w:rPr>
        <w:t>8.4</w:t>
      </w:r>
      <w:r w:rsidRPr="00630E06">
        <w:rPr>
          <w:rFonts w:ascii="Calibri" w:hAnsi="Calibri"/>
          <w:lang w:eastAsia="en-GB"/>
        </w:rPr>
        <w:tab/>
      </w:r>
      <w:r w:rsidRPr="00630E06">
        <w:rPr>
          <w:rFonts w:ascii="Calibri" w:hAnsi="Calibri"/>
        </w:rPr>
        <w:t>In 20</w:t>
      </w:r>
      <w:r w:rsidR="00DF330C" w:rsidRPr="00630E06">
        <w:rPr>
          <w:rFonts w:ascii="Calibri" w:hAnsi="Calibri"/>
        </w:rPr>
        <w:t>20</w:t>
      </w:r>
      <w:r w:rsidRPr="00630E06">
        <w:rPr>
          <w:rFonts w:ascii="Calibri" w:hAnsi="Calibri"/>
        </w:rPr>
        <w:t>-2</w:t>
      </w:r>
      <w:r w:rsidR="00DF330C" w:rsidRPr="00630E06">
        <w:rPr>
          <w:rFonts w:ascii="Calibri" w:hAnsi="Calibri"/>
        </w:rPr>
        <w:t>1</w:t>
      </w:r>
      <w:r w:rsidRPr="00630E06">
        <w:rPr>
          <w:rFonts w:ascii="Calibri" w:hAnsi="Calibri"/>
        </w:rPr>
        <w:t xml:space="preserve"> no Internal Audit reviews gave </w:t>
      </w:r>
      <w:r w:rsidR="006673FE">
        <w:rPr>
          <w:rFonts w:ascii="Calibri" w:hAnsi="Calibri"/>
        </w:rPr>
        <w:t xml:space="preserve">an opinion of no assurance </w:t>
      </w:r>
      <w:r w:rsidR="00DF330C" w:rsidRPr="00630E06">
        <w:rPr>
          <w:rFonts w:ascii="Calibri" w:hAnsi="Calibri"/>
        </w:rPr>
        <w:t>of the governance framework</w:t>
      </w:r>
      <w:r w:rsidR="00630E06" w:rsidRPr="00630E06">
        <w:rPr>
          <w:rFonts w:ascii="Calibri" w:hAnsi="Calibri"/>
        </w:rPr>
        <w:t>.</w:t>
      </w:r>
      <w:r w:rsidR="00C56BFC" w:rsidRPr="00630E06">
        <w:rPr>
          <w:rFonts w:ascii="Calibri" w:hAnsi="Calibri"/>
        </w:rPr>
        <w:t xml:space="preserve"> </w:t>
      </w:r>
    </w:p>
    <w:p w14:paraId="1C1E05BC" w14:textId="77777777" w:rsidR="006673FE" w:rsidRDefault="006673FE" w:rsidP="00C56BFC">
      <w:pPr>
        <w:ind w:left="709" w:hanging="709"/>
        <w:jc w:val="both"/>
        <w:rPr>
          <w:rFonts w:ascii="Calibri" w:hAnsi="Calibri"/>
        </w:rPr>
      </w:pPr>
    </w:p>
    <w:p w14:paraId="06E9405D" w14:textId="392732A9" w:rsidR="00360A13" w:rsidRPr="00630E06" w:rsidRDefault="006673FE" w:rsidP="00C56BFC">
      <w:pPr>
        <w:ind w:left="709" w:hanging="709"/>
        <w:jc w:val="both"/>
        <w:rPr>
          <w:rFonts w:ascii="Calibri" w:hAnsi="Calibri"/>
        </w:rPr>
      </w:pPr>
      <w:r>
        <w:rPr>
          <w:rFonts w:ascii="Calibri" w:hAnsi="Calibri"/>
        </w:rPr>
        <w:t>8.5</w:t>
      </w:r>
      <w:r>
        <w:rPr>
          <w:rFonts w:ascii="Calibri" w:hAnsi="Calibri"/>
        </w:rPr>
        <w:tab/>
        <w:t>Internal Audit reviews resulting</w:t>
      </w:r>
      <w:r w:rsidR="00360A13" w:rsidRPr="00630E06">
        <w:rPr>
          <w:rFonts w:ascii="Calibri" w:hAnsi="Calibri"/>
        </w:rPr>
        <w:t xml:space="preserve"> in substantial assurance opinions</w:t>
      </w:r>
      <w:r>
        <w:rPr>
          <w:rFonts w:ascii="Calibri" w:hAnsi="Calibri"/>
        </w:rPr>
        <w:t xml:space="preserve"> during the year</w:t>
      </w:r>
      <w:r w:rsidR="00360A13" w:rsidRPr="00630E06">
        <w:rPr>
          <w:rFonts w:ascii="Calibri" w:hAnsi="Calibri"/>
        </w:rPr>
        <w:t xml:space="preserve"> </w:t>
      </w:r>
      <w:r w:rsidR="00630E06" w:rsidRPr="00630E06">
        <w:rPr>
          <w:rFonts w:ascii="Calibri" w:hAnsi="Calibri"/>
        </w:rPr>
        <w:t>are</w:t>
      </w:r>
      <w:r w:rsidR="00DF330C" w:rsidRPr="00630E06">
        <w:rPr>
          <w:rFonts w:ascii="Calibri" w:hAnsi="Calibri"/>
        </w:rPr>
        <w:t xml:space="preserve"> detailed below</w:t>
      </w:r>
      <w:r w:rsidR="00360A13" w:rsidRPr="00630E06">
        <w:rPr>
          <w:rFonts w:ascii="Calibri" w:hAnsi="Calibri"/>
        </w:rPr>
        <w:t xml:space="preserve">.  </w:t>
      </w:r>
    </w:p>
    <w:p w14:paraId="58D8DD9A" w14:textId="09CBD93C" w:rsidR="00DF330C" w:rsidRPr="00630E06" w:rsidRDefault="00C56BFC" w:rsidP="00DF330C">
      <w:pPr>
        <w:pStyle w:val="ListParagraph"/>
        <w:numPr>
          <w:ilvl w:val="0"/>
          <w:numId w:val="10"/>
        </w:numPr>
        <w:jc w:val="both"/>
        <w:rPr>
          <w:rFonts w:ascii="Calibri" w:hAnsi="Calibri"/>
          <w:sz w:val="22"/>
        </w:rPr>
      </w:pPr>
      <w:r w:rsidRPr="00630E06">
        <w:rPr>
          <w:rFonts w:ascii="Calibri" w:hAnsi="Calibri"/>
          <w:sz w:val="22"/>
        </w:rPr>
        <w:t>Data Classification and Data Governance</w:t>
      </w:r>
      <w:r w:rsidR="00630E06">
        <w:rPr>
          <w:rFonts w:ascii="Calibri" w:hAnsi="Calibri"/>
          <w:sz w:val="22"/>
        </w:rPr>
        <w:t xml:space="preserve"> 20/21</w:t>
      </w:r>
      <w:r w:rsidRPr="00630E06">
        <w:rPr>
          <w:rFonts w:ascii="Calibri" w:hAnsi="Calibri"/>
          <w:sz w:val="22"/>
        </w:rPr>
        <w:t xml:space="preserve"> </w:t>
      </w:r>
    </w:p>
    <w:p w14:paraId="27375916" w14:textId="44DDBDEC" w:rsidR="00C56BFC" w:rsidRPr="00630E06" w:rsidRDefault="00C56BFC" w:rsidP="00DF330C">
      <w:pPr>
        <w:pStyle w:val="ListParagraph"/>
        <w:numPr>
          <w:ilvl w:val="0"/>
          <w:numId w:val="10"/>
        </w:numPr>
        <w:jc w:val="both"/>
        <w:rPr>
          <w:rFonts w:ascii="Calibri" w:hAnsi="Calibri"/>
          <w:sz w:val="22"/>
        </w:rPr>
      </w:pPr>
      <w:r w:rsidRPr="00630E06">
        <w:rPr>
          <w:rFonts w:ascii="Calibri" w:hAnsi="Calibri"/>
          <w:sz w:val="22"/>
        </w:rPr>
        <w:t>Imprest</w:t>
      </w:r>
      <w:r w:rsidR="00630E06">
        <w:rPr>
          <w:rFonts w:ascii="Calibri" w:hAnsi="Calibri"/>
          <w:sz w:val="22"/>
        </w:rPr>
        <w:t xml:space="preserve"> 20/21</w:t>
      </w:r>
    </w:p>
    <w:p w14:paraId="32E85CDA" w14:textId="7EE8D26E" w:rsidR="00C56BFC" w:rsidRDefault="00C56BFC" w:rsidP="00DF330C">
      <w:pPr>
        <w:pStyle w:val="ListParagraph"/>
        <w:numPr>
          <w:ilvl w:val="0"/>
          <w:numId w:val="10"/>
        </w:numPr>
        <w:jc w:val="both"/>
        <w:rPr>
          <w:rFonts w:ascii="Calibri" w:hAnsi="Calibri"/>
          <w:sz w:val="22"/>
        </w:rPr>
      </w:pPr>
      <w:r>
        <w:rPr>
          <w:rFonts w:ascii="Calibri" w:hAnsi="Calibri"/>
          <w:sz w:val="22"/>
        </w:rPr>
        <w:t>Independent Custody arrangements</w:t>
      </w:r>
      <w:r w:rsidR="00630E06">
        <w:rPr>
          <w:rFonts w:ascii="Calibri" w:hAnsi="Calibri"/>
          <w:sz w:val="22"/>
        </w:rPr>
        <w:t xml:space="preserve"> 20/21</w:t>
      </w:r>
    </w:p>
    <w:p w14:paraId="3FDD6D41" w14:textId="198E308A" w:rsidR="00C56BFC" w:rsidRPr="00DF330C" w:rsidRDefault="00C56BFC" w:rsidP="00DF330C">
      <w:pPr>
        <w:pStyle w:val="ListParagraph"/>
        <w:numPr>
          <w:ilvl w:val="0"/>
          <w:numId w:val="10"/>
        </w:numPr>
        <w:jc w:val="both"/>
        <w:rPr>
          <w:rFonts w:ascii="Calibri" w:hAnsi="Calibri"/>
          <w:sz w:val="22"/>
        </w:rPr>
      </w:pPr>
      <w:r>
        <w:rPr>
          <w:rFonts w:ascii="Calibri" w:hAnsi="Calibri"/>
          <w:sz w:val="22"/>
        </w:rPr>
        <w:t>Governance of Collaborative Arrangements</w:t>
      </w:r>
      <w:r w:rsidR="00630E06">
        <w:rPr>
          <w:rFonts w:ascii="Calibri" w:hAnsi="Calibri"/>
          <w:sz w:val="22"/>
        </w:rPr>
        <w:t xml:space="preserve"> 20/21</w:t>
      </w:r>
    </w:p>
    <w:p w14:paraId="12BA343D" w14:textId="2FE7EB8D" w:rsidR="00DF330C" w:rsidRPr="00DF330C" w:rsidRDefault="00C56BFC" w:rsidP="00DF330C">
      <w:pPr>
        <w:pStyle w:val="ListParagraph"/>
        <w:numPr>
          <w:ilvl w:val="0"/>
          <w:numId w:val="10"/>
        </w:numPr>
        <w:jc w:val="both"/>
        <w:rPr>
          <w:rFonts w:ascii="Calibri" w:hAnsi="Calibri"/>
          <w:sz w:val="22"/>
        </w:rPr>
      </w:pPr>
      <w:r>
        <w:rPr>
          <w:rFonts w:ascii="Calibri" w:hAnsi="Calibri"/>
          <w:sz w:val="22"/>
        </w:rPr>
        <w:t>Payroll</w:t>
      </w:r>
      <w:r w:rsidR="00630E06">
        <w:rPr>
          <w:rFonts w:ascii="Calibri" w:hAnsi="Calibri"/>
          <w:sz w:val="22"/>
        </w:rPr>
        <w:t xml:space="preserve"> 20/21</w:t>
      </w:r>
    </w:p>
    <w:p w14:paraId="0C72D318" w14:textId="6F44441B" w:rsidR="00DF330C" w:rsidRPr="00DF330C" w:rsidRDefault="00C56BFC" w:rsidP="00DF330C">
      <w:pPr>
        <w:pStyle w:val="ListParagraph"/>
        <w:numPr>
          <w:ilvl w:val="0"/>
          <w:numId w:val="10"/>
        </w:numPr>
        <w:jc w:val="both"/>
        <w:rPr>
          <w:rFonts w:ascii="Calibri" w:hAnsi="Calibri"/>
          <w:sz w:val="22"/>
        </w:rPr>
      </w:pPr>
      <w:r>
        <w:rPr>
          <w:rFonts w:ascii="Calibri" w:hAnsi="Calibri"/>
          <w:sz w:val="22"/>
        </w:rPr>
        <w:t>Accounts Payable</w:t>
      </w:r>
      <w:r w:rsidR="00630E06">
        <w:rPr>
          <w:rFonts w:ascii="Calibri" w:hAnsi="Calibri"/>
          <w:sz w:val="22"/>
        </w:rPr>
        <w:t xml:space="preserve"> 20/21</w:t>
      </w:r>
    </w:p>
    <w:p w14:paraId="5225AEA2" w14:textId="7455E18B" w:rsidR="00DF330C" w:rsidRPr="00630E06" w:rsidRDefault="00C56BFC" w:rsidP="00630E06">
      <w:pPr>
        <w:pStyle w:val="ListParagraph"/>
        <w:numPr>
          <w:ilvl w:val="0"/>
          <w:numId w:val="10"/>
        </w:numPr>
        <w:jc w:val="both"/>
        <w:rPr>
          <w:rFonts w:ascii="Calibri" w:hAnsi="Calibri"/>
          <w:sz w:val="22"/>
        </w:rPr>
      </w:pPr>
      <w:r>
        <w:rPr>
          <w:rFonts w:ascii="Calibri" w:hAnsi="Calibri"/>
          <w:sz w:val="22"/>
        </w:rPr>
        <w:t>Accounts Receivable</w:t>
      </w:r>
      <w:r w:rsidR="00630E06">
        <w:rPr>
          <w:rFonts w:ascii="Calibri" w:hAnsi="Calibri"/>
          <w:sz w:val="22"/>
        </w:rPr>
        <w:t xml:space="preserve"> 20/21</w:t>
      </w:r>
    </w:p>
    <w:p w14:paraId="3D56D3AD" w14:textId="77777777" w:rsidR="00360A13" w:rsidRDefault="00360A13" w:rsidP="00360A13">
      <w:pPr>
        <w:ind w:left="709" w:hanging="709"/>
        <w:jc w:val="both"/>
        <w:rPr>
          <w:rFonts w:ascii="Calibri" w:hAnsi="Calibri"/>
        </w:rPr>
      </w:pPr>
    </w:p>
    <w:p w14:paraId="77A3B455" w14:textId="6669204B" w:rsidR="003B3298" w:rsidRPr="00630E06" w:rsidRDefault="003B3298" w:rsidP="003B3298">
      <w:pPr>
        <w:ind w:left="709" w:hanging="709"/>
        <w:jc w:val="both"/>
        <w:rPr>
          <w:rFonts w:ascii="Calibri" w:hAnsi="Calibri"/>
        </w:rPr>
      </w:pPr>
      <w:r>
        <w:rPr>
          <w:rFonts w:ascii="Calibri" w:hAnsi="Calibri"/>
        </w:rPr>
        <w:t>8.6</w:t>
      </w:r>
      <w:r>
        <w:rPr>
          <w:rFonts w:ascii="Calibri" w:hAnsi="Calibri"/>
        </w:rPr>
        <w:tab/>
        <w:t>Internal Audit reviews resulting</w:t>
      </w:r>
      <w:r w:rsidRPr="00630E06">
        <w:rPr>
          <w:rFonts w:ascii="Calibri" w:hAnsi="Calibri"/>
        </w:rPr>
        <w:t xml:space="preserve"> in </w:t>
      </w:r>
      <w:r w:rsidR="00F65C38">
        <w:rPr>
          <w:rFonts w:ascii="Calibri" w:hAnsi="Calibri"/>
        </w:rPr>
        <w:t>reasonable</w:t>
      </w:r>
      <w:r w:rsidRPr="00630E06">
        <w:rPr>
          <w:rFonts w:ascii="Calibri" w:hAnsi="Calibri"/>
        </w:rPr>
        <w:t xml:space="preserve"> assurance opinions</w:t>
      </w:r>
      <w:r>
        <w:rPr>
          <w:rFonts w:ascii="Calibri" w:hAnsi="Calibri"/>
        </w:rPr>
        <w:t xml:space="preserve"> during the year</w:t>
      </w:r>
      <w:r w:rsidRPr="00630E06">
        <w:rPr>
          <w:rFonts w:ascii="Calibri" w:hAnsi="Calibri"/>
        </w:rPr>
        <w:t xml:space="preserve"> are detailed below.  </w:t>
      </w:r>
    </w:p>
    <w:p w14:paraId="6616763A" w14:textId="0384C906" w:rsidR="00F65C38" w:rsidRDefault="00F65C38" w:rsidP="00F65C38">
      <w:pPr>
        <w:pStyle w:val="ListParagraph"/>
        <w:numPr>
          <w:ilvl w:val="0"/>
          <w:numId w:val="32"/>
        </w:numPr>
        <w:jc w:val="both"/>
        <w:rPr>
          <w:rFonts w:ascii="Calibri" w:hAnsi="Calibri"/>
          <w:sz w:val="22"/>
        </w:rPr>
      </w:pPr>
      <w:r>
        <w:rPr>
          <w:rFonts w:ascii="Calibri" w:hAnsi="Calibri"/>
          <w:sz w:val="22"/>
        </w:rPr>
        <w:t xml:space="preserve">Cyber security – security monitoring (19-20 c/fwd) </w:t>
      </w:r>
    </w:p>
    <w:p w14:paraId="06C27F3E" w14:textId="77777777" w:rsidR="00F65C38" w:rsidRDefault="00F65C38" w:rsidP="00F65C38">
      <w:pPr>
        <w:pStyle w:val="ListParagraph"/>
        <w:numPr>
          <w:ilvl w:val="0"/>
          <w:numId w:val="32"/>
        </w:numPr>
        <w:jc w:val="both"/>
        <w:rPr>
          <w:rFonts w:ascii="Calibri" w:hAnsi="Calibri"/>
        </w:rPr>
      </w:pPr>
      <w:r>
        <w:rPr>
          <w:rFonts w:ascii="Calibri" w:hAnsi="Calibri"/>
          <w:sz w:val="22"/>
        </w:rPr>
        <w:t>Data protection – OPCC</w:t>
      </w:r>
    </w:p>
    <w:p w14:paraId="6E981DC6" w14:textId="77777777" w:rsidR="00F65C38" w:rsidRDefault="00F65C38" w:rsidP="00F65C38">
      <w:pPr>
        <w:pStyle w:val="ListParagraph"/>
        <w:numPr>
          <w:ilvl w:val="0"/>
          <w:numId w:val="32"/>
        </w:numPr>
        <w:jc w:val="both"/>
        <w:rPr>
          <w:rFonts w:ascii="Calibri" w:hAnsi="Calibri"/>
        </w:rPr>
      </w:pPr>
      <w:r>
        <w:rPr>
          <w:rFonts w:ascii="Calibri" w:hAnsi="Calibri"/>
          <w:sz w:val="22"/>
        </w:rPr>
        <w:t>Risk management – OPCC</w:t>
      </w:r>
    </w:p>
    <w:p w14:paraId="5CBB343B" w14:textId="77777777" w:rsidR="00F65C38" w:rsidRDefault="00F65C38" w:rsidP="00F65C38">
      <w:pPr>
        <w:pStyle w:val="ListParagraph"/>
        <w:numPr>
          <w:ilvl w:val="0"/>
          <w:numId w:val="32"/>
        </w:numPr>
        <w:jc w:val="both"/>
        <w:rPr>
          <w:rFonts w:ascii="Calibri" w:hAnsi="Calibri"/>
        </w:rPr>
      </w:pPr>
      <w:r>
        <w:rPr>
          <w:rFonts w:ascii="Calibri" w:hAnsi="Calibri"/>
          <w:sz w:val="22"/>
        </w:rPr>
        <w:t>Main accounting system</w:t>
      </w:r>
    </w:p>
    <w:p w14:paraId="14CFACA7" w14:textId="77777777" w:rsidR="00F65C38" w:rsidRDefault="00F65C38" w:rsidP="00F65C38">
      <w:pPr>
        <w:pStyle w:val="ListParagraph"/>
        <w:numPr>
          <w:ilvl w:val="0"/>
          <w:numId w:val="32"/>
        </w:numPr>
        <w:jc w:val="both"/>
        <w:rPr>
          <w:rFonts w:ascii="Calibri" w:hAnsi="Calibri"/>
        </w:rPr>
      </w:pPr>
      <w:r>
        <w:rPr>
          <w:rFonts w:ascii="Calibri" w:hAnsi="Calibri"/>
          <w:sz w:val="22"/>
        </w:rPr>
        <w:t>Business continuity (joint)</w:t>
      </w:r>
    </w:p>
    <w:p w14:paraId="7E1F47C0" w14:textId="77777777" w:rsidR="00F65C38" w:rsidRDefault="00F65C38" w:rsidP="00F65C38">
      <w:pPr>
        <w:pStyle w:val="ListParagraph"/>
        <w:numPr>
          <w:ilvl w:val="0"/>
          <w:numId w:val="32"/>
        </w:numPr>
        <w:jc w:val="both"/>
        <w:rPr>
          <w:rFonts w:ascii="Calibri" w:hAnsi="Calibri"/>
        </w:rPr>
      </w:pPr>
      <w:r>
        <w:rPr>
          <w:rFonts w:ascii="Calibri" w:hAnsi="Calibri"/>
          <w:sz w:val="22"/>
        </w:rPr>
        <w:t>Pension administration arrangements (joint)</w:t>
      </w:r>
    </w:p>
    <w:p w14:paraId="11107CBA" w14:textId="77777777" w:rsidR="00F65C38" w:rsidRDefault="00F65C38" w:rsidP="00F65C38">
      <w:pPr>
        <w:pStyle w:val="ListParagraph"/>
        <w:numPr>
          <w:ilvl w:val="0"/>
          <w:numId w:val="32"/>
        </w:numPr>
        <w:jc w:val="both"/>
        <w:rPr>
          <w:rFonts w:ascii="Calibri" w:hAnsi="Calibri"/>
        </w:rPr>
      </w:pPr>
      <w:r>
        <w:rPr>
          <w:rFonts w:ascii="Calibri" w:hAnsi="Calibri"/>
          <w:sz w:val="22"/>
        </w:rPr>
        <w:t>Recruitment (joint)</w:t>
      </w:r>
    </w:p>
    <w:p w14:paraId="408D954E" w14:textId="77777777" w:rsidR="00F65C38" w:rsidRDefault="00F65C38" w:rsidP="00F65C38">
      <w:pPr>
        <w:pStyle w:val="ListParagraph"/>
        <w:numPr>
          <w:ilvl w:val="0"/>
          <w:numId w:val="32"/>
        </w:numPr>
        <w:jc w:val="both"/>
        <w:rPr>
          <w:rFonts w:ascii="Calibri" w:hAnsi="Calibri"/>
        </w:rPr>
      </w:pPr>
      <w:r>
        <w:rPr>
          <w:rFonts w:ascii="Calibri" w:hAnsi="Calibri"/>
          <w:sz w:val="22"/>
        </w:rPr>
        <w:t>Procurement (joint)</w:t>
      </w:r>
    </w:p>
    <w:p w14:paraId="12A5B1D9" w14:textId="77777777" w:rsidR="00F65C38" w:rsidRDefault="00F65C38" w:rsidP="00F65C38">
      <w:pPr>
        <w:pStyle w:val="ListParagraph"/>
        <w:numPr>
          <w:ilvl w:val="0"/>
          <w:numId w:val="32"/>
        </w:numPr>
        <w:jc w:val="both"/>
        <w:rPr>
          <w:rFonts w:ascii="Calibri" w:hAnsi="Calibri"/>
        </w:rPr>
      </w:pPr>
      <w:r>
        <w:rPr>
          <w:rFonts w:ascii="Calibri" w:hAnsi="Calibri"/>
          <w:sz w:val="22"/>
        </w:rPr>
        <w:t>Information governance – data sharing agreements (joint)</w:t>
      </w:r>
    </w:p>
    <w:p w14:paraId="79A48382" w14:textId="77777777" w:rsidR="00F65C38" w:rsidRDefault="00F65C38" w:rsidP="00F65C38">
      <w:pPr>
        <w:pStyle w:val="ListParagraph"/>
        <w:numPr>
          <w:ilvl w:val="0"/>
          <w:numId w:val="32"/>
        </w:numPr>
        <w:jc w:val="both"/>
        <w:rPr>
          <w:rFonts w:ascii="Calibri" w:hAnsi="Calibri"/>
        </w:rPr>
      </w:pPr>
      <w:r>
        <w:rPr>
          <w:rFonts w:ascii="Calibri" w:hAnsi="Calibri"/>
          <w:sz w:val="22"/>
        </w:rPr>
        <w:t xml:space="preserve">Security controls (joint) </w:t>
      </w:r>
    </w:p>
    <w:p w14:paraId="73C57CDE" w14:textId="77777777" w:rsidR="00F65C38" w:rsidRPr="008B64FB" w:rsidRDefault="00F65C38" w:rsidP="0041394A">
      <w:pPr>
        <w:pStyle w:val="ListParagraph"/>
        <w:numPr>
          <w:ilvl w:val="0"/>
          <w:numId w:val="32"/>
        </w:numPr>
        <w:jc w:val="both"/>
        <w:rPr>
          <w:rFonts w:ascii="Calibri" w:hAnsi="Calibri"/>
        </w:rPr>
      </w:pPr>
      <w:r>
        <w:rPr>
          <w:rFonts w:ascii="Calibri" w:hAnsi="Calibri"/>
          <w:sz w:val="22"/>
        </w:rPr>
        <w:t>Systems lifecycle support and planning (joint)</w:t>
      </w:r>
    </w:p>
    <w:p w14:paraId="5EEBC0ED" w14:textId="7A544E86" w:rsidR="003B3298" w:rsidRPr="0041394A" w:rsidRDefault="00F65C38" w:rsidP="0041394A">
      <w:pPr>
        <w:pStyle w:val="ListParagraph"/>
        <w:numPr>
          <w:ilvl w:val="0"/>
          <w:numId w:val="32"/>
        </w:numPr>
        <w:jc w:val="both"/>
        <w:rPr>
          <w:rFonts w:ascii="Calibri" w:hAnsi="Calibri"/>
        </w:rPr>
      </w:pPr>
      <w:r w:rsidRPr="0041394A">
        <w:rPr>
          <w:rFonts w:ascii="Calibri" w:hAnsi="Calibri"/>
          <w:sz w:val="22"/>
        </w:rPr>
        <w:t>Monitoring, assurance and compliance (joint)</w:t>
      </w:r>
    </w:p>
    <w:p w14:paraId="155520A3" w14:textId="77777777" w:rsidR="003B3298" w:rsidRPr="0041394A" w:rsidRDefault="003B3298" w:rsidP="00360A13">
      <w:pPr>
        <w:ind w:left="709" w:hanging="709"/>
        <w:jc w:val="both"/>
        <w:rPr>
          <w:rFonts w:ascii="Calibri" w:eastAsia="Times New Roman" w:hAnsi="Calibri" w:cs="Arial"/>
          <w:lang w:val="en-GB" w:eastAsia="en-GB"/>
        </w:rPr>
      </w:pPr>
    </w:p>
    <w:p w14:paraId="47036DE9" w14:textId="747DA9E8" w:rsidR="00360A13" w:rsidRPr="00DF330C" w:rsidRDefault="00360A13" w:rsidP="00360A13">
      <w:pPr>
        <w:ind w:left="709" w:hanging="709"/>
        <w:jc w:val="both"/>
        <w:rPr>
          <w:rFonts w:ascii="Calibri" w:hAnsi="Calibri"/>
        </w:rPr>
      </w:pPr>
      <w:r w:rsidRPr="00DF330C">
        <w:rPr>
          <w:rFonts w:ascii="Calibri" w:hAnsi="Calibri"/>
        </w:rPr>
        <w:t>8.</w:t>
      </w:r>
      <w:r w:rsidR="00A404AC">
        <w:rPr>
          <w:rFonts w:ascii="Calibri" w:hAnsi="Calibri"/>
        </w:rPr>
        <w:t>7</w:t>
      </w:r>
      <w:r w:rsidRPr="00DF330C">
        <w:rPr>
          <w:rFonts w:ascii="Calibri" w:hAnsi="Calibri"/>
        </w:rPr>
        <w:tab/>
        <w:t>In 20</w:t>
      </w:r>
      <w:r w:rsidR="00DF330C" w:rsidRPr="00DF330C">
        <w:rPr>
          <w:rFonts w:ascii="Calibri" w:hAnsi="Calibri"/>
        </w:rPr>
        <w:t>20</w:t>
      </w:r>
      <w:r w:rsidRPr="00DF330C">
        <w:rPr>
          <w:rFonts w:ascii="Calibri" w:hAnsi="Calibri"/>
        </w:rPr>
        <w:t>-2</w:t>
      </w:r>
      <w:r w:rsidR="00DF330C" w:rsidRPr="00DF330C">
        <w:rPr>
          <w:rFonts w:ascii="Calibri" w:hAnsi="Calibri"/>
        </w:rPr>
        <w:t>1</w:t>
      </w:r>
      <w:r w:rsidRPr="00DF330C">
        <w:rPr>
          <w:rFonts w:ascii="Calibri" w:hAnsi="Calibri"/>
        </w:rPr>
        <w:t xml:space="preserve"> the following Internal Audit reports were given an opinion of limited assurance, however the issues raised in these reviews were not considered by SIAP to be significant in the context of the overall governance, risk management and control system:</w:t>
      </w:r>
    </w:p>
    <w:p w14:paraId="6156FA08" w14:textId="6C5985BF" w:rsidR="00630E06" w:rsidRDefault="00630E06" w:rsidP="00EF7B6D">
      <w:pPr>
        <w:pStyle w:val="ListParagraph"/>
        <w:numPr>
          <w:ilvl w:val="0"/>
          <w:numId w:val="10"/>
        </w:numPr>
        <w:jc w:val="both"/>
        <w:rPr>
          <w:rFonts w:ascii="Calibri" w:hAnsi="Calibri"/>
          <w:sz w:val="22"/>
        </w:rPr>
      </w:pPr>
      <w:r>
        <w:rPr>
          <w:rFonts w:ascii="Calibri" w:hAnsi="Calibri"/>
          <w:sz w:val="22"/>
        </w:rPr>
        <w:t>Estates Management 20/21</w:t>
      </w:r>
    </w:p>
    <w:p w14:paraId="4C378CA8" w14:textId="7CED27AA" w:rsidR="00DF330C" w:rsidRPr="00DF330C" w:rsidRDefault="00630E06" w:rsidP="00EF7B6D">
      <w:pPr>
        <w:pStyle w:val="ListParagraph"/>
        <w:numPr>
          <w:ilvl w:val="0"/>
          <w:numId w:val="10"/>
        </w:numPr>
        <w:jc w:val="both"/>
        <w:rPr>
          <w:rFonts w:ascii="Calibri" w:hAnsi="Calibri"/>
          <w:sz w:val="22"/>
        </w:rPr>
      </w:pPr>
      <w:r>
        <w:rPr>
          <w:rFonts w:ascii="Calibri" w:hAnsi="Calibri"/>
          <w:sz w:val="22"/>
        </w:rPr>
        <w:t>Organisational Risk Management Framework 20/21</w:t>
      </w:r>
    </w:p>
    <w:p w14:paraId="4E3C6B8F" w14:textId="13EC12A2" w:rsidR="00DF330C" w:rsidRDefault="00630E06" w:rsidP="00EF7B6D">
      <w:pPr>
        <w:pStyle w:val="ListParagraph"/>
        <w:numPr>
          <w:ilvl w:val="0"/>
          <w:numId w:val="10"/>
        </w:numPr>
        <w:jc w:val="both"/>
        <w:rPr>
          <w:rFonts w:ascii="Calibri" w:hAnsi="Calibri"/>
          <w:sz w:val="22"/>
        </w:rPr>
      </w:pPr>
      <w:r>
        <w:rPr>
          <w:rFonts w:ascii="Calibri" w:hAnsi="Calibri"/>
          <w:sz w:val="22"/>
        </w:rPr>
        <w:t>IT Business Continuity/Di</w:t>
      </w:r>
      <w:r w:rsidRPr="00630E06">
        <w:rPr>
          <w:rFonts w:ascii="Calibri" w:hAnsi="Calibri"/>
          <w:sz w:val="22"/>
        </w:rPr>
        <w:t xml:space="preserve">saster Recovery Planning 19/20 </w:t>
      </w:r>
      <w:r w:rsidR="00806577">
        <w:rPr>
          <w:rFonts w:ascii="Calibri" w:hAnsi="Calibri"/>
          <w:sz w:val="22"/>
        </w:rPr>
        <w:t>(j</w:t>
      </w:r>
      <w:r w:rsidRPr="00630E06">
        <w:rPr>
          <w:rFonts w:ascii="Calibri" w:hAnsi="Calibri"/>
          <w:sz w:val="22"/>
        </w:rPr>
        <w:t>oint</w:t>
      </w:r>
      <w:r w:rsidR="00806577">
        <w:rPr>
          <w:rFonts w:ascii="Calibri" w:hAnsi="Calibri"/>
          <w:sz w:val="22"/>
        </w:rPr>
        <w:t>)</w:t>
      </w:r>
    </w:p>
    <w:p w14:paraId="46EFFBA8" w14:textId="77777777" w:rsidR="00806577" w:rsidRDefault="00806577" w:rsidP="00806577">
      <w:pPr>
        <w:pStyle w:val="ListParagraph"/>
        <w:numPr>
          <w:ilvl w:val="0"/>
          <w:numId w:val="10"/>
        </w:numPr>
        <w:jc w:val="both"/>
        <w:rPr>
          <w:rFonts w:ascii="Calibri" w:hAnsi="Calibri"/>
          <w:sz w:val="22"/>
        </w:rPr>
      </w:pPr>
      <w:r>
        <w:rPr>
          <w:rFonts w:ascii="Calibri" w:hAnsi="Calibri"/>
          <w:sz w:val="22"/>
        </w:rPr>
        <w:t>Cyber security 3</w:t>
      </w:r>
      <w:r w:rsidRPr="004527AB">
        <w:rPr>
          <w:rFonts w:ascii="Calibri" w:hAnsi="Calibri"/>
          <w:sz w:val="22"/>
          <w:vertAlign w:val="superscript"/>
        </w:rPr>
        <w:t>rd</w:t>
      </w:r>
      <w:r>
        <w:rPr>
          <w:rFonts w:ascii="Calibri" w:hAnsi="Calibri"/>
          <w:sz w:val="22"/>
        </w:rPr>
        <w:t xml:space="preserve"> party management 19-20 carry forward (joint)</w:t>
      </w:r>
    </w:p>
    <w:p w14:paraId="7F96400F" w14:textId="77777777" w:rsidR="00806577" w:rsidRDefault="00806577" w:rsidP="00806577">
      <w:pPr>
        <w:pStyle w:val="ListParagraph"/>
        <w:numPr>
          <w:ilvl w:val="0"/>
          <w:numId w:val="10"/>
        </w:numPr>
        <w:jc w:val="both"/>
        <w:rPr>
          <w:rFonts w:ascii="Calibri" w:hAnsi="Calibri"/>
          <w:sz w:val="22"/>
        </w:rPr>
      </w:pPr>
      <w:r>
        <w:rPr>
          <w:rFonts w:ascii="Calibri" w:hAnsi="Calibri"/>
          <w:sz w:val="22"/>
        </w:rPr>
        <w:t>Application Management 19/20 carry forward (joint)</w:t>
      </w:r>
    </w:p>
    <w:p w14:paraId="70C430D0" w14:textId="68DFC5B1" w:rsidR="00806577" w:rsidRPr="0041394A" w:rsidRDefault="00806577" w:rsidP="00806577">
      <w:pPr>
        <w:pStyle w:val="ListParagraph"/>
        <w:numPr>
          <w:ilvl w:val="0"/>
          <w:numId w:val="10"/>
        </w:numPr>
        <w:jc w:val="both"/>
        <w:rPr>
          <w:rFonts w:ascii="Calibri" w:hAnsi="Calibri"/>
          <w:sz w:val="22"/>
        </w:rPr>
      </w:pPr>
      <w:r>
        <w:rPr>
          <w:rFonts w:ascii="Calibri" w:hAnsi="Calibri"/>
          <w:sz w:val="22"/>
        </w:rPr>
        <w:t xml:space="preserve">IT Asset Management and Software Licensing 20/21 (joint) </w:t>
      </w:r>
    </w:p>
    <w:p w14:paraId="4AC5A403" w14:textId="77777777" w:rsidR="00630E06" w:rsidRPr="00630E06" w:rsidRDefault="00630E06" w:rsidP="00630E06">
      <w:pPr>
        <w:jc w:val="both"/>
        <w:rPr>
          <w:rFonts w:ascii="Calibri" w:hAnsi="Calibri"/>
        </w:rPr>
      </w:pPr>
    </w:p>
    <w:p w14:paraId="20025FD0" w14:textId="174B19CC" w:rsidR="00360A13" w:rsidRPr="003516A4" w:rsidRDefault="00360A13" w:rsidP="00360A13">
      <w:pPr>
        <w:ind w:left="709" w:hanging="709"/>
        <w:jc w:val="both"/>
        <w:rPr>
          <w:rFonts w:ascii="Calibri" w:hAnsi="Calibri"/>
          <w:highlight w:val="yellow"/>
          <w:lang w:eastAsia="en-GB"/>
        </w:rPr>
      </w:pPr>
      <w:r w:rsidRPr="00630E06">
        <w:rPr>
          <w:rFonts w:ascii="Calibri" w:hAnsi="Calibri"/>
          <w:lang w:eastAsia="en-GB"/>
        </w:rPr>
        <w:t>8.</w:t>
      </w:r>
      <w:r w:rsidR="00A404AC">
        <w:rPr>
          <w:rFonts w:ascii="Calibri" w:hAnsi="Calibri"/>
          <w:lang w:eastAsia="en-GB"/>
        </w:rPr>
        <w:t>8</w:t>
      </w:r>
      <w:r w:rsidRPr="00630E06">
        <w:rPr>
          <w:rFonts w:ascii="Calibri" w:hAnsi="Calibri"/>
          <w:lang w:eastAsia="en-GB"/>
        </w:rPr>
        <w:tab/>
        <w:t>The key areas of weakness identified</w:t>
      </w:r>
      <w:r w:rsidR="00630E06" w:rsidRPr="00630E06">
        <w:rPr>
          <w:rFonts w:ascii="Calibri" w:hAnsi="Calibri"/>
          <w:lang w:eastAsia="en-GB"/>
        </w:rPr>
        <w:t xml:space="preserve"> previously</w:t>
      </w:r>
      <w:r w:rsidRPr="00630E06">
        <w:rPr>
          <w:rFonts w:ascii="Calibri" w:hAnsi="Calibri"/>
          <w:lang w:eastAsia="en-GB"/>
        </w:rPr>
        <w:t xml:space="preserve"> by SIAP within the collaborative area of IT which had not been subject to internal audit for several years</w:t>
      </w:r>
      <w:r w:rsidR="00630E06" w:rsidRPr="00630E06">
        <w:rPr>
          <w:rFonts w:ascii="Calibri" w:hAnsi="Calibri"/>
          <w:lang w:eastAsia="en-GB"/>
        </w:rPr>
        <w:t xml:space="preserve"> have been closely monitored during the year for progress.</w:t>
      </w:r>
      <w:r w:rsidR="00A404AC">
        <w:rPr>
          <w:rFonts w:ascii="Calibri" w:hAnsi="Calibri"/>
          <w:lang w:eastAsia="en-GB"/>
        </w:rPr>
        <w:t xml:space="preserve"> This indicated </w:t>
      </w:r>
      <w:r w:rsidR="00A404AC" w:rsidRPr="00370304">
        <w:rPr>
          <w:rFonts w:ascii="Calibri" w:hAnsi="Calibri"/>
          <w:lang w:eastAsia="en-GB"/>
        </w:rPr>
        <w:t xml:space="preserve">that significant progress had been made and where actions remain outstanding they are being actively monitored and challenged through the Organisational Reassurance Board.  Whilst there remains work to be done in some areas, the direction of travel is positive and working relations between IT and internal audit staff have strengthened through regular liaison meetings, resulting in improved understanding of the process as well as improvements in the timeliness of response to internal audit requests for information and as a result, the completion of reviews. </w:t>
      </w:r>
    </w:p>
    <w:p w14:paraId="16227333" w14:textId="77777777" w:rsidR="00360A13" w:rsidRPr="00742226" w:rsidRDefault="00360A13" w:rsidP="00360A13">
      <w:pPr>
        <w:ind w:left="709" w:hanging="709"/>
        <w:jc w:val="both"/>
        <w:rPr>
          <w:rFonts w:ascii="Calibri" w:hAnsi="Calibri"/>
          <w:lang w:eastAsia="en-GB"/>
        </w:rPr>
      </w:pPr>
    </w:p>
    <w:p w14:paraId="42AA2DB0" w14:textId="37296513" w:rsidR="00360A13" w:rsidRPr="00742226" w:rsidRDefault="00360A13" w:rsidP="00360A13">
      <w:pPr>
        <w:ind w:left="709" w:hanging="709"/>
        <w:jc w:val="both"/>
        <w:rPr>
          <w:rFonts w:ascii="Calibri" w:hAnsi="Calibri"/>
          <w:lang w:eastAsia="en-GB"/>
        </w:rPr>
      </w:pPr>
      <w:r w:rsidRPr="00742226">
        <w:rPr>
          <w:rFonts w:ascii="Calibri" w:hAnsi="Calibri"/>
          <w:lang w:eastAsia="en-GB"/>
        </w:rPr>
        <w:t>8.</w:t>
      </w:r>
      <w:r w:rsidR="00A404AC">
        <w:rPr>
          <w:rFonts w:ascii="Calibri" w:hAnsi="Calibri"/>
          <w:lang w:eastAsia="en-GB"/>
        </w:rPr>
        <w:t>9</w:t>
      </w:r>
      <w:r w:rsidRPr="00742226">
        <w:rPr>
          <w:rFonts w:ascii="Calibri" w:hAnsi="Calibri"/>
          <w:lang w:eastAsia="en-GB"/>
        </w:rPr>
        <w:tab/>
        <w:t>The Chief Digital &amp; Information Officer heading up the ICT department put in place a monthly review process to assess progress of agreed actions and provide regular updates to the</w:t>
      </w:r>
      <w:r w:rsidR="000708DB" w:rsidRPr="00742226">
        <w:rPr>
          <w:rFonts w:ascii="Calibri" w:hAnsi="Calibri"/>
          <w:lang w:eastAsia="en-GB"/>
        </w:rPr>
        <w:t xml:space="preserve"> Deputy Chief Constables, </w:t>
      </w:r>
      <w:r w:rsidRPr="00742226">
        <w:rPr>
          <w:rFonts w:ascii="Calibri" w:hAnsi="Calibri"/>
          <w:lang w:eastAsia="en-GB"/>
        </w:rPr>
        <w:t xml:space="preserve">Chief Finance Officers, Joint Audit Committee, Internal Auditors and External Auditors of both Surrey Police and Sussex Police forces and PCC’s. This is in addition to the general governance framework detailed above and provides a strong and continual framework to address the audit findings and weaknesses in these areas of ICT. </w:t>
      </w:r>
    </w:p>
    <w:p w14:paraId="15A7A1B1" w14:textId="77777777" w:rsidR="00360A13" w:rsidRPr="00742226" w:rsidRDefault="00360A13" w:rsidP="00360A13">
      <w:pPr>
        <w:ind w:left="709" w:hanging="709"/>
        <w:jc w:val="both"/>
        <w:rPr>
          <w:rFonts w:ascii="Calibri" w:hAnsi="Calibri"/>
          <w:lang w:eastAsia="en-GB"/>
        </w:rPr>
      </w:pPr>
    </w:p>
    <w:p w14:paraId="5AF2B43A" w14:textId="4A176C0F" w:rsidR="00360A13" w:rsidRPr="00FB0BA7" w:rsidRDefault="00360A13" w:rsidP="00360A13">
      <w:pPr>
        <w:ind w:left="709" w:hanging="709"/>
        <w:jc w:val="both"/>
        <w:rPr>
          <w:rFonts w:ascii="Calibri" w:hAnsi="Calibri"/>
          <w:lang w:eastAsia="en-GB"/>
        </w:rPr>
      </w:pPr>
      <w:r w:rsidRPr="00742226">
        <w:rPr>
          <w:rFonts w:ascii="Calibri" w:hAnsi="Calibri"/>
          <w:lang w:eastAsia="en-GB"/>
        </w:rPr>
        <w:t>8.</w:t>
      </w:r>
      <w:r w:rsidR="00A404AC">
        <w:rPr>
          <w:rFonts w:ascii="Calibri" w:hAnsi="Calibri"/>
          <w:lang w:eastAsia="en-GB"/>
        </w:rPr>
        <w:t>10</w:t>
      </w:r>
      <w:r w:rsidRPr="00742226">
        <w:rPr>
          <w:rFonts w:ascii="Calibri" w:hAnsi="Calibri"/>
          <w:lang w:eastAsia="en-GB"/>
        </w:rPr>
        <w:tab/>
        <w:t xml:space="preserve">Management have </w:t>
      </w:r>
      <w:r w:rsidRPr="00FB0BA7">
        <w:rPr>
          <w:rFonts w:ascii="Calibri" w:hAnsi="Calibri"/>
          <w:lang w:eastAsia="en-GB"/>
        </w:rPr>
        <w:t>agreed recommendations to address all the findings reported by the in</w:t>
      </w:r>
      <w:r w:rsidR="00630E06" w:rsidRPr="00FB0BA7">
        <w:rPr>
          <w:rFonts w:ascii="Calibri" w:hAnsi="Calibri"/>
          <w:lang w:eastAsia="en-GB"/>
        </w:rPr>
        <w:t>ternal audit service during 2020</w:t>
      </w:r>
      <w:r w:rsidRPr="00FB0BA7">
        <w:rPr>
          <w:rFonts w:ascii="Calibri" w:hAnsi="Calibri"/>
          <w:lang w:eastAsia="en-GB"/>
        </w:rPr>
        <w:t>/2</w:t>
      </w:r>
      <w:r w:rsidR="00630E06" w:rsidRPr="00FB0BA7">
        <w:rPr>
          <w:rFonts w:ascii="Calibri" w:hAnsi="Calibri"/>
          <w:lang w:eastAsia="en-GB"/>
        </w:rPr>
        <w:t>1</w:t>
      </w:r>
      <w:r w:rsidRPr="00FB0BA7">
        <w:rPr>
          <w:rFonts w:ascii="Calibri" w:hAnsi="Calibri"/>
          <w:lang w:eastAsia="en-GB"/>
        </w:rPr>
        <w:t>.</w:t>
      </w:r>
    </w:p>
    <w:p w14:paraId="2BF9065D" w14:textId="77777777" w:rsidR="00230B18" w:rsidRPr="00FB0BA7" w:rsidRDefault="00230B18" w:rsidP="00360A13">
      <w:pPr>
        <w:ind w:left="709" w:hanging="709"/>
        <w:jc w:val="both"/>
        <w:rPr>
          <w:rFonts w:ascii="Calibri" w:hAnsi="Calibri"/>
          <w:lang w:eastAsia="en-GB"/>
        </w:rPr>
      </w:pPr>
    </w:p>
    <w:p w14:paraId="0B75E9D7" w14:textId="77777777" w:rsidR="00230B18" w:rsidRPr="00FB0BA7" w:rsidRDefault="00230B18" w:rsidP="00230B18">
      <w:pPr>
        <w:ind w:left="709" w:hanging="709"/>
        <w:jc w:val="both"/>
        <w:rPr>
          <w:rFonts w:ascii="Calibri" w:hAnsi="Calibri"/>
          <w:b/>
          <w:bCs/>
        </w:rPr>
      </w:pPr>
      <w:r w:rsidRPr="00FB0BA7">
        <w:rPr>
          <w:rFonts w:ascii="Calibri" w:hAnsi="Calibri"/>
          <w:bCs/>
        </w:rPr>
        <w:tab/>
      </w:r>
      <w:r w:rsidRPr="00FB0BA7">
        <w:rPr>
          <w:rFonts w:ascii="Calibri" w:hAnsi="Calibri"/>
          <w:b/>
          <w:bCs/>
        </w:rPr>
        <w:t xml:space="preserve">Equip Project </w:t>
      </w:r>
    </w:p>
    <w:p w14:paraId="45989E98" w14:textId="77777777" w:rsidR="00230B18" w:rsidRPr="00FB0BA7" w:rsidRDefault="00230B18" w:rsidP="00360A13">
      <w:pPr>
        <w:ind w:left="709" w:hanging="709"/>
        <w:jc w:val="both"/>
        <w:rPr>
          <w:rFonts w:ascii="Calibri" w:hAnsi="Calibri"/>
          <w:lang w:eastAsia="en-GB"/>
        </w:rPr>
      </w:pPr>
    </w:p>
    <w:p w14:paraId="495D2D9B" w14:textId="7F995356" w:rsidR="00FB0BA7" w:rsidRPr="00FB0BA7" w:rsidRDefault="00230B18">
      <w:pPr>
        <w:ind w:left="709" w:hanging="709"/>
        <w:jc w:val="both"/>
        <w:rPr>
          <w:rFonts w:ascii="Calibri" w:hAnsi="Calibri"/>
          <w:lang w:eastAsia="en-GB"/>
        </w:rPr>
      </w:pPr>
      <w:r w:rsidRPr="00FB0BA7">
        <w:rPr>
          <w:rFonts w:ascii="Calibri" w:hAnsi="Calibri"/>
          <w:lang w:eastAsia="en-GB"/>
        </w:rPr>
        <w:t>8.1</w:t>
      </w:r>
      <w:r w:rsidR="00A404AC">
        <w:rPr>
          <w:rFonts w:ascii="Calibri" w:hAnsi="Calibri"/>
          <w:lang w:eastAsia="en-GB"/>
        </w:rPr>
        <w:t>1</w:t>
      </w:r>
      <w:r w:rsidRPr="00FB0BA7">
        <w:rPr>
          <w:rFonts w:ascii="Calibri" w:hAnsi="Calibri"/>
          <w:lang w:eastAsia="en-GB"/>
        </w:rPr>
        <w:tab/>
      </w:r>
      <w:r w:rsidRPr="00FB0BA7">
        <w:rPr>
          <w:rFonts w:ascii="Calibri" w:hAnsi="Calibri"/>
          <w:lang w:eastAsia="en-GB"/>
        </w:rPr>
        <w:tab/>
      </w:r>
      <w:r w:rsidR="00FB0BA7" w:rsidRPr="00FB0BA7">
        <w:rPr>
          <w:rFonts w:ascii="Calibri" w:hAnsi="Calibri"/>
          <w:lang w:eastAsia="en-GB"/>
        </w:rPr>
        <w:t>The Equip Programme wa</w:t>
      </w:r>
      <w:r w:rsidR="0048260C" w:rsidRPr="00FB0BA7">
        <w:rPr>
          <w:rFonts w:ascii="Calibri" w:hAnsi="Calibri"/>
          <w:lang w:eastAsia="en-GB"/>
        </w:rPr>
        <w:t>s the proposed tri-force Enterprise Resource Planning (ERP) Solution for Surrey, Sussex and Tham</w:t>
      </w:r>
      <w:r w:rsidR="00FB0BA7" w:rsidRPr="00FB0BA7">
        <w:rPr>
          <w:rFonts w:ascii="Calibri" w:hAnsi="Calibri"/>
          <w:lang w:eastAsia="en-GB"/>
        </w:rPr>
        <w:t>es Valley Police. The solution wa</w:t>
      </w:r>
      <w:r w:rsidR="0048260C" w:rsidRPr="00FB0BA7">
        <w:rPr>
          <w:rFonts w:ascii="Calibri" w:hAnsi="Calibri"/>
          <w:lang w:eastAsia="en-GB"/>
        </w:rPr>
        <w:t xml:space="preserve">s </w:t>
      </w:r>
      <w:r w:rsidR="00FB0BA7" w:rsidRPr="00FB0BA7">
        <w:rPr>
          <w:rFonts w:ascii="Calibri" w:hAnsi="Calibri"/>
          <w:lang w:eastAsia="en-GB"/>
        </w:rPr>
        <w:t xml:space="preserve">intended </w:t>
      </w:r>
      <w:r w:rsidR="0048260C" w:rsidRPr="00FB0BA7">
        <w:rPr>
          <w:rFonts w:ascii="Calibri" w:hAnsi="Calibri"/>
          <w:lang w:eastAsia="en-GB"/>
        </w:rPr>
        <w:t xml:space="preserve">to bring improvements to all three forces and enable consistency, better information for managing and decision making – for teams and individuals. The programme approach, </w:t>
      </w:r>
      <w:r w:rsidR="00FB0BA7" w:rsidRPr="00FB0BA7">
        <w:rPr>
          <w:rFonts w:ascii="Calibri" w:hAnsi="Calibri"/>
          <w:lang w:eastAsia="en-GB"/>
        </w:rPr>
        <w:t>initially</w:t>
      </w:r>
      <w:r w:rsidR="0048260C" w:rsidRPr="00FB0BA7">
        <w:rPr>
          <w:rFonts w:ascii="Calibri" w:hAnsi="Calibri"/>
          <w:lang w:eastAsia="en-GB"/>
        </w:rPr>
        <w:t xml:space="preserve"> compr</w:t>
      </w:r>
      <w:r w:rsidR="00FB0BA7" w:rsidRPr="00FB0BA7">
        <w:rPr>
          <w:rFonts w:ascii="Calibri" w:hAnsi="Calibri"/>
          <w:lang w:eastAsia="en-GB"/>
        </w:rPr>
        <w:t>ised of</w:t>
      </w:r>
      <w:r w:rsidR="0048260C" w:rsidRPr="00FB0BA7">
        <w:rPr>
          <w:rFonts w:ascii="Calibri" w:hAnsi="Calibri"/>
          <w:lang w:eastAsia="en-GB"/>
        </w:rPr>
        <w:t xml:space="preserve"> an external implementation partner and an in-house team of staff and contractors, supplied by the three forces. </w:t>
      </w:r>
    </w:p>
    <w:p w14:paraId="49AC7ACC" w14:textId="77777777" w:rsidR="00FB0BA7" w:rsidRPr="00FB0BA7" w:rsidRDefault="00FB0BA7">
      <w:pPr>
        <w:ind w:left="709" w:hanging="709"/>
        <w:jc w:val="both"/>
        <w:rPr>
          <w:rFonts w:ascii="Calibri" w:hAnsi="Calibri"/>
          <w:lang w:eastAsia="en-GB"/>
        </w:rPr>
      </w:pPr>
    </w:p>
    <w:p w14:paraId="0B08FD9F" w14:textId="381F0CEB" w:rsidR="0048260C" w:rsidRPr="00FB0BA7" w:rsidRDefault="00FB0BA7">
      <w:pPr>
        <w:ind w:left="709" w:hanging="709"/>
        <w:jc w:val="both"/>
        <w:rPr>
          <w:rFonts w:ascii="Calibri" w:hAnsi="Calibri"/>
          <w:lang w:eastAsia="en-GB"/>
        </w:rPr>
      </w:pPr>
      <w:r w:rsidRPr="00FB0BA7">
        <w:rPr>
          <w:rFonts w:ascii="Calibri" w:hAnsi="Calibri"/>
          <w:lang w:eastAsia="en-GB"/>
        </w:rPr>
        <w:t>8.1</w:t>
      </w:r>
      <w:r w:rsidR="00A404AC">
        <w:rPr>
          <w:rFonts w:ascii="Calibri" w:hAnsi="Calibri"/>
          <w:lang w:eastAsia="en-GB"/>
        </w:rPr>
        <w:t>2</w:t>
      </w:r>
      <w:r w:rsidRPr="00FB0BA7">
        <w:rPr>
          <w:rFonts w:ascii="Calibri" w:hAnsi="Calibri"/>
          <w:lang w:eastAsia="en-GB"/>
        </w:rPr>
        <w:tab/>
        <w:t>D</w:t>
      </w:r>
      <w:r w:rsidR="0048260C" w:rsidRPr="00FB0BA7">
        <w:rPr>
          <w:rFonts w:ascii="Calibri" w:hAnsi="Calibri"/>
          <w:lang w:eastAsia="en-GB"/>
        </w:rPr>
        <w:t xml:space="preserve">elays in implementation of the solution had been identified as a key risk both within the forces’ risk management arrangements and by the external auditor in terms of their Value For Money review work. </w:t>
      </w:r>
      <w:r w:rsidRPr="00FB0BA7">
        <w:rPr>
          <w:rFonts w:ascii="Calibri" w:hAnsi="Calibri"/>
          <w:lang w:eastAsia="en-GB"/>
        </w:rPr>
        <w:t>A number of progress and independent advisory reviews were undertaken.</w:t>
      </w:r>
    </w:p>
    <w:p w14:paraId="72F66C6A" w14:textId="77777777" w:rsidR="0048260C" w:rsidRPr="00FB0BA7" w:rsidRDefault="0048260C">
      <w:pPr>
        <w:ind w:left="709" w:hanging="709"/>
        <w:jc w:val="both"/>
        <w:rPr>
          <w:rFonts w:ascii="Calibri" w:hAnsi="Calibri"/>
          <w:lang w:eastAsia="en-GB"/>
        </w:rPr>
      </w:pPr>
    </w:p>
    <w:p w14:paraId="1AD83319" w14:textId="1A3F64D2" w:rsidR="00FB0BA7" w:rsidRPr="00FB0BA7" w:rsidRDefault="00FB0BA7" w:rsidP="00FB0BA7">
      <w:pPr>
        <w:ind w:left="709" w:hanging="709"/>
        <w:jc w:val="both"/>
        <w:rPr>
          <w:rFonts w:ascii="Calibri" w:hAnsi="Calibri"/>
          <w:lang w:eastAsia="en-GB"/>
        </w:rPr>
      </w:pPr>
      <w:r w:rsidRPr="00FB0BA7">
        <w:rPr>
          <w:rFonts w:ascii="Calibri" w:hAnsi="Calibri"/>
          <w:lang w:eastAsia="en-GB"/>
        </w:rPr>
        <w:t>8.1</w:t>
      </w:r>
      <w:r w:rsidR="00A404AC">
        <w:rPr>
          <w:rFonts w:ascii="Calibri" w:hAnsi="Calibri"/>
          <w:lang w:eastAsia="en-GB"/>
        </w:rPr>
        <w:t>3</w:t>
      </w:r>
      <w:r w:rsidR="0048260C" w:rsidRPr="00FB0BA7">
        <w:rPr>
          <w:rFonts w:ascii="Calibri" w:hAnsi="Calibri"/>
          <w:lang w:eastAsia="en-GB"/>
        </w:rPr>
        <w:tab/>
      </w:r>
      <w:r w:rsidRPr="00FB0BA7">
        <w:rPr>
          <w:rFonts w:ascii="Calibri" w:hAnsi="Calibri"/>
          <w:lang w:eastAsia="en-GB"/>
        </w:rPr>
        <w:t>In December 2020 the Chief Constables agreed that the ERP product developed by KPMG should be transferred to the three forces to mitigate against future financial risk. Following recommendation by the three force Chief Constables, approval was granted by the three PCCs. The forces have worked closely with KPMG to achieve the transfer of the ERP Software, Documentation and Licenced assets.</w:t>
      </w:r>
    </w:p>
    <w:p w14:paraId="732CFC2D" w14:textId="77777777" w:rsidR="00FB0BA7" w:rsidRPr="00FB0BA7" w:rsidRDefault="00FB0BA7" w:rsidP="00FB0BA7">
      <w:pPr>
        <w:ind w:left="709" w:hanging="709"/>
        <w:jc w:val="both"/>
        <w:rPr>
          <w:rFonts w:ascii="Calibri" w:hAnsi="Calibri"/>
          <w:lang w:eastAsia="en-GB"/>
        </w:rPr>
      </w:pPr>
    </w:p>
    <w:p w14:paraId="1FD35019" w14:textId="0D0B90C7" w:rsidR="00FB0BA7" w:rsidRPr="00FB0BA7" w:rsidRDefault="00FB0BA7" w:rsidP="00FB0BA7">
      <w:pPr>
        <w:ind w:left="709" w:hanging="709"/>
        <w:jc w:val="both"/>
        <w:rPr>
          <w:rFonts w:ascii="Calibri" w:hAnsi="Calibri"/>
          <w:lang w:eastAsia="en-GB"/>
        </w:rPr>
      </w:pPr>
      <w:r>
        <w:rPr>
          <w:rFonts w:ascii="Calibri" w:hAnsi="Calibri"/>
          <w:lang w:eastAsia="en-GB"/>
        </w:rPr>
        <w:t>8.1</w:t>
      </w:r>
      <w:r w:rsidR="00A404AC">
        <w:rPr>
          <w:rFonts w:ascii="Calibri" w:hAnsi="Calibri"/>
          <w:lang w:eastAsia="en-GB"/>
        </w:rPr>
        <w:t>4</w:t>
      </w:r>
      <w:r>
        <w:rPr>
          <w:rFonts w:ascii="Calibri" w:hAnsi="Calibri"/>
          <w:lang w:eastAsia="en-GB"/>
        </w:rPr>
        <w:tab/>
      </w:r>
      <w:r w:rsidRPr="00FB0BA7">
        <w:rPr>
          <w:rFonts w:ascii="Calibri" w:hAnsi="Calibri"/>
          <w:lang w:eastAsia="en-GB"/>
        </w:rPr>
        <w:t xml:space="preserve">Following closure of the tri-force Equip programme, a new Surrey &amp; Sussex ERP Programme has been set up to look at future ERP work. In Sussex and Surrey Police the respective Chief Constable’s and PCC’s are considering a range of options for use, development of the Equip assets and/or additional ERP solutions for enhanced functionality. Surrey Police bears 22% of the total partnership project costs.  </w:t>
      </w:r>
    </w:p>
    <w:p w14:paraId="08B48B67" w14:textId="77777777" w:rsidR="00FB0BA7" w:rsidRPr="00FB0BA7" w:rsidRDefault="00FB0BA7" w:rsidP="00FB0BA7">
      <w:pPr>
        <w:ind w:left="709" w:hanging="709"/>
        <w:jc w:val="both"/>
        <w:rPr>
          <w:rFonts w:ascii="Calibri" w:hAnsi="Calibri"/>
          <w:lang w:eastAsia="en-GB"/>
        </w:rPr>
      </w:pPr>
    </w:p>
    <w:p w14:paraId="1154AA5D" w14:textId="0FBDD685" w:rsidR="00FB0BA7" w:rsidRPr="00FB0BA7" w:rsidRDefault="00FB0BA7" w:rsidP="00FB0BA7">
      <w:pPr>
        <w:ind w:left="709" w:hanging="709"/>
        <w:jc w:val="both"/>
        <w:rPr>
          <w:rFonts w:ascii="Calibri" w:hAnsi="Calibri"/>
          <w:lang w:eastAsia="en-GB"/>
        </w:rPr>
      </w:pPr>
      <w:r>
        <w:rPr>
          <w:rFonts w:ascii="Calibri" w:hAnsi="Calibri"/>
          <w:lang w:eastAsia="en-GB"/>
        </w:rPr>
        <w:t>8.1</w:t>
      </w:r>
      <w:r w:rsidR="00A404AC">
        <w:rPr>
          <w:rFonts w:ascii="Calibri" w:hAnsi="Calibri"/>
          <w:lang w:eastAsia="en-GB"/>
        </w:rPr>
        <w:t>5</w:t>
      </w:r>
      <w:r>
        <w:rPr>
          <w:rFonts w:ascii="Calibri" w:hAnsi="Calibri"/>
          <w:lang w:eastAsia="en-GB"/>
        </w:rPr>
        <w:tab/>
      </w:r>
      <w:r w:rsidRPr="00FB0BA7">
        <w:rPr>
          <w:rFonts w:ascii="Calibri" w:hAnsi="Calibri"/>
          <w:lang w:eastAsia="en-GB"/>
        </w:rPr>
        <w:t>Prior to 2020/21 Sussex Police and Surrey Police had spent £7.276m and £5.723m respectively on the Equip programme and this had been fully released to revenue on the basis that the end asset platform providing the software as a service to Sussex and Surrey would not be owned by Sussex Police or Surrey Police.</w:t>
      </w:r>
    </w:p>
    <w:p w14:paraId="7818713F" w14:textId="77777777" w:rsidR="00FB0BA7" w:rsidRPr="00FB0BA7" w:rsidRDefault="00FB0BA7" w:rsidP="00FB0BA7">
      <w:pPr>
        <w:ind w:left="709" w:hanging="709"/>
        <w:jc w:val="both"/>
        <w:rPr>
          <w:rFonts w:ascii="Calibri" w:hAnsi="Calibri"/>
          <w:lang w:eastAsia="en-GB"/>
        </w:rPr>
      </w:pPr>
    </w:p>
    <w:p w14:paraId="64E6C2E1" w14:textId="00DB76F3" w:rsidR="00FB0BA7" w:rsidRDefault="00FB0BA7" w:rsidP="00FB0BA7">
      <w:pPr>
        <w:ind w:left="709" w:hanging="709"/>
        <w:jc w:val="both"/>
        <w:rPr>
          <w:rFonts w:ascii="Calibri" w:hAnsi="Calibri"/>
          <w:lang w:eastAsia="en-GB"/>
        </w:rPr>
      </w:pPr>
      <w:r>
        <w:rPr>
          <w:rFonts w:ascii="Calibri" w:hAnsi="Calibri"/>
          <w:lang w:eastAsia="en-GB"/>
        </w:rPr>
        <w:t>8.1</w:t>
      </w:r>
      <w:r w:rsidR="00A404AC">
        <w:rPr>
          <w:rFonts w:ascii="Calibri" w:hAnsi="Calibri"/>
          <w:lang w:eastAsia="en-GB"/>
        </w:rPr>
        <w:t>6</w:t>
      </w:r>
      <w:r>
        <w:rPr>
          <w:rFonts w:ascii="Calibri" w:hAnsi="Calibri"/>
          <w:lang w:eastAsia="en-GB"/>
        </w:rPr>
        <w:tab/>
      </w:r>
      <w:r w:rsidRPr="00FB0BA7">
        <w:rPr>
          <w:rFonts w:ascii="Calibri" w:hAnsi="Calibri"/>
          <w:lang w:eastAsia="en-GB"/>
        </w:rPr>
        <w:t>During 2020/21 Sussex Police spent a further £5.385m and Surrey Police spent a further £3.791m on the Equip programme. Sussex Police spent £2.752m of that amount on the capital asset purchase from KPMG whilst Surrey Police spent £1.918m of the total on the capital asset purchase from KPMG. All remaining amounts were revenue charges for the Equip team and related</w:t>
      </w:r>
      <w:r>
        <w:rPr>
          <w:rFonts w:ascii="Calibri" w:hAnsi="Calibri"/>
          <w:lang w:eastAsia="en-GB"/>
        </w:rPr>
        <w:t xml:space="preserve"> running costs during the year. </w:t>
      </w:r>
      <w:r w:rsidRPr="00FB0BA7">
        <w:rPr>
          <w:rFonts w:ascii="Calibri" w:hAnsi="Calibri"/>
          <w:lang w:eastAsia="en-GB"/>
        </w:rPr>
        <w:t>No further sums will be spent on the Equip programme in 2021/22 or later years.</w:t>
      </w:r>
    </w:p>
    <w:p w14:paraId="3C24A550" w14:textId="77777777" w:rsidR="00FB0BA7" w:rsidRPr="004A108F" w:rsidRDefault="00FB0BA7" w:rsidP="00360A13">
      <w:pPr>
        <w:ind w:left="709" w:hanging="709"/>
        <w:jc w:val="both"/>
        <w:rPr>
          <w:rFonts w:ascii="Calibri" w:hAnsi="Calibri"/>
          <w:lang w:eastAsia="en-GB"/>
        </w:rPr>
      </w:pPr>
    </w:p>
    <w:p w14:paraId="52C2FA65" w14:textId="77777777" w:rsidR="00230B18" w:rsidRPr="004A108F" w:rsidRDefault="00230B18">
      <w:pPr>
        <w:ind w:left="709" w:hanging="709"/>
        <w:jc w:val="both"/>
        <w:rPr>
          <w:rFonts w:ascii="Calibri" w:hAnsi="Calibri"/>
          <w:b/>
          <w:bCs/>
        </w:rPr>
      </w:pPr>
      <w:r w:rsidRPr="004A108F">
        <w:rPr>
          <w:rFonts w:ascii="Calibri" w:hAnsi="Calibri"/>
          <w:bCs/>
        </w:rPr>
        <w:tab/>
      </w:r>
      <w:r w:rsidRPr="004A108F">
        <w:rPr>
          <w:rFonts w:ascii="Calibri" w:hAnsi="Calibri"/>
          <w:b/>
          <w:bCs/>
        </w:rPr>
        <w:t xml:space="preserve">Covid-19 </w:t>
      </w:r>
    </w:p>
    <w:p w14:paraId="1D0CDD72" w14:textId="77777777" w:rsidR="00360A13" w:rsidRPr="004A108F" w:rsidRDefault="00360A13" w:rsidP="00360A13">
      <w:pPr>
        <w:ind w:left="709" w:hanging="709"/>
        <w:jc w:val="both"/>
        <w:rPr>
          <w:rFonts w:ascii="Calibri" w:hAnsi="Calibri"/>
        </w:rPr>
      </w:pPr>
    </w:p>
    <w:p w14:paraId="11981ACF" w14:textId="7E6EF874" w:rsidR="00360A13" w:rsidRPr="003516A4" w:rsidRDefault="00360A13" w:rsidP="00360A13">
      <w:pPr>
        <w:ind w:left="709" w:hanging="709"/>
        <w:jc w:val="both"/>
        <w:rPr>
          <w:rFonts w:ascii="Calibri" w:hAnsi="Calibri"/>
          <w:highlight w:val="yellow"/>
        </w:rPr>
      </w:pPr>
      <w:r w:rsidRPr="004A108F">
        <w:rPr>
          <w:rFonts w:ascii="Calibri" w:hAnsi="Calibri"/>
        </w:rPr>
        <w:t>8.1</w:t>
      </w:r>
      <w:r w:rsidR="00A404AC">
        <w:rPr>
          <w:rFonts w:ascii="Calibri" w:hAnsi="Calibri"/>
        </w:rPr>
        <w:t>7</w:t>
      </w:r>
      <w:r w:rsidRPr="004A108F">
        <w:rPr>
          <w:rFonts w:ascii="Calibri" w:hAnsi="Calibri"/>
        </w:rPr>
        <w:tab/>
      </w:r>
      <w:r w:rsidRPr="004A108F">
        <w:rPr>
          <w:rFonts w:ascii="Calibri" w:hAnsi="Calibri"/>
          <w:lang w:eastAsia="en-GB"/>
        </w:rPr>
        <w:t>Although Covid-19 slowed progress, SIAP continued to work remotely to complete the 2019/20</w:t>
      </w:r>
      <w:r w:rsidR="004A108F" w:rsidRPr="004A108F">
        <w:rPr>
          <w:rFonts w:ascii="Calibri" w:hAnsi="Calibri"/>
          <w:lang w:eastAsia="en-GB"/>
        </w:rPr>
        <w:t xml:space="preserve"> </w:t>
      </w:r>
      <w:r w:rsidRPr="004A108F">
        <w:rPr>
          <w:rFonts w:ascii="Calibri" w:hAnsi="Calibri"/>
          <w:lang w:eastAsia="en-GB"/>
        </w:rPr>
        <w:t xml:space="preserve">review, however Covid-19 had a significant impact on SIAP’s ability to commence work on the 2020/21 plan, due to the request to delay any work impacting on operational staff. Regular discussions </w:t>
      </w:r>
      <w:r w:rsidR="004A108F" w:rsidRPr="004A108F">
        <w:rPr>
          <w:rFonts w:ascii="Calibri" w:hAnsi="Calibri"/>
          <w:lang w:eastAsia="en-GB"/>
        </w:rPr>
        <w:t xml:space="preserve">took place between SIAP and Chief Finance Officers </w:t>
      </w:r>
      <w:r w:rsidRPr="004A108F">
        <w:rPr>
          <w:rFonts w:ascii="Calibri" w:hAnsi="Calibri"/>
          <w:lang w:eastAsia="en-GB"/>
        </w:rPr>
        <w:t xml:space="preserve">to review the plan and </w:t>
      </w:r>
      <w:r w:rsidR="004A108F" w:rsidRPr="004A108F">
        <w:rPr>
          <w:rFonts w:ascii="Calibri" w:hAnsi="Calibri"/>
          <w:lang w:eastAsia="en-GB"/>
        </w:rPr>
        <w:t>ensure it remained</w:t>
      </w:r>
      <w:r w:rsidRPr="004A108F">
        <w:rPr>
          <w:rFonts w:ascii="Calibri" w:hAnsi="Calibri"/>
          <w:lang w:eastAsia="en-GB"/>
        </w:rPr>
        <w:t xml:space="preserve"> appropriate and relevant and</w:t>
      </w:r>
      <w:r w:rsidR="004A108F" w:rsidRPr="004A108F">
        <w:rPr>
          <w:rFonts w:ascii="Calibri" w:hAnsi="Calibri"/>
          <w:lang w:eastAsia="en-GB"/>
        </w:rPr>
        <w:t xml:space="preserve"> to consider</w:t>
      </w:r>
      <w:r w:rsidRPr="004A108F">
        <w:rPr>
          <w:rFonts w:ascii="Calibri" w:hAnsi="Calibri"/>
          <w:lang w:eastAsia="en-GB"/>
        </w:rPr>
        <w:t xml:space="preserve"> </w:t>
      </w:r>
      <w:r w:rsidR="004A108F" w:rsidRPr="004A108F">
        <w:rPr>
          <w:rFonts w:ascii="Calibri" w:hAnsi="Calibri"/>
          <w:lang w:eastAsia="en-GB"/>
        </w:rPr>
        <w:t xml:space="preserve">any </w:t>
      </w:r>
      <w:r w:rsidRPr="004A108F">
        <w:rPr>
          <w:rFonts w:ascii="Calibri" w:hAnsi="Calibri"/>
          <w:lang w:eastAsia="en-GB"/>
        </w:rPr>
        <w:t>changes needed to incorporate new risk areas arising from the challenges presented by Covid-19.</w:t>
      </w:r>
    </w:p>
    <w:p w14:paraId="13493A1D" w14:textId="77777777" w:rsidR="00763097" w:rsidRPr="002B67FD" w:rsidRDefault="00763097" w:rsidP="00763097">
      <w:pPr>
        <w:ind w:firstLine="720"/>
        <w:jc w:val="both"/>
        <w:outlineLvl w:val="0"/>
        <w:rPr>
          <w:b/>
        </w:rPr>
      </w:pPr>
    </w:p>
    <w:p w14:paraId="7B4725E0" w14:textId="77777777" w:rsidR="00763097" w:rsidRPr="002B67FD" w:rsidRDefault="00360A13" w:rsidP="00763097">
      <w:pPr>
        <w:shd w:val="clear" w:color="auto" w:fill="0070C0"/>
        <w:tabs>
          <w:tab w:val="left" w:pos="709"/>
        </w:tabs>
        <w:jc w:val="both"/>
        <w:rPr>
          <w:rFonts w:ascii="Calibri" w:hAnsi="Calibri"/>
          <w:b/>
          <w:color w:val="FFFFFF"/>
        </w:rPr>
      </w:pPr>
      <w:r w:rsidRPr="002B67FD">
        <w:rPr>
          <w:rFonts w:ascii="Calibri" w:hAnsi="Calibri"/>
          <w:b/>
          <w:color w:val="FFFFFF"/>
        </w:rPr>
        <w:t>9</w:t>
      </w:r>
      <w:r w:rsidR="00763097" w:rsidRPr="002B67FD">
        <w:rPr>
          <w:rFonts w:ascii="Calibri" w:hAnsi="Calibri"/>
          <w:b/>
          <w:color w:val="FFFFFF"/>
        </w:rPr>
        <w:t xml:space="preserve"> </w:t>
      </w:r>
      <w:r w:rsidR="00763097" w:rsidRPr="002B67FD">
        <w:rPr>
          <w:rFonts w:ascii="Calibri" w:hAnsi="Calibri"/>
          <w:b/>
          <w:color w:val="FFFFFF"/>
        </w:rPr>
        <w:tab/>
        <w:t>Certification</w:t>
      </w:r>
    </w:p>
    <w:p w14:paraId="7384FD2E" w14:textId="77777777" w:rsidR="00763097" w:rsidRPr="002B67FD" w:rsidRDefault="00763097" w:rsidP="00763097">
      <w:pPr>
        <w:jc w:val="both"/>
        <w:rPr>
          <w:rFonts w:ascii="Calibri" w:hAnsi="Calibri"/>
        </w:rPr>
      </w:pPr>
    </w:p>
    <w:p w14:paraId="4FF1C2D3" w14:textId="77777777" w:rsidR="00351A1C" w:rsidRPr="002B67FD" w:rsidRDefault="00763097" w:rsidP="00763097">
      <w:pPr>
        <w:jc w:val="both"/>
        <w:rPr>
          <w:rFonts w:ascii="Calibri" w:hAnsi="Calibri"/>
        </w:rPr>
      </w:pPr>
      <w:r w:rsidRPr="002B67FD">
        <w:rPr>
          <w:rFonts w:ascii="Calibri" w:hAnsi="Calibri"/>
        </w:rPr>
        <w:t>This statement has been prepared on the basis of the review of effectiveness of governance arrangements. Advice and recommendations on the annual governance statement have been received from internal and external auditors and the JAC. It represents a fair and reasonable assessment of current arrangements and plans for improvement within Surrey Police.</w:t>
      </w:r>
      <w:r w:rsidR="00E460B1" w:rsidRPr="002B67FD">
        <w:rPr>
          <w:rFonts w:ascii="Calibri" w:hAnsi="Calibri"/>
        </w:rPr>
        <w:t xml:space="preserve"> </w:t>
      </w:r>
      <w:r w:rsidR="00351A1C" w:rsidRPr="002B67FD">
        <w:rPr>
          <w:rFonts w:ascii="Calibri" w:hAnsi="Calibri"/>
        </w:rPr>
        <w:t>The arrangements continue to be regarded as fit for purpose in accordance with the governance framework.</w:t>
      </w:r>
    </w:p>
    <w:p w14:paraId="08CBEEE6" w14:textId="576B5B2C" w:rsidR="00351A1C" w:rsidRPr="002B67FD" w:rsidRDefault="00351A1C" w:rsidP="00763097">
      <w:pPr>
        <w:jc w:val="both"/>
        <w:rPr>
          <w:rFonts w:ascii="Calibri" w:hAnsi="Calibri"/>
          <w:noProof/>
          <w:lang w:val="en-GB" w:eastAsia="en-GB"/>
        </w:rPr>
      </w:pPr>
    </w:p>
    <w:p w14:paraId="4C959547" w14:textId="38081F14" w:rsidR="002B67FD" w:rsidRPr="002B67FD" w:rsidRDefault="002B67FD" w:rsidP="00763097">
      <w:pPr>
        <w:jc w:val="both"/>
        <w:rPr>
          <w:rFonts w:ascii="Calibri" w:hAnsi="Calibri"/>
          <w:noProof/>
          <w:lang w:val="en-GB" w:eastAsia="en-GB"/>
        </w:rPr>
      </w:pPr>
    </w:p>
    <w:p w14:paraId="2A9D0BB2" w14:textId="77777777" w:rsidR="002B67FD" w:rsidRPr="002B67FD" w:rsidRDefault="002B67FD" w:rsidP="00763097">
      <w:pPr>
        <w:jc w:val="both"/>
        <w:rPr>
          <w:rFonts w:ascii="Calibri" w:hAnsi="Calibri"/>
        </w:rPr>
      </w:pPr>
    </w:p>
    <w:p w14:paraId="1298A3A8" w14:textId="679E9760" w:rsidR="00351A1C" w:rsidRPr="002B67FD" w:rsidRDefault="002B67FD" w:rsidP="00763097">
      <w:pPr>
        <w:jc w:val="both"/>
        <w:rPr>
          <w:rFonts w:ascii="Calibri" w:hAnsi="Calibri"/>
          <w:b/>
        </w:rPr>
      </w:pPr>
      <w:r w:rsidRPr="002B67FD">
        <w:rPr>
          <w:rFonts w:ascii="Calibri" w:hAnsi="Calibri"/>
          <w:b/>
        </w:rPr>
        <w:t>Lisa Townsend</w:t>
      </w:r>
      <w:r w:rsidR="00351A1C" w:rsidRPr="002B67FD">
        <w:rPr>
          <w:rFonts w:ascii="Calibri" w:hAnsi="Calibri"/>
          <w:b/>
        </w:rPr>
        <w:t xml:space="preserve">, </w:t>
      </w:r>
      <w:r w:rsidR="00351A1C" w:rsidRPr="002B67FD">
        <w:rPr>
          <w:rFonts w:ascii="Calibri" w:hAnsi="Calibri"/>
        </w:rPr>
        <w:t>Police and Crime Commissioner for Surrey</w:t>
      </w:r>
    </w:p>
    <w:p w14:paraId="04CB1D0E" w14:textId="77777777" w:rsidR="00F2623E" w:rsidRPr="003516A4" w:rsidRDefault="00F2623E" w:rsidP="00763097">
      <w:pPr>
        <w:jc w:val="both"/>
        <w:rPr>
          <w:rFonts w:ascii="Calibri" w:hAnsi="Calibri"/>
          <w:b/>
          <w:highlight w:val="yellow"/>
        </w:rPr>
      </w:pPr>
    </w:p>
    <w:p w14:paraId="7F265E53" w14:textId="4A22214E" w:rsidR="00351A1C" w:rsidRPr="003516A4" w:rsidRDefault="00054BB1" w:rsidP="00763097">
      <w:pPr>
        <w:jc w:val="both"/>
        <w:rPr>
          <w:rFonts w:ascii="Calibri" w:hAnsi="Calibri"/>
          <w:highlight w:val="yellow"/>
        </w:rPr>
      </w:pPr>
      <w:r w:rsidRPr="003516A4">
        <w:rPr>
          <w:rFonts w:ascii="Calibri" w:hAnsi="Calibri"/>
          <w:highlight w:val="yellow"/>
        </w:rPr>
        <w:t>Date:</w:t>
      </w:r>
      <w:r w:rsidR="00AB1A88" w:rsidRPr="003516A4">
        <w:rPr>
          <w:rFonts w:ascii="Calibri" w:hAnsi="Calibri"/>
          <w:highlight w:val="yellow"/>
        </w:rPr>
        <w:t xml:space="preserve"> </w:t>
      </w:r>
    </w:p>
    <w:p w14:paraId="7DFD97DA" w14:textId="77777777" w:rsidR="00351A1C" w:rsidRPr="002B67FD" w:rsidRDefault="00351A1C" w:rsidP="00763097">
      <w:pPr>
        <w:jc w:val="both"/>
        <w:rPr>
          <w:rFonts w:ascii="Calibri" w:hAnsi="Calibri"/>
          <w:b/>
        </w:rPr>
      </w:pPr>
    </w:p>
    <w:p w14:paraId="04B77039" w14:textId="1DD93891" w:rsidR="00351A1C" w:rsidRPr="002B67FD" w:rsidRDefault="00351A1C" w:rsidP="00763097">
      <w:pPr>
        <w:jc w:val="both"/>
        <w:rPr>
          <w:rFonts w:ascii="Calibri" w:hAnsi="Calibri"/>
          <w:b/>
          <w:noProof/>
          <w:lang w:val="en-GB" w:eastAsia="en-GB"/>
        </w:rPr>
      </w:pPr>
    </w:p>
    <w:p w14:paraId="315BC421" w14:textId="77777777" w:rsidR="002B67FD" w:rsidRPr="002B67FD" w:rsidRDefault="002B67FD" w:rsidP="00763097">
      <w:pPr>
        <w:jc w:val="both"/>
        <w:rPr>
          <w:rFonts w:ascii="Calibri" w:hAnsi="Calibri"/>
          <w:b/>
        </w:rPr>
      </w:pPr>
    </w:p>
    <w:p w14:paraId="0C58EF16" w14:textId="77777777" w:rsidR="00360A13" w:rsidRPr="002B67FD" w:rsidRDefault="00360A13" w:rsidP="00763097">
      <w:pPr>
        <w:jc w:val="both"/>
        <w:rPr>
          <w:rFonts w:ascii="Calibri" w:hAnsi="Calibri"/>
          <w:b/>
        </w:rPr>
      </w:pPr>
    </w:p>
    <w:p w14:paraId="4AD8D132" w14:textId="77777777" w:rsidR="00351A1C" w:rsidRPr="002B67FD" w:rsidRDefault="00351A1C" w:rsidP="00763097">
      <w:pPr>
        <w:jc w:val="both"/>
        <w:rPr>
          <w:rFonts w:ascii="Calibri" w:hAnsi="Calibri"/>
          <w:b/>
        </w:rPr>
      </w:pPr>
      <w:r w:rsidRPr="002B67FD">
        <w:rPr>
          <w:rFonts w:ascii="Calibri" w:hAnsi="Calibri"/>
          <w:b/>
        </w:rPr>
        <w:t xml:space="preserve">Alison Bolton, </w:t>
      </w:r>
      <w:r w:rsidRPr="002B67FD">
        <w:rPr>
          <w:rFonts w:ascii="Calibri" w:hAnsi="Calibri"/>
        </w:rPr>
        <w:t>Chief Executive, Office of the PCC for Surrey</w:t>
      </w:r>
    </w:p>
    <w:p w14:paraId="7ADE3976" w14:textId="77777777" w:rsidR="00F2623E" w:rsidRPr="003516A4" w:rsidRDefault="00F2623E" w:rsidP="00763097">
      <w:pPr>
        <w:jc w:val="both"/>
        <w:rPr>
          <w:rFonts w:ascii="Calibri" w:hAnsi="Calibri"/>
          <w:b/>
          <w:highlight w:val="yellow"/>
        </w:rPr>
      </w:pPr>
    </w:p>
    <w:p w14:paraId="3A4F5CF4" w14:textId="4CDF1CE3" w:rsidR="00351A1C" w:rsidRPr="003516A4" w:rsidRDefault="00054BB1" w:rsidP="00763097">
      <w:pPr>
        <w:jc w:val="both"/>
        <w:rPr>
          <w:rFonts w:ascii="Calibri" w:hAnsi="Calibri"/>
          <w:highlight w:val="yellow"/>
        </w:rPr>
      </w:pPr>
      <w:r w:rsidRPr="003516A4">
        <w:rPr>
          <w:rFonts w:ascii="Calibri" w:hAnsi="Calibri"/>
          <w:highlight w:val="yellow"/>
        </w:rPr>
        <w:t>Date:</w:t>
      </w:r>
      <w:r w:rsidR="00AB1A88" w:rsidRPr="003516A4">
        <w:rPr>
          <w:rFonts w:ascii="Calibri" w:hAnsi="Calibri"/>
          <w:highlight w:val="yellow"/>
        </w:rPr>
        <w:t xml:space="preserve"> </w:t>
      </w:r>
    </w:p>
    <w:p w14:paraId="11ADC480" w14:textId="77777777" w:rsidR="00351A1C" w:rsidRPr="003516A4" w:rsidRDefault="00351A1C" w:rsidP="00763097">
      <w:pPr>
        <w:jc w:val="both"/>
        <w:rPr>
          <w:rFonts w:ascii="Calibri" w:hAnsi="Calibri"/>
          <w:b/>
          <w:highlight w:val="yellow"/>
        </w:rPr>
      </w:pPr>
    </w:p>
    <w:p w14:paraId="52581D65" w14:textId="678FFCA2" w:rsidR="00E460B1" w:rsidRDefault="00E460B1" w:rsidP="00763097">
      <w:pPr>
        <w:jc w:val="both"/>
        <w:rPr>
          <w:noProof/>
          <w:highlight w:val="yellow"/>
          <w:lang w:val="en-GB" w:eastAsia="en-GB"/>
        </w:rPr>
      </w:pPr>
    </w:p>
    <w:p w14:paraId="19DBCDE3" w14:textId="4D53ACE2" w:rsidR="002B67FD" w:rsidRDefault="002B67FD" w:rsidP="00763097">
      <w:pPr>
        <w:jc w:val="both"/>
        <w:rPr>
          <w:noProof/>
          <w:highlight w:val="yellow"/>
          <w:lang w:val="en-GB" w:eastAsia="en-GB"/>
        </w:rPr>
      </w:pPr>
    </w:p>
    <w:p w14:paraId="1E1C32BE" w14:textId="77777777" w:rsidR="002B67FD" w:rsidRPr="003516A4" w:rsidRDefault="002B67FD" w:rsidP="00763097">
      <w:pPr>
        <w:jc w:val="both"/>
        <w:rPr>
          <w:rFonts w:ascii="Calibri" w:hAnsi="Calibri"/>
          <w:b/>
          <w:highlight w:val="yellow"/>
        </w:rPr>
      </w:pPr>
    </w:p>
    <w:p w14:paraId="196C7CB1" w14:textId="77777777" w:rsidR="00351A1C" w:rsidRPr="002B67FD" w:rsidRDefault="00351A1C" w:rsidP="00763097">
      <w:pPr>
        <w:jc w:val="both"/>
        <w:rPr>
          <w:rFonts w:ascii="Calibri" w:hAnsi="Calibri"/>
          <w:b/>
        </w:rPr>
      </w:pPr>
      <w:r w:rsidRPr="002B67FD">
        <w:rPr>
          <w:rFonts w:ascii="Calibri" w:hAnsi="Calibri"/>
          <w:b/>
        </w:rPr>
        <w:t xml:space="preserve">Kelvin Menon, </w:t>
      </w:r>
      <w:r w:rsidRPr="002B67FD">
        <w:rPr>
          <w:rFonts w:ascii="Calibri" w:hAnsi="Calibri"/>
        </w:rPr>
        <w:t>Chief Finance Officer, Office of the PCC for Surrey</w:t>
      </w:r>
    </w:p>
    <w:p w14:paraId="71F85356" w14:textId="77777777" w:rsidR="00F2623E" w:rsidRPr="003516A4" w:rsidRDefault="00F2623E" w:rsidP="00763097">
      <w:pPr>
        <w:jc w:val="both"/>
        <w:rPr>
          <w:rFonts w:ascii="Calibri" w:hAnsi="Calibri"/>
          <w:highlight w:val="yellow"/>
        </w:rPr>
      </w:pPr>
    </w:p>
    <w:p w14:paraId="5EA1FD8E" w14:textId="3AD3784B" w:rsidR="00E460B1" w:rsidRPr="003516A4" w:rsidRDefault="00054BB1" w:rsidP="00763097">
      <w:pPr>
        <w:jc w:val="both"/>
        <w:rPr>
          <w:rFonts w:ascii="Calibri" w:hAnsi="Calibri"/>
          <w:highlight w:val="yellow"/>
        </w:rPr>
      </w:pPr>
      <w:r w:rsidRPr="003516A4">
        <w:rPr>
          <w:rFonts w:ascii="Calibri" w:hAnsi="Calibri"/>
          <w:highlight w:val="yellow"/>
        </w:rPr>
        <w:t>Date:</w:t>
      </w:r>
      <w:r w:rsidR="00AB1A88" w:rsidRPr="003516A4">
        <w:rPr>
          <w:rFonts w:ascii="Calibri" w:hAnsi="Calibri"/>
          <w:highlight w:val="yellow"/>
        </w:rPr>
        <w:t xml:space="preserve"> </w:t>
      </w:r>
    </w:p>
    <w:p w14:paraId="07891F69" w14:textId="77777777" w:rsidR="00054BB1" w:rsidRPr="003516A4" w:rsidRDefault="00054BB1" w:rsidP="00763097">
      <w:pPr>
        <w:jc w:val="both"/>
        <w:rPr>
          <w:rFonts w:ascii="Calibri" w:hAnsi="Calibri"/>
          <w:highlight w:val="yellow"/>
        </w:rPr>
      </w:pPr>
    </w:p>
    <w:p w14:paraId="3286A50F" w14:textId="77777777" w:rsidR="001B61EC" w:rsidRPr="002B67FD" w:rsidRDefault="001B61EC" w:rsidP="00763097">
      <w:pPr>
        <w:jc w:val="both"/>
        <w:rPr>
          <w:rFonts w:ascii="Calibri" w:hAnsi="Calibri"/>
        </w:rPr>
      </w:pPr>
    </w:p>
    <w:p w14:paraId="727706D7" w14:textId="77777777" w:rsidR="00360A13" w:rsidRPr="002B67FD" w:rsidRDefault="00360A13" w:rsidP="00763097">
      <w:pPr>
        <w:jc w:val="both"/>
        <w:rPr>
          <w:rFonts w:ascii="Calibri" w:hAnsi="Calibri"/>
        </w:rPr>
      </w:pPr>
      <w:r w:rsidRPr="002B67FD">
        <w:rPr>
          <w:rFonts w:ascii="Calibri" w:hAnsi="Calibri"/>
        </w:rPr>
        <w:t>Contact details:</w:t>
      </w:r>
    </w:p>
    <w:p w14:paraId="5B4E5081" w14:textId="77777777" w:rsidR="00360A13" w:rsidRPr="002B67FD" w:rsidRDefault="00360A13" w:rsidP="00763097">
      <w:pPr>
        <w:jc w:val="both"/>
        <w:rPr>
          <w:rFonts w:ascii="Calibri" w:hAnsi="Calibri"/>
        </w:rPr>
      </w:pPr>
      <w:r w:rsidRPr="002B67FD">
        <w:rPr>
          <w:rFonts w:ascii="Calibri" w:hAnsi="Calibri"/>
        </w:rPr>
        <w:t>Kelvin Menon, Chief Finance Officer</w:t>
      </w:r>
    </w:p>
    <w:p w14:paraId="66733C01" w14:textId="77777777" w:rsidR="00360A13" w:rsidRPr="002B67FD" w:rsidRDefault="0041394A" w:rsidP="00763097">
      <w:pPr>
        <w:jc w:val="both"/>
        <w:rPr>
          <w:rFonts w:ascii="Calibri" w:hAnsi="Calibri"/>
        </w:rPr>
      </w:pPr>
      <w:hyperlink r:id="rId27" w:history="1">
        <w:r w:rsidR="00360A13" w:rsidRPr="002B67FD">
          <w:rPr>
            <w:rStyle w:val="Hyperlink"/>
            <w:rFonts w:ascii="Calibri" w:hAnsi="Calibri"/>
          </w:rPr>
          <w:t>Kelvin.Menon@Surrey.pnn.police.uk</w:t>
        </w:r>
      </w:hyperlink>
    </w:p>
    <w:p w14:paraId="2600C824" w14:textId="77777777" w:rsidR="00763097" w:rsidRPr="003516A4" w:rsidRDefault="00763097" w:rsidP="00D91109">
      <w:pPr>
        <w:jc w:val="both"/>
        <w:rPr>
          <w:rFonts w:ascii="Calibri" w:hAnsi="Calibri"/>
          <w:highlight w:val="yellow"/>
        </w:rPr>
      </w:pPr>
    </w:p>
    <w:p w14:paraId="070ACDE5" w14:textId="77777777" w:rsidR="00863B22" w:rsidRPr="003516A4" w:rsidRDefault="00863B22">
      <w:pPr>
        <w:rPr>
          <w:rFonts w:ascii="Calibri" w:hAnsi="Calibri"/>
          <w:highlight w:val="yellow"/>
        </w:rPr>
      </w:pPr>
      <w:r w:rsidRPr="003516A4">
        <w:rPr>
          <w:rFonts w:ascii="Calibri" w:hAnsi="Calibri"/>
          <w:highlight w:val="yellow"/>
        </w:rPr>
        <w:br w:type="page"/>
      </w:r>
    </w:p>
    <w:p w14:paraId="4489823D" w14:textId="0E442F98" w:rsidR="00763097" w:rsidRPr="007679A9" w:rsidRDefault="00763097" w:rsidP="00763097">
      <w:pPr>
        <w:pStyle w:val="NormalWeb1"/>
        <w:rPr>
          <w:rFonts w:ascii="Calibri" w:hAnsi="Calibri" w:cs="Arial"/>
          <w:b/>
        </w:rPr>
      </w:pPr>
      <w:r w:rsidRPr="007679A9">
        <w:rPr>
          <w:rFonts w:ascii="Calibri" w:hAnsi="Calibri" w:cs="Arial"/>
          <w:b/>
        </w:rPr>
        <w:t>Appendix A:  Areas for Improvement - Action Plan 202</w:t>
      </w:r>
      <w:r w:rsidR="007679A9" w:rsidRPr="007679A9">
        <w:rPr>
          <w:rFonts w:ascii="Calibri" w:hAnsi="Calibri" w:cs="Arial"/>
          <w:b/>
        </w:rPr>
        <w:t>1</w:t>
      </w:r>
      <w:r w:rsidRPr="007679A9">
        <w:rPr>
          <w:rFonts w:ascii="Calibri" w:hAnsi="Calibri" w:cs="Arial"/>
          <w:b/>
        </w:rPr>
        <w:t>-202</w:t>
      </w:r>
      <w:r w:rsidR="007679A9" w:rsidRPr="007679A9">
        <w:rPr>
          <w:rFonts w:ascii="Calibri" w:hAnsi="Calibri" w:cs="Arial"/>
          <w:b/>
        </w:rPr>
        <w:t>2</w:t>
      </w:r>
    </w:p>
    <w:p w14:paraId="6A5632E7" w14:textId="77777777" w:rsidR="00763097" w:rsidRPr="007679A9" w:rsidRDefault="00763097" w:rsidP="00763097">
      <w:pPr>
        <w:pStyle w:val="NormalWeb1"/>
        <w:rPr>
          <w:rFonts w:ascii="Calibri" w:hAnsi="Calibri" w:cs="Arial"/>
          <w:b/>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8"/>
        <w:gridCol w:w="6064"/>
        <w:gridCol w:w="1823"/>
        <w:gridCol w:w="2319"/>
      </w:tblGrid>
      <w:tr w:rsidR="00763097" w:rsidRPr="007679A9" w14:paraId="7524075D" w14:textId="77777777" w:rsidTr="00C80C35">
        <w:trPr>
          <w:jc w:val="center"/>
        </w:trPr>
        <w:tc>
          <w:tcPr>
            <w:tcW w:w="691" w:type="dxa"/>
            <w:shd w:val="clear" w:color="auto" w:fill="F2F2F2"/>
          </w:tcPr>
          <w:p w14:paraId="07EBB278" w14:textId="77777777" w:rsidR="00763097" w:rsidRPr="007679A9" w:rsidRDefault="00763097" w:rsidP="00C80C35">
            <w:pPr>
              <w:spacing w:before="40" w:after="40" w:line="259" w:lineRule="auto"/>
              <w:jc w:val="center"/>
              <w:rPr>
                <w:rFonts w:ascii="Calibri" w:eastAsia="Calibri" w:hAnsi="Calibri"/>
                <w:b/>
                <w:i/>
                <w:color w:val="333333"/>
                <w:sz w:val="18"/>
                <w:szCs w:val="18"/>
              </w:rPr>
            </w:pPr>
            <w:r w:rsidRPr="007679A9">
              <w:rPr>
                <w:rFonts w:ascii="Calibri" w:eastAsia="Calibri" w:hAnsi="Calibri"/>
                <w:b/>
                <w:i/>
                <w:color w:val="333333"/>
                <w:sz w:val="18"/>
                <w:szCs w:val="18"/>
              </w:rPr>
              <w:t>Ref</w:t>
            </w:r>
          </w:p>
        </w:tc>
        <w:tc>
          <w:tcPr>
            <w:tcW w:w="6082" w:type="dxa"/>
            <w:gridSpan w:val="2"/>
            <w:shd w:val="clear" w:color="auto" w:fill="F2F2F2"/>
          </w:tcPr>
          <w:p w14:paraId="782A644E" w14:textId="77777777" w:rsidR="00763097" w:rsidRPr="007679A9" w:rsidRDefault="00763097" w:rsidP="00C80C35">
            <w:pPr>
              <w:spacing w:before="40" w:after="40" w:line="259" w:lineRule="auto"/>
              <w:jc w:val="center"/>
              <w:rPr>
                <w:rFonts w:ascii="Calibri" w:eastAsia="Calibri" w:hAnsi="Calibri"/>
                <w:b/>
                <w:i/>
                <w:color w:val="333333"/>
              </w:rPr>
            </w:pPr>
            <w:r w:rsidRPr="007679A9">
              <w:rPr>
                <w:rFonts w:ascii="Calibri" w:eastAsia="Calibri" w:hAnsi="Calibri"/>
                <w:b/>
                <w:i/>
                <w:color w:val="333333"/>
              </w:rPr>
              <w:t>Area for improvement</w:t>
            </w:r>
          </w:p>
        </w:tc>
        <w:tc>
          <w:tcPr>
            <w:tcW w:w="1823" w:type="dxa"/>
            <w:shd w:val="clear" w:color="auto" w:fill="F2F2F2"/>
          </w:tcPr>
          <w:p w14:paraId="0D5705D1" w14:textId="77777777" w:rsidR="00763097" w:rsidRPr="007679A9" w:rsidRDefault="00763097" w:rsidP="00C80C35">
            <w:pPr>
              <w:spacing w:before="40" w:after="40" w:line="259" w:lineRule="auto"/>
              <w:jc w:val="center"/>
              <w:rPr>
                <w:rFonts w:ascii="Calibri" w:eastAsia="Calibri" w:hAnsi="Calibri"/>
                <w:b/>
                <w:i/>
                <w:color w:val="333333"/>
              </w:rPr>
            </w:pPr>
            <w:r w:rsidRPr="007679A9">
              <w:rPr>
                <w:rFonts w:ascii="Calibri" w:eastAsia="Calibri" w:hAnsi="Calibri"/>
                <w:b/>
                <w:i/>
                <w:color w:val="333333"/>
              </w:rPr>
              <w:t>Owner</w:t>
            </w:r>
          </w:p>
        </w:tc>
        <w:tc>
          <w:tcPr>
            <w:tcW w:w="2319" w:type="dxa"/>
            <w:shd w:val="clear" w:color="auto" w:fill="F2F2F2"/>
          </w:tcPr>
          <w:p w14:paraId="5E86D19B" w14:textId="77777777" w:rsidR="00763097" w:rsidRPr="007679A9" w:rsidRDefault="00A7403F" w:rsidP="00C80C35">
            <w:pPr>
              <w:spacing w:before="40" w:after="40" w:line="259" w:lineRule="auto"/>
              <w:jc w:val="center"/>
              <w:rPr>
                <w:rFonts w:ascii="Calibri" w:eastAsia="Calibri" w:hAnsi="Calibri"/>
                <w:b/>
                <w:i/>
                <w:color w:val="333333"/>
              </w:rPr>
            </w:pPr>
            <w:r w:rsidRPr="007679A9">
              <w:rPr>
                <w:rFonts w:ascii="Calibri" w:eastAsia="Calibri" w:hAnsi="Calibri"/>
                <w:b/>
                <w:i/>
                <w:color w:val="333333"/>
              </w:rPr>
              <w:t>C</w:t>
            </w:r>
            <w:r w:rsidR="00763097" w:rsidRPr="007679A9">
              <w:rPr>
                <w:rFonts w:ascii="Calibri" w:eastAsia="Calibri" w:hAnsi="Calibri"/>
                <w:b/>
                <w:i/>
                <w:color w:val="333333"/>
              </w:rPr>
              <w:t>ompletion</w:t>
            </w:r>
            <w:r w:rsidRPr="007679A9">
              <w:rPr>
                <w:rFonts w:ascii="Calibri" w:eastAsia="Calibri" w:hAnsi="Calibri"/>
                <w:b/>
                <w:i/>
                <w:color w:val="333333"/>
              </w:rPr>
              <w:t xml:space="preserve"> Target</w:t>
            </w:r>
            <w:r w:rsidR="00763097" w:rsidRPr="007679A9">
              <w:rPr>
                <w:rFonts w:ascii="Calibri" w:eastAsia="Calibri" w:hAnsi="Calibri"/>
                <w:b/>
                <w:i/>
                <w:color w:val="333333"/>
              </w:rPr>
              <w:t xml:space="preserve"> dates</w:t>
            </w:r>
          </w:p>
        </w:tc>
      </w:tr>
      <w:tr w:rsidR="00763097" w:rsidRPr="003516A4" w14:paraId="3E20D6B6" w14:textId="77777777" w:rsidTr="007679A9">
        <w:trPr>
          <w:jc w:val="center"/>
        </w:trPr>
        <w:tc>
          <w:tcPr>
            <w:tcW w:w="10915" w:type="dxa"/>
            <w:gridSpan w:val="5"/>
            <w:shd w:val="clear" w:color="auto" w:fill="auto"/>
          </w:tcPr>
          <w:p w14:paraId="023B75BF" w14:textId="1D96B28C" w:rsidR="00763097" w:rsidRPr="007679A9" w:rsidRDefault="00763097" w:rsidP="00AC18BA">
            <w:pPr>
              <w:spacing w:before="60" w:after="60"/>
              <w:rPr>
                <w:rFonts w:ascii="Calibri" w:eastAsia="Calibri" w:hAnsi="Calibri"/>
                <w:b/>
                <w:caps/>
              </w:rPr>
            </w:pPr>
            <w:r w:rsidRPr="007679A9">
              <w:rPr>
                <w:rFonts w:ascii="Calibri" w:eastAsia="Calibri" w:hAnsi="Calibri"/>
                <w:b/>
                <w:caps/>
              </w:rPr>
              <w:t>Issues carried over from 20</w:t>
            </w:r>
            <w:r w:rsidR="00A7403F" w:rsidRPr="007679A9">
              <w:rPr>
                <w:rFonts w:ascii="Calibri" w:eastAsia="Calibri" w:hAnsi="Calibri"/>
                <w:b/>
                <w:caps/>
              </w:rPr>
              <w:t>1</w:t>
            </w:r>
            <w:r w:rsidR="00AC18BA">
              <w:rPr>
                <w:rFonts w:ascii="Calibri" w:eastAsia="Calibri" w:hAnsi="Calibri"/>
                <w:b/>
                <w:caps/>
              </w:rPr>
              <w:t>9</w:t>
            </w:r>
            <w:r w:rsidRPr="007679A9">
              <w:rPr>
                <w:rFonts w:ascii="Calibri" w:eastAsia="Calibri" w:hAnsi="Calibri"/>
                <w:b/>
                <w:caps/>
              </w:rPr>
              <w:t>-</w:t>
            </w:r>
            <w:r w:rsidR="00AC18BA">
              <w:rPr>
                <w:rFonts w:ascii="Calibri" w:eastAsia="Calibri" w:hAnsi="Calibri"/>
                <w:b/>
                <w:caps/>
              </w:rPr>
              <w:t>20</w:t>
            </w:r>
            <w:r w:rsidRPr="007679A9">
              <w:rPr>
                <w:rFonts w:ascii="Calibri" w:eastAsia="Calibri" w:hAnsi="Calibri"/>
                <w:b/>
                <w:caps/>
              </w:rPr>
              <w:t xml:space="preserve"> AGS action plan</w:t>
            </w:r>
          </w:p>
        </w:tc>
      </w:tr>
      <w:tr w:rsidR="00763097" w:rsidRPr="003516A4" w14:paraId="4EF3150E" w14:textId="77777777" w:rsidTr="00C80C35">
        <w:trPr>
          <w:trHeight w:val="1248"/>
          <w:jc w:val="center"/>
        </w:trPr>
        <w:tc>
          <w:tcPr>
            <w:tcW w:w="691" w:type="dxa"/>
            <w:shd w:val="clear" w:color="auto" w:fill="auto"/>
          </w:tcPr>
          <w:p w14:paraId="0CD9D20C" w14:textId="77777777" w:rsidR="00763097" w:rsidRPr="00806577" w:rsidRDefault="00763097" w:rsidP="00C80C35">
            <w:pPr>
              <w:spacing w:before="40" w:after="40"/>
              <w:jc w:val="center"/>
              <w:rPr>
                <w:rFonts w:ascii="Calibri" w:eastAsia="Calibri" w:hAnsi="Calibri"/>
                <w:sz w:val="18"/>
                <w:szCs w:val="18"/>
              </w:rPr>
            </w:pPr>
            <w:r w:rsidRPr="00806577">
              <w:rPr>
                <w:rFonts w:ascii="Calibri" w:eastAsia="Calibri" w:hAnsi="Calibri"/>
                <w:sz w:val="18"/>
                <w:szCs w:val="18"/>
              </w:rPr>
              <w:t>1</w:t>
            </w:r>
          </w:p>
        </w:tc>
        <w:tc>
          <w:tcPr>
            <w:tcW w:w="6082" w:type="dxa"/>
            <w:gridSpan w:val="2"/>
            <w:shd w:val="clear" w:color="auto" w:fill="auto"/>
          </w:tcPr>
          <w:p w14:paraId="51268249" w14:textId="77777777" w:rsidR="00763097" w:rsidRPr="00806577" w:rsidRDefault="00763097" w:rsidP="00C80C35">
            <w:pPr>
              <w:spacing w:before="40" w:after="40"/>
              <w:rPr>
                <w:rFonts w:ascii="Calibri" w:hAnsi="Calibri"/>
                <w:sz w:val="18"/>
                <w:szCs w:val="18"/>
                <w:lang w:eastAsia="en-GB"/>
              </w:rPr>
            </w:pPr>
            <w:r w:rsidRPr="00806577">
              <w:rPr>
                <w:rFonts w:ascii="Calibri" w:hAnsi="Calibri"/>
                <w:b/>
                <w:color w:val="002060"/>
                <w:sz w:val="18"/>
                <w:szCs w:val="18"/>
              </w:rPr>
              <w:t>Further improvements to financial reporting identified by the Executive Director Finance Commercial Services</w:t>
            </w:r>
            <w:r w:rsidRPr="00806577">
              <w:rPr>
                <w:rFonts w:ascii="Calibri" w:hAnsi="Calibri"/>
                <w:color w:val="000000"/>
                <w:sz w:val="18"/>
                <w:szCs w:val="18"/>
              </w:rPr>
              <w:t xml:space="preserve"> – including improvements required in processes used by the joint Surrey/Sussex Management Accounting team, and enhanced frequency/content of external financial reporting agreed with the OSPCC CFO</w:t>
            </w:r>
            <w:r w:rsidRPr="00806577">
              <w:rPr>
                <w:rFonts w:ascii="Calibri" w:hAnsi="Calibri"/>
                <w:sz w:val="18"/>
                <w:szCs w:val="18"/>
                <w:lang w:eastAsia="en-GB"/>
              </w:rPr>
              <w:t>.</w:t>
            </w:r>
          </w:p>
          <w:p w14:paraId="1B5BDD3E" w14:textId="149F0263" w:rsidR="00063AD2" w:rsidRPr="00806577" w:rsidRDefault="00063AD2" w:rsidP="00C80C35">
            <w:pPr>
              <w:spacing w:before="40" w:after="40"/>
              <w:rPr>
                <w:rFonts w:ascii="Calibri" w:hAnsi="Calibri"/>
                <w:sz w:val="18"/>
                <w:szCs w:val="18"/>
                <w:lang w:eastAsia="en-GB"/>
              </w:rPr>
            </w:pPr>
            <w:r w:rsidRPr="00806577">
              <w:rPr>
                <w:rFonts w:ascii="Calibri" w:hAnsi="Calibri"/>
                <w:sz w:val="18"/>
                <w:szCs w:val="18"/>
                <w:lang w:eastAsia="en-GB"/>
              </w:rPr>
              <w:t>The Finance collaboration restructure has been implemented with some redundancies due to professional qualification requirements which will in time increase service capability. This approach was endorsed by CIPFA as part of the new model and progression towards the 5* service and Achieving Finance Excellence in Policing (AEFP).</w:t>
            </w:r>
          </w:p>
        </w:tc>
        <w:tc>
          <w:tcPr>
            <w:tcW w:w="1823" w:type="dxa"/>
            <w:shd w:val="clear" w:color="auto" w:fill="auto"/>
          </w:tcPr>
          <w:p w14:paraId="2E4366EC" w14:textId="77777777" w:rsidR="00763097" w:rsidRPr="00806577" w:rsidRDefault="00763097" w:rsidP="00C80C35">
            <w:pPr>
              <w:spacing w:before="40" w:after="40"/>
              <w:rPr>
                <w:rFonts w:ascii="Calibri" w:eastAsia="Calibri" w:hAnsi="Calibri"/>
                <w:color w:val="333333"/>
                <w:sz w:val="18"/>
                <w:szCs w:val="18"/>
              </w:rPr>
            </w:pPr>
            <w:r w:rsidRPr="00806577">
              <w:rPr>
                <w:rFonts w:ascii="Calibri" w:hAnsi="Calibri"/>
                <w:sz w:val="18"/>
                <w:szCs w:val="18"/>
                <w:lang w:eastAsia="en-GB"/>
              </w:rPr>
              <w:t>Executive Director of Commercial and Finance</w:t>
            </w:r>
          </w:p>
          <w:p w14:paraId="6AD02594" w14:textId="77777777" w:rsidR="00763097" w:rsidRPr="00806577" w:rsidRDefault="00763097" w:rsidP="00C80C35">
            <w:pPr>
              <w:spacing w:before="40" w:after="40"/>
              <w:rPr>
                <w:rFonts w:ascii="Calibri" w:eastAsia="Calibri" w:hAnsi="Calibri"/>
                <w:color w:val="333333"/>
                <w:sz w:val="18"/>
                <w:szCs w:val="18"/>
              </w:rPr>
            </w:pPr>
          </w:p>
        </w:tc>
        <w:tc>
          <w:tcPr>
            <w:tcW w:w="2319" w:type="dxa"/>
          </w:tcPr>
          <w:p w14:paraId="4E3E814C" w14:textId="1B46D8A4" w:rsidR="00763097" w:rsidRPr="00806577" w:rsidRDefault="007679A9" w:rsidP="00D91109">
            <w:pPr>
              <w:tabs>
                <w:tab w:val="left" w:pos="0"/>
              </w:tabs>
              <w:overflowPunct w:val="0"/>
              <w:autoSpaceDE w:val="0"/>
              <w:autoSpaceDN w:val="0"/>
              <w:adjustRightInd w:val="0"/>
              <w:spacing w:before="40" w:after="40"/>
              <w:jc w:val="center"/>
              <w:textAlignment w:val="baseline"/>
              <w:rPr>
                <w:rFonts w:ascii="Calibri" w:eastAsia="Calibri" w:hAnsi="Calibri"/>
                <w:sz w:val="18"/>
                <w:szCs w:val="18"/>
              </w:rPr>
            </w:pPr>
            <w:r w:rsidRPr="00806577">
              <w:rPr>
                <w:rFonts w:ascii="Calibri" w:eastAsia="Calibri" w:hAnsi="Calibri"/>
                <w:sz w:val="18"/>
                <w:szCs w:val="18"/>
              </w:rPr>
              <w:t>31.03.22 ongoing as part of continuous improvement throughout 2021-22</w:t>
            </w:r>
          </w:p>
        </w:tc>
      </w:tr>
      <w:tr w:rsidR="00763097" w:rsidRPr="003516A4" w14:paraId="2AF7025B" w14:textId="77777777" w:rsidTr="00C80C35">
        <w:trPr>
          <w:jc w:val="center"/>
        </w:trPr>
        <w:tc>
          <w:tcPr>
            <w:tcW w:w="691" w:type="dxa"/>
            <w:shd w:val="clear" w:color="auto" w:fill="auto"/>
          </w:tcPr>
          <w:p w14:paraId="5E7B88C2" w14:textId="77777777" w:rsidR="00763097" w:rsidRPr="0041394A" w:rsidRDefault="00763097" w:rsidP="00C80C35">
            <w:pPr>
              <w:spacing w:before="40" w:after="40"/>
              <w:jc w:val="center"/>
              <w:rPr>
                <w:rFonts w:ascii="Calibri" w:eastAsia="Calibri" w:hAnsi="Calibri"/>
                <w:sz w:val="18"/>
                <w:szCs w:val="18"/>
              </w:rPr>
            </w:pPr>
            <w:r w:rsidRPr="0041394A">
              <w:rPr>
                <w:rFonts w:ascii="Calibri" w:eastAsia="Calibri" w:hAnsi="Calibri"/>
                <w:sz w:val="18"/>
                <w:szCs w:val="18"/>
              </w:rPr>
              <w:t>2</w:t>
            </w:r>
          </w:p>
        </w:tc>
        <w:tc>
          <w:tcPr>
            <w:tcW w:w="6082" w:type="dxa"/>
            <w:gridSpan w:val="2"/>
            <w:shd w:val="clear" w:color="auto" w:fill="auto"/>
          </w:tcPr>
          <w:p w14:paraId="443A700A" w14:textId="77777777" w:rsidR="00763097" w:rsidRPr="0041394A" w:rsidRDefault="00763097" w:rsidP="00C80C35">
            <w:pPr>
              <w:spacing w:before="40" w:after="40"/>
              <w:rPr>
                <w:rFonts w:ascii="Calibri" w:hAnsi="Calibri"/>
                <w:b/>
                <w:color w:val="002060"/>
                <w:sz w:val="18"/>
                <w:szCs w:val="18"/>
              </w:rPr>
            </w:pPr>
            <w:r w:rsidRPr="0041394A">
              <w:rPr>
                <w:rFonts w:ascii="Calibri" w:hAnsi="Calibri"/>
                <w:b/>
                <w:color w:val="002060"/>
                <w:sz w:val="18"/>
                <w:szCs w:val="18"/>
              </w:rPr>
              <w:t>ERP Payroll Extra Costs – limited assurance internal audit opinion</w:t>
            </w:r>
          </w:p>
          <w:p w14:paraId="40250E9D" w14:textId="77777777" w:rsidR="00763097" w:rsidRPr="0041394A" w:rsidRDefault="00763097" w:rsidP="00C80C35">
            <w:pPr>
              <w:spacing w:before="40" w:after="40"/>
              <w:rPr>
                <w:rFonts w:ascii="Calibri" w:hAnsi="Calibri" w:cs="Times New Roman"/>
                <w:bCs/>
                <w:color w:val="000000"/>
                <w:sz w:val="18"/>
                <w:szCs w:val="18"/>
                <w:lang w:eastAsia="en-GB"/>
              </w:rPr>
            </w:pPr>
            <w:r w:rsidRPr="0041394A">
              <w:rPr>
                <w:rFonts w:ascii="Calibri" w:hAnsi="Calibri" w:cs="Times New Roman"/>
                <w:bCs/>
                <w:color w:val="000000"/>
                <w:sz w:val="18"/>
                <w:szCs w:val="18"/>
                <w:lang w:eastAsia="en-GB"/>
              </w:rPr>
              <w:t>Lack of detailed definition and agreement of the costs to be included in any recharges could lead to dispute. Costs are not captured and recharged completely and accurately. Actions as set out in the report.</w:t>
            </w:r>
          </w:p>
          <w:p w14:paraId="68AE61D1" w14:textId="77777777" w:rsidR="00806577" w:rsidRPr="00806577" w:rsidRDefault="00806577" w:rsidP="00806577">
            <w:pPr>
              <w:spacing w:before="40" w:after="40"/>
              <w:rPr>
                <w:rFonts w:ascii="Calibri" w:hAnsi="Calibri" w:cs="Times New Roman"/>
                <w:bCs/>
                <w:color w:val="000000"/>
                <w:sz w:val="18"/>
                <w:szCs w:val="18"/>
                <w:lang w:eastAsia="en-GB"/>
              </w:rPr>
            </w:pPr>
            <w:r w:rsidRPr="00806577">
              <w:rPr>
                <w:rFonts w:ascii="Calibri" w:hAnsi="Calibri" w:cs="Times New Roman"/>
                <w:bCs/>
                <w:color w:val="000000"/>
                <w:sz w:val="18"/>
                <w:szCs w:val="18"/>
                <w:lang w:eastAsia="en-GB"/>
              </w:rPr>
              <w:t>Following closure of the Equip programme in December 2020, the identified risk regarding cross charging between forces and KPMG is no longer applicable.</w:t>
            </w:r>
          </w:p>
          <w:p w14:paraId="10E90940" w14:textId="04EB8564" w:rsidR="00806577" w:rsidRPr="0041394A" w:rsidRDefault="00806577" w:rsidP="00806577">
            <w:pPr>
              <w:spacing w:before="40" w:after="40"/>
              <w:rPr>
                <w:rFonts w:ascii="Calibri" w:hAnsi="Calibri" w:cs="Times New Roman"/>
                <w:bCs/>
                <w:color w:val="000000"/>
                <w:sz w:val="18"/>
                <w:szCs w:val="18"/>
                <w:lang w:eastAsia="en-GB"/>
              </w:rPr>
            </w:pPr>
            <w:r w:rsidRPr="00806577">
              <w:rPr>
                <w:rFonts w:ascii="Calibri" w:hAnsi="Calibri" w:cs="Times New Roman"/>
                <w:bCs/>
                <w:color w:val="000000"/>
                <w:sz w:val="18"/>
                <w:szCs w:val="18"/>
                <w:lang w:eastAsia="en-GB"/>
              </w:rPr>
              <w:t>This internal audit action was therefore approved for retirement at Force ORB meetings in May 2021.</w:t>
            </w:r>
          </w:p>
        </w:tc>
        <w:tc>
          <w:tcPr>
            <w:tcW w:w="1823" w:type="dxa"/>
            <w:shd w:val="clear" w:color="auto" w:fill="auto"/>
          </w:tcPr>
          <w:p w14:paraId="57149904" w14:textId="77777777" w:rsidR="00763097" w:rsidRPr="0041394A" w:rsidRDefault="00763097" w:rsidP="00C80C35">
            <w:pPr>
              <w:spacing w:before="40" w:after="40"/>
              <w:rPr>
                <w:rFonts w:ascii="Calibri" w:eastAsia="Calibri" w:hAnsi="Calibri"/>
                <w:sz w:val="18"/>
                <w:szCs w:val="18"/>
              </w:rPr>
            </w:pPr>
            <w:r w:rsidRPr="0041394A">
              <w:rPr>
                <w:rFonts w:ascii="Calibri" w:eastAsia="Calibri" w:hAnsi="Calibri"/>
                <w:sz w:val="18"/>
                <w:szCs w:val="18"/>
              </w:rPr>
              <w:t xml:space="preserve"> Chief Digital and Information Officer</w:t>
            </w:r>
          </w:p>
        </w:tc>
        <w:tc>
          <w:tcPr>
            <w:tcW w:w="2319" w:type="dxa"/>
          </w:tcPr>
          <w:p w14:paraId="4C3F1435" w14:textId="30BA8CC3" w:rsidR="00763097" w:rsidRPr="0041394A" w:rsidRDefault="00806577" w:rsidP="0041394A">
            <w:pPr>
              <w:tabs>
                <w:tab w:val="left" w:pos="0"/>
              </w:tabs>
              <w:overflowPunct w:val="0"/>
              <w:autoSpaceDE w:val="0"/>
              <w:autoSpaceDN w:val="0"/>
              <w:adjustRightInd w:val="0"/>
              <w:spacing w:before="40" w:after="40"/>
              <w:jc w:val="center"/>
              <w:textAlignment w:val="baseline"/>
              <w:rPr>
                <w:rFonts w:ascii="Calibri" w:eastAsia="Calibri" w:hAnsi="Calibri"/>
                <w:sz w:val="18"/>
                <w:szCs w:val="18"/>
              </w:rPr>
            </w:pPr>
            <w:r w:rsidRPr="0041394A">
              <w:rPr>
                <w:rFonts w:ascii="Calibri" w:eastAsia="Calibri" w:hAnsi="Calibri" w:cs="Calibri"/>
                <w:sz w:val="18"/>
                <w:szCs w:val="18"/>
              </w:rPr>
              <w:t>Action Retired</w:t>
            </w:r>
          </w:p>
        </w:tc>
      </w:tr>
      <w:tr w:rsidR="00763097" w:rsidRPr="003516A4" w14:paraId="32743B1D" w14:textId="77777777" w:rsidTr="00C80C35">
        <w:trPr>
          <w:jc w:val="center"/>
        </w:trPr>
        <w:tc>
          <w:tcPr>
            <w:tcW w:w="691" w:type="dxa"/>
            <w:shd w:val="clear" w:color="auto" w:fill="auto"/>
          </w:tcPr>
          <w:p w14:paraId="61223360" w14:textId="77777777" w:rsidR="00763097" w:rsidRPr="0041394A" w:rsidRDefault="00763097" w:rsidP="00C80C35">
            <w:pPr>
              <w:spacing w:before="40" w:after="40"/>
              <w:jc w:val="center"/>
              <w:rPr>
                <w:rFonts w:ascii="Calibri" w:eastAsia="Calibri" w:hAnsi="Calibri"/>
                <w:sz w:val="18"/>
                <w:szCs w:val="18"/>
              </w:rPr>
            </w:pPr>
            <w:r w:rsidRPr="0041394A">
              <w:rPr>
                <w:rFonts w:ascii="Calibri" w:eastAsia="Calibri" w:hAnsi="Calibri"/>
                <w:sz w:val="18"/>
                <w:szCs w:val="18"/>
              </w:rPr>
              <w:t>3</w:t>
            </w:r>
          </w:p>
        </w:tc>
        <w:tc>
          <w:tcPr>
            <w:tcW w:w="6082" w:type="dxa"/>
            <w:gridSpan w:val="2"/>
            <w:shd w:val="clear" w:color="auto" w:fill="auto"/>
          </w:tcPr>
          <w:p w14:paraId="7819CD4D" w14:textId="77777777" w:rsidR="00763097" w:rsidRPr="0041394A" w:rsidRDefault="00763097" w:rsidP="00C80C35">
            <w:pPr>
              <w:spacing w:before="40" w:after="40"/>
              <w:rPr>
                <w:rFonts w:ascii="Calibri" w:eastAsia="Calibri" w:hAnsi="Calibri" w:cs="Times New Roman"/>
                <w:b/>
                <w:color w:val="1F3864"/>
                <w:sz w:val="18"/>
                <w:szCs w:val="18"/>
              </w:rPr>
            </w:pPr>
            <w:r w:rsidRPr="0041394A">
              <w:rPr>
                <w:rFonts w:ascii="Calibri" w:eastAsia="Calibri" w:hAnsi="Calibri" w:cs="Times New Roman"/>
                <w:b/>
                <w:color w:val="1F3864"/>
                <w:sz w:val="18"/>
                <w:szCs w:val="18"/>
              </w:rPr>
              <w:t>ERP/EQUIP Programme</w:t>
            </w:r>
          </w:p>
          <w:p w14:paraId="4E0B14E2" w14:textId="77777777" w:rsidR="00763097" w:rsidRPr="0041394A" w:rsidRDefault="00763097" w:rsidP="00C80C35">
            <w:pPr>
              <w:spacing w:before="40" w:after="40"/>
              <w:rPr>
                <w:rFonts w:ascii="Calibri" w:eastAsia="Calibri" w:hAnsi="Calibri" w:cs="Times New Roman"/>
                <w:sz w:val="18"/>
                <w:szCs w:val="18"/>
              </w:rPr>
            </w:pPr>
            <w:r w:rsidRPr="0041394A">
              <w:rPr>
                <w:rFonts w:ascii="Calibri" w:eastAsia="Calibri" w:hAnsi="Calibri" w:cs="Times New Roman"/>
                <w:sz w:val="18"/>
                <w:szCs w:val="18"/>
              </w:rPr>
              <w:t>The Equip Programme will proactively clear the outstanding actions from all previous audit/Gateway reviews and initiate further reviews at strategic points prior to go-live.</w:t>
            </w:r>
          </w:p>
          <w:p w14:paraId="10E6049A" w14:textId="1A2D11AC" w:rsidR="00806577" w:rsidRPr="0041394A" w:rsidRDefault="00806577" w:rsidP="00C80C35">
            <w:pPr>
              <w:spacing w:before="40" w:after="40"/>
              <w:rPr>
                <w:rFonts w:ascii="Calibri" w:hAnsi="Calibri" w:cs="Times New Roman"/>
                <w:sz w:val="18"/>
                <w:szCs w:val="18"/>
                <w:lang w:eastAsia="en-GB"/>
              </w:rPr>
            </w:pPr>
            <w:r w:rsidRPr="00806577">
              <w:rPr>
                <w:rFonts w:ascii="Calibri" w:hAnsi="Calibri" w:cs="Times New Roman"/>
                <w:bCs/>
                <w:color w:val="000000"/>
                <w:sz w:val="18"/>
                <w:szCs w:val="18"/>
                <w:lang w:eastAsia="en-GB"/>
              </w:rPr>
              <w:t>Following closure of the Equip programme in December 2020, the identified risk regarding cross charging between forces and KPMG is no longer applicable.</w:t>
            </w:r>
          </w:p>
        </w:tc>
        <w:tc>
          <w:tcPr>
            <w:tcW w:w="1823" w:type="dxa"/>
            <w:shd w:val="clear" w:color="auto" w:fill="auto"/>
          </w:tcPr>
          <w:p w14:paraId="634B44B6" w14:textId="77777777" w:rsidR="00763097" w:rsidRPr="0041394A" w:rsidRDefault="00763097" w:rsidP="00C80C35">
            <w:pPr>
              <w:spacing w:before="40" w:after="40"/>
              <w:rPr>
                <w:rFonts w:ascii="Calibri" w:eastAsia="Calibri" w:hAnsi="Calibri"/>
                <w:sz w:val="18"/>
                <w:szCs w:val="18"/>
              </w:rPr>
            </w:pPr>
            <w:r w:rsidRPr="0041394A">
              <w:rPr>
                <w:rFonts w:ascii="Calibri" w:eastAsia="Calibri" w:hAnsi="Calibri"/>
                <w:sz w:val="18"/>
                <w:szCs w:val="18"/>
              </w:rPr>
              <w:t>Chief Digital and Information Officer</w:t>
            </w:r>
          </w:p>
        </w:tc>
        <w:tc>
          <w:tcPr>
            <w:tcW w:w="2319" w:type="dxa"/>
          </w:tcPr>
          <w:p w14:paraId="5997DFDE" w14:textId="7FB6D188" w:rsidR="00763097" w:rsidRPr="0041394A" w:rsidRDefault="00806577" w:rsidP="0041394A">
            <w:pPr>
              <w:spacing w:before="40" w:after="40"/>
              <w:jc w:val="center"/>
              <w:rPr>
                <w:rFonts w:ascii="Calibri" w:eastAsia="Calibri" w:hAnsi="Calibri"/>
                <w:sz w:val="18"/>
                <w:szCs w:val="18"/>
              </w:rPr>
            </w:pPr>
            <w:r w:rsidRPr="0041394A">
              <w:rPr>
                <w:rFonts w:ascii="Calibri" w:eastAsia="Calibri" w:hAnsi="Calibri" w:cs="Calibri"/>
                <w:sz w:val="18"/>
                <w:szCs w:val="18"/>
              </w:rPr>
              <w:t>Action Retired</w:t>
            </w:r>
          </w:p>
        </w:tc>
      </w:tr>
      <w:tr w:rsidR="00763097" w:rsidRPr="003516A4" w14:paraId="4096660F" w14:textId="77777777" w:rsidTr="00C80C35">
        <w:trPr>
          <w:jc w:val="center"/>
        </w:trPr>
        <w:tc>
          <w:tcPr>
            <w:tcW w:w="691" w:type="dxa"/>
            <w:shd w:val="clear" w:color="auto" w:fill="auto"/>
          </w:tcPr>
          <w:p w14:paraId="300C9DDB" w14:textId="77777777" w:rsidR="00763097" w:rsidRPr="003516A4" w:rsidRDefault="00763097" w:rsidP="00C80C35">
            <w:pPr>
              <w:spacing w:before="40" w:after="40"/>
              <w:jc w:val="center"/>
              <w:rPr>
                <w:rFonts w:ascii="Calibri" w:eastAsia="Calibri" w:hAnsi="Calibri"/>
                <w:sz w:val="18"/>
                <w:szCs w:val="18"/>
                <w:highlight w:val="yellow"/>
              </w:rPr>
            </w:pPr>
          </w:p>
        </w:tc>
        <w:tc>
          <w:tcPr>
            <w:tcW w:w="6082" w:type="dxa"/>
            <w:gridSpan w:val="2"/>
            <w:shd w:val="clear" w:color="auto" w:fill="auto"/>
          </w:tcPr>
          <w:p w14:paraId="6F10979F" w14:textId="77777777" w:rsidR="00763097" w:rsidRPr="0041394A" w:rsidRDefault="00763097" w:rsidP="004A190F">
            <w:pPr>
              <w:spacing w:before="40" w:after="40"/>
              <w:rPr>
                <w:rFonts w:ascii="Calibri" w:eastAsia="Calibri" w:hAnsi="Calibri" w:cs="Times New Roman"/>
                <w:sz w:val="18"/>
                <w:szCs w:val="18"/>
              </w:rPr>
            </w:pPr>
            <w:r w:rsidRPr="0041394A">
              <w:rPr>
                <w:rFonts w:ascii="Calibri" w:eastAsia="Calibri" w:hAnsi="Calibri" w:cs="Times New Roman"/>
                <w:b/>
                <w:color w:val="1F3864" w:themeColor="accent5" w:themeShade="80"/>
                <w:sz w:val="18"/>
                <w:szCs w:val="18"/>
              </w:rPr>
              <w:t>Uniform  and Small Assets</w:t>
            </w:r>
            <w:r w:rsidRPr="0041394A">
              <w:rPr>
                <w:rFonts w:ascii="Calibri" w:eastAsia="Calibri" w:hAnsi="Calibri" w:cs="Times New Roman"/>
                <w:color w:val="1F3864" w:themeColor="accent5" w:themeShade="80"/>
                <w:sz w:val="18"/>
                <w:szCs w:val="18"/>
              </w:rPr>
              <w:t xml:space="preserve"> </w:t>
            </w:r>
            <w:r w:rsidRPr="0041394A">
              <w:rPr>
                <w:rFonts w:ascii="Calibri" w:eastAsia="Calibri" w:hAnsi="Calibri" w:cs="Times New Roman"/>
                <w:sz w:val="18"/>
                <w:szCs w:val="18"/>
              </w:rPr>
              <w:t>– No assurance internal audit opinion (2018-19)</w:t>
            </w:r>
          </w:p>
          <w:p w14:paraId="6A95B063" w14:textId="77777777" w:rsidR="00763097" w:rsidRPr="0041394A" w:rsidRDefault="00763097" w:rsidP="004A190F">
            <w:pPr>
              <w:spacing w:before="40" w:after="40"/>
              <w:rPr>
                <w:rFonts w:ascii="Calibri" w:eastAsia="Calibri" w:hAnsi="Calibri" w:cs="Times New Roman"/>
                <w:sz w:val="18"/>
                <w:szCs w:val="18"/>
              </w:rPr>
            </w:pPr>
            <w:r w:rsidRPr="0041394A">
              <w:rPr>
                <w:rFonts w:ascii="Calibri" w:eastAsia="Calibri" w:hAnsi="Calibri" w:cs="Times New Roman"/>
                <w:sz w:val="18"/>
                <w:szCs w:val="18"/>
              </w:rPr>
              <w:t>2 high, 3 medium management actions</w:t>
            </w:r>
          </w:p>
        </w:tc>
        <w:tc>
          <w:tcPr>
            <w:tcW w:w="1823" w:type="dxa"/>
            <w:shd w:val="clear" w:color="auto" w:fill="auto"/>
          </w:tcPr>
          <w:p w14:paraId="0B9CA919" w14:textId="77777777" w:rsidR="00763097" w:rsidRPr="0041394A" w:rsidRDefault="00763097" w:rsidP="00C80C35">
            <w:pPr>
              <w:spacing w:before="40" w:after="40"/>
              <w:rPr>
                <w:rFonts w:ascii="Calibri" w:eastAsia="Calibri" w:hAnsi="Calibri"/>
                <w:sz w:val="18"/>
                <w:szCs w:val="18"/>
                <w:lang w:eastAsia="en-GB"/>
              </w:rPr>
            </w:pPr>
            <w:r w:rsidRPr="0041394A">
              <w:rPr>
                <w:rFonts w:ascii="Calibri" w:eastAsia="Calibri" w:hAnsi="Calibri"/>
                <w:sz w:val="18"/>
                <w:szCs w:val="18"/>
                <w:lang w:eastAsia="en-GB"/>
              </w:rPr>
              <w:t>Service Director, Estates &amp; Facilities</w:t>
            </w:r>
          </w:p>
        </w:tc>
        <w:tc>
          <w:tcPr>
            <w:tcW w:w="2319" w:type="dxa"/>
          </w:tcPr>
          <w:p w14:paraId="140FE379" w14:textId="23914432" w:rsidR="00763097" w:rsidRPr="0041394A" w:rsidRDefault="00806577" w:rsidP="00D91109">
            <w:pPr>
              <w:spacing w:before="40" w:after="40"/>
              <w:jc w:val="center"/>
              <w:rPr>
                <w:rFonts w:ascii="Calibri" w:eastAsia="Calibri" w:hAnsi="Calibri" w:cs="Times New Roman"/>
                <w:sz w:val="18"/>
                <w:szCs w:val="18"/>
              </w:rPr>
            </w:pPr>
            <w:r w:rsidRPr="0041394A">
              <w:rPr>
                <w:rFonts w:ascii="Calibri" w:eastAsia="Calibri" w:hAnsi="Calibri"/>
                <w:sz w:val="18"/>
                <w:szCs w:val="18"/>
              </w:rPr>
              <w:t>Complete</w:t>
            </w:r>
          </w:p>
        </w:tc>
      </w:tr>
      <w:tr w:rsidR="00763097" w:rsidRPr="003516A4" w14:paraId="0626F9A3" w14:textId="77777777" w:rsidTr="00C80C35">
        <w:trPr>
          <w:jc w:val="center"/>
        </w:trPr>
        <w:tc>
          <w:tcPr>
            <w:tcW w:w="10915" w:type="dxa"/>
            <w:gridSpan w:val="5"/>
            <w:shd w:val="clear" w:color="auto" w:fill="BDD6EE"/>
          </w:tcPr>
          <w:p w14:paraId="64D623C4" w14:textId="2AEAE38E" w:rsidR="00763097" w:rsidRPr="003516A4" w:rsidRDefault="00763097" w:rsidP="00DD2220">
            <w:pPr>
              <w:spacing w:before="40" w:after="40" w:line="252" w:lineRule="auto"/>
              <w:rPr>
                <w:rFonts w:ascii="Calibri" w:hAnsi="Calibri"/>
                <w:caps/>
                <w:sz w:val="18"/>
                <w:szCs w:val="18"/>
                <w:highlight w:val="yellow"/>
              </w:rPr>
            </w:pPr>
            <w:r w:rsidRPr="00267E2F">
              <w:rPr>
                <w:rFonts w:ascii="Calibri" w:eastAsia="Calibri" w:hAnsi="Calibri"/>
                <w:b/>
                <w:caps/>
              </w:rPr>
              <w:t xml:space="preserve">Issues </w:t>
            </w:r>
            <w:r w:rsidR="00DD2220">
              <w:rPr>
                <w:rFonts w:ascii="Calibri" w:eastAsia="Calibri" w:hAnsi="Calibri"/>
                <w:b/>
                <w:caps/>
              </w:rPr>
              <w:t>carried over</w:t>
            </w:r>
            <w:r w:rsidRPr="00267E2F">
              <w:rPr>
                <w:rFonts w:ascii="Calibri" w:eastAsia="Calibri" w:hAnsi="Calibri"/>
                <w:b/>
                <w:caps/>
              </w:rPr>
              <w:t xml:space="preserve"> from internal audit 2019-20</w:t>
            </w:r>
          </w:p>
        </w:tc>
      </w:tr>
      <w:tr w:rsidR="00E460B1" w:rsidRPr="003516A4" w14:paraId="7AA89619" w14:textId="77777777" w:rsidTr="00C80C35">
        <w:trPr>
          <w:jc w:val="center"/>
        </w:trPr>
        <w:tc>
          <w:tcPr>
            <w:tcW w:w="709" w:type="dxa"/>
            <w:gridSpan w:val="2"/>
            <w:shd w:val="clear" w:color="auto" w:fill="auto"/>
          </w:tcPr>
          <w:p w14:paraId="305671F7" w14:textId="77777777" w:rsidR="00E460B1" w:rsidRPr="003516A4" w:rsidRDefault="00E460B1" w:rsidP="00E460B1">
            <w:pPr>
              <w:spacing w:before="40" w:after="40" w:line="259" w:lineRule="auto"/>
              <w:jc w:val="center"/>
              <w:rPr>
                <w:rFonts w:ascii="Calibri" w:eastAsia="Calibri" w:hAnsi="Calibri"/>
                <w:sz w:val="18"/>
                <w:szCs w:val="18"/>
                <w:highlight w:val="yellow"/>
              </w:rPr>
            </w:pPr>
          </w:p>
        </w:tc>
        <w:tc>
          <w:tcPr>
            <w:tcW w:w="6064" w:type="dxa"/>
            <w:shd w:val="clear" w:color="auto" w:fill="auto"/>
          </w:tcPr>
          <w:p w14:paraId="7F5EE04D" w14:textId="77777777" w:rsidR="00E460B1" w:rsidRPr="00267E2F" w:rsidRDefault="00E460B1" w:rsidP="00E460B1">
            <w:pPr>
              <w:spacing w:before="40" w:after="40"/>
              <w:rPr>
                <w:rFonts w:ascii="Calibri" w:hAnsi="Calibri"/>
                <w:sz w:val="18"/>
                <w:szCs w:val="18"/>
              </w:rPr>
            </w:pPr>
            <w:r w:rsidRPr="00267E2F">
              <w:rPr>
                <w:rFonts w:ascii="Calibri" w:hAnsi="Calibri"/>
                <w:b/>
                <w:color w:val="002060"/>
                <w:sz w:val="18"/>
                <w:szCs w:val="18"/>
              </w:rPr>
              <w:t>IT – Resource Management – Limited Assurance</w:t>
            </w:r>
          </w:p>
          <w:p w14:paraId="68586EC4" w14:textId="77777777" w:rsidR="00E460B1" w:rsidRPr="00267E2F" w:rsidRDefault="00E460B1" w:rsidP="00E460B1">
            <w:pPr>
              <w:spacing w:before="40" w:after="40"/>
              <w:rPr>
                <w:rFonts w:ascii="Calibri" w:hAnsi="Calibri"/>
                <w:sz w:val="18"/>
                <w:szCs w:val="18"/>
              </w:rPr>
            </w:pPr>
            <w:r w:rsidRPr="00267E2F">
              <w:rPr>
                <w:rFonts w:ascii="Calibri" w:hAnsi="Calibri"/>
                <w:sz w:val="18"/>
                <w:szCs w:val="18"/>
              </w:rPr>
              <w:t>15 high, 1 medium level management actions</w:t>
            </w:r>
          </w:p>
          <w:p w14:paraId="75CFE66D" w14:textId="43900E0D" w:rsidR="00267E2F" w:rsidRPr="00267E2F" w:rsidRDefault="00267E2F" w:rsidP="00267E2F">
            <w:pPr>
              <w:spacing w:before="40" w:after="40"/>
              <w:rPr>
                <w:rFonts w:ascii="Calibri" w:hAnsi="Calibri"/>
                <w:b/>
                <w:color w:val="002060"/>
                <w:sz w:val="18"/>
                <w:szCs w:val="18"/>
              </w:rPr>
            </w:pPr>
            <w:r w:rsidRPr="00267E2F">
              <w:rPr>
                <w:rFonts w:ascii="Calibri" w:eastAsia="Calibri" w:hAnsi="Calibri" w:cs="Times New Roman"/>
                <w:sz w:val="18"/>
                <w:szCs w:val="18"/>
              </w:rPr>
              <w:t>Update May-21: 4 overdue actions remain open</w:t>
            </w:r>
          </w:p>
        </w:tc>
        <w:tc>
          <w:tcPr>
            <w:tcW w:w="1823" w:type="dxa"/>
            <w:shd w:val="clear" w:color="auto" w:fill="auto"/>
          </w:tcPr>
          <w:p w14:paraId="43C7D890" w14:textId="77777777" w:rsidR="00E460B1" w:rsidRPr="00267E2F" w:rsidRDefault="00E460B1" w:rsidP="00E460B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267E2F">
              <w:rPr>
                <w:rFonts w:ascii="Calibri" w:eastAsia="Calibri" w:hAnsi="Calibri"/>
                <w:sz w:val="18"/>
                <w:szCs w:val="18"/>
              </w:rPr>
              <w:t>Chief Digital and Information Officer</w:t>
            </w:r>
          </w:p>
        </w:tc>
        <w:tc>
          <w:tcPr>
            <w:tcW w:w="2319" w:type="dxa"/>
          </w:tcPr>
          <w:p w14:paraId="64CBD49E" w14:textId="05C4E84B" w:rsidR="00E460B1" w:rsidRPr="003516A4" w:rsidRDefault="00567832" w:rsidP="00E460B1">
            <w:pPr>
              <w:spacing w:before="40" w:after="40"/>
              <w:jc w:val="center"/>
              <w:rPr>
                <w:rFonts w:ascii="Calibri" w:hAnsi="Calibri"/>
                <w:sz w:val="18"/>
                <w:szCs w:val="18"/>
                <w:highlight w:val="yellow"/>
              </w:rPr>
            </w:pPr>
            <w:r>
              <w:rPr>
                <w:rFonts w:ascii="Calibri" w:hAnsi="Calibri"/>
                <w:sz w:val="18"/>
                <w:szCs w:val="18"/>
              </w:rPr>
              <w:t>Anticipated completion date: 30.06.21</w:t>
            </w:r>
          </w:p>
        </w:tc>
      </w:tr>
      <w:tr w:rsidR="00763097" w:rsidRPr="003516A4" w14:paraId="477CDEF8" w14:textId="77777777" w:rsidTr="00C80C35">
        <w:trPr>
          <w:jc w:val="center"/>
        </w:trPr>
        <w:tc>
          <w:tcPr>
            <w:tcW w:w="709" w:type="dxa"/>
            <w:gridSpan w:val="2"/>
            <w:shd w:val="clear" w:color="auto" w:fill="auto"/>
          </w:tcPr>
          <w:p w14:paraId="30934215" w14:textId="77777777" w:rsidR="00763097" w:rsidRPr="003516A4" w:rsidRDefault="00763097" w:rsidP="00C80C35">
            <w:pPr>
              <w:spacing w:before="40" w:after="40" w:line="259" w:lineRule="auto"/>
              <w:jc w:val="center"/>
              <w:rPr>
                <w:rFonts w:ascii="Calibri" w:eastAsia="Calibri" w:hAnsi="Calibri"/>
                <w:sz w:val="18"/>
                <w:szCs w:val="18"/>
                <w:highlight w:val="yellow"/>
              </w:rPr>
            </w:pPr>
          </w:p>
        </w:tc>
        <w:tc>
          <w:tcPr>
            <w:tcW w:w="6064" w:type="dxa"/>
            <w:shd w:val="clear" w:color="auto" w:fill="auto"/>
          </w:tcPr>
          <w:p w14:paraId="1C5AE2FE" w14:textId="77777777" w:rsidR="00763097" w:rsidRPr="00267E2F" w:rsidRDefault="00763097" w:rsidP="00C80C35">
            <w:pPr>
              <w:spacing w:before="40" w:after="40"/>
              <w:rPr>
                <w:rFonts w:ascii="Calibri" w:hAnsi="Calibri"/>
                <w:sz w:val="18"/>
                <w:szCs w:val="18"/>
              </w:rPr>
            </w:pPr>
            <w:r w:rsidRPr="00267E2F">
              <w:rPr>
                <w:rFonts w:ascii="Calibri" w:hAnsi="Calibri"/>
                <w:b/>
                <w:color w:val="002060"/>
                <w:sz w:val="18"/>
                <w:szCs w:val="18"/>
              </w:rPr>
              <w:t>IT – Data Centre Facilities &amp; Security – Limited Assurance</w:t>
            </w:r>
          </w:p>
          <w:p w14:paraId="51FB74FE" w14:textId="77777777" w:rsidR="00763097" w:rsidRPr="00267E2F" w:rsidRDefault="00763097" w:rsidP="00C80C35">
            <w:pPr>
              <w:spacing w:before="40" w:after="40"/>
              <w:rPr>
                <w:rFonts w:ascii="Calibri" w:eastAsia="Calibri" w:hAnsi="Calibri" w:cs="Times New Roman"/>
                <w:sz w:val="18"/>
                <w:szCs w:val="18"/>
              </w:rPr>
            </w:pPr>
            <w:r w:rsidRPr="00267E2F">
              <w:rPr>
                <w:rFonts w:ascii="Calibri" w:eastAsia="Calibri" w:hAnsi="Calibri" w:cs="Times New Roman"/>
                <w:sz w:val="18"/>
                <w:szCs w:val="18"/>
              </w:rPr>
              <w:t>2 high, 2 medium, 4 low level management actions</w:t>
            </w:r>
          </w:p>
          <w:p w14:paraId="65C2E910" w14:textId="3FF0F7C6" w:rsidR="00267E2F" w:rsidRPr="00267E2F" w:rsidRDefault="00267E2F" w:rsidP="00267E2F">
            <w:pPr>
              <w:spacing w:before="40" w:after="40"/>
              <w:rPr>
                <w:rFonts w:ascii="Calibri" w:eastAsia="Calibri" w:hAnsi="Calibri" w:cs="Times New Roman"/>
                <w:sz w:val="18"/>
                <w:szCs w:val="18"/>
              </w:rPr>
            </w:pPr>
            <w:r>
              <w:rPr>
                <w:rFonts w:ascii="Calibri" w:eastAsia="Calibri" w:hAnsi="Calibri" w:cs="Times New Roman"/>
                <w:sz w:val="18"/>
                <w:szCs w:val="18"/>
              </w:rPr>
              <w:t>Update May-21: 1 overdue action remains open</w:t>
            </w:r>
          </w:p>
        </w:tc>
        <w:tc>
          <w:tcPr>
            <w:tcW w:w="1823" w:type="dxa"/>
            <w:shd w:val="clear" w:color="auto" w:fill="auto"/>
          </w:tcPr>
          <w:p w14:paraId="0173ECE6" w14:textId="77777777" w:rsidR="00763097" w:rsidRPr="00267E2F" w:rsidRDefault="00763097" w:rsidP="00C80C35">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267E2F">
              <w:rPr>
                <w:rFonts w:ascii="Calibri" w:eastAsia="Calibri" w:hAnsi="Calibri"/>
                <w:sz w:val="18"/>
                <w:szCs w:val="18"/>
              </w:rPr>
              <w:t>Chief Digital and Information Officer</w:t>
            </w:r>
            <w:r w:rsidRPr="00267E2F" w:rsidDel="0031071F">
              <w:rPr>
                <w:rFonts w:ascii="Calibri" w:eastAsia="Calibri" w:hAnsi="Calibri"/>
                <w:sz w:val="18"/>
                <w:szCs w:val="18"/>
              </w:rPr>
              <w:t xml:space="preserve"> </w:t>
            </w:r>
          </w:p>
        </w:tc>
        <w:tc>
          <w:tcPr>
            <w:tcW w:w="2319" w:type="dxa"/>
          </w:tcPr>
          <w:p w14:paraId="5753DE1D" w14:textId="66F0611B" w:rsidR="00763097" w:rsidRPr="003516A4" w:rsidRDefault="00267E2F" w:rsidP="00567832">
            <w:pPr>
              <w:spacing w:before="40" w:after="40"/>
              <w:jc w:val="center"/>
              <w:rPr>
                <w:rFonts w:ascii="Calibri" w:hAnsi="Calibri"/>
                <w:sz w:val="18"/>
                <w:szCs w:val="18"/>
                <w:highlight w:val="yellow"/>
              </w:rPr>
            </w:pPr>
            <w:r>
              <w:rPr>
                <w:rFonts w:ascii="Calibri" w:hAnsi="Calibri"/>
                <w:sz w:val="18"/>
                <w:szCs w:val="18"/>
              </w:rPr>
              <w:t>A</w:t>
            </w:r>
            <w:r w:rsidR="00567832">
              <w:rPr>
                <w:rFonts w:ascii="Calibri" w:hAnsi="Calibri"/>
                <w:sz w:val="18"/>
                <w:szCs w:val="18"/>
              </w:rPr>
              <w:t>nticipated completion date: 30</w:t>
            </w:r>
            <w:r>
              <w:rPr>
                <w:rFonts w:ascii="Calibri" w:hAnsi="Calibri"/>
                <w:sz w:val="18"/>
                <w:szCs w:val="18"/>
              </w:rPr>
              <w:t>.0</w:t>
            </w:r>
            <w:r w:rsidR="00567832">
              <w:rPr>
                <w:rFonts w:ascii="Calibri" w:hAnsi="Calibri"/>
                <w:sz w:val="18"/>
                <w:szCs w:val="18"/>
              </w:rPr>
              <w:t>6</w:t>
            </w:r>
            <w:r>
              <w:rPr>
                <w:rFonts w:ascii="Calibri" w:hAnsi="Calibri"/>
                <w:sz w:val="18"/>
                <w:szCs w:val="18"/>
              </w:rPr>
              <w:t>.21</w:t>
            </w:r>
          </w:p>
        </w:tc>
      </w:tr>
      <w:tr w:rsidR="00763097" w:rsidRPr="003516A4" w14:paraId="14F233E7" w14:textId="77777777" w:rsidTr="00C80C35">
        <w:trPr>
          <w:jc w:val="center"/>
        </w:trPr>
        <w:tc>
          <w:tcPr>
            <w:tcW w:w="709" w:type="dxa"/>
            <w:gridSpan w:val="2"/>
            <w:shd w:val="clear" w:color="auto" w:fill="auto"/>
          </w:tcPr>
          <w:p w14:paraId="1C82ACA2" w14:textId="77777777" w:rsidR="00763097" w:rsidRPr="003516A4" w:rsidRDefault="00763097" w:rsidP="00C80C35">
            <w:pPr>
              <w:spacing w:before="40" w:after="40" w:line="259" w:lineRule="auto"/>
              <w:jc w:val="center"/>
              <w:rPr>
                <w:rFonts w:ascii="Calibri" w:eastAsia="Calibri" w:hAnsi="Calibri"/>
                <w:sz w:val="18"/>
                <w:szCs w:val="18"/>
                <w:highlight w:val="yellow"/>
              </w:rPr>
            </w:pPr>
          </w:p>
        </w:tc>
        <w:tc>
          <w:tcPr>
            <w:tcW w:w="6064" w:type="dxa"/>
            <w:shd w:val="clear" w:color="auto" w:fill="auto"/>
          </w:tcPr>
          <w:p w14:paraId="5C2582D7" w14:textId="77777777" w:rsidR="00763097" w:rsidRPr="00267E2F" w:rsidRDefault="00763097" w:rsidP="00C80C35">
            <w:pPr>
              <w:spacing w:before="40" w:after="40"/>
              <w:rPr>
                <w:rFonts w:ascii="Calibri" w:hAnsi="Calibri"/>
                <w:sz w:val="18"/>
                <w:szCs w:val="18"/>
              </w:rPr>
            </w:pPr>
            <w:r w:rsidRPr="00267E2F">
              <w:rPr>
                <w:rFonts w:ascii="Calibri" w:hAnsi="Calibri"/>
                <w:b/>
                <w:color w:val="002060"/>
                <w:sz w:val="18"/>
                <w:szCs w:val="18"/>
              </w:rPr>
              <w:t>IT – Data Storage and Backup – Limited Assurance</w:t>
            </w:r>
          </w:p>
          <w:p w14:paraId="239E50D6" w14:textId="75A18F18" w:rsidR="00763097" w:rsidRPr="00267E2F" w:rsidRDefault="00267E2F" w:rsidP="00C80C35">
            <w:pPr>
              <w:spacing w:before="40" w:after="40"/>
              <w:rPr>
                <w:rFonts w:ascii="Calibri" w:eastAsia="Calibri" w:hAnsi="Calibri" w:cs="Times New Roman"/>
                <w:sz w:val="18"/>
                <w:szCs w:val="18"/>
              </w:rPr>
            </w:pPr>
            <w:r w:rsidRPr="00267E2F">
              <w:rPr>
                <w:rFonts w:ascii="Calibri" w:eastAsia="Calibri" w:hAnsi="Calibri" w:cs="Times New Roman"/>
                <w:sz w:val="18"/>
                <w:szCs w:val="18"/>
              </w:rPr>
              <w:t>5 high, 5</w:t>
            </w:r>
            <w:r w:rsidR="00763097" w:rsidRPr="00267E2F">
              <w:rPr>
                <w:rFonts w:ascii="Calibri" w:eastAsia="Calibri" w:hAnsi="Calibri" w:cs="Times New Roman"/>
                <w:sz w:val="18"/>
                <w:szCs w:val="18"/>
              </w:rPr>
              <w:t xml:space="preserve"> medium, 1 low level management actions</w:t>
            </w:r>
          </w:p>
          <w:p w14:paraId="26195098" w14:textId="1FA76DCE" w:rsidR="00267E2F" w:rsidRPr="00267E2F" w:rsidRDefault="00267E2F" w:rsidP="00C80C35">
            <w:pPr>
              <w:spacing w:before="40" w:after="40"/>
              <w:rPr>
                <w:rFonts w:ascii="Calibri" w:eastAsia="Calibri" w:hAnsi="Calibri" w:cs="Times New Roman"/>
                <w:sz w:val="18"/>
                <w:szCs w:val="18"/>
              </w:rPr>
            </w:pPr>
            <w:r>
              <w:rPr>
                <w:rFonts w:ascii="Calibri" w:eastAsia="Calibri" w:hAnsi="Calibri" w:cs="Times New Roman"/>
                <w:sz w:val="18"/>
                <w:szCs w:val="18"/>
              </w:rPr>
              <w:t>Update May-21: 2 overdue actions remain open</w:t>
            </w:r>
          </w:p>
        </w:tc>
        <w:tc>
          <w:tcPr>
            <w:tcW w:w="1823" w:type="dxa"/>
            <w:shd w:val="clear" w:color="auto" w:fill="auto"/>
          </w:tcPr>
          <w:p w14:paraId="34358C92" w14:textId="77777777" w:rsidR="00763097" w:rsidRPr="00267E2F" w:rsidRDefault="00763097" w:rsidP="00C80C35">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267E2F">
              <w:rPr>
                <w:rFonts w:ascii="Calibri" w:eastAsia="Calibri" w:hAnsi="Calibri"/>
                <w:sz w:val="18"/>
                <w:szCs w:val="18"/>
              </w:rPr>
              <w:t>Chief Digital and Information Officer</w:t>
            </w:r>
            <w:r w:rsidRPr="00267E2F" w:rsidDel="0031071F">
              <w:rPr>
                <w:rFonts w:ascii="Calibri" w:eastAsia="Calibri" w:hAnsi="Calibri"/>
                <w:sz w:val="18"/>
                <w:szCs w:val="18"/>
              </w:rPr>
              <w:t xml:space="preserve"> </w:t>
            </w:r>
          </w:p>
        </w:tc>
        <w:tc>
          <w:tcPr>
            <w:tcW w:w="2319" w:type="dxa"/>
          </w:tcPr>
          <w:p w14:paraId="055E7D1B" w14:textId="003D18CC" w:rsidR="00763097" w:rsidRPr="00267E2F" w:rsidRDefault="00567832" w:rsidP="00C80C35">
            <w:pPr>
              <w:spacing w:before="40" w:after="40"/>
              <w:jc w:val="center"/>
              <w:rPr>
                <w:rFonts w:ascii="Calibri" w:hAnsi="Calibri"/>
                <w:sz w:val="18"/>
                <w:szCs w:val="18"/>
              </w:rPr>
            </w:pPr>
            <w:r>
              <w:rPr>
                <w:rFonts w:ascii="Calibri" w:hAnsi="Calibri"/>
                <w:sz w:val="18"/>
                <w:szCs w:val="18"/>
              </w:rPr>
              <w:t>Anticipated completion date: 30.06.21</w:t>
            </w:r>
          </w:p>
        </w:tc>
      </w:tr>
      <w:tr w:rsidR="00763097" w:rsidRPr="003516A4" w14:paraId="17B19F51" w14:textId="77777777" w:rsidTr="00C80C35">
        <w:trPr>
          <w:jc w:val="center"/>
        </w:trPr>
        <w:tc>
          <w:tcPr>
            <w:tcW w:w="709" w:type="dxa"/>
            <w:gridSpan w:val="2"/>
            <w:shd w:val="clear" w:color="auto" w:fill="auto"/>
          </w:tcPr>
          <w:p w14:paraId="2ABDD626" w14:textId="77777777" w:rsidR="00763097" w:rsidRPr="003516A4" w:rsidRDefault="00763097" w:rsidP="00C80C35">
            <w:pPr>
              <w:spacing w:before="40" w:after="40" w:line="259" w:lineRule="auto"/>
              <w:jc w:val="center"/>
              <w:rPr>
                <w:rFonts w:ascii="Calibri" w:eastAsia="Calibri" w:hAnsi="Calibri"/>
                <w:sz w:val="18"/>
                <w:szCs w:val="18"/>
                <w:highlight w:val="yellow"/>
              </w:rPr>
            </w:pPr>
          </w:p>
        </w:tc>
        <w:tc>
          <w:tcPr>
            <w:tcW w:w="6064" w:type="dxa"/>
            <w:shd w:val="clear" w:color="auto" w:fill="auto"/>
          </w:tcPr>
          <w:p w14:paraId="4FCD303E" w14:textId="77777777" w:rsidR="00763097" w:rsidRPr="00267E2F" w:rsidRDefault="00763097" w:rsidP="00C80C35">
            <w:pPr>
              <w:spacing w:before="40" w:after="40"/>
              <w:rPr>
                <w:rFonts w:ascii="Calibri" w:hAnsi="Calibri"/>
                <w:sz w:val="18"/>
                <w:szCs w:val="18"/>
              </w:rPr>
            </w:pPr>
            <w:r w:rsidRPr="00267E2F">
              <w:rPr>
                <w:rFonts w:ascii="Calibri" w:hAnsi="Calibri"/>
                <w:b/>
                <w:color w:val="002060"/>
                <w:sz w:val="18"/>
                <w:szCs w:val="18"/>
              </w:rPr>
              <w:t>IT – Capacity and Performance Monitoring – Limited Assurance</w:t>
            </w:r>
          </w:p>
          <w:p w14:paraId="752C2949" w14:textId="77777777" w:rsidR="00763097" w:rsidRPr="00267E2F" w:rsidRDefault="00763097" w:rsidP="00C80C35">
            <w:pPr>
              <w:spacing w:before="40" w:after="40"/>
              <w:rPr>
                <w:rFonts w:ascii="Calibri" w:eastAsia="Calibri" w:hAnsi="Calibri" w:cs="Times New Roman"/>
                <w:sz w:val="18"/>
                <w:szCs w:val="18"/>
              </w:rPr>
            </w:pPr>
            <w:r w:rsidRPr="00267E2F">
              <w:rPr>
                <w:rFonts w:ascii="Calibri" w:eastAsia="Calibri" w:hAnsi="Calibri" w:cs="Times New Roman"/>
                <w:sz w:val="18"/>
                <w:szCs w:val="18"/>
              </w:rPr>
              <w:t>1 high, 4 medium, 2 low level management actions</w:t>
            </w:r>
          </w:p>
          <w:p w14:paraId="0DC09C75" w14:textId="36536127" w:rsidR="00267E2F" w:rsidRPr="00267E2F" w:rsidRDefault="00267E2F" w:rsidP="00C80C35">
            <w:pPr>
              <w:spacing w:before="40" w:after="40"/>
              <w:rPr>
                <w:rFonts w:ascii="Calibri" w:eastAsia="Calibri" w:hAnsi="Calibri" w:cs="Times New Roman"/>
                <w:color w:val="FF0000"/>
                <w:sz w:val="18"/>
                <w:szCs w:val="18"/>
              </w:rPr>
            </w:pPr>
            <w:r w:rsidRPr="00267E2F">
              <w:rPr>
                <w:rFonts w:ascii="Calibri" w:eastAsia="Calibri" w:hAnsi="Calibri" w:cs="Times New Roman"/>
                <w:sz w:val="18"/>
                <w:szCs w:val="18"/>
              </w:rPr>
              <w:t>Update May-21</w:t>
            </w:r>
            <w:r>
              <w:rPr>
                <w:rFonts w:ascii="Calibri" w:eastAsia="Calibri" w:hAnsi="Calibri" w:cs="Times New Roman"/>
                <w:sz w:val="18"/>
                <w:szCs w:val="18"/>
              </w:rPr>
              <w:t>: 2 overdue actions plus 2 actions not yet due remain open</w:t>
            </w:r>
          </w:p>
        </w:tc>
        <w:tc>
          <w:tcPr>
            <w:tcW w:w="1823" w:type="dxa"/>
            <w:shd w:val="clear" w:color="auto" w:fill="auto"/>
          </w:tcPr>
          <w:p w14:paraId="313EF77E" w14:textId="77777777" w:rsidR="00763097" w:rsidRPr="00267E2F" w:rsidRDefault="00763097" w:rsidP="00C80C35">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267E2F">
              <w:rPr>
                <w:rFonts w:ascii="Calibri" w:eastAsia="Calibri" w:hAnsi="Calibri"/>
                <w:sz w:val="18"/>
                <w:szCs w:val="18"/>
              </w:rPr>
              <w:t>Chief Digital and Information Officer</w:t>
            </w:r>
            <w:r w:rsidRPr="00267E2F" w:rsidDel="0031071F">
              <w:rPr>
                <w:rFonts w:ascii="Calibri" w:eastAsia="Calibri" w:hAnsi="Calibri"/>
                <w:sz w:val="18"/>
                <w:szCs w:val="18"/>
              </w:rPr>
              <w:t xml:space="preserve"> </w:t>
            </w:r>
          </w:p>
        </w:tc>
        <w:tc>
          <w:tcPr>
            <w:tcW w:w="2319" w:type="dxa"/>
          </w:tcPr>
          <w:p w14:paraId="57A95F15" w14:textId="5826BDB7" w:rsidR="00763097" w:rsidRPr="00267E2F" w:rsidRDefault="00267E2F" w:rsidP="00C80C35">
            <w:pPr>
              <w:spacing w:before="40" w:after="40"/>
              <w:jc w:val="center"/>
              <w:rPr>
                <w:rFonts w:ascii="Calibri" w:hAnsi="Calibri"/>
                <w:sz w:val="18"/>
                <w:szCs w:val="18"/>
              </w:rPr>
            </w:pPr>
            <w:r>
              <w:rPr>
                <w:rFonts w:ascii="Calibri" w:hAnsi="Calibri"/>
                <w:sz w:val="18"/>
                <w:szCs w:val="18"/>
              </w:rPr>
              <w:t>Anticipated completion date: 31.12.21</w:t>
            </w:r>
          </w:p>
        </w:tc>
      </w:tr>
      <w:tr w:rsidR="00287B41" w:rsidRPr="003516A4" w14:paraId="38B7416E" w14:textId="77777777" w:rsidTr="00C80C35">
        <w:trPr>
          <w:jc w:val="center"/>
        </w:trPr>
        <w:tc>
          <w:tcPr>
            <w:tcW w:w="709" w:type="dxa"/>
            <w:gridSpan w:val="2"/>
            <w:shd w:val="clear" w:color="auto" w:fill="auto"/>
          </w:tcPr>
          <w:p w14:paraId="1439B57A" w14:textId="77777777" w:rsidR="00287B41" w:rsidRPr="003516A4" w:rsidRDefault="00287B41" w:rsidP="00287B41">
            <w:pPr>
              <w:spacing w:before="40" w:after="40" w:line="259" w:lineRule="auto"/>
              <w:jc w:val="center"/>
              <w:rPr>
                <w:rFonts w:ascii="Calibri" w:eastAsia="Calibri" w:hAnsi="Calibri"/>
                <w:sz w:val="18"/>
                <w:szCs w:val="18"/>
                <w:highlight w:val="yellow"/>
              </w:rPr>
            </w:pPr>
          </w:p>
        </w:tc>
        <w:tc>
          <w:tcPr>
            <w:tcW w:w="6064" w:type="dxa"/>
            <w:shd w:val="clear" w:color="auto" w:fill="auto"/>
          </w:tcPr>
          <w:p w14:paraId="04F3D500" w14:textId="77777777" w:rsidR="00287B41" w:rsidRPr="00567832" w:rsidRDefault="00287B41" w:rsidP="00287B41">
            <w:pPr>
              <w:spacing w:before="40" w:after="40"/>
              <w:rPr>
                <w:rFonts w:ascii="Calibri" w:hAnsi="Calibri"/>
                <w:sz w:val="18"/>
                <w:szCs w:val="18"/>
              </w:rPr>
            </w:pPr>
            <w:r w:rsidRPr="00567832">
              <w:rPr>
                <w:rFonts w:ascii="Calibri" w:hAnsi="Calibri"/>
                <w:b/>
                <w:color w:val="002060"/>
                <w:sz w:val="18"/>
                <w:szCs w:val="18"/>
              </w:rPr>
              <w:t>IT – Commercial Unit – Limited Assurance</w:t>
            </w:r>
          </w:p>
          <w:p w14:paraId="2E956A38" w14:textId="77777777" w:rsidR="00287B41" w:rsidRPr="00567832" w:rsidRDefault="00287B41">
            <w:pPr>
              <w:spacing w:before="40" w:after="40"/>
              <w:rPr>
                <w:rFonts w:ascii="Calibri" w:eastAsia="Calibri" w:hAnsi="Calibri" w:cs="Times New Roman"/>
                <w:sz w:val="18"/>
                <w:szCs w:val="18"/>
              </w:rPr>
            </w:pPr>
            <w:r w:rsidRPr="00567832">
              <w:rPr>
                <w:rFonts w:ascii="Calibri" w:eastAsia="Calibri" w:hAnsi="Calibri" w:cs="Times New Roman"/>
                <w:sz w:val="18"/>
                <w:szCs w:val="18"/>
              </w:rPr>
              <w:t>8 high, 6 medium level management actions</w:t>
            </w:r>
          </w:p>
          <w:p w14:paraId="193F2603" w14:textId="64EB4557" w:rsidR="00567832" w:rsidRPr="00567832" w:rsidRDefault="00567832" w:rsidP="00567832">
            <w:pPr>
              <w:spacing w:before="40" w:after="40"/>
              <w:rPr>
                <w:rFonts w:ascii="Calibri" w:hAnsi="Calibri"/>
                <w:b/>
                <w:color w:val="002060"/>
                <w:sz w:val="18"/>
                <w:szCs w:val="18"/>
              </w:rPr>
            </w:pPr>
            <w:r w:rsidRPr="00567832">
              <w:rPr>
                <w:rFonts w:ascii="Calibri" w:eastAsia="Calibri" w:hAnsi="Calibri" w:cs="Times New Roman"/>
                <w:sz w:val="18"/>
                <w:szCs w:val="18"/>
              </w:rPr>
              <w:t>Update May-21: 10 overdue actions remain open</w:t>
            </w:r>
          </w:p>
        </w:tc>
        <w:tc>
          <w:tcPr>
            <w:tcW w:w="1823" w:type="dxa"/>
            <w:shd w:val="clear" w:color="auto" w:fill="auto"/>
          </w:tcPr>
          <w:p w14:paraId="26A1FFBB" w14:textId="77777777" w:rsidR="00287B41" w:rsidRPr="00567832"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67832">
              <w:rPr>
                <w:rFonts w:ascii="Calibri" w:eastAsia="Calibri" w:hAnsi="Calibri"/>
                <w:sz w:val="18"/>
                <w:szCs w:val="18"/>
              </w:rPr>
              <w:t>Chief Digital and Information Officer</w:t>
            </w:r>
            <w:r w:rsidRPr="00567832" w:rsidDel="0031071F">
              <w:rPr>
                <w:rFonts w:ascii="Calibri" w:eastAsia="Calibri" w:hAnsi="Calibri"/>
                <w:sz w:val="18"/>
                <w:szCs w:val="18"/>
              </w:rPr>
              <w:t xml:space="preserve"> </w:t>
            </w:r>
          </w:p>
        </w:tc>
        <w:tc>
          <w:tcPr>
            <w:tcW w:w="2319" w:type="dxa"/>
          </w:tcPr>
          <w:p w14:paraId="2FDC7D14" w14:textId="168A4F09" w:rsidR="00287B41" w:rsidRPr="00567832" w:rsidRDefault="00567832">
            <w:pPr>
              <w:spacing w:before="40" w:after="40"/>
              <w:jc w:val="center"/>
              <w:rPr>
                <w:rFonts w:ascii="Calibri" w:hAnsi="Calibri"/>
                <w:sz w:val="18"/>
                <w:szCs w:val="18"/>
              </w:rPr>
            </w:pPr>
            <w:r w:rsidRPr="00567832">
              <w:rPr>
                <w:rFonts w:ascii="Calibri" w:hAnsi="Calibri"/>
                <w:sz w:val="18"/>
                <w:szCs w:val="18"/>
              </w:rPr>
              <w:t>Anticipated completion date: 30.06.21</w:t>
            </w:r>
          </w:p>
        </w:tc>
      </w:tr>
      <w:tr w:rsidR="00287B41" w:rsidRPr="003516A4" w14:paraId="4B51DA50" w14:textId="77777777" w:rsidTr="00C80C35">
        <w:trPr>
          <w:jc w:val="center"/>
        </w:trPr>
        <w:tc>
          <w:tcPr>
            <w:tcW w:w="709" w:type="dxa"/>
            <w:gridSpan w:val="2"/>
            <w:shd w:val="clear" w:color="auto" w:fill="auto"/>
          </w:tcPr>
          <w:p w14:paraId="6955F8A4" w14:textId="77777777" w:rsidR="00287B41" w:rsidRPr="003516A4" w:rsidRDefault="00287B41" w:rsidP="00287B41">
            <w:pPr>
              <w:spacing w:before="40" w:after="40" w:line="259" w:lineRule="auto"/>
              <w:jc w:val="center"/>
              <w:rPr>
                <w:rFonts w:ascii="Calibri" w:eastAsia="Calibri" w:hAnsi="Calibri"/>
                <w:sz w:val="18"/>
                <w:szCs w:val="18"/>
                <w:highlight w:val="yellow"/>
              </w:rPr>
            </w:pPr>
          </w:p>
        </w:tc>
        <w:tc>
          <w:tcPr>
            <w:tcW w:w="6064" w:type="dxa"/>
            <w:shd w:val="clear" w:color="auto" w:fill="auto"/>
          </w:tcPr>
          <w:p w14:paraId="2230AA0F" w14:textId="77777777" w:rsidR="00287B41" w:rsidRPr="00567832" w:rsidRDefault="00287B41" w:rsidP="00D91109">
            <w:pPr>
              <w:spacing w:before="40" w:after="40"/>
              <w:rPr>
                <w:rFonts w:ascii="Calibri" w:hAnsi="Calibri"/>
                <w:b/>
                <w:color w:val="002060"/>
                <w:sz w:val="18"/>
                <w:szCs w:val="18"/>
              </w:rPr>
            </w:pPr>
            <w:r w:rsidRPr="00567832">
              <w:rPr>
                <w:rFonts w:ascii="Calibri" w:hAnsi="Calibri"/>
                <w:b/>
                <w:color w:val="002060"/>
                <w:sz w:val="18"/>
                <w:szCs w:val="18"/>
              </w:rPr>
              <w:t>IT- Cyber Security – Limited Assurance</w:t>
            </w:r>
          </w:p>
          <w:p w14:paraId="3FF8CC4E" w14:textId="77777777" w:rsidR="00287B41" w:rsidRPr="00567832" w:rsidRDefault="00287B41" w:rsidP="00D91109">
            <w:pPr>
              <w:spacing w:before="40" w:after="40"/>
              <w:rPr>
                <w:rFonts w:ascii="Calibri" w:hAnsi="Calibri"/>
                <w:sz w:val="18"/>
                <w:szCs w:val="18"/>
              </w:rPr>
            </w:pPr>
            <w:r w:rsidRPr="00567832">
              <w:rPr>
                <w:rFonts w:ascii="Calibri" w:hAnsi="Calibri"/>
                <w:sz w:val="18"/>
                <w:szCs w:val="18"/>
              </w:rPr>
              <w:t xml:space="preserve">N.B.: Network Security &amp; Access Controls (Limited Assurance); Cyber Security (Adequate) </w:t>
            </w:r>
          </w:p>
          <w:p w14:paraId="5A5B13D9" w14:textId="77777777" w:rsidR="00287B41" w:rsidRPr="00567832" w:rsidRDefault="00287B41">
            <w:pPr>
              <w:spacing w:before="40" w:after="40"/>
              <w:rPr>
                <w:rFonts w:ascii="Calibri" w:hAnsi="Calibri"/>
                <w:sz w:val="18"/>
                <w:szCs w:val="18"/>
              </w:rPr>
            </w:pPr>
            <w:r w:rsidRPr="00567832">
              <w:rPr>
                <w:rFonts w:ascii="Calibri" w:hAnsi="Calibri"/>
                <w:sz w:val="18"/>
                <w:szCs w:val="18"/>
              </w:rPr>
              <w:t>5 medium level management actions</w:t>
            </w:r>
          </w:p>
          <w:p w14:paraId="46C2916B" w14:textId="56632925" w:rsidR="00567832" w:rsidRPr="00567832" w:rsidRDefault="00567832">
            <w:pPr>
              <w:spacing w:before="40" w:after="40"/>
              <w:rPr>
                <w:rFonts w:ascii="Calibri" w:hAnsi="Calibri"/>
                <w:b/>
                <w:color w:val="002060"/>
                <w:sz w:val="18"/>
                <w:szCs w:val="18"/>
              </w:rPr>
            </w:pPr>
            <w:r w:rsidRPr="00567832">
              <w:rPr>
                <w:rFonts w:ascii="Calibri" w:eastAsia="Calibri" w:hAnsi="Calibri" w:cs="Times New Roman"/>
                <w:sz w:val="18"/>
                <w:szCs w:val="18"/>
              </w:rPr>
              <w:t>Update May-21: 1 overdue action remains open</w:t>
            </w:r>
          </w:p>
        </w:tc>
        <w:tc>
          <w:tcPr>
            <w:tcW w:w="1823" w:type="dxa"/>
            <w:shd w:val="clear" w:color="auto" w:fill="auto"/>
          </w:tcPr>
          <w:p w14:paraId="3151A1D8" w14:textId="77777777" w:rsidR="00287B41" w:rsidRPr="00567832"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67832">
              <w:rPr>
                <w:rFonts w:ascii="Calibri" w:eastAsia="Calibri" w:hAnsi="Calibri"/>
                <w:sz w:val="18"/>
                <w:szCs w:val="18"/>
              </w:rPr>
              <w:t>Chief Digital and Information Officer</w:t>
            </w:r>
            <w:r w:rsidRPr="00567832" w:rsidDel="0031071F">
              <w:rPr>
                <w:rFonts w:ascii="Calibri" w:eastAsia="Calibri" w:hAnsi="Calibri"/>
                <w:sz w:val="18"/>
                <w:szCs w:val="18"/>
              </w:rPr>
              <w:t xml:space="preserve"> </w:t>
            </w:r>
          </w:p>
        </w:tc>
        <w:tc>
          <w:tcPr>
            <w:tcW w:w="2319" w:type="dxa"/>
          </w:tcPr>
          <w:p w14:paraId="23BAAB7F" w14:textId="3848C284" w:rsidR="00287B41" w:rsidRPr="00567832" w:rsidRDefault="00567832" w:rsidP="00287B41">
            <w:pPr>
              <w:spacing w:before="40" w:after="40"/>
              <w:jc w:val="center"/>
              <w:rPr>
                <w:rFonts w:ascii="Calibri" w:hAnsi="Calibri"/>
                <w:sz w:val="18"/>
                <w:szCs w:val="18"/>
              </w:rPr>
            </w:pPr>
            <w:r w:rsidRPr="00567832">
              <w:rPr>
                <w:rFonts w:ascii="Calibri" w:hAnsi="Calibri"/>
                <w:sz w:val="18"/>
                <w:szCs w:val="18"/>
              </w:rPr>
              <w:t>Anticipated completion date: 30.06.21</w:t>
            </w:r>
          </w:p>
        </w:tc>
      </w:tr>
      <w:tr w:rsidR="00C5655A" w:rsidRPr="003516A4" w14:paraId="4EF3196F" w14:textId="77777777" w:rsidTr="00D94D3B">
        <w:trPr>
          <w:jc w:val="center"/>
        </w:trPr>
        <w:tc>
          <w:tcPr>
            <w:tcW w:w="10915" w:type="dxa"/>
            <w:gridSpan w:val="5"/>
            <w:shd w:val="clear" w:color="auto" w:fill="BDD6EE"/>
          </w:tcPr>
          <w:p w14:paraId="7F1B21F8" w14:textId="3F6673F7" w:rsidR="00C5655A" w:rsidRPr="003516A4" w:rsidRDefault="000B4470" w:rsidP="000B4470">
            <w:pPr>
              <w:spacing w:before="40" w:after="40"/>
              <w:rPr>
                <w:rFonts w:ascii="Calibri" w:eastAsia="Calibri" w:hAnsi="Calibri"/>
                <w:b/>
                <w:highlight w:val="yellow"/>
              </w:rPr>
            </w:pPr>
            <w:r w:rsidRPr="000B4470">
              <w:rPr>
                <w:rFonts w:ascii="Calibri" w:eastAsia="Calibri" w:hAnsi="Calibri"/>
                <w:b/>
                <w:caps/>
              </w:rPr>
              <w:t xml:space="preserve">ISSUES CARRIED OVER FROM 2019-20 AGS </w:t>
            </w:r>
            <w:r w:rsidR="00C5655A" w:rsidRPr="000B4470">
              <w:rPr>
                <w:rFonts w:ascii="Calibri" w:eastAsia="Calibri" w:hAnsi="Calibri"/>
                <w:b/>
                <w:caps/>
              </w:rPr>
              <w:t>action plan</w:t>
            </w:r>
          </w:p>
        </w:tc>
      </w:tr>
      <w:tr w:rsidR="00287B41" w:rsidRPr="003516A4" w14:paraId="6A24B460" w14:textId="77777777" w:rsidTr="00C80C35">
        <w:trPr>
          <w:jc w:val="center"/>
        </w:trPr>
        <w:tc>
          <w:tcPr>
            <w:tcW w:w="709" w:type="dxa"/>
            <w:gridSpan w:val="2"/>
            <w:shd w:val="clear" w:color="auto" w:fill="auto"/>
          </w:tcPr>
          <w:p w14:paraId="5F23985B" w14:textId="77777777" w:rsidR="00287B41" w:rsidRPr="003516A4" w:rsidRDefault="00287B41" w:rsidP="00287B41">
            <w:pPr>
              <w:spacing w:before="40" w:after="40" w:line="259" w:lineRule="auto"/>
              <w:jc w:val="center"/>
              <w:rPr>
                <w:rFonts w:ascii="Calibri" w:eastAsia="Calibri" w:hAnsi="Calibri"/>
                <w:color w:val="333333"/>
                <w:sz w:val="18"/>
                <w:szCs w:val="18"/>
                <w:highlight w:val="yellow"/>
              </w:rPr>
            </w:pPr>
          </w:p>
        </w:tc>
        <w:tc>
          <w:tcPr>
            <w:tcW w:w="6064" w:type="dxa"/>
            <w:shd w:val="clear" w:color="auto" w:fill="auto"/>
          </w:tcPr>
          <w:p w14:paraId="7398BD83" w14:textId="77777777" w:rsidR="00287B41" w:rsidRPr="000B4470" w:rsidRDefault="00287B41" w:rsidP="00287B41">
            <w:pPr>
              <w:spacing w:before="40" w:after="40"/>
              <w:rPr>
                <w:rFonts w:ascii="Calibri" w:eastAsia="Calibri" w:hAnsi="Calibri" w:cs="Times New Roman"/>
                <w:b/>
                <w:color w:val="002060"/>
                <w:sz w:val="18"/>
                <w:szCs w:val="18"/>
              </w:rPr>
            </w:pPr>
            <w:r w:rsidRPr="000B4470">
              <w:rPr>
                <w:rFonts w:ascii="Calibri" w:eastAsia="Calibri" w:hAnsi="Calibri" w:cs="Times New Roman"/>
                <w:b/>
                <w:color w:val="002060"/>
                <w:sz w:val="18"/>
                <w:szCs w:val="18"/>
              </w:rPr>
              <w:t>Information Commissioner’s Office guidance regarding publication of information</w:t>
            </w:r>
          </w:p>
          <w:p w14:paraId="587BA518" w14:textId="77777777" w:rsidR="00287B41" w:rsidRDefault="00287B41" w:rsidP="00287B41">
            <w:pPr>
              <w:autoSpaceDE w:val="0"/>
              <w:autoSpaceDN w:val="0"/>
              <w:adjustRightInd w:val="0"/>
              <w:spacing w:before="40" w:after="40"/>
              <w:rPr>
                <w:rFonts w:ascii="Calibri" w:eastAsia="Calibri" w:hAnsi="Calibri" w:cs="Times New Roman"/>
                <w:sz w:val="18"/>
                <w:szCs w:val="18"/>
              </w:rPr>
            </w:pPr>
            <w:r w:rsidRPr="000B4470">
              <w:rPr>
                <w:rFonts w:ascii="Calibri" w:eastAsia="Calibri" w:hAnsi="Calibri" w:cs="Times New Roman"/>
                <w:sz w:val="18"/>
                <w:szCs w:val="18"/>
              </w:rPr>
              <w:t>Ensure force information published on Single On-line Home is compliant with ICO requirements</w:t>
            </w:r>
          </w:p>
          <w:p w14:paraId="45AB3E5B" w14:textId="2B783844" w:rsidR="000B4470" w:rsidRPr="000B4470" w:rsidRDefault="000B4470" w:rsidP="000B4470">
            <w:pPr>
              <w:autoSpaceDE w:val="0"/>
              <w:autoSpaceDN w:val="0"/>
              <w:adjustRightInd w:val="0"/>
              <w:spacing w:before="40" w:after="40"/>
              <w:rPr>
                <w:rFonts w:ascii="Calibri" w:eastAsia="Calibri" w:hAnsi="Calibri"/>
                <w:b/>
                <w:sz w:val="18"/>
                <w:szCs w:val="18"/>
                <w:lang w:eastAsia="en-GB"/>
              </w:rPr>
            </w:pPr>
            <w:r>
              <w:rPr>
                <w:rFonts w:ascii="Calibri" w:eastAsia="Calibri" w:hAnsi="Calibri" w:cs="Times New Roman"/>
                <w:sz w:val="18"/>
                <w:szCs w:val="18"/>
              </w:rPr>
              <w:t>Review of information published by the force was compliant in all areas except in relation to publication of minutes for senior decision making committees.</w:t>
            </w:r>
          </w:p>
        </w:tc>
        <w:tc>
          <w:tcPr>
            <w:tcW w:w="1823" w:type="dxa"/>
            <w:shd w:val="clear" w:color="auto" w:fill="auto"/>
          </w:tcPr>
          <w:p w14:paraId="5583F4F6" w14:textId="77777777" w:rsidR="00287B41" w:rsidRPr="000B4470"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0B4470">
              <w:rPr>
                <w:rFonts w:ascii="Calibri" w:eastAsia="Calibri" w:hAnsi="Calibri"/>
                <w:sz w:val="18"/>
                <w:szCs w:val="18"/>
              </w:rPr>
              <w:t>Chief Digital and Information Officer</w:t>
            </w:r>
            <w:r w:rsidRPr="000B4470" w:rsidDel="0031071F">
              <w:rPr>
                <w:rFonts w:ascii="Calibri" w:eastAsia="Calibri" w:hAnsi="Calibri"/>
                <w:sz w:val="18"/>
                <w:szCs w:val="18"/>
              </w:rPr>
              <w:t xml:space="preserve"> </w:t>
            </w:r>
            <w:r w:rsidRPr="000B4470">
              <w:rPr>
                <w:rFonts w:ascii="Calibri" w:eastAsia="Calibri" w:hAnsi="Calibri"/>
                <w:sz w:val="18"/>
                <w:szCs w:val="18"/>
              </w:rPr>
              <w:t>/</w:t>
            </w:r>
          </w:p>
          <w:p w14:paraId="42595B48" w14:textId="77777777" w:rsidR="00287B41" w:rsidRPr="000B4470" w:rsidRDefault="00287B41" w:rsidP="00287B41">
            <w:pPr>
              <w:spacing w:before="40" w:after="40"/>
              <w:rPr>
                <w:rFonts w:ascii="Calibri" w:eastAsia="Calibri" w:hAnsi="Calibri"/>
                <w:color w:val="000000"/>
                <w:sz w:val="18"/>
                <w:szCs w:val="18"/>
              </w:rPr>
            </w:pPr>
            <w:r w:rsidRPr="000B4470">
              <w:rPr>
                <w:rFonts w:ascii="Calibri" w:eastAsia="Calibri" w:hAnsi="Calibri"/>
                <w:sz w:val="18"/>
                <w:szCs w:val="18"/>
              </w:rPr>
              <w:t>Force Information Manager</w:t>
            </w:r>
          </w:p>
        </w:tc>
        <w:tc>
          <w:tcPr>
            <w:tcW w:w="2319" w:type="dxa"/>
          </w:tcPr>
          <w:p w14:paraId="790FB1CB" w14:textId="40A12794" w:rsidR="00287B41" w:rsidRPr="000B4470" w:rsidRDefault="000B4470" w:rsidP="00D91109">
            <w:pPr>
              <w:spacing w:before="40" w:after="40" w:line="254" w:lineRule="auto"/>
              <w:jc w:val="center"/>
              <w:rPr>
                <w:rFonts w:ascii="Calibri" w:hAnsi="Calibri"/>
                <w:sz w:val="18"/>
                <w:szCs w:val="18"/>
              </w:rPr>
            </w:pPr>
            <w:r>
              <w:rPr>
                <w:rFonts w:ascii="Calibri" w:hAnsi="Calibri"/>
                <w:sz w:val="18"/>
                <w:szCs w:val="18"/>
              </w:rPr>
              <w:t>Complete</w:t>
            </w:r>
          </w:p>
        </w:tc>
      </w:tr>
      <w:tr w:rsidR="00287B41" w:rsidRPr="003516A4" w14:paraId="5DAB6E8D" w14:textId="77777777" w:rsidTr="00C80C35">
        <w:trPr>
          <w:jc w:val="center"/>
        </w:trPr>
        <w:tc>
          <w:tcPr>
            <w:tcW w:w="709" w:type="dxa"/>
            <w:gridSpan w:val="2"/>
            <w:shd w:val="clear" w:color="auto" w:fill="auto"/>
          </w:tcPr>
          <w:p w14:paraId="1D28BBFE" w14:textId="77777777" w:rsidR="00287B41" w:rsidRPr="003516A4" w:rsidRDefault="00287B41" w:rsidP="00287B41">
            <w:pPr>
              <w:spacing w:before="40" w:after="40" w:line="259" w:lineRule="auto"/>
              <w:jc w:val="center"/>
              <w:rPr>
                <w:rFonts w:ascii="Calibri" w:eastAsia="Calibri" w:hAnsi="Calibri"/>
                <w:color w:val="333333"/>
                <w:sz w:val="18"/>
                <w:szCs w:val="18"/>
                <w:highlight w:val="yellow"/>
              </w:rPr>
            </w:pPr>
          </w:p>
        </w:tc>
        <w:tc>
          <w:tcPr>
            <w:tcW w:w="6064" w:type="dxa"/>
            <w:shd w:val="clear" w:color="auto" w:fill="auto"/>
          </w:tcPr>
          <w:p w14:paraId="3EC0AF14" w14:textId="77777777" w:rsidR="00287B41" w:rsidRPr="000B4470" w:rsidRDefault="00287B41" w:rsidP="00287B41">
            <w:pPr>
              <w:spacing w:before="60" w:after="60" w:line="259" w:lineRule="auto"/>
              <w:rPr>
                <w:rFonts w:ascii="Calibri" w:eastAsia="Calibri" w:hAnsi="Calibri" w:cs="Times New Roman"/>
                <w:b/>
                <w:color w:val="002060"/>
                <w:sz w:val="18"/>
                <w:szCs w:val="18"/>
              </w:rPr>
            </w:pPr>
            <w:r w:rsidRPr="000B4470">
              <w:rPr>
                <w:rFonts w:ascii="Calibri" w:eastAsia="Calibri" w:hAnsi="Calibri" w:cs="Times New Roman"/>
                <w:b/>
                <w:color w:val="002060"/>
                <w:sz w:val="18"/>
                <w:szCs w:val="18"/>
              </w:rPr>
              <w:t>Information Sharing Agreements</w:t>
            </w:r>
          </w:p>
          <w:p w14:paraId="017841F8" w14:textId="77777777" w:rsidR="00287B41" w:rsidRDefault="00287B41" w:rsidP="00287B41">
            <w:pPr>
              <w:autoSpaceDE w:val="0"/>
              <w:autoSpaceDN w:val="0"/>
              <w:adjustRightInd w:val="0"/>
              <w:spacing w:before="40" w:after="40"/>
              <w:rPr>
                <w:rFonts w:ascii="Calibri" w:eastAsia="Calibri" w:hAnsi="Calibri" w:cs="FS Lola"/>
                <w:sz w:val="18"/>
                <w:szCs w:val="18"/>
                <w:lang w:eastAsia="en-GB"/>
              </w:rPr>
            </w:pPr>
            <w:r w:rsidRPr="000B4470">
              <w:rPr>
                <w:rFonts w:ascii="Calibri" w:eastAsia="Calibri" w:hAnsi="Calibri" w:cs="Times New Roman"/>
                <w:sz w:val="18"/>
                <w:szCs w:val="18"/>
              </w:rPr>
              <w:t>Process to be introduced to ensure ISAs are kept up to date</w:t>
            </w:r>
            <w:r w:rsidRPr="000B4470">
              <w:rPr>
                <w:rFonts w:ascii="Calibri" w:eastAsia="Calibri" w:hAnsi="Calibri" w:cs="FS Lola"/>
                <w:sz w:val="18"/>
                <w:szCs w:val="18"/>
                <w:lang w:eastAsia="en-GB"/>
              </w:rPr>
              <w:t xml:space="preserve"> within the resource envelope of the Information Management department.</w:t>
            </w:r>
          </w:p>
          <w:p w14:paraId="5703F5EF" w14:textId="77777777" w:rsidR="000B4470" w:rsidRDefault="000B4470" w:rsidP="00287B41">
            <w:pPr>
              <w:autoSpaceDE w:val="0"/>
              <w:autoSpaceDN w:val="0"/>
              <w:adjustRightInd w:val="0"/>
              <w:spacing w:before="40" w:after="40"/>
              <w:rPr>
                <w:rFonts w:ascii="Calibri" w:eastAsia="Calibri" w:hAnsi="Calibri" w:cs="FS Lola"/>
                <w:sz w:val="18"/>
                <w:szCs w:val="18"/>
                <w:lang w:eastAsia="en-GB"/>
              </w:rPr>
            </w:pPr>
            <w:r>
              <w:rPr>
                <w:rFonts w:ascii="Calibri" w:eastAsia="Calibri" w:hAnsi="Calibri" w:cs="FS Lola"/>
                <w:sz w:val="18"/>
                <w:szCs w:val="18"/>
                <w:lang w:eastAsia="en-GB"/>
              </w:rPr>
              <w:t>Update May 2021 from Head of Information Management:</w:t>
            </w:r>
          </w:p>
          <w:p w14:paraId="3976D64C" w14:textId="77777777" w:rsidR="00FF75CC" w:rsidRDefault="00FF75CC" w:rsidP="00287B41">
            <w:pPr>
              <w:autoSpaceDE w:val="0"/>
              <w:autoSpaceDN w:val="0"/>
              <w:adjustRightInd w:val="0"/>
              <w:spacing w:before="40" w:after="40"/>
              <w:rPr>
                <w:rFonts w:ascii="Calibri" w:eastAsia="Calibri" w:hAnsi="Calibri" w:cs="FS Lola"/>
                <w:sz w:val="18"/>
                <w:szCs w:val="18"/>
                <w:lang w:eastAsia="en-GB"/>
              </w:rPr>
            </w:pPr>
            <w:r>
              <w:rPr>
                <w:rFonts w:ascii="Calibri" w:eastAsia="Calibri" w:hAnsi="Calibri" w:cs="FS Lola"/>
                <w:sz w:val="18"/>
                <w:szCs w:val="18"/>
                <w:lang w:eastAsia="en-GB"/>
              </w:rPr>
              <w:t>ISAs are still regularly reviewed but the process has been changed to reduce delays caused by waiting for partners to respond to review requirements. Reviewing the reporting spreadsheet also highlighted a potential misunderstanding by showing all ISAs that were both due for renewal and also in the process of being created. A change was made so they meet the criteria for 6 month review / Year 1 Police Signatory review / Year 2 Police Signatory review noting any changes in process / Year 3 Full Police and Agency review</w:t>
            </w:r>
            <w:r w:rsidR="00615BEF">
              <w:rPr>
                <w:rFonts w:ascii="Calibri" w:eastAsia="Calibri" w:hAnsi="Calibri" w:cs="FS Lola"/>
                <w:sz w:val="18"/>
                <w:szCs w:val="18"/>
                <w:lang w:eastAsia="en-GB"/>
              </w:rPr>
              <w:t>.</w:t>
            </w:r>
          </w:p>
          <w:p w14:paraId="010967C3" w14:textId="6309F009" w:rsidR="00615BEF" w:rsidRPr="000B4470" w:rsidRDefault="00615BEF" w:rsidP="00287B41">
            <w:pPr>
              <w:autoSpaceDE w:val="0"/>
              <w:autoSpaceDN w:val="0"/>
              <w:adjustRightInd w:val="0"/>
              <w:spacing w:before="40" w:after="40"/>
              <w:rPr>
                <w:rFonts w:ascii="Calibri" w:eastAsia="Calibri" w:hAnsi="Calibri" w:cs="FS Lola"/>
                <w:sz w:val="18"/>
                <w:szCs w:val="18"/>
                <w:lang w:eastAsia="en-GB"/>
              </w:rPr>
            </w:pPr>
            <w:r>
              <w:rPr>
                <w:rFonts w:ascii="Calibri" w:eastAsia="Calibri" w:hAnsi="Calibri" w:cs="FS Lola"/>
                <w:sz w:val="18"/>
                <w:szCs w:val="18"/>
                <w:lang w:eastAsia="en-GB"/>
              </w:rPr>
              <w:t>Actions to improve process have been completed but the action will continue to be tracked in 2021-22.</w:t>
            </w:r>
          </w:p>
        </w:tc>
        <w:tc>
          <w:tcPr>
            <w:tcW w:w="1823" w:type="dxa"/>
            <w:shd w:val="clear" w:color="auto" w:fill="auto"/>
          </w:tcPr>
          <w:p w14:paraId="60DE60FB" w14:textId="77777777" w:rsidR="00287B41" w:rsidRPr="000B4470"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0B4470">
              <w:rPr>
                <w:rFonts w:ascii="Calibri" w:eastAsia="Calibri" w:hAnsi="Calibri"/>
                <w:sz w:val="18"/>
                <w:szCs w:val="18"/>
              </w:rPr>
              <w:t>Chief Digital and Information Officer</w:t>
            </w:r>
            <w:r w:rsidRPr="000B4470" w:rsidDel="0031071F">
              <w:rPr>
                <w:rFonts w:ascii="Calibri" w:eastAsia="Calibri" w:hAnsi="Calibri"/>
                <w:sz w:val="18"/>
                <w:szCs w:val="18"/>
              </w:rPr>
              <w:t xml:space="preserve"> </w:t>
            </w:r>
            <w:r w:rsidRPr="000B4470">
              <w:rPr>
                <w:rFonts w:ascii="Calibri" w:eastAsia="Calibri" w:hAnsi="Calibri"/>
                <w:sz w:val="18"/>
                <w:szCs w:val="18"/>
              </w:rPr>
              <w:t>/</w:t>
            </w:r>
          </w:p>
          <w:p w14:paraId="4E3B5F6A" w14:textId="77777777" w:rsidR="00287B41" w:rsidRPr="000B4470" w:rsidRDefault="00287B41" w:rsidP="00287B41">
            <w:pPr>
              <w:spacing w:before="40" w:after="40"/>
              <w:rPr>
                <w:rFonts w:ascii="Calibri" w:eastAsia="Calibri" w:hAnsi="Calibri"/>
                <w:color w:val="000000"/>
                <w:sz w:val="18"/>
                <w:szCs w:val="18"/>
              </w:rPr>
            </w:pPr>
            <w:r w:rsidRPr="000B4470">
              <w:rPr>
                <w:rFonts w:ascii="Calibri" w:eastAsia="Calibri" w:hAnsi="Calibri"/>
                <w:sz w:val="18"/>
                <w:szCs w:val="18"/>
              </w:rPr>
              <w:t>Force Information Manager</w:t>
            </w:r>
          </w:p>
        </w:tc>
        <w:tc>
          <w:tcPr>
            <w:tcW w:w="2319" w:type="dxa"/>
          </w:tcPr>
          <w:p w14:paraId="52B1CB90" w14:textId="77777777" w:rsidR="00287B41" w:rsidRDefault="00615BEF" w:rsidP="00D91109">
            <w:pPr>
              <w:spacing w:before="40" w:after="40"/>
              <w:jc w:val="center"/>
              <w:rPr>
                <w:rFonts w:ascii="Calibri" w:eastAsia="Calibri" w:hAnsi="Calibri"/>
                <w:sz w:val="18"/>
                <w:szCs w:val="18"/>
              </w:rPr>
            </w:pPr>
            <w:r>
              <w:rPr>
                <w:rFonts w:ascii="Calibri" w:eastAsia="Calibri" w:hAnsi="Calibri"/>
                <w:sz w:val="18"/>
                <w:szCs w:val="18"/>
              </w:rPr>
              <w:t>31.12.22</w:t>
            </w:r>
          </w:p>
          <w:p w14:paraId="56C84FD4" w14:textId="5FE0EB5A" w:rsidR="00615BEF" w:rsidRPr="000B4470" w:rsidRDefault="00615BEF" w:rsidP="00D91109">
            <w:pPr>
              <w:spacing w:before="40" w:after="40"/>
              <w:jc w:val="center"/>
              <w:rPr>
                <w:rFonts w:ascii="Calibri" w:eastAsia="Calibri" w:hAnsi="Calibri"/>
                <w:sz w:val="18"/>
                <w:szCs w:val="18"/>
              </w:rPr>
            </w:pPr>
          </w:p>
        </w:tc>
      </w:tr>
      <w:tr w:rsidR="00287B41" w:rsidRPr="003516A4" w14:paraId="34342EEC" w14:textId="77777777" w:rsidTr="00C80C35">
        <w:trPr>
          <w:jc w:val="center"/>
        </w:trPr>
        <w:tc>
          <w:tcPr>
            <w:tcW w:w="709" w:type="dxa"/>
            <w:gridSpan w:val="2"/>
            <w:shd w:val="clear" w:color="auto" w:fill="auto"/>
          </w:tcPr>
          <w:p w14:paraId="14BCFEB4" w14:textId="1F07EAE4" w:rsidR="00287B41" w:rsidRPr="003516A4" w:rsidRDefault="00287B41" w:rsidP="00287B41">
            <w:pPr>
              <w:spacing w:before="40" w:after="40" w:line="259" w:lineRule="auto"/>
              <w:jc w:val="center"/>
              <w:rPr>
                <w:rFonts w:ascii="Calibri" w:eastAsia="Calibri" w:hAnsi="Calibri"/>
                <w:color w:val="333333"/>
                <w:sz w:val="18"/>
                <w:szCs w:val="18"/>
                <w:highlight w:val="yellow"/>
              </w:rPr>
            </w:pPr>
          </w:p>
        </w:tc>
        <w:tc>
          <w:tcPr>
            <w:tcW w:w="6064" w:type="dxa"/>
            <w:shd w:val="clear" w:color="auto" w:fill="auto"/>
          </w:tcPr>
          <w:p w14:paraId="3183ECF3" w14:textId="77777777" w:rsidR="00287B41" w:rsidRPr="003516A4" w:rsidRDefault="00287B41" w:rsidP="00287B41">
            <w:pPr>
              <w:spacing w:before="40" w:after="40"/>
              <w:rPr>
                <w:rFonts w:ascii="Calibri" w:eastAsia="Calibri" w:hAnsi="Calibri" w:cs="Times New Roman"/>
                <w:b/>
                <w:color w:val="002060"/>
                <w:sz w:val="18"/>
                <w:szCs w:val="18"/>
                <w:highlight w:val="yellow"/>
              </w:rPr>
            </w:pPr>
            <w:r w:rsidRPr="003516A4">
              <w:rPr>
                <w:rFonts w:ascii="Calibri" w:eastAsia="Calibri" w:hAnsi="Calibri" w:cs="Times New Roman"/>
                <w:b/>
                <w:color w:val="002060"/>
                <w:sz w:val="18"/>
                <w:szCs w:val="18"/>
                <w:highlight w:val="yellow"/>
              </w:rPr>
              <w:t>Risk assurance mapping:</w:t>
            </w:r>
          </w:p>
          <w:p w14:paraId="2D25EA8A" w14:textId="77777777" w:rsidR="00287B41" w:rsidRPr="003516A4" w:rsidRDefault="00287B41" w:rsidP="00287B41">
            <w:pPr>
              <w:spacing w:before="40" w:after="40"/>
              <w:rPr>
                <w:rFonts w:ascii="Calibri" w:eastAsia="Calibri" w:hAnsi="Calibri" w:cs="Times New Roman"/>
                <w:sz w:val="18"/>
                <w:szCs w:val="18"/>
                <w:highlight w:val="yellow"/>
              </w:rPr>
            </w:pPr>
            <w:r w:rsidRPr="003516A4">
              <w:rPr>
                <w:rFonts w:ascii="Calibri" w:eastAsia="Calibri" w:hAnsi="Calibri" w:cs="Times New Roman"/>
                <w:sz w:val="18"/>
                <w:szCs w:val="18"/>
                <w:highlight w:val="yellow"/>
              </w:rPr>
              <w:t>As proposed by Karen Shaw, Deputy Head of Southern Internal Audit Partnership – risk assurance mapping exercise to be undertaken in relation to strategic force risks building on from work undertaken re action 14 above in relation to mapping corporate governance arrangements.</w:t>
            </w:r>
          </w:p>
        </w:tc>
        <w:tc>
          <w:tcPr>
            <w:tcW w:w="1823" w:type="dxa"/>
            <w:shd w:val="clear" w:color="auto" w:fill="auto"/>
          </w:tcPr>
          <w:p w14:paraId="22A375D1" w14:textId="0B3F7683" w:rsidR="00287B41" w:rsidRPr="003516A4"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sidRPr="003516A4">
              <w:rPr>
                <w:rFonts w:ascii="Calibri" w:eastAsia="Calibri" w:hAnsi="Calibri"/>
                <w:sz w:val="18"/>
                <w:szCs w:val="18"/>
                <w:highlight w:val="yellow"/>
              </w:rPr>
              <w:t>Executive Director Comme</w:t>
            </w:r>
            <w:r w:rsidR="00E0592C">
              <w:rPr>
                <w:rFonts w:ascii="Calibri" w:eastAsia="Calibri" w:hAnsi="Calibri"/>
                <w:sz w:val="18"/>
                <w:szCs w:val="18"/>
                <w:highlight w:val="yellow"/>
              </w:rPr>
              <w:t>rcial and Financial Services</w:t>
            </w:r>
          </w:p>
          <w:p w14:paraId="73EBA9EA" w14:textId="47C0E58A" w:rsidR="00287B41" w:rsidRPr="003516A4" w:rsidRDefault="00287B41" w:rsidP="00287B41">
            <w:pPr>
              <w:spacing w:before="40" w:after="40"/>
              <w:rPr>
                <w:rFonts w:ascii="Calibri" w:eastAsia="Calibri" w:hAnsi="Calibri"/>
                <w:color w:val="000000"/>
                <w:sz w:val="18"/>
                <w:szCs w:val="18"/>
                <w:highlight w:val="yellow"/>
              </w:rPr>
            </w:pPr>
          </w:p>
        </w:tc>
        <w:tc>
          <w:tcPr>
            <w:tcW w:w="2319" w:type="dxa"/>
          </w:tcPr>
          <w:p w14:paraId="32E271CA" w14:textId="77777777" w:rsidR="00287B41" w:rsidRPr="003516A4" w:rsidRDefault="00287B41" w:rsidP="00D91109">
            <w:pPr>
              <w:spacing w:before="40" w:after="40"/>
              <w:jc w:val="center"/>
              <w:rPr>
                <w:rFonts w:ascii="Calibri" w:eastAsia="Calibri" w:hAnsi="Calibri"/>
                <w:sz w:val="18"/>
                <w:szCs w:val="18"/>
                <w:highlight w:val="yellow"/>
              </w:rPr>
            </w:pPr>
            <w:r w:rsidRPr="003516A4">
              <w:rPr>
                <w:rFonts w:ascii="Calibri" w:eastAsia="Calibri" w:hAnsi="Calibri"/>
                <w:sz w:val="18"/>
                <w:szCs w:val="18"/>
                <w:highlight w:val="yellow"/>
              </w:rPr>
              <w:t>02.09. 20 report to ORB</w:t>
            </w:r>
          </w:p>
        </w:tc>
      </w:tr>
      <w:tr w:rsidR="00287B41" w:rsidRPr="003516A4" w14:paraId="0791B651" w14:textId="77777777" w:rsidTr="00C80C35">
        <w:trPr>
          <w:jc w:val="center"/>
        </w:trPr>
        <w:tc>
          <w:tcPr>
            <w:tcW w:w="709" w:type="dxa"/>
            <w:gridSpan w:val="2"/>
            <w:shd w:val="clear" w:color="auto" w:fill="auto"/>
          </w:tcPr>
          <w:p w14:paraId="50F8D3B9" w14:textId="77777777" w:rsidR="00287B41" w:rsidRPr="003516A4" w:rsidRDefault="00287B41" w:rsidP="00287B41">
            <w:pPr>
              <w:spacing w:before="40" w:after="40" w:line="259" w:lineRule="auto"/>
              <w:jc w:val="center"/>
              <w:rPr>
                <w:rFonts w:ascii="Calibri" w:eastAsia="Calibri" w:hAnsi="Calibri"/>
                <w:color w:val="333333"/>
                <w:sz w:val="18"/>
                <w:szCs w:val="18"/>
                <w:highlight w:val="yellow"/>
              </w:rPr>
            </w:pPr>
          </w:p>
        </w:tc>
        <w:tc>
          <w:tcPr>
            <w:tcW w:w="6064" w:type="dxa"/>
            <w:shd w:val="clear" w:color="auto" w:fill="auto"/>
          </w:tcPr>
          <w:p w14:paraId="74DF3EB0" w14:textId="77777777" w:rsidR="00287B41" w:rsidRPr="003516A4" w:rsidRDefault="00287B41" w:rsidP="00287B41">
            <w:pPr>
              <w:spacing w:before="40" w:after="40"/>
              <w:rPr>
                <w:rFonts w:ascii="Calibri" w:eastAsia="Calibri" w:hAnsi="Calibri" w:cs="Times New Roman"/>
                <w:b/>
                <w:color w:val="002060"/>
                <w:sz w:val="18"/>
                <w:szCs w:val="18"/>
                <w:highlight w:val="yellow"/>
              </w:rPr>
            </w:pPr>
            <w:r w:rsidRPr="003516A4">
              <w:rPr>
                <w:rFonts w:ascii="Calibri" w:eastAsia="Calibri" w:hAnsi="Calibri" w:cs="Times New Roman"/>
                <w:b/>
                <w:color w:val="002060"/>
                <w:sz w:val="18"/>
                <w:szCs w:val="18"/>
                <w:highlight w:val="yellow"/>
              </w:rPr>
              <w:t>Covid-19</w:t>
            </w:r>
          </w:p>
          <w:p w14:paraId="3374E804" w14:textId="77777777" w:rsidR="00287B41" w:rsidRPr="003516A4" w:rsidRDefault="00287B41" w:rsidP="00287B41">
            <w:pPr>
              <w:spacing w:before="40" w:after="40"/>
              <w:rPr>
                <w:rFonts w:ascii="Calibri" w:eastAsia="Calibri" w:hAnsi="Calibri" w:cs="Times New Roman"/>
                <w:sz w:val="18"/>
                <w:szCs w:val="18"/>
                <w:highlight w:val="yellow"/>
              </w:rPr>
            </w:pPr>
            <w:r w:rsidRPr="003516A4">
              <w:rPr>
                <w:rFonts w:ascii="Calibri" w:eastAsia="Calibri" w:hAnsi="Calibri" w:cs="Times New Roman"/>
                <w:sz w:val="18"/>
                <w:szCs w:val="18"/>
                <w:highlight w:val="yellow"/>
              </w:rPr>
              <w:t>Keep under review the impact of Covid-19 issues on Surrey Police and consider any governance issues arising.</w:t>
            </w:r>
          </w:p>
        </w:tc>
        <w:tc>
          <w:tcPr>
            <w:tcW w:w="1823" w:type="dxa"/>
            <w:shd w:val="clear" w:color="auto" w:fill="auto"/>
          </w:tcPr>
          <w:p w14:paraId="26F5A185" w14:textId="77777777" w:rsidR="00287B41" w:rsidRPr="003516A4"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sidRPr="003516A4">
              <w:rPr>
                <w:rFonts w:ascii="Calibri" w:eastAsia="Calibri" w:hAnsi="Calibri"/>
                <w:sz w:val="18"/>
                <w:szCs w:val="18"/>
                <w:highlight w:val="yellow"/>
              </w:rPr>
              <w:t xml:space="preserve">Deputy Chief Constable / </w:t>
            </w:r>
          </w:p>
          <w:p w14:paraId="38422A68" w14:textId="77777777" w:rsidR="00287B41" w:rsidRPr="003516A4"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sidRPr="003516A4">
              <w:rPr>
                <w:rFonts w:ascii="Calibri" w:eastAsia="Calibri" w:hAnsi="Calibri"/>
                <w:sz w:val="18"/>
                <w:szCs w:val="18"/>
                <w:highlight w:val="yellow"/>
              </w:rPr>
              <w:t>Executive Director of Commercial and Finance Services</w:t>
            </w:r>
          </w:p>
        </w:tc>
        <w:tc>
          <w:tcPr>
            <w:tcW w:w="2319" w:type="dxa"/>
          </w:tcPr>
          <w:p w14:paraId="5D61AF5F" w14:textId="77777777" w:rsidR="00287B41" w:rsidRPr="003516A4" w:rsidRDefault="00287B41" w:rsidP="00D91109">
            <w:pPr>
              <w:spacing w:before="40" w:after="40"/>
              <w:jc w:val="center"/>
              <w:rPr>
                <w:rFonts w:ascii="Calibri" w:eastAsia="Calibri" w:hAnsi="Calibri"/>
                <w:sz w:val="18"/>
                <w:szCs w:val="18"/>
                <w:highlight w:val="yellow"/>
              </w:rPr>
            </w:pPr>
            <w:r w:rsidRPr="003516A4">
              <w:rPr>
                <w:rFonts w:ascii="Calibri" w:eastAsia="Calibri" w:hAnsi="Calibri"/>
                <w:sz w:val="18"/>
                <w:szCs w:val="18"/>
                <w:highlight w:val="yellow"/>
              </w:rPr>
              <w:t>31.03.21</w:t>
            </w:r>
          </w:p>
        </w:tc>
      </w:tr>
      <w:tr w:rsidR="00287B41" w:rsidRPr="003516A4" w14:paraId="4D4BB26D" w14:textId="77777777" w:rsidTr="00C80C35">
        <w:trPr>
          <w:jc w:val="center"/>
        </w:trPr>
        <w:tc>
          <w:tcPr>
            <w:tcW w:w="709" w:type="dxa"/>
            <w:gridSpan w:val="2"/>
            <w:shd w:val="clear" w:color="auto" w:fill="auto"/>
          </w:tcPr>
          <w:p w14:paraId="7C0BFCFE" w14:textId="77777777" w:rsidR="00287B41" w:rsidRPr="003516A4" w:rsidRDefault="00287B41" w:rsidP="00287B41">
            <w:pPr>
              <w:spacing w:before="40" w:after="40" w:line="259" w:lineRule="auto"/>
              <w:jc w:val="center"/>
              <w:rPr>
                <w:rFonts w:ascii="Calibri" w:eastAsia="Calibri" w:hAnsi="Calibri"/>
                <w:color w:val="333333"/>
                <w:sz w:val="18"/>
                <w:szCs w:val="18"/>
                <w:highlight w:val="yellow"/>
              </w:rPr>
            </w:pPr>
          </w:p>
        </w:tc>
        <w:tc>
          <w:tcPr>
            <w:tcW w:w="6064" w:type="dxa"/>
            <w:shd w:val="clear" w:color="auto" w:fill="auto"/>
          </w:tcPr>
          <w:p w14:paraId="72F5859F" w14:textId="77777777" w:rsidR="00287B41" w:rsidRPr="003516A4" w:rsidRDefault="00287B41" w:rsidP="00287B41">
            <w:pPr>
              <w:spacing w:before="40" w:after="40"/>
              <w:rPr>
                <w:rFonts w:ascii="Calibri" w:eastAsia="Calibri" w:hAnsi="Calibri" w:cs="Times New Roman"/>
                <w:b/>
                <w:color w:val="002060"/>
                <w:sz w:val="18"/>
                <w:szCs w:val="18"/>
                <w:highlight w:val="yellow"/>
              </w:rPr>
            </w:pPr>
            <w:r w:rsidRPr="003516A4">
              <w:rPr>
                <w:rFonts w:ascii="Calibri" w:eastAsia="Calibri" w:hAnsi="Calibri" w:cs="Times New Roman"/>
                <w:b/>
                <w:color w:val="002060"/>
                <w:sz w:val="18"/>
                <w:szCs w:val="18"/>
                <w:highlight w:val="yellow"/>
              </w:rPr>
              <w:t>Covid-19</w:t>
            </w:r>
          </w:p>
          <w:p w14:paraId="50140D96" w14:textId="77777777" w:rsidR="00287B41" w:rsidRPr="003516A4" w:rsidRDefault="00287B41" w:rsidP="00287B41">
            <w:pPr>
              <w:spacing w:before="40" w:after="40"/>
              <w:rPr>
                <w:rFonts w:ascii="Calibri" w:eastAsia="Calibri" w:hAnsi="Calibri" w:cs="Times New Roman"/>
                <w:b/>
                <w:color w:val="002060"/>
                <w:sz w:val="18"/>
                <w:szCs w:val="18"/>
                <w:highlight w:val="yellow"/>
              </w:rPr>
            </w:pPr>
            <w:r w:rsidRPr="003516A4">
              <w:rPr>
                <w:rFonts w:ascii="Calibri" w:eastAsia="Calibri" w:hAnsi="Calibri" w:cs="Times New Roman"/>
                <w:sz w:val="18"/>
                <w:szCs w:val="18"/>
                <w:highlight w:val="yellow"/>
              </w:rPr>
              <w:t>Undertake a lessons learned review from the Covid-19 response.</w:t>
            </w:r>
          </w:p>
        </w:tc>
        <w:tc>
          <w:tcPr>
            <w:tcW w:w="1823" w:type="dxa"/>
            <w:shd w:val="clear" w:color="auto" w:fill="auto"/>
          </w:tcPr>
          <w:p w14:paraId="2C5A11D4" w14:textId="77777777" w:rsidR="00287B41" w:rsidRPr="003516A4"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sidRPr="003516A4">
              <w:rPr>
                <w:rFonts w:ascii="Calibri" w:eastAsia="Calibri" w:hAnsi="Calibri"/>
                <w:sz w:val="18"/>
                <w:szCs w:val="18"/>
                <w:highlight w:val="yellow"/>
              </w:rPr>
              <w:t xml:space="preserve">Deputy Chief Constable / </w:t>
            </w:r>
          </w:p>
          <w:p w14:paraId="166ABFCB" w14:textId="77777777" w:rsidR="00287B41" w:rsidRPr="003516A4"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sidRPr="003516A4">
              <w:rPr>
                <w:rFonts w:ascii="Calibri" w:eastAsia="Calibri" w:hAnsi="Calibri"/>
                <w:sz w:val="18"/>
                <w:szCs w:val="18"/>
                <w:highlight w:val="yellow"/>
              </w:rPr>
              <w:t>Executive Director of Commercial and Finance Services</w:t>
            </w:r>
          </w:p>
        </w:tc>
        <w:tc>
          <w:tcPr>
            <w:tcW w:w="2319" w:type="dxa"/>
          </w:tcPr>
          <w:p w14:paraId="184C970E" w14:textId="77777777" w:rsidR="00287B41" w:rsidRPr="003516A4" w:rsidRDefault="00287B41" w:rsidP="00D91109">
            <w:pPr>
              <w:spacing w:before="40" w:after="40"/>
              <w:jc w:val="center"/>
              <w:rPr>
                <w:rFonts w:ascii="Calibri" w:eastAsia="Calibri" w:hAnsi="Calibri"/>
                <w:sz w:val="18"/>
                <w:szCs w:val="18"/>
                <w:highlight w:val="yellow"/>
              </w:rPr>
            </w:pPr>
            <w:r w:rsidRPr="003516A4">
              <w:rPr>
                <w:rFonts w:ascii="Calibri" w:eastAsia="Calibri" w:hAnsi="Calibri"/>
                <w:sz w:val="18"/>
                <w:szCs w:val="18"/>
                <w:highlight w:val="yellow"/>
              </w:rPr>
              <w:t>31.03.21</w:t>
            </w:r>
          </w:p>
        </w:tc>
      </w:tr>
      <w:tr w:rsidR="00C5655A" w:rsidRPr="003516A4" w14:paraId="6EEE598D" w14:textId="77777777" w:rsidTr="00D94D3B">
        <w:trPr>
          <w:jc w:val="center"/>
        </w:trPr>
        <w:tc>
          <w:tcPr>
            <w:tcW w:w="10915" w:type="dxa"/>
            <w:gridSpan w:val="5"/>
            <w:shd w:val="clear" w:color="auto" w:fill="BDD6EE" w:themeFill="accent1" w:themeFillTint="66"/>
          </w:tcPr>
          <w:p w14:paraId="7361184E" w14:textId="2178BFA8" w:rsidR="00C5655A" w:rsidRPr="00C5655A" w:rsidRDefault="00C5655A" w:rsidP="00C5655A">
            <w:pPr>
              <w:spacing w:before="40" w:after="40"/>
              <w:rPr>
                <w:rFonts w:ascii="Calibri" w:eastAsia="Calibri" w:hAnsi="Calibri"/>
                <w:sz w:val="18"/>
                <w:szCs w:val="18"/>
              </w:rPr>
            </w:pPr>
            <w:r w:rsidRPr="00C5655A">
              <w:rPr>
                <w:rFonts w:ascii="Calibri" w:eastAsia="Calibri" w:hAnsi="Calibri"/>
                <w:b/>
                <w:caps/>
              </w:rPr>
              <w:t>Issues identified from internal audit 2020-21</w:t>
            </w:r>
          </w:p>
        </w:tc>
      </w:tr>
      <w:tr w:rsidR="00AC18BA" w:rsidRPr="003516A4" w14:paraId="7688B502" w14:textId="77777777" w:rsidTr="00C80C35">
        <w:trPr>
          <w:jc w:val="center"/>
        </w:trPr>
        <w:tc>
          <w:tcPr>
            <w:tcW w:w="709" w:type="dxa"/>
            <w:gridSpan w:val="2"/>
            <w:shd w:val="clear" w:color="auto" w:fill="auto"/>
          </w:tcPr>
          <w:p w14:paraId="36B2B6CA" w14:textId="77777777" w:rsidR="00AC18BA" w:rsidRPr="00C5655A" w:rsidRDefault="00AC18BA" w:rsidP="00287B41">
            <w:pPr>
              <w:spacing w:before="40" w:after="40" w:line="259" w:lineRule="auto"/>
              <w:jc w:val="center"/>
              <w:rPr>
                <w:rFonts w:ascii="Calibri" w:eastAsia="Calibri" w:hAnsi="Calibri"/>
                <w:color w:val="333333"/>
                <w:sz w:val="18"/>
                <w:szCs w:val="18"/>
              </w:rPr>
            </w:pPr>
          </w:p>
        </w:tc>
        <w:tc>
          <w:tcPr>
            <w:tcW w:w="6064" w:type="dxa"/>
            <w:shd w:val="clear" w:color="auto" w:fill="auto"/>
          </w:tcPr>
          <w:p w14:paraId="011FBDE1" w14:textId="2F4BB60E" w:rsidR="00AC18BA" w:rsidRDefault="00662C93" w:rsidP="00287B41">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IT Business Continuity / Disaster Recovery Planning – Limited Assurance</w:t>
            </w:r>
          </w:p>
          <w:p w14:paraId="40633199" w14:textId="77777777" w:rsidR="00662C93" w:rsidRDefault="001D1C33" w:rsidP="001D1C33">
            <w:pPr>
              <w:spacing w:before="40" w:after="40"/>
              <w:rPr>
                <w:rFonts w:ascii="Calibri" w:hAnsi="Calibri"/>
                <w:sz w:val="18"/>
                <w:szCs w:val="18"/>
              </w:rPr>
            </w:pPr>
            <w:r w:rsidRPr="00267E2F">
              <w:rPr>
                <w:rFonts w:ascii="Calibri" w:hAnsi="Calibri"/>
                <w:sz w:val="18"/>
                <w:szCs w:val="18"/>
              </w:rPr>
              <w:t>1</w:t>
            </w:r>
            <w:r>
              <w:rPr>
                <w:rFonts w:ascii="Calibri" w:hAnsi="Calibri"/>
                <w:sz w:val="18"/>
                <w:szCs w:val="18"/>
              </w:rPr>
              <w:t>0</w:t>
            </w:r>
            <w:r w:rsidRPr="00267E2F">
              <w:rPr>
                <w:rFonts w:ascii="Calibri" w:hAnsi="Calibri"/>
                <w:sz w:val="18"/>
                <w:szCs w:val="18"/>
              </w:rPr>
              <w:t xml:space="preserve"> medium level management actions</w:t>
            </w:r>
          </w:p>
          <w:p w14:paraId="011B2CE4" w14:textId="6D1F489A" w:rsidR="001D1C33" w:rsidRPr="00662C93" w:rsidRDefault="001D1C33" w:rsidP="001D1C33">
            <w:pPr>
              <w:spacing w:before="40" w:after="40"/>
              <w:rPr>
                <w:rFonts w:ascii="Calibri" w:eastAsia="Calibri" w:hAnsi="Calibri" w:cs="Times New Roman"/>
                <w:sz w:val="18"/>
                <w:szCs w:val="18"/>
              </w:rPr>
            </w:pPr>
            <w:r w:rsidRPr="00567832">
              <w:rPr>
                <w:rFonts w:ascii="Calibri" w:eastAsia="Calibri" w:hAnsi="Calibri" w:cs="Times New Roman"/>
                <w:sz w:val="18"/>
                <w:szCs w:val="18"/>
              </w:rPr>
              <w:t xml:space="preserve">Update May-21: </w:t>
            </w:r>
            <w:r>
              <w:rPr>
                <w:rFonts w:ascii="Calibri" w:eastAsia="Calibri" w:hAnsi="Calibri" w:cs="Times New Roman"/>
                <w:sz w:val="18"/>
                <w:szCs w:val="18"/>
              </w:rPr>
              <w:t>6</w:t>
            </w:r>
            <w:r w:rsidRPr="00567832">
              <w:rPr>
                <w:rFonts w:ascii="Calibri" w:eastAsia="Calibri" w:hAnsi="Calibri" w:cs="Times New Roman"/>
                <w:sz w:val="18"/>
                <w:szCs w:val="18"/>
              </w:rPr>
              <w:t xml:space="preserve"> overdue actions remain open</w:t>
            </w:r>
          </w:p>
        </w:tc>
        <w:tc>
          <w:tcPr>
            <w:tcW w:w="1823" w:type="dxa"/>
            <w:shd w:val="clear" w:color="auto" w:fill="auto"/>
          </w:tcPr>
          <w:p w14:paraId="0A95E193" w14:textId="1998C5F2" w:rsidR="00AC18BA" w:rsidRPr="00C5655A" w:rsidRDefault="001D1C33"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Chief Digital and Information Officer</w:t>
            </w:r>
          </w:p>
        </w:tc>
        <w:tc>
          <w:tcPr>
            <w:tcW w:w="2319" w:type="dxa"/>
          </w:tcPr>
          <w:p w14:paraId="32FB8777" w14:textId="64312704" w:rsidR="00AC18BA" w:rsidRPr="00C5655A" w:rsidRDefault="001D1C33" w:rsidP="00D91109">
            <w:pPr>
              <w:spacing w:before="40" w:after="40"/>
              <w:jc w:val="center"/>
              <w:rPr>
                <w:rFonts w:ascii="Calibri" w:eastAsia="Calibri" w:hAnsi="Calibri"/>
                <w:sz w:val="18"/>
                <w:szCs w:val="18"/>
              </w:rPr>
            </w:pPr>
            <w:r>
              <w:rPr>
                <w:rFonts w:ascii="Calibri" w:eastAsia="Calibri" w:hAnsi="Calibri"/>
                <w:sz w:val="18"/>
                <w:szCs w:val="18"/>
              </w:rPr>
              <w:t>30.04.21</w:t>
            </w:r>
          </w:p>
        </w:tc>
      </w:tr>
      <w:tr w:rsidR="00AC18BA" w:rsidRPr="003516A4" w14:paraId="0B3FFBD3" w14:textId="77777777" w:rsidTr="00C80C35">
        <w:trPr>
          <w:jc w:val="center"/>
        </w:trPr>
        <w:tc>
          <w:tcPr>
            <w:tcW w:w="709" w:type="dxa"/>
            <w:gridSpan w:val="2"/>
            <w:shd w:val="clear" w:color="auto" w:fill="auto"/>
          </w:tcPr>
          <w:p w14:paraId="29168D8D" w14:textId="77777777" w:rsidR="00AC18BA" w:rsidRPr="00C5655A" w:rsidRDefault="00AC18BA" w:rsidP="00287B41">
            <w:pPr>
              <w:spacing w:before="40" w:after="40" w:line="259" w:lineRule="auto"/>
              <w:jc w:val="center"/>
              <w:rPr>
                <w:rFonts w:ascii="Calibri" w:eastAsia="Calibri" w:hAnsi="Calibri"/>
                <w:color w:val="333333"/>
                <w:sz w:val="18"/>
                <w:szCs w:val="18"/>
              </w:rPr>
            </w:pPr>
          </w:p>
        </w:tc>
        <w:tc>
          <w:tcPr>
            <w:tcW w:w="6064" w:type="dxa"/>
            <w:shd w:val="clear" w:color="auto" w:fill="auto"/>
          </w:tcPr>
          <w:p w14:paraId="537296C5" w14:textId="77777777" w:rsidR="00AC18BA" w:rsidRDefault="001D1C33" w:rsidP="00287B41">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Estates Management 2020/21 – Limited Assurance</w:t>
            </w:r>
          </w:p>
          <w:p w14:paraId="2523AB9B" w14:textId="77777777" w:rsidR="001D1C33" w:rsidRDefault="001D1C33" w:rsidP="00287B41">
            <w:pPr>
              <w:spacing w:before="40" w:after="40"/>
              <w:rPr>
                <w:rFonts w:ascii="Calibri" w:eastAsia="Calibri" w:hAnsi="Calibri" w:cs="Times New Roman"/>
                <w:sz w:val="18"/>
                <w:szCs w:val="18"/>
              </w:rPr>
            </w:pPr>
            <w:r>
              <w:rPr>
                <w:rFonts w:ascii="Calibri" w:eastAsia="Calibri" w:hAnsi="Calibri" w:cs="Times New Roman"/>
                <w:sz w:val="18"/>
                <w:szCs w:val="18"/>
              </w:rPr>
              <w:t>5 High, 4 Medium level management actions</w:t>
            </w:r>
          </w:p>
          <w:p w14:paraId="614126B9" w14:textId="06A4F987" w:rsidR="001D1C33" w:rsidRPr="001D1C33" w:rsidRDefault="001D1C33" w:rsidP="00287B41">
            <w:pPr>
              <w:spacing w:before="40" w:after="40"/>
              <w:rPr>
                <w:rFonts w:ascii="Calibri" w:eastAsia="Calibri" w:hAnsi="Calibri" w:cs="Times New Roman"/>
                <w:sz w:val="18"/>
                <w:szCs w:val="18"/>
              </w:rPr>
            </w:pPr>
            <w:r>
              <w:rPr>
                <w:rFonts w:ascii="Calibri" w:eastAsia="Calibri" w:hAnsi="Calibri" w:cs="Times New Roman"/>
                <w:sz w:val="18"/>
                <w:szCs w:val="18"/>
              </w:rPr>
              <w:t>Update May-21: 2 overdue actions remain open</w:t>
            </w:r>
          </w:p>
        </w:tc>
        <w:tc>
          <w:tcPr>
            <w:tcW w:w="1823" w:type="dxa"/>
            <w:shd w:val="clear" w:color="auto" w:fill="auto"/>
          </w:tcPr>
          <w:p w14:paraId="1B777282" w14:textId="1B0011A6" w:rsidR="00AC18BA" w:rsidRPr="00C5655A" w:rsidRDefault="001D1C33"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1D1C33">
              <w:rPr>
                <w:rFonts w:ascii="Calibri" w:eastAsia="Calibri" w:hAnsi="Calibri"/>
                <w:sz w:val="18"/>
                <w:szCs w:val="18"/>
              </w:rPr>
              <w:t>Executive Director of Commercial and Finance Services</w:t>
            </w:r>
          </w:p>
        </w:tc>
        <w:tc>
          <w:tcPr>
            <w:tcW w:w="2319" w:type="dxa"/>
          </w:tcPr>
          <w:p w14:paraId="50709CE6" w14:textId="16DA431C" w:rsidR="00AC18BA" w:rsidRPr="00C5655A" w:rsidRDefault="001D1C33" w:rsidP="00D91109">
            <w:pPr>
              <w:spacing w:before="40" w:after="40"/>
              <w:jc w:val="center"/>
              <w:rPr>
                <w:rFonts w:ascii="Calibri" w:eastAsia="Calibri" w:hAnsi="Calibri"/>
                <w:sz w:val="18"/>
                <w:szCs w:val="18"/>
              </w:rPr>
            </w:pPr>
            <w:r>
              <w:rPr>
                <w:rFonts w:ascii="Calibri" w:eastAsia="Calibri" w:hAnsi="Calibri"/>
                <w:sz w:val="18"/>
                <w:szCs w:val="18"/>
              </w:rPr>
              <w:t>31.03.21</w:t>
            </w:r>
          </w:p>
        </w:tc>
      </w:tr>
      <w:tr w:rsidR="00AC18BA" w:rsidRPr="003516A4" w14:paraId="25E04103" w14:textId="77777777" w:rsidTr="00C80C35">
        <w:trPr>
          <w:jc w:val="center"/>
        </w:trPr>
        <w:tc>
          <w:tcPr>
            <w:tcW w:w="709" w:type="dxa"/>
            <w:gridSpan w:val="2"/>
            <w:shd w:val="clear" w:color="auto" w:fill="auto"/>
          </w:tcPr>
          <w:p w14:paraId="34F23A79" w14:textId="6E0EF17C" w:rsidR="00AC18BA" w:rsidRPr="00C5655A" w:rsidRDefault="00AC18BA" w:rsidP="00287B41">
            <w:pPr>
              <w:spacing w:before="40" w:after="40" w:line="259" w:lineRule="auto"/>
              <w:jc w:val="center"/>
              <w:rPr>
                <w:rFonts w:ascii="Calibri" w:eastAsia="Calibri" w:hAnsi="Calibri"/>
                <w:color w:val="333333"/>
                <w:sz w:val="18"/>
                <w:szCs w:val="18"/>
              </w:rPr>
            </w:pPr>
          </w:p>
        </w:tc>
        <w:tc>
          <w:tcPr>
            <w:tcW w:w="6064" w:type="dxa"/>
            <w:shd w:val="clear" w:color="auto" w:fill="auto"/>
          </w:tcPr>
          <w:p w14:paraId="7F8773D6" w14:textId="77777777" w:rsidR="00AC18BA" w:rsidRDefault="001A778B" w:rsidP="00287B41">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Organisational Risk Management Framework 2020/21 – Limited Assurance</w:t>
            </w:r>
          </w:p>
          <w:p w14:paraId="4BBA13DD" w14:textId="15F9FEC9" w:rsidR="001A778B" w:rsidRPr="001A778B" w:rsidRDefault="001A778B" w:rsidP="001A778B">
            <w:pPr>
              <w:spacing w:before="40" w:after="40"/>
              <w:rPr>
                <w:rFonts w:ascii="Calibri" w:eastAsia="Calibri" w:hAnsi="Calibri" w:cs="Times New Roman"/>
                <w:sz w:val="18"/>
                <w:szCs w:val="18"/>
              </w:rPr>
            </w:pPr>
            <w:r>
              <w:rPr>
                <w:rFonts w:ascii="Calibri" w:eastAsia="Calibri" w:hAnsi="Calibri" w:cs="Times New Roman"/>
                <w:sz w:val="18"/>
                <w:szCs w:val="18"/>
              </w:rPr>
              <w:t xml:space="preserve">5 High, 8 Medium level management actions </w:t>
            </w:r>
          </w:p>
        </w:tc>
        <w:tc>
          <w:tcPr>
            <w:tcW w:w="1823" w:type="dxa"/>
            <w:shd w:val="clear" w:color="auto" w:fill="auto"/>
          </w:tcPr>
          <w:p w14:paraId="3C98F24E" w14:textId="0D610F51" w:rsidR="00AC18BA" w:rsidRPr="00C5655A" w:rsidRDefault="00E0592C"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1D1C33">
              <w:rPr>
                <w:rFonts w:ascii="Calibri" w:eastAsia="Calibri" w:hAnsi="Calibri"/>
                <w:sz w:val="18"/>
                <w:szCs w:val="18"/>
              </w:rPr>
              <w:t>Executive Director of Commercial and Finance Services</w:t>
            </w:r>
          </w:p>
        </w:tc>
        <w:tc>
          <w:tcPr>
            <w:tcW w:w="2319" w:type="dxa"/>
          </w:tcPr>
          <w:p w14:paraId="52947F30" w14:textId="32B02516" w:rsidR="00AC18BA" w:rsidRPr="00C5655A" w:rsidRDefault="001A778B" w:rsidP="00D91109">
            <w:pPr>
              <w:spacing w:before="40" w:after="40"/>
              <w:jc w:val="center"/>
              <w:rPr>
                <w:rFonts w:ascii="Calibri" w:eastAsia="Calibri" w:hAnsi="Calibri"/>
                <w:sz w:val="18"/>
                <w:szCs w:val="18"/>
              </w:rPr>
            </w:pPr>
            <w:r>
              <w:rPr>
                <w:rFonts w:ascii="Calibri" w:eastAsia="Calibri" w:hAnsi="Calibri"/>
                <w:sz w:val="18"/>
                <w:szCs w:val="18"/>
              </w:rPr>
              <w:t>Complete</w:t>
            </w:r>
          </w:p>
        </w:tc>
      </w:tr>
      <w:tr w:rsidR="00806577" w:rsidRPr="003516A4" w14:paraId="7489F5A2" w14:textId="77777777" w:rsidTr="00C80C35">
        <w:trPr>
          <w:jc w:val="center"/>
        </w:trPr>
        <w:tc>
          <w:tcPr>
            <w:tcW w:w="709" w:type="dxa"/>
            <w:gridSpan w:val="2"/>
            <w:shd w:val="clear" w:color="auto" w:fill="auto"/>
          </w:tcPr>
          <w:p w14:paraId="75AFC4CF" w14:textId="77777777" w:rsidR="00806577" w:rsidRPr="00C5655A" w:rsidRDefault="00806577" w:rsidP="00806577">
            <w:pPr>
              <w:spacing w:before="40" w:after="40" w:line="259" w:lineRule="auto"/>
              <w:jc w:val="center"/>
              <w:rPr>
                <w:rFonts w:ascii="Calibri" w:eastAsia="Calibri" w:hAnsi="Calibri"/>
                <w:color w:val="333333"/>
                <w:sz w:val="18"/>
                <w:szCs w:val="18"/>
              </w:rPr>
            </w:pPr>
          </w:p>
        </w:tc>
        <w:tc>
          <w:tcPr>
            <w:tcW w:w="6064" w:type="dxa"/>
            <w:shd w:val="clear" w:color="auto" w:fill="auto"/>
          </w:tcPr>
          <w:p w14:paraId="7380DFCF" w14:textId="77777777" w:rsidR="00806577" w:rsidRDefault="00806577" w:rsidP="00806577">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IT Asset Management and Software Licensing 2020/21 – Limited Assurance</w:t>
            </w:r>
          </w:p>
          <w:p w14:paraId="731E1D00" w14:textId="321700E9" w:rsidR="00806577" w:rsidRDefault="00806577" w:rsidP="00806577">
            <w:pPr>
              <w:spacing w:before="40" w:after="40"/>
              <w:rPr>
                <w:rFonts w:ascii="Calibri" w:eastAsia="Calibri" w:hAnsi="Calibri" w:cs="Times New Roman"/>
                <w:b/>
                <w:color w:val="002060"/>
                <w:sz w:val="18"/>
                <w:szCs w:val="18"/>
              </w:rPr>
            </w:pPr>
            <w:r>
              <w:rPr>
                <w:rFonts w:ascii="Calibri" w:eastAsia="Calibri" w:hAnsi="Calibri" w:cs="Times New Roman"/>
                <w:sz w:val="18"/>
                <w:szCs w:val="18"/>
              </w:rPr>
              <w:t>1 High, 11 Medium level management actions</w:t>
            </w:r>
          </w:p>
        </w:tc>
        <w:tc>
          <w:tcPr>
            <w:tcW w:w="1823" w:type="dxa"/>
            <w:shd w:val="clear" w:color="auto" w:fill="auto"/>
          </w:tcPr>
          <w:p w14:paraId="654B871A" w14:textId="378AB619" w:rsidR="00806577" w:rsidRPr="001D1C33" w:rsidRDefault="00806577" w:rsidP="00806577">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Chief Digital and Information Officer</w:t>
            </w:r>
          </w:p>
        </w:tc>
        <w:tc>
          <w:tcPr>
            <w:tcW w:w="2319" w:type="dxa"/>
          </w:tcPr>
          <w:p w14:paraId="1D8AE543" w14:textId="5F78B38C" w:rsidR="00806577" w:rsidRDefault="00806577" w:rsidP="00806577">
            <w:pPr>
              <w:spacing w:before="40" w:after="40"/>
              <w:jc w:val="center"/>
              <w:rPr>
                <w:rFonts w:ascii="Calibri" w:eastAsia="Calibri" w:hAnsi="Calibri"/>
                <w:sz w:val="18"/>
                <w:szCs w:val="18"/>
              </w:rPr>
            </w:pPr>
            <w:r>
              <w:rPr>
                <w:rFonts w:ascii="Calibri" w:eastAsia="Calibri" w:hAnsi="Calibri"/>
                <w:sz w:val="18"/>
                <w:szCs w:val="18"/>
              </w:rPr>
              <w:t>31.12.21</w:t>
            </w:r>
          </w:p>
        </w:tc>
      </w:tr>
      <w:tr w:rsidR="00C5655A" w:rsidRPr="003516A4" w14:paraId="1FE8E8D8" w14:textId="77777777" w:rsidTr="00D94D3B">
        <w:trPr>
          <w:jc w:val="center"/>
        </w:trPr>
        <w:tc>
          <w:tcPr>
            <w:tcW w:w="10915" w:type="dxa"/>
            <w:gridSpan w:val="5"/>
            <w:shd w:val="clear" w:color="auto" w:fill="BDD6EE" w:themeFill="accent1" w:themeFillTint="66"/>
          </w:tcPr>
          <w:p w14:paraId="03E26928" w14:textId="08FF29D9" w:rsidR="00C5655A" w:rsidRPr="00C5655A" w:rsidRDefault="00C5655A" w:rsidP="00C5655A">
            <w:pPr>
              <w:spacing w:before="40" w:after="40"/>
              <w:rPr>
                <w:rFonts w:ascii="Calibri" w:eastAsia="Calibri" w:hAnsi="Calibri"/>
                <w:sz w:val="18"/>
                <w:szCs w:val="18"/>
              </w:rPr>
            </w:pPr>
            <w:r w:rsidRPr="00C5655A">
              <w:rPr>
                <w:rFonts w:ascii="Calibri" w:eastAsia="Calibri" w:hAnsi="Calibri"/>
                <w:b/>
              </w:rPr>
              <w:t xml:space="preserve">PROPOSED NEW AREAS OF </w:t>
            </w:r>
            <w:r>
              <w:rPr>
                <w:rFonts w:ascii="Calibri" w:eastAsia="Calibri" w:hAnsi="Calibri"/>
                <w:b/>
              </w:rPr>
              <w:t>IMPROVEMENT IDENTIFIED BY FORCE FOR 2021-22 AGS ACTION PLAN</w:t>
            </w:r>
          </w:p>
        </w:tc>
      </w:tr>
      <w:tr w:rsidR="00AC18BA" w:rsidRPr="003516A4" w14:paraId="496699E0" w14:textId="77777777" w:rsidTr="00C80C35">
        <w:trPr>
          <w:jc w:val="center"/>
        </w:trPr>
        <w:tc>
          <w:tcPr>
            <w:tcW w:w="709" w:type="dxa"/>
            <w:gridSpan w:val="2"/>
            <w:shd w:val="clear" w:color="auto" w:fill="auto"/>
          </w:tcPr>
          <w:p w14:paraId="5A3EAD96" w14:textId="77777777" w:rsidR="00AC18BA" w:rsidRPr="00C5655A" w:rsidRDefault="00AC18BA" w:rsidP="00287B41">
            <w:pPr>
              <w:spacing w:before="40" w:after="40" w:line="259" w:lineRule="auto"/>
              <w:jc w:val="center"/>
              <w:rPr>
                <w:rFonts w:ascii="Calibri" w:eastAsia="Calibri" w:hAnsi="Calibri"/>
                <w:color w:val="333333"/>
                <w:sz w:val="18"/>
                <w:szCs w:val="18"/>
              </w:rPr>
            </w:pPr>
          </w:p>
        </w:tc>
        <w:tc>
          <w:tcPr>
            <w:tcW w:w="6064" w:type="dxa"/>
            <w:shd w:val="clear" w:color="auto" w:fill="auto"/>
          </w:tcPr>
          <w:p w14:paraId="4D21A5DF" w14:textId="77777777" w:rsidR="00AC18BA" w:rsidRDefault="00DD2220" w:rsidP="00287B41">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Establish appropriate governance arrangements to take forward the joint Surrey/Sussex ERP solution.</w:t>
            </w:r>
          </w:p>
          <w:p w14:paraId="31964C34" w14:textId="7DE10CD0" w:rsidR="00DD2220" w:rsidRPr="00DD2220" w:rsidRDefault="00DD2220" w:rsidP="00287B41">
            <w:pPr>
              <w:spacing w:before="40" w:after="40"/>
              <w:rPr>
                <w:rFonts w:ascii="Calibri" w:eastAsia="Calibri" w:hAnsi="Calibri" w:cs="Times New Roman"/>
                <w:sz w:val="18"/>
                <w:szCs w:val="18"/>
              </w:rPr>
            </w:pPr>
            <w:r>
              <w:rPr>
                <w:rFonts w:ascii="Calibri" w:eastAsia="Calibri" w:hAnsi="Calibri" w:cs="Times New Roman"/>
                <w:sz w:val="18"/>
                <w:szCs w:val="18"/>
              </w:rPr>
              <w:t>Following closure of the Equip programme, work within Surrey and Sussex has continued to remediate data quality issues, whilst business cases are developed with options for the next stage. The focus remains on shoring up legacy systems and ensuring that the skills, expertise and assets gained from the Equip programme are utilized to the fullest extent possible.</w:t>
            </w:r>
          </w:p>
        </w:tc>
        <w:tc>
          <w:tcPr>
            <w:tcW w:w="1823" w:type="dxa"/>
            <w:shd w:val="clear" w:color="auto" w:fill="auto"/>
          </w:tcPr>
          <w:p w14:paraId="6DF63244" w14:textId="08690D52" w:rsidR="00AC18BA" w:rsidRPr="00C5655A" w:rsidRDefault="00DD2220"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ACO SERIP / SRO Surrey &amp; Sussex ERP</w:t>
            </w:r>
          </w:p>
        </w:tc>
        <w:tc>
          <w:tcPr>
            <w:tcW w:w="2319" w:type="dxa"/>
          </w:tcPr>
          <w:p w14:paraId="18F35091" w14:textId="547C4E98" w:rsidR="00AC18BA" w:rsidRPr="00C5655A" w:rsidRDefault="00DD2220" w:rsidP="00D91109">
            <w:pPr>
              <w:spacing w:before="40" w:after="40"/>
              <w:jc w:val="center"/>
              <w:rPr>
                <w:rFonts w:ascii="Calibri" w:eastAsia="Calibri" w:hAnsi="Calibri"/>
                <w:sz w:val="18"/>
                <w:szCs w:val="18"/>
              </w:rPr>
            </w:pPr>
            <w:r>
              <w:rPr>
                <w:rFonts w:ascii="Calibri" w:eastAsia="Calibri" w:hAnsi="Calibri"/>
                <w:sz w:val="18"/>
                <w:szCs w:val="18"/>
              </w:rPr>
              <w:t>Will continue to be progressed through 2021-22</w:t>
            </w:r>
          </w:p>
        </w:tc>
      </w:tr>
      <w:tr w:rsidR="00AC18BA" w:rsidRPr="003516A4" w14:paraId="062893EC" w14:textId="77777777" w:rsidTr="00C80C35">
        <w:trPr>
          <w:jc w:val="center"/>
        </w:trPr>
        <w:tc>
          <w:tcPr>
            <w:tcW w:w="709" w:type="dxa"/>
            <w:gridSpan w:val="2"/>
            <w:shd w:val="clear" w:color="auto" w:fill="auto"/>
          </w:tcPr>
          <w:p w14:paraId="5145E44F" w14:textId="77777777" w:rsidR="00AC18BA" w:rsidRPr="00C5655A" w:rsidRDefault="00AC18BA" w:rsidP="00287B41">
            <w:pPr>
              <w:spacing w:before="40" w:after="40" w:line="259" w:lineRule="auto"/>
              <w:jc w:val="center"/>
              <w:rPr>
                <w:rFonts w:ascii="Calibri" w:eastAsia="Calibri" w:hAnsi="Calibri"/>
                <w:color w:val="333333"/>
                <w:sz w:val="18"/>
                <w:szCs w:val="18"/>
              </w:rPr>
            </w:pPr>
          </w:p>
        </w:tc>
        <w:tc>
          <w:tcPr>
            <w:tcW w:w="6064" w:type="dxa"/>
            <w:shd w:val="clear" w:color="auto" w:fill="auto"/>
          </w:tcPr>
          <w:p w14:paraId="015492A1" w14:textId="77777777" w:rsidR="00AC18BA" w:rsidRPr="00C5655A" w:rsidRDefault="00AC18BA" w:rsidP="00287B41">
            <w:pPr>
              <w:spacing w:before="40" w:after="40"/>
              <w:rPr>
                <w:rFonts w:ascii="Calibri" w:eastAsia="Calibri" w:hAnsi="Calibri" w:cs="Times New Roman"/>
                <w:b/>
                <w:color w:val="002060"/>
                <w:sz w:val="18"/>
                <w:szCs w:val="18"/>
              </w:rPr>
            </w:pPr>
          </w:p>
        </w:tc>
        <w:tc>
          <w:tcPr>
            <w:tcW w:w="1823" w:type="dxa"/>
            <w:shd w:val="clear" w:color="auto" w:fill="auto"/>
          </w:tcPr>
          <w:p w14:paraId="2489DB7E" w14:textId="77777777" w:rsidR="00AC18BA" w:rsidRPr="00C5655A" w:rsidRDefault="00AC18BA"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p>
        </w:tc>
        <w:tc>
          <w:tcPr>
            <w:tcW w:w="2319" w:type="dxa"/>
          </w:tcPr>
          <w:p w14:paraId="57B642AC" w14:textId="77777777" w:rsidR="00AC18BA" w:rsidRPr="00C5655A" w:rsidRDefault="00AC18BA" w:rsidP="00D91109">
            <w:pPr>
              <w:spacing w:before="40" w:after="40"/>
              <w:jc w:val="center"/>
              <w:rPr>
                <w:rFonts w:ascii="Calibri" w:eastAsia="Calibri" w:hAnsi="Calibri"/>
                <w:sz w:val="18"/>
                <w:szCs w:val="18"/>
              </w:rPr>
            </w:pPr>
          </w:p>
        </w:tc>
      </w:tr>
    </w:tbl>
    <w:p w14:paraId="6C08DE3B" w14:textId="77777777" w:rsidR="00763097" w:rsidRPr="003516A4" w:rsidRDefault="00763097" w:rsidP="00763097">
      <w:pPr>
        <w:pStyle w:val="NormalWeb1"/>
        <w:rPr>
          <w:rFonts w:ascii="Calibri" w:hAnsi="Calibri" w:cs="Arial"/>
          <w:b/>
          <w:highlight w:val="yellow"/>
        </w:rPr>
      </w:pPr>
    </w:p>
    <w:p w14:paraId="1C397C97" w14:textId="77777777" w:rsidR="006F4F0F" w:rsidRPr="003516A4" w:rsidRDefault="006F4F0F" w:rsidP="000D6EF8">
      <w:pPr>
        <w:pStyle w:val="NormalWeb1"/>
        <w:rPr>
          <w:highlight w:val="yellow"/>
        </w:rPr>
      </w:pPr>
    </w:p>
    <w:p w14:paraId="646D6E91" w14:textId="77777777" w:rsidR="00CA6653" w:rsidRPr="003516A4" w:rsidRDefault="00CA6653" w:rsidP="00CA6653">
      <w:pPr>
        <w:pStyle w:val="Normal00"/>
        <w:jc w:val="both"/>
        <w:rPr>
          <w:rFonts w:ascii="Verdana" w:hAnsi="Verdana"/>
          <w:b/>
          <w:sz w:val="22"/>
          <w:szCs w:val="22"/>
          <w:highlight w:val="yellow"/>
          <w:lang w:val="en-GB"/>
        </w:rPr>
        <w:sectPr w:rsidR="00CA6653" w:rsidRPr="003516A4" w:rsidSect="00EB0E41">
          <w:pgSz w:w="11900" w:h="16840"/>
          <w:pgMar w:top="1440" w:right="1440" w:bottom="1440" w:left="1440" w:header="708" w:footer="708" w:gutter="0"/>
          <w:cols w:space="708"/>
          <w:docGrid w:linePitch="360"/>
        </w:sectPr>
      </w:pPr>
    </w:p>
    <w:p w14:paraId="553795FA" w14:textId="77777777" w:rsidR="00CA6653" w:rsidRPr="00642A74" w:rsidRDefault="00CA6653" w:rsidP="00A31A9E">
      <w:pPr>
        <w:pStyle w:val="Heading1"/>
      </w:pPr>
      <w:bookmarkStart w:id="11" w:name="_Toc75122765"/>
      <w:r w:rsidRPr="00642A74">
        <w:t>Movement in Reserves Statement</w:t>
      </w:r>
      <w:bookmarkEnd w:id="11"/>
    </w:p>
    <w:p w14:paraId="508187D6" w14:textId="77777777" w:rsidR="00CA6653" w:rsidRDefault="00CA6653" w:rsidP="000D6EF8">
      <w:pPr>
        <w:rPr>
          <w:highlight w:val="yellow"/>
          <w:lang w:val="pt-BR"/>
        </w:rPr>
      </w:pPr>
    </w:p>
    <w:tbl>
      <w:tblPr>
        <w:tblW w:w="13960" w:type="dxa"/>
        <w:jc w:val="center"/>
        <w:tblLayout w:type="fixed"/>
        <w:tblLook w:val="04A0" w:firstRow="1" w:lastRow="0" w:firstColumn="1" w:lastColumn="0" w:noHBand="0" w:noVBand="1"/>
      </w:tblPr>
      <w:tblGrid>
        <w:gridCol w:w="2543"/>
        <w:gridCol w:w="1655"/>
        <w:gridCol w:w="1081"/>
        <w:gridCol w:w="391"/>
        <w:gridCol w:w="1263"/>
        <w:gridCol w:w="862"/>
        <w:gridCol w:w="569"/>
        <w:gridCol w:w="634"/>
        <w:gridCol w:w="925"/>
        <w:gridCol w:w="729"/>
        <w:gridCol w:w="547"/>
        <w:gridCol w:w="820"/>
        <w:gridCol w:w="597"/>
        <w:gridCol w:w="1344"/>
      </w:tblGrid>
      <w:tr w:rsidR="00017F07" w:rsidRPr="000D7061" w14:paraId="2E5C583F" w14:textId="77777777" w:rsidTr="0041394A">
        <w:trPr>
          <w:trHeight w:val="300"/>
          <w:jc w:val="center"/>
        </w:trPr>
        <w:tc>
          <w:tcPr>
            <w:tcW w:w="2543" w:type="dxa"/>
            <w:tcBorders>
              <w:top w:val="nil"/>
              <w:left w:val="nil"/>
              <w:bottom w:val="nil"/>
              <w:right w:val="nil"/>
            </w:tcBorders>
            <w:shd w:val="clear" w:color="auto" w:fill="auto"/>
            <w:noWrap/>
            <w:vAlign w:val="bottom"/>
            <w:hideMark/>
          </w:tcPr>
          <w:p w14:paraId="14450BCA" w14:textId="77777777" w:rsidR="000D7061" w:rsidRPr="000D7061" w:rsidRDefault="000D7061" w:rsidP="000D7061">
            <w:pPr>
              <w:rPr>
                <w:rFonts w:ascii="Calibri" w:eastAsia="Times New Roman" w:hAnsi="Calibri" w:cs="Calibri"/>
                <w:b/>
                <w:bCs/>
                <w:color w:val="000000"/>
                <w:lang w:val="en-GB" w:eastAsia="en-GB"/>
              </w:rPr>
            </w:pPr>
            <w:r w:rsidRPr="000D7061">
              <w:rPr>
                <w:rFonts w:ascii="Calibri" w:eastAsia="Times New Roman" w:hAnsi="Calibri" w:cs="Calibri"/>
                <w:b/>
                <w:bCs/>
                <w:color w:val="000000"/>
                <w:lang w:val="en-GB" w:eastAsia="en-GB"/>
              </w:rPr>
              <w:t>Group</w:t>
            </w:r>
          </w:p>
        </w:tc>
        <w:tc>
          <w:tcPr>
            <w:tcW w:w="1655" w:type="dxa"/>
            <w:tcBorders>
              <w:top w:val="nil"/>
              <w:left w:val="nil"/>
              <w:bottom w:val="nil"/>
              <w:right w:val="nil"/>
            </w:tcBorders>
            <w:shd w:val="clear" w:color="auto" w:fill="auto"/>
            <w:noWrap/>
            <w:vAlign w:val="bottom"/>
            <w:hideMark/>
          </w:tcPr>
          <w:p w14:paraId="37E1FF34" w14:textId="77777777" w:rsidR="000D7061" w:rsidRPr="000D7061" w:rsidRDefault="000D7061" w:rsidP="000D7061">
            <w:pPr>
              <w:rPr>
                <w:rFonts w:ascii="Calibri" w:eastAsia="Times New Roman" w:hAnsi="Calibri" w:cs="Calibri"/>
                <w:b/>
                <w:bCs/>
                <w:color w:val="000000"/>
                <w:lang w:val="en-GB" w:eastAsia="en-GB"/>
              </w:rPr>
            </w:pPr>
          </w:p>
        </w:tc>
        <w:tc>
          <w:tcPr>
            <w:tcW w:w="1081" w:type="dxa"/>
            <w:tcBorders>
              <w:top w:val="nil"/>
              <w:left w:val="nil"/>
              <w:bottom w:val="nil"/>
              <w:right w:val="nil"/>
            </w:tcBorders>
            <w:shd w:val="clear" w:color="auto" w:fill="auto"/>
            <w:noWrap/>
            <w:vAlign w:val="bottom"/>
            <w:hideMark/>
          </w:tcPr>
          <w:p w14:paraId="740837EB" w14:textId="77777777" w:rsidR="000D7061" w:rsidRPr="000D7061" w:rsidRDefault="000D7061" w:rsidP="000D7061">
            <w:pPr>
              <w:rPr>
                <w:rFonts w:ascii="Times New Roman" w:eastAsia="Times New Roman" w:hAnsi="Times New Roman" w:cs="Times New Roman"/>
                <w:sz w:val="20"/>
                <w:szCs w:val="20"/>
                <w:lang w:val="en-GB" w:eastAsia="en-GB"/>
              </w:rPr>
            </w:pPr>
          </w:p>
        </w:tc>
        <w:tc>
          <w:tcPr>
            <w:tcW w:w="1654" w:type="dxa"/>
            <w:gridSpan w:val="2"/>
            <w:tcBorders>
              <w:top w:val="nil"/>
              <w:left w:val="nil"/>
              <w:bottom w:val="nil"/>
              <w:right w:val="nil"/>
            </w:tcBorders>
            <w:shd w:val="clear" w:color="auto" w:fill="auto"/>
            <w:noWrap/>
            <w:vAlign w:val="bottom"/>
            <w:hideMark/>
          </w:tcPr>
          <w:p w14:paraId="7A561DE4" w14:textId="77777777" w:rsidR="000D7061" w:rsidRPr="000D7061" w:rsidRDefault="000D7061" w:rsidP="000D7061">
            <w:pPr>
              <w:rPr>
                <w:rFonts w:ascii="Times New Roman" w:eastAsia="Times New Roman" w:hAnsi="Times New Roman" w:cs="Times New Roman"/>
                <w:sz w:val="20"/>
                <w:szCs w:val="20"/>
                <w:lang w:val="en-GB" w:eastAsia="en-GB"/>
              </w:rPr>
            </w:pPr>
          </w:p>
        </w:tc>
        <w:tc>
          <w:tcPr>
            <w:tcW w:w="862" w:type="dxa"/>
            <w:tcBorders>
              <w:top w:val="nil"/>
              <w:left w:val="nil"/>
              <w:bottom w:val="nil"/>
              <w:right w:val="nil"/>
            </w:tcBorders>
            <w:shd w:val="clear" w:color="auto" w:fill="auto"/>
            <w:noWrap/>
            <w:vAlign w:val="bottom"/>
            <w:hideMark/>
          </w:tcPr>
          <w:p w14:paraId="54C5A6D8" w14:textId="77777777" w:rsidR="000D7061" w:rsidRPr="000D7061" w:rsidRDefault="000D7061" w:rsidP="000D7061">
            <w:pPr>
              <w:rPr>
                <w:rFonts w:ascii="Times New Roman" w:eastAsia="Times New Roman" w:hAnsi="Times New Roman" w:cs="Times New Roman"/>
                <w:sz w:val="20"/>
                <w:szCs w:val="20"/>
                <w:lang w:val="en-GB" w:eastAsia="en-GB"/>
              </w:rPr>
            </w:pPr>
          </w:p>
        </w:tc>
        <w:tc>
          <w:tcPr>
            <w:tcW w:w="1203" w:type="dxa"/>
            <w:gridSpan w:val="2"/>
            <w:tcBorders>
              <w:top w:val="nil"/>
              <w:left w:val="nil"/>
              <w:bottom w:val="nil"/>
              <w:right w:val="nil"/>
            </w:tcBorders>
            <w:shd w:val="clear" w:color="auto" w:fill="auto"/>
            <w:noWrap/>
            <w:vAlign w:val="bottom"/>
            <w:hideMark/>
          </w:tcPr>
          <w:p w14:paraId="3D9E7F6A" w14:textId="77777777" w:rsidR="000D7061" w:rsidRPr="000D7061" w:rsidRDefault="000D7061" w:rsidP="000D7061">
            <w:pPr>
              <w:rPr>
                <w:rFonts w:ascii="Times New Roman" w:eastAsia="Times New Roman" w:hAnsi="Times New Roman" w:cs="Times New Roman"/>
                <w:sz w:val="20"/>
                <w:szCs w:val="20"/>
                <w:lang w:val="en-GB" w:eastAsia="en-GB"/>
              </w:rPr>
            </w:pPr>
          </w:p>
        </w:tc>
        <w:tc>
          <w:tcPr>
            <w:tcW w:w="1654" w:type="dxa"/>
            <w:gridSpan w:val="2"/>
            <w:tcBorders>
              <w:top w:val="nil"/>
              <w:left w:val="nil"/>
              <w:bottom w:val="nil"/>
              <w:right w:val="nil"/>
            </w:tcBorders>
            <w:shd w:val="clear" w:color="auto" w:fill="auto"/>
            <w:noWrap/>
            <w:vAlign w:val="bottom"/>
            <w:hideMark/>
          </w:tcPr>
          <w:p w14:paraId="048AE246" w14:textId="77777777" w:rsidR="000D7061" w:rsidRPr="000D7061" w:rsidRDefault="000D7061" w:rsidP="000D7061">
            <w:pPr>
              <w:rPr>
                <w:rFonts w:ascii="Times New Roman" w:eastAsia="Times New Roman" w:hAnsi="Times New Roman" w:cs="Times New Roman"/>
                <w:sz w:val="20"/>
                <w:szCs w:val="20"/>
                <w:lang w:val="en-GB" w:eastAsia="en-GB"/>
              </w:rPr>
            </w:pPr>
          </w:p>
        </w:tc>
        <w:tc>
          <w:tcPr>
            <w:tcW w:w="1367" w:type="dxa"/>
            <w:gridSpan w:val="2"/>
            <w:tcBorders>
              <w:top w:val="nil"/>
              <w:left w:val="nil"/>
              <w:bottom w:val="nil"/>
              <w:right w:val="nil"/>
            </w:tcBorders>
            <w:shd w:val="clear" w:color="auto" w:fill="auto"/>
            <w:noWrap/>
            <w:vAlign w:val="bottom"/>
            <w:hideMark/>
          </w:tcPr>
          <w:p w14:paraId="5F1745F5" w14:textId="77777777" w:rsidR="000D7061" w:rsidRPr="000D7061" w:rsidRDefault="000D7061" w:rsidP="000D7061">
            <w:pPr>
              <w:rPr>
                <w:rFonts w:ascii="Times New Roman" w:eastAsia="Times New Roman" w:hAnsi="Times New Roman" w:cs="Times New Roman"/>
                <w:sz w:val="20"/>
                <w:szCs w:val="20"/>
                <w:lang w:val="en-GB" w:eastAsia="en-GB"/>
              </w:rPr>
            </w:pPr>
          </w:p>
        </w:tc>
        <w:tc>
          <w:tcPr>
            <w:tcW w:w="1941" w:type="dxa"/>
            <w:gridSpan w:val="2"/>
            <w:tcBorders>
              <w:top w:val="nil"/>
              <w:left w:val="nil"/>
              <w:bottom w:val="nil"/>
              <w:right w:val="nil"/>
            </w:tcBorders>
            <w:shd w:val="clear" w:color="auto" w:fill="auto"/>
            <w:noWrap/>
            <w:vAlign w:val="bottom"/>
            <w:hideMark/>
          </w:tcPr>
          <w:p w14:paraId="1AE3C07E" w14:textId="77777777" w:rsidR="000D7061" w:rsidRPr="000D7061" w:rsidRDefault="000D7061" w:rsidP="000D7061">
            <w:pPr>
              <w:rPr>
                <w:rFonts w:ascii="Times New Roman" w:eastAsia="Times New Roman" w:hAnsi="Times New Roman" w:cs="Times New Roman"/>
                <w:sz w:val="20"/>
                <w:szCs w:val="20"/>
                <w:lang w:val="en-GB" w:eastAsia="en-GB"/>
              </w:rPr>
            </w:pPr>
          </w:p>
        </w:tc>
      </w:tr>
      <w:tr w:rsidR="00017F07" w:rsidRPr="000D7061" w14:paraId="10B59913" w14:textId="77777777" w:rsidTr="0041394A">
        <w:trPr>
          <w:trHeight w:val="1050"/>
          <w:jc w:val="center"/>
        </w:trPr>
        <w:tc>
          <w:tcPr>
            <w:tcW w:w="2543" w:type="dxa"/>
            <w:tcBorders>
              <w:top w:val="nil"/>
              <w:left w:val="nil"/>
              <w:bottom w:val="nil"/>
              <w:right w:val="nil"/>
            </w:tcBorders>
            <w:shd w:val="clear" w:color="auto" w:fill="auto"/>
            <w:vAlign w:val="center"/>
            <w:hideMark/>
          </w:tcPr>
          <w:p w14:paraId="27B244C0" w14:textId="77777777" w:rsidR="000D7061" w:rsidRPr="000D7061" w:rsidRDefault="000D7061" w:rsidP="000D7061">
            <w:pPr>
              <w:rPr>
                <w:rFonts w:ascii="Times New Roman" w:eastAsia="Times New Roman" w:hAnsi="Times New Roman" w:cs="Times New Roman"/>
                <w:sz w:val="20"/>
                <w:szCs w:val="20"/>
                <w:lang w:val="en-GB" w:eastAsia="en-GB"/>
              </w:rPr>
            </w:pPr>
          </w:p>
        </w:tc>
        <w:tc>
          <w:tcPr>
            <w:tcW w:w="1655" w:type="dxa"/>
            <w:tcBorders>
              <w:top w:val="nil"/>
              <w:left w:val="nil"/>
              <w:bottom w:val="nil"/>
              <w:right w:val="nil"/>
            </w:tcBorders>
            <w:shd w:val="clear" w:color="auto" w:fill="auto"/>
            <w:vAlign w:val="center"/>
            <w:hideMark/>
          </w:tcPr>
          <w:p w14:paraId="7D0447BF" w14:textId="77777777" w:rsidR="000D7061" w:rsidRPr="000D7061" w:rsidRDefault="000D7061" w:rsidP="000D7061">
            <w:pPr>
              <w:jc w:val="center"/>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General Fund Balance</w:t>
            </w:r>
          </w:p>
        </w:tc>
        <w:tc>
          <w:tcPr>
            <w:tcW w:w="1472" w:type="dxa"/>
            <w:gridSpan w:val="2"/>
            <w:tcBorders>
              <w:top w:val="nil"/>
              <w:left w:val="nil"/>
              <w:bottom w:val="nil"/>
              <w:right w:val="nil"/>
            </w:tcBorders>
            <w:shd w:val="clear" w:color="auto" w:fill="auto"/>
            <w:vAlign w:val="center"/>
            <w:hideMark/>
          </w:tcPr>
          <w:p w14:paraId="28416DF6" w14:textId="77777777" w:rsidR="000D7061" w:rsidRPr="000D7061" w:rsidRDefault="000D7061" w:rsidP="000D7061">
            <w:pPr>
              <w:jc w:val="center"/>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Earmarked General Fund Reserves</w:t>
            </w:r>
          </w:p>
        </w:tc>
        <w:tc>
          <w:tcPr>
            <w:tcW w:w="1263" w:type="dxa"/>
            <w:tcBorders>
              <w:top w:val="nil"/>
              <w:left w:val="nil"/>
              <w:bottom w:val="nil"/>
              <w:right w:val="nil"/>
            </w:tcBorders>
            <w:shd w:val="clear" w:color="auto" w:fill="auto"/>
            <w:vAlign w:val="center"/>
            <w:hideMark/>
          </w:tcPr>
          <w:p w14:paraId="71244EB4" w14:textId="77777777" w:rsidR="000D7061" w:rsidRPr="000D7061" w:rsidRDefault="000D7061" w:rsidP="000D7061">
            <w:pPr>
              <w:jc w:val="center"/>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Total General Fund Balance</w:t>
            </w:r>
          </w:p>
        </w:tc>
        <w:tc>
          <w:tcPr>
            <w:tcW w:w="1431" w:type="dxa"/>
            <w:gridSpan w:val="2"/>
            <w:tcBorders>
              <w:top w:val="nil"/>
              <w:left w:val="nil"/>
              <w:bottom w:val="nil"/>
              <w:right w:val="nil"/>
            </w:tcBorders>
            <w:shd w:val="clear" w:color="auto" w:fill="auto"/>
            <w:vAlign w:val="center"/>
            <w:hideMark/>
          </w:tcPr>
          <w:p w14:paraId="18EC5584" w14:textId="77777777" w:rsidR="000D7061" w:rsidRPr="000D7061" w:rsidRDefault="000D7061" w:rsidP="000D7061">
            <w:pPr>
              <w:jc w:val="center"/>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Capital Receipts Reserve</w:t>
            </w:r>
          </w:p>
        </w:tc>
        <w:tc>
          <w:tcPr>
            <w:tcW w:w="1559" w:type="dxa"/>
            <w:gridSpan w:val="2"/>
            <w:tcBorders>
              <w:top w:val="nil"/>
              <w:left w:val="nil"/>
              <w:bottom w:val="nil"/>
              <w:right w:val="nil"/>
            </w:tcBorders>
            <w:shd w:val="clear" w:color="auto" w:fill="auto"/>
            <w:vAlign w:val="center"/>
            <w:hideMark/>
          </w:tcPr>
          <w:p w14:paraId="3D9961D3" w14:textId="77777777" w:rsidR="000D7061" w:rsidRPr="000D7061" w:rsidRDefault="000D7061" w:rsidP="000D7061">
            <w:pPr>
              <w:jc w:val="center"/>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Capital Grants Un-applied Account</w:t>
            </w:r>
          </w:p>
        </w:tc>
        <w:tc>
          <w:tcPr>
            <w:tcW w:w="1276" w:type="dxa"/>
            <w:gridSpan w:val="2"/>
            <w:tcBorders>
              <w:top w:val="nil"/>
              <w:left w:val="nil"/>
              <w:bottom w:val="nil"/>
              <w:right w:val="nil"/>
            </w:tcBorders>
            <w:shd w:val="clear" w:color="auto" w:fill="auto"/>
            <w:vAlign w:val="center"/>
            <w:hideMark/>
          </w:tcPr>
          <w:p w14:paraId="404AB052" w14:textId="77777777" w:rsidR="000D7061" w:rsidRPr="000D7061" w:rsidRDefault="000D7061" w:rsidP="000D7061">
            <w:pPr>
              <w:jc w:val="center"/>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Total Usable Reserves</w:t>
            </w:r>
          </w:p>
        </w:tc>
        <w:tc>
          <w:tcPr>
            <w:tcW w:w="1417" w:type="dxa"/>
            <w:gridSpan w:val="2"/>
            <w:tcBorders>
              <w:top w:val="nil"/>
              <w:left w:val="nil"/>
              <w:bottom w:val="nil"/>
              <w:right w:val="nil"/>
            </w:tcBorders>
            <w:shd w:val="clear" w:color="auto" w:fill="auto"/>
            <w:vAlign w:val="center"/>
            <w:hideMark/>
          </w:tcPr>
          <w:p w14:paraId="0C5B1D5F" w14:textId="77777777" w:rsidR="000D7061" w:rsidRPr="000D7061" w:rsidRDefault="000D7061" w:rsidP="000D7061">
            <w:pPr>
              <w:jc w:val="center"/>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Unusable Reserves</w:t>
            </w:r>
          </w:p>
        </w:tc>
        <w:tc>
          <w:tcPr>
            <w:tcW w:w="1344" w:type="dxa"/>
            <w:tcBorders>
              <w:top w:val="nil"/>
              <w:left w:val="nil"/>
              <w:bottom w:val="nil"/>
              <w:right w:val="nil"/>
            </w:tcBorders>
            <w:shd w:val="clear" w:color="auto" w:fill="auto"/>
            <w:vAlign w:val="center"/>
            <w:hideMark/>
          </w:tcPr>
          <w:p w14:paraId="1E82885A" w14:textId="77777777" w:rsidR="000D7061" w:rsidRPr="000D7061" w:rsidRDefault="000D7061" w:rsidP="000D7061">
            <w:pPr>
              <w:jc w:val="center"/>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Total Reserves</w:t>
            </w:r>
          </w:p>
        </w:tc>
      </w:tr>
      <w:tr w:rsidR="00017F07" w:rsidRPr="000D7061" w14:paraId="3B18A4F5" w14:textId="77777777" w:rsidTr="0041394A">
        <w:trPr>
          <w:trHeight w:val="315"/>
          <w:jc w:val="center"/>
        </w:trPr>
        <w:tc>
          <w:tcPr>
            <w:tcW w:w="2543" w:type="dxa"/>
            <w:tcBorders>
              <w:top w:val="nil"/>
              <w:left w:val="nil"/>
              <w:bottom w:val="single" w:sz="8" w:space="0" w:color="auto"/>
              <w:right w:val="nil"/>
            </w:tcBorders>
            <w:shd w:val="clear" w:color="auto" w:fill="auto"/>
            <w:vAlign w:val="center"/>
            <w:hideMark/>
          </w:tcPr>
          <w:p w14:paraId="21BE201B" w14:textId="77777777" w:rsidR="000D7061" w:rsidRPr="000D7061" w:rsidRDefault="000D7061" w:rsidP="000D7061">
            <w:pPr>
              <w:jc w:val="center"/>
              <w:rPr>
                <w:rFonts w:eastAsia="Times New Roman" w:cs="Calibri"/>
                <w:b/>
                <w:bCs/>
                <w:color w:val="000000"/>
                <w:sz w:val="2"/>
                <w:szCs w:val="2"/>
                <w:lang w:val="en-GB" w:eastAsia="en-GB"/>
              </w:rPr>
            </w:pPr>
            <w:r w:rsidRPr="000D7061">
              <w:rPr>
                <w:rFonts w:eastAsia="Times New Roman" w:cs="Calibri"/>
                <w:b/>
                <w:bCs/>
                <w:color w:val="000000"/>
                <w:sz w:val="2"/>
                <w:szCs w:val="2"/>
                <w:lang w:val="en-GB" w:eastAsia="en-GB"/>
              </w:rPr>
              <w:t xml:space="preserve"> </w:t>
            </w:r>
          </w:p>
        </w:tc>
        <w:tc>
          <w:tcPr>
            <w:tcW w:w="1655" w:type="dxa"/>
            <w:tcBorders>
              <w:top w:val="nil"/>
              <w:left w:val="nil"/>
              <w:bottom w:val="single" w:sz="8" w:space="0" w:color="000000"/>
              <w:right w:val="nil"/>
            </w:tcBorders>
            <w:shd w:val="clear" w:color="auto" w:fill="auto"/>
            <w:vAlign w:val="center"/>
            <w:hideMark/>
          </w:tcPr>
          <w:p w14:paraId="15E27A1D"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£000</w:t>
            </w:r>
          </w:p>
        </w:tc>
        <w:tc>
          <w:tcPr>
            <w:tcW w:w="1472" w:type="dxa"/>
            <w:gridSpan w:val="2"/>
            <w:tcBorders>
              <w:top w:val="nil"/>
              <w:left w:val="nil"/>
              <w:bottom w:val="single" w:sz="8" w:space="0" w:color="000000"/>
              <w:right w:val="nil"/>
            </w:tcBorders>
            <w:shd w:val="clear" w:color="auto" w:fill="auto"/>
            <w:vAlign w:val="center"/>
            <w:hideMark/>
          </w:tcPr>
          <w:p w14:paraId="2C7356E5"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£000</w:t>
            </w:r>
          </w:p>
        </w:tc>
        <w:tc>
          <w:tcPr>
            <w:tcW w:w="1263" w:type="dxa"/>
            <w:tcBorders>
              <w:top w:val="nil"/>
              <w:left w:val="nil"/>
              <w:bottom w:val="single" w:sz="8" w:space="0" w:color="000000"/>
              <w:right w:val="nil"/>
            </w:tcBorders>
            <w:shd w:val="clear" w:color="auto" w:fill="auto"/>
            <w:vAlign w:val="center"/>
            <w:hideMark/>
          </w:tcPr>
          <w:p w14:paraId="5FD9570C"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£000</w:t>
            </w:r>
          </w:p>
        </w:tc>
        <w:tc>
          <w:tcPr>
            <w:tcW w:w="1431" w:type="dxa"/>
            <w:gridSpan w:val="2"/>
            <w:tcBorders>
              <w:top w:val="nil"/>
              <w:left w:val="nil"/>
              <w:bottom w:val="single" w:sz="8" w:space="0" w:color="000000"/>
              <w:right w:val="nil"/>
            </w:tcBorders>
            <w:shd w:val="clear" w:color="auto" w:fill="auto"/>
            <w:vAlign w:val="center"/>
            <w:hideMark/>
          </w:tcPr>
          <w:p w14:paraId="2FED489E"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£000</w:t>
            </w:r>
          </w:p>
        </w:tc>
        <w:tc>
          <w:tcPr>
            <w:tcW w:w="1559" w:type="dxa"/>
            <w:gridSpan w:val="2"/>
            <w:tcBorders>
              <w:top w:val="nil"/>
              <w:left w:val="nil"/>
              <w:bottom w:val="single" w:sz="8" w:space="0" w:color="000000"/>
              <w:right w:val="nil"/>
            </w:tcBorders>
            <w:shd w:val="clear" w:color="auto" w:fill="auto"/>
            <w:vAlign w:val="center"/>
            <w:hideMark/>
          </w:tcPr>
          <w:p w14:paraId="3D07A665"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£000</w:t>
            </w:r>
          </w:p>
        </w:tc>
        <w:tc>
          <w:tcPr>
            <w:tcW w:w="1276" w:type="dxa"/>
            <w:gridSpan w:val="2"/>
            <w:tcBorders>
              <w:top w:val="nil"/>
              <w:left w:val="nil"/>
              <w:bottom w:val="single" w:sz="8" w:space="0" w:color="000000"/>
              <w:right w:val="nil"/>
            </w:tcBorders>
            <w:shd w:val="clear" w:color="auto" w:fill="auto"/>
            <w:vAlign w:val="center"/>
            <w:hideMark/>
          </w:tcPr>
          <w:p w14:paraId="69875817"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£000</w:t>
            </w:r>
          </w:p>
        </w:tc>
        <w:tc>
          <w:tcPr>
            <w:tcW w:w="1417" w:type="dxa"/>
            <w:gridSpan w:val="2"/>
            <w:tcBorders>
              <w:top w:val="nil"/>
              <w:left w:val="nil"/>
              <w:bottom w:val="single" w:sz="8" w:space="0" w:color="000000"/>
              <w:right w:val="nil"/>
            </w:tcBorders>
            <w:shd w:val="clear" w:color="auto" w:fill="auto"/>
            <w:vAlign w:val="center"/>
            <w:hideMark/>
          </w:tcPr>
          <w:p w14:paraId="084B5DAD"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£000</w:t>
            </w:r>
          </w:p>
        </w:tc>
        <w:tc>
          <w:tcPr>
            <w:tcW w:w="1344" w:type="dxa"/>
            <w:tcBorders>
              <w:top w:val="nil"/>
              <w:left w:val="nil"/>
              <w:bottom w:val="single" w:sz="8" w:space="0" w:color="000000"/>
              <w:right w:val="nil"/>
            </w:tcBorders>
            <w:shd w:val="clear" w:color="auto" w:fill="auto"/>
            <w:vAlign w:val="center"/>
            <w:hideMark/>
          </w:tcPr>
          <w:p w14:paraId="4E5557DD"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£000</w:t>
            </w:r>
          </w:p>
        </w:tc>
      </w:tr>
      <w:tr w:rsidR="00017F07" w:rsidRPr="000D7061" w14:paraId="1A1BC26D" w14:textId="77777777" w:rsidTr="0041394A">
        <w:trPr>
          <w:trHeight w:val="315"/>
          <w:jc w:val="center"/>
        </w:trPr>
        <w:tc>
          <w:tcPr>
            <w:tcW w:w="2543" w:type="dxa"/>
            <w:tcBorders>
              <w:top w:val="nil"/>
              <w:left w:val="nil"/>
              <w:bottom w:val="single" w:sz="8" w:space="0" w:color="auto"/>
              <w:right w:val="nil"/>
            </w:tcBorders>
            <w:shd w:val="clear" w:color="auto" w:fill="auto"/>
            <w:vAlign w:val="center"/>
            <w:hideMark/>
          </w:tcPr>
          <w:p w14:paraId="3B7D2585" w14:textId="77777777" w:rsidR="000D7061" w:rsidRPr="000D7061" w:rsidRDefault="000D7061" w:rsidP="000D7061">
            <w:pPr>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Balance at 31 March 2020</w:t>
            </w:r>
          </w:p>
        </w:tc>
        <w:tc>
          <w:tcPr>
            <w:tcW w:w="1655" w:type="dxa"/>
            <w:tcBorders>
              <w:top w:val="nil"/>
              <w:left w:val="single" w:sz="8" w:space="0" w:color="000000"/>
              <w:bottom w:val="single" w:sz="8" w:space="0" w:color="auto"/>
              <w:right w:val="nil"/>
            </w:tcBorders>
            <w:shd w:val="clear" w:color="auto" w:fill="auto"/>
            <w:vAlign w:val="center"/>
            <w:hideMark/>
          </w:tcPr>
          <w:p w14:paraId="4B1522FA"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(8,120)</w:t>
            </w:r>
          </w:p>
        </w:tc>
        <w:tc>
          <w:tcPr>
            <w:tcW w:w="1472" w:type="dxa"/>
            <w:gridSpan w:val="2"/>
            <w:tcBorders>
              <w:top w:val="nil"/>
              <w:left w:val="nil"/>
              <w:bottom w:val="single" w:sz="8" w:space="0" w:color="auto"/>
              <w:right w:val="nil"/>
            </w:tcBorders>
            <w:shd w:val="clear" w:color="auto" w:fill="auto"/>
            <w:vAlign w:val="center"/>
            <w:hideMark/>
          </w:tcPr>
          <w:p w14:paraId="04EBAB7D"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(11,381)</w:t>
            </w:r>
          </w:p>
        </w:tc>
        <w:tc>
          <w:tcPr>
            <w:tcW w:w="1263" w:type="dxa"/>
            <w:tcBorders>
              <w:top w:val="nil"/>
              <w:left w:val="nil"/>
              <w:bottom w:val="single" w:sz="8" w:space="0" w:color="auto"/>
              <w:right w:val="nil"/>
            </w:tcBorders>
            <w:shd w:val="clear" w:color="auto" w:fill="auto"/>
            <w:vAlign w:val="center"/>
            <w:hideMark/>
          </w:tcPr>
          <w:p w14:paraId="601E85A4"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(19,501)</w:t>
            </w:r>
          </w:p>
        </w:tc>
        <w:tc>
          <w:tcPr>
            <w:tcW w:w="1431" w:type="dxa"/>
            <w:gridSpan w:val="2"/>
            <w:tcBorders>
              <w:top w:val="nil"/>
              <w:left w:val="nil"/>
              <w:bottom w:val="single" w:sz="8" w:space="0" w:color="auto"/>
              <w:right w:val="nil"/>
            </w:tcBorders>
            <w:shd w:val="clear" w:color="auto" w:fill="auto"/>
            <w:vAlign w:val="center"/>
            <w:hideMark/>
          </w:tcPr>
          <w:p w14:paraId="0DF9DD5E"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(197)</w:t>
            </w:r>
          </w:p>
        </w:tc>
        <w:tc>
          <w:tcPr>
            <w:tcW w:w="1559" w:type="dxa"/>
            <w:gridSpan w:val="2"/>
            <w:tcBorders>
              <w:top w:val="nil"/>
              <w:left w:val="nil"/>
              <w:bottom w:val="single" w:sz="8" w:space="0" w:color="auto"/>
              <w:right w:val="single" w:sz="8" w:space="0" w:color="000000"/>
            </w:tcBorders>
            <w:shd w:val="clear" w:color="auto" w:fill="auto"/>
            <w:vAlign w:val="center"/>
            <w:hideMark/>
          </w:tcPr>
          <w:p w14:paraId="45AE0B22"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(2,946)</w:t>
            </w:r>
          </w:p>
        </w:tc>
        <w:tc>
          <w:tcPr>
            <w:tcW w:w="1276" w:type="dxa"/>
            <w:gridSpan w:val="2"/>
            <w:tcBorders>
              <w:top w:val="nil"/>
              <w:left w:val="nil"/>
              <w:bottom w:val="single" w:sz="8" w:space="0" w:color="auto"/>
              <w:right w:val="single" w:sz="8" w:space="0" w:color="000000"/>
            </w:tcBorders>
            <w:shd w:val="clear" w:color="auto" w:fill="auto"/>
            <w:vAlign w:val="center"/>
            <w:hideMark/>
          </w:tcPr>
          <w:p w14:paraId="40EDE2BB"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(22,644)</w:t>
            </w:r>
          </w:p>
        </w:tc>
        <w:tc>
          <w:tcPr>
            <w:tcW w:w="1417" w:type="dxa"/>
            <w:gridSpan w:val="2"/>
            <w:tcBorders>
              <w:top w:val="nil"/>
              <w:left w:val="nil"/>
              <w:bottom w:val="single" w:sz="8" w:space="0" w:color="auto"/>
              <w:right w:val="single" w:sz="8" w:space="0" w:color="000000"/>
            </w:tcBorders>
            <w:shd w:val="clear" w:color="auto" w:fill="auto"/>
            <w:vAlign w:val="center"/>
            <w:hideMark/>
          </w:tcPr>
          <w:p w14:paraId="011FEF70"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1,919,432</w:t>
            </w:r>
          </w:p>
        </w:tc>
        <w:tc>
          <w:tcPr>
            <w:tcW w:w="1344" w:type="dxa"/>
            <w:tcBorders>
              <w:top w:val="nil"/>
              <w:left w:val="nil"/>
              <w:bottom w:val="single" w:sz="8" w:space="0" w:color="auto"/>
              <w:right w:val="nil"/>
            </w:tcBorders>
            <w:shd w:val="clear" w:color="auto" w:fill="auto"/>
            <w:vAlign w:val="center"/>
            <w:hideMark/>
          </w:tcPr>
          <w:p w14:paraId="41314473"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1,896,788</w:t>
            </w:r>
          </w:p>
        </w:tc>
      </w:tr>
      <w:tr w:rsidR="00017F07" w:rsidRPr="000D7061" w14:paraId="5BF6A228" w14:textId="77777777" w:rsidTr="0041394A">
        <w:trPr>
          <w:trHeight w:val="420"/>
          <w:jc w:val="center"/>
        </w:trPr>
        <w:tc>
          <w:tcPr>
            <w:tcW w:w="2543" w:type="dxa"/>
            <w:tcBorders>
              <w:top w:val="nil"/>
              <w:left w:val="nil"/>
              <w:bottom w:val="nil"/>
              <w:right w:val="nil"/>
            </w:tcBorders>
            <w:shd w:val="clear" w:color="auto" w:fill="auto"/>
            <w:vAlign w:val="center"/>
            <w:hideMark/>
          </w:tcPr>
          <w:p w14:paraId="35FE9BF3" w14:textId="77777777" w:rsidR="000D7061" w:rsidRPr="000D7061" w:rsidRDefault="000D7061" w:rsidP="000D7061">
            <w:pPr>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Movement in reserves during 2021/21</w:t>
            </w:r>
          </w:p>
        </w:tc>
        <w:tc>
          <w:tcPr>
            <w:tcW w:w="1655" w:type="dxa"/>
            <w:tcBorders>
              <w:top w:val="nil"/>
              <w:left w:val="single" w:sz="8" w:space="0" w:color="000000"/>
              <w:bottom w:val="nil"/>
              <w:right w:val="nil"/>
            </w:tcBorders>
            <w:shd w:val="clear" w:color="auto" w:fill="auto"/>
            <w:vAlign w:val="center"/>
            <w:hideMark/>
          </w:tcPr>
          <w:p w14:paraId="03B196A4" w14:textId="77777777" w:rsidR="000D7061" w:rsidRPr="000D7061" w:rsidRDefault="000D7061" w:rsidP="000D7061">
            <w:pPr>
              <w:jc w:val="right"/>
              <w:rPr>
                <w:rFonts w:eastAsia="Times New Roman" w:cs="Calibri"/>
                <w:color w:val="000000"/>
                <w:sz w:val="2"/>
                <w:szCs w:val="2"/>
                <w:lang w:val="en-GB" w:eastAsia="en-GB"/>
              </w:rPr>
            </w:pPr>
            <w:r w:rsidRPr="000D7061">
              <w:rPr>
                <w:rFonts w:eastAsia="Times New Roman" w:cs="Calibri"/>
                <w:color w:val="000000"/>
                <w:sz w:val="2"/>
                <w:szCs w:val="2"/>
                <w:lang w:val="en-GB" w:eastAsia="en-GB"/>
              </w:rPr>
              <w:t xml:space="preserve"> </w:t>
            </w:r>
          </w:p>
        </w:tc>
        <w:tc>
          <w:tcPr>
            <w:tcW w:w="1472" w:type="dxa"/>
            <w:gridSpan w:val="2"/>
            <w:tcBorders>
              <w:top w:val="nil"/>
              <w:left w:val="nil"/>
              <w:bottom w:val="nil"/>
              <w:right w:val="nil"/>
            </w:tcBorders>
            <w:shd w:val="clear" w:color="auto" w:fill="auto"/>
            <w:vAlign w:val="center"/>
            <w:hideMark/>
          </w:tcPr>
          <w:p w14:paraId="4EECD17E" w14:textId="77777777" w:rsidR="000D7061" w:rsidRPr="000D7061" w:rsidRDefault="000D7061" w:rsidP="000D7061">
            <w:pPr>
              <w:jc w:val="right"/>
              <w:rPr>
                <w:rFonts w:eastAsia="Times New Roman" w:cs="Calibri"/>
                <w:color w:val="000000"/>
                <w:sz w:val="2"/>
                <w:szCs w:val="2"/>
                <w:lang w:val="en-GB" w:eastAsia="en-GB"/>
              </w:rPr>
            </w:pPr>
            <w:r w:rsidRPr="000D7061">
              <w:rPr>
                <w:rFonts w:eastAsia="Times New Roman" w:cs="Calibri"/>
                <w:color w:val="000000"/>
                <w:sz w:val="2"/>
                <w:szCs w:val="2"/>
                <w:lang w:val="en-GB" w:eastAsia="en-GB"/>
              </w:rPr>
              <w:t xml:space="preserve"> </w:t>
            </w:r>
          </w:p>
        </w:tc>
        <w:tc>
          <w:tcPr>
            <w:tcW w:w="1263" w:type="dxa"/>
            <w:tcBorders>
              <w:top w:val="nil"/>
              <w:left w:val="nil"/>
              <w:bottom w:val="nil"/>
              <w:right w:val="nil"/>
            </w:tcBorders>
            <w:shd w:val="clear" w:color="auto" w:fill="auto"/>
            <w:vAlign w:val="center"/>
            <w:hideMark/>
          </w:tcPr>
          <w:p w14:paraId="6E2DA64A" w14:textId="77777777" w:rsidR="000D7061" w:rsidRPr="000D7061" w:rsidRDefault="000D7061" w:rsidP="000D7061">
            <w:pPr>
              <w:jc w:val="right"/>
              <w:rPr>
                <w:rFonts w:eastAsia="Times New Roman" w:cs="Calibri"/>
                <w:color w:val="000000"/>
                <w:sz w:val="2"/>
                <w:szCs w:val="2"/>
                <w:lang w:val="en-GB" w:eastAsia="en-GB"/>
              </w:rPr>
            </w:pPr>
            <w:r w:rsidRPr="000D7061">
              <w:rPr>
                <w:rFonts w:eastAsia="Times New Roman" w:cs="Calibri"/>
                <w:color w:val="000000"/>
                <w:sz w:val="2"/>
                <w:szCs w:val="2"/>
                <w:lang w:val="en-GB" w:eastAsia="en-GB"/>
              </w:rPr>
              <w:t xml:space="preserve"> </w:t>
            </w:r>
          </w:p>
        </w:tc>
        <w:tc>
          <w:tcPr>
            <w:tcW w:w="1431" w:type="dxa"/>
            <w:gridSpan w:val="2"/>
            <w:tcBorders>
              <w:top w:val="nil"/>
              <w:left w:val="nil"/>
              <w:bottom w:val="nil"/>
              <w:right w:val="nil"/>
            </w:tcBorders>
            <w:shd w:val="clear" w:color="auto" w:fill="auto"/>
            <w:vAlign w:val="center"/>
            <w:hideMark/>
          </w:tcPr>
          <w:p w14:paraId="685144B7" w14:textId="77777777" w:rsidR="000D7061" w:rsidRPr="000D7061" w:rsidRDefault="000D7061" w:rsidP="000D7061">
            <w:pPr>
              <w:jc w:val="right"/>
              <w:rPr>
                <w:rFonts w:eastAsia="Times New Roman" w:cs="Calibri"/>
                <w:color w:val="000000"/>
                <w:sz w:val="2"/>
                <w:szCs w:val="2"/>
                <w:lang w:val="en-GB" w:eastAsia="en-GB"/>
              </w:rPr>
            </w:pPr>
            <w:r w:rsidRPr="000D7061">
              <w:rPr>
                <w:rFonts w:eastAsia="Times New Roman" w:cs="Calibri"/>
                <w:color w:val="000000"/>
                <w:sz w:val="2"/>
                <w:szCs w:val="2"/>
                <w:lang w:val="en-GB" w:eastAsia="en-GB"/>
              </w:rPr>
              <w:t xml:space="preserve"> </w:t>
            </w:r>
          </w:p>
        </w:tc>
        <w:tc>
          <w:tcPr>
            <w:tcW w:w="1559" w:type="dxa"/>
            <w:gridSpan w:val="2"/>
            <w:tcBorders>
              <w:top w:val="nil"/>
              <w:left w:val="nil"/>
              <w:bottom w:val="nil"/>
              <w:right w:val="nil"/>
            </w:tcBorders>
            <w:shd w:val="clear" w:color="auto" w:fill="auto"/>
            <w:vAlign w:val="center"/>
            <w:hideMark/>
          </w:tcPr>
          <w:p w14:paraId="10C6069C" w14:textId="77777777" w:rsidR="000D7061" w:rsidRPr="000D7061" w:rsidRDefault="000D7061" w:rsidP="000D7061">
            <w:pPr>
              <w:jc w:val="right"/>
              <w:rPr>
                <w:rFonts w:eastAsia="Times New Roman" w:cs="Calibri"/>
                <w:color w:val="000000"/>
                <w:sz w:val="2"/>
                <w:szCs w:val="2"/>
                <w:lang w:val="en-GB" w:eastAsia="en-GB"/>
              </w:rPr>
            </w:pPr>
            <w:r w:rsidRPr="000D7061">
              <w:rPr>
                <w:rFonts w:eastAsia="Times New Roman" w:cs="Calibri"/>
                <w:color w:val="000000"/>
                <w:sz w:val="2"/>
                <w:szCs w:val="2"/>
                <w:lang w:val="en-GB" w:eastAsia="en-GB"/>
              </w:rPr>
              <w:t xml:space="preserve"> </w:t>
            </w:r>
          </w:p>
        </w:tc>
        <w:tc>
          <w:tcPr>
            <w:tcW w:w="1276" w:type="dxa"/>
            <w:gridSpan w:val="2"/>
            <w:tcBorders>
              <w:top w:val="nil"/>
              <w:left w:val="single" w:sz="8" w:space="0" w:color="000000"/>
              <w:bottom w:val="nil"/>
              <w:right w:val="single" w:sz="8" w:space="0" w:color="000000"/>
            </w:tcBorders>
            <w:shd w:val="clear" w:color="auto" w:fill="auto"/>
            <w:vAlign w:val="center"/>
            <w:hideMark/>
          </w:tcPr>
          <w:p w14:paraId="17F85841" w14:textId="77777777" w:rsidR="000D7061" w:rsidRPr="000D7061" w:rsidRDefault="000D7061" w:rsidP="000D7061">
            <w:pPr>
              <w:jc w:val="right"/>
              <w:rPr>
                <w:rFonts w:eastAsia="Times New Roman" w:cs="Calibri"/>
                <w:b/>
                <w:bCs/>
                <w:color w:val="000000"/>
                <w:sz w:val="2"/>
                <w:szCs w:val="2"/>
                <w:lang w:val="en-GB" w:eastAsia="en-GB"/>
              </w:rPr>
            </w:pPr>
            <w:r w:rsidRPr="000D7061">
              <w:rPr>
                <w:rFonts w:eastAsia="Times New Roman" w:cs="Calibri"/>
                <w:b/>
                <w:bCs/>
                <w:color w:val="000000"/>
                <w:sz w:val="2"/>
                <w:szCs w:val="2"/>
                <w:lang w:val="en-GB" w:eastAsia="en-GB"/>
              </w:rPr>
              <w:t xml:space="preserve"> </w:t>
            </w:r>
          </w:p>
        </w:tc>
        <w:tc>
          <w:tcPr>
            <w:tcW w:w="1417" w:type="dxa"/>
            <w:gridSpan w:val="2"/>
            <w:tcBorders>
              <w:top w:val="nil"/>
              <w:left w:val="nil"/>
              <w:bottom w:val="nil"/>
              <w:right w:val="nil"/>
            </w:tcBorders>
            <w:shd w:val="clear" w:color="auto" w:fill="auto"/>
            <w:vAlign w:val="center"/>
            <w:hideMark/>
          </w:tcPr>
          <w:p w14:paraId="2D5E7754" w14:textId="77777777" w:rsidR="000D7061" w:rsidRPr="000D7061" w:rsidRDefault="000D7061" w:rsidP="000D7061">
            <w:pPr>
              <w:jc w:val="right"/>
              <w:rPr>
                <w:rFonts w:eastAsia="Times New Roman" w:cs="Calibri"/>
                <w:color w:val="000000"/>
                <w:sz w:val="2"/>
                <w:szCs w:val="2"/>
                <w:lang w:val="en-GB" w:eastAsia="en-GB"/>
              </w:rPr>
            </w:pPr>
            <w:r w:rsidRPr="000D7061">
              <w:rPr>
                <w:rFonts w:eastAsia="Times New Roman" w:cs="Calibri"/>
                <w:color w:val="000000"/>
                <w:sz w:val="2"/>
                <w:szCs w:val="2"/>
                <w:lang w:val="en-GB" w:eastAsia="en-GB"/>
              </w:rPr>
              <w:t xml:space="preserve"> </w:t>
            </w:r>
          </w:p>
        </w:tc>
        <w:tc>
          <w:tcPr>
            <w:tcW w:w="1344" w:type="dxa"/>
            <w:tcBorders>
              <w:top w:val="nil"/>
              <w:left w:val="single" w:sz="8" w:space="0" w:color="000000"/>
              <w:bottom w:val="nil"/>
              <w:right w:val="nil"/>
            </w:tcBorders>
            <w:shd w:val="clear" w:color="auto" w:fill="auto"/>
            <w:vAlign w:val="center"/>
            <w:hideMark/>
          </w:tcPr>
          <w:p w14:paraId="1C149075" w14:textId="77777777" w:rsidR="000D7061" w:rsidRPr="000D7061" w:rsidRDefault="000D7061" w:rsidP="000D7061">
            <w:pPr>
              <w:jc w:val="right"/>
              <w:rPr>
                <w:rFonts w:eastAsia="Times New Roman" w:cs="Calibri"/>
                <w:b/>
                <w:bCs/>
                <w:color w:val="000000"/>
                <w:sz w:val="2"/>
                <w:szCs w:val="2"/>
                <w:lang w:val="en-GB" w:eastAsia="en-GB"/>
              </w:rPr>
            </w:pPr>
            <w:r w:rsidRPr="000D7061">
              <w:rPr>
                <w:rFonts w:eastAsia="Times New Roman" w:cs="Calibri"/>
                <w:b/>
                <w:bCs/>
                <w:color w:val="000000"/>
                <w:sz w:val="2"/>
                <w:szCs w:val="2"/>
                <w:lang w:val="en-GB" w:eastAsia="en-GB"/>
              </w:rPr>
              <w:t xml:space="preserve"> </w:t>
            </w:r>
          </w:p>
        </w:tc>
      </w:tr>
      <w:tr w:rsidR="00017F07" w:rsidRPr="000D7061" w14:paraId="790BBF79" w14:textId="77777777" w:rsidTr="0041394A">
        <w:trPr>
          <w:trHeight w:val="420"/>
          <w:jc w:val="center"/>
        </w:trPr>
        <w:tc>
          <w:tcPr>
            <w:tcW w:w="2543" w:type="dxa"/>
            <w:tcBorders>
              <w:top w:val="nil"/>
              <w:left w:val="nil"/>
              <w:bottom w:val="nil"/>
              <w:right w:val="nil"/>
            </w:tcBorders>
            <w:shd w:val="clear" w:color="auto" w:fill="auto"/>
            <w:vAlign w:val="center"/>
            <w:hideMark/>
          </w:tcPr>
          <w:p w14:paraId="1FB7C794" w14:textId="77777777" w:rsidR="000D7061" w:rsidRPr="000D7061" w:rsidRDefault="000D7061" w:rsidP="000D7061">
            <w:pPr>
              <w:rPr>
                <w:rFonts w:eastAsia="Times New Roman" w:cs="Calibri"/>
                <w:color w:val="000000"/>
                <w:sz w:val="16"/>
                <w:szCs w:val="16"/>
                <w:lang w:val="en-GB" w:eastAsia="en-GB"/>
              </w:rPr>
            </w:pPr>
            <w:r w:rsidRPr="000D7061">
              <w:rPr>
                <w:rFonts w:eastAsia="Times New Roman" w:cs="Calibri"/>
                <w:color w:val="000000"/>
                <w:sz w:val="16"/>
                <w:szCs w:val="16"/>
                <w:lang w:val="en-GB" w:eastAsia="en-GB"/>
              </w:rPr>
              <w:t>Surplus or deficit on the provision of services</w:t>
            </w:r>
          </w:p>
        </w:tc>
        <w:tc>
          <w:tcPr>
            <w:tcW w:w="1655" w:type="dxa"/>
            <w:tcBorders>
              <w:top w:val="nil"/>
              <w:left w:val="single" w:sz="8" w:space="0" w:color="000000"/>
              <w:bottom w:val="nil"/>
              <w:right w:val="nil"/>
            </w:tcBorders>
            <w:shd w:val="clear" w:color="auto" w:fill="auto"/>
            <w:vAlign w:val="center"/>
            <w:hideMark/>
          </w:tcPr>
          <w:p w14:paraId="68703395" w14:textId="5D921876" w:rsidR="000D7061" w:rsidRPr="000D7061" w:rsidRDefault="00017F07" w:rsidP="000D7061">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72,572</w:t>
            </w:r>
          </w:p>
        </w:tc>
        <w:tc>
          <w:tcPr>
            <w:tcW w:w="1472" w:type="dxa"/>
            <w:gridSpan w:val="2"/>
            <w:tcBorders>
              <w:top w:val="nil"/>
              <w:left w:val="nil"/>
              <w:bottom w:val="nil"/>
              <w:right w:val="nil"/>
            </w:tcBorders>
            <w:shd w:val="clear" w:color="auto" w:fill="auto"/>
            <w:vAlign w:val="center"/>
            <w:hideMark/>
          </w:tcPr>
          <w:p w14:paraId="3377CB86" w14:textId="77777777" w:rsidR="000D7061" w:rsidRPr="000D7061" w:rsidRDefault="008B7197" w:rsidP="000D7061">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0</w:t>
            </w:r>
          </w:p>
        </w:tc>
        <w:tc>
          <w:tcPr>
            <w:tcW w:w="1263" w:type="dxa"/>
            <w:tcBorders>
              <w:top w:val="nil"/>
              <w:left w:val="nil"/>
              <w:bottom w:val="nil"/>
              <w:right w:val="nil"/>
            </w:tcBorders>
            <w:shd w:val="clear" w:color="auto" w:fill="auto"/>
            <w:vAlign w:val="center"/>
            <w:hideMark/>
          </w:tcPr>
          <w:p w14:paraId="15C798D7" w14:textId="249ADFE5" w:rsidR="000D7061" w:rsidRPr="000D7061" w:rsidRDefault="00017F07">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72,572</w:t>
            </w:r>
          </w:p>
        </w:tc>
        <w:tc>
          <w:tcPr>
            <w:tcW w:w="1431" w:type="dxa"/>
            <w:gridSpan w:val="2"/>
            <w:tcBorders>
              <w:top w:val="nil"/>
              <w:left w:val="nil"/>
              <w:bottom w:val="nil"/>
              <w:right w:val="nil"/>
            </w:tcBorders>
            <w:shd w:val="clear" w:color="auto" w:fill="auto"/>
            <w:vAlign w:val="center"/>
            <w:hideMark/>
          </w:tcPr>
          <w:p w14:paraId="253F3CAF" w14:textId="77777777" w:rsidR="000D7061" w:rsidRPr="000D7061" w:rsidRDefault="008B7197" w:rsidP="000D7061">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0</w:t>
            </w:r>
          </w:p>
        </w:tc>
        <w:tc>
          <w:tcPr>
            <w:tcW w:w="1559" w:type="dxa"/>
            <w:gridSpan w:val="2"/>
            <w:tcBorders>
              <w:top w:val="nil"/>
              <w:left w:val="nil"/>
              <w:bottom w:val="nil"/>
              <w:right w:val="nil"/>
            </w:tcBorders>
            <w:shd w:val="clear" w:color="auto" w:fill="auto"/>
            <w:vAlign w:val="center"/>
            <w:hideMark/>
          </w:tcPr>
          <w:p w14:paraId="0607D17B" w14:textId="77777777" w:rsidR="000D7061" w:rsidRPr="000D7061" w:rsidRDefault="008B7197" w:rsidP="000D7061">
            <w:pPr>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w:t>
            </w:r>
          </w:p>
        </w:tc>
        <w:tc>
          <w:tcPr>
            <w:tcW w:w="1276" w:type="dxa"/>
            <w:gridSpan w:val="2"/>
            <w:tcBorders>
              <w:top w:val="nil"/>
              <w:left w:val="single" w:sz="8" w:space="0" w:color="000000"/>
              <w:bottom w:val="nil"/>
              <w:right w:val="single" w:sz="8" w:space="0" w:color="000000"/>
            </w:tcBorders>
            <w:shd w:val="clear" w:color="auto" w:fill="auto"/>
            <w:vAlign w:val="center"/>
            <w:hideMark/>
          </w:tcPr>
          <w:p w14:paraId="74FC0F3B" w14:textId="3B911CF3" w:rsidR="000D7061" w:rsidRPr="000D7061" w:rsidRDefault="00017F07">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72,572</w:t>
            </w:r>
          </w:p>
        </w:tc>
        <w:tc>
          <w:tcPr>
            <w:tcW w:w="1417" w:type="dxa"/>
            <w:gridSpan w:val="2"/>
            <w:tcBorders>
              <w:top w:val="nil"/>
              <w:left w:val="nil"/>
              <w:bottom w:val="nil"/>
              <w:right w:val="nil"/>
            </w:tcBorders>
            <w:shd w:val="clear" w:color="auto" w:fill="auto"/>
            <w:vAlign w:val="center"/>
            <w:hideMark/>
          </w:tcPr>
          <w:p w14:paraId="04E14971" w14:textId="77777777" w:rsidR="000D7061" w:rsidRPr="000D7061" w:rsidRDefault="008B7197" w:rsidP="000D7061">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0</w:t>
            </w:r>
          </w:p>
        </w:tc>
        <w:tc>
          <w:tcPr>
            <w:tcW w:w="1344" w:type="dxa"/>
            <w:tcBorders>
              <w:top w:val="nil"/>
              <w:left w:val="single" w:sz="8" w:space="0" w:color="000000"/>
              <w:bottom w:val="nil"/>
              <w:right w:val="nil"/>
            </w:tcBorders>
            <w:shd w:val="clear" w:color="auto" w:fill="auto"/>
            <w:vAlign w:val="center"/>
            <w:hideMark/>
          </w:tcPr>
          <w:p w14:paraId="51CB2308" w14:textId="1A92DFFB" w:rsidR="000D7061" w:rsidRPr="000D7061" w:rsidRDefault="00017F07" w:rsidP="000D7061">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72,572</w:t>
            </w:r>
          </w:p>
        </w:tc>
      </w:tr>
      <w:tr w:rsidR="00017F07" w:rsidRPr="000D7061" w14:paraId="2F3FC109" w14:textId="77777777" w:rsidTr="0041394A">
        <w:trPr>
          <w:trHeight w:val="435"/>
          <w:jc w:val="center"/>
        </w:trPr>
        <w:tc>
          <w:tcPr>
            <w:tcW w:w="2543" w:type="dxa"/>
            <w:tcBorders>
              <w:top w:val="nil"/>
              <w:left w:val="nil"/>
              <w:bottom w:val="single" w:sz="8" w:space="0" w:color="000000"/>
              <w:right w:val="nil"/>
            </w:tcBorders>
            <w:shd w:val="clear" w:color="auto" w:fill="auto"/>
            <w:vAlign w:val="center"/>
            <w:hideMark/>
          </w:tcPr>
          <w:p w14:paraId="52BD6F6E" w14:textId="77777777" w:rsidR="000D7061" w:rsidRPr="000D7061" w:rsidRDefault="000D7061" w:rsidP="000D7061">
            <w:pPr>
              <w:rPr>
                <w:rFonts w:eastAsia="Times New Roman" w:cs="Calibri"/>
                <w:color w:val="000000"/>
                <w:sz w:val="16"/>
                <w:szCs w:val="16"/>
                <w:lang w:val="en-GB" w:eastAsia="en-GB"/>
              </w:rPr>
            </w:pPr>
            <w:r w:rsidRPr="000D7061">
              <w:rPr>
                <w:rFonts w:eastAsia="Times New Roman" w:cs="Calibri"/>
                <w:color w:val="000000"/>
                <w:sz w:val="16"/>
                <w:szCs w:val="16"/>
                <w:lang w:val="en-GB" w:eastAsia="en-GB"/>
              </w:rPr>
              <w:t>Other Comprehensive Income / Expenditure</w:t>
            </w:r>
          </w:p>
        </w:tc>
        <w:tc>
          <w:tcPr>
            <w:tcW w:w="1655" w:type="dxa"/>
            <w:tcBorders>
              <w:top w:val="nil"/>
              <w:left w:val="single" w:sz="8" w:space="0" w:color="000000"/>
              <w:bottom w:val="single" w:sz="8" w:space="0" w:color="000000"/>
              <w:right w:val="nil"/>
            </w:tcBorders>
            <w:shd w:val="clear" w:color="auto" w:fill="auto"/>
            <w:vAlign w:val="center"/>
            <w:hideMark/>
          </w:tcPr>
          <w:p w14:paraId="4868AD25" w14:textId="77777777" w:rsidR="000D7061" w:rsidRPr="000D7061" w:rsidRDefault="000D7061" w:rsidP="000D7061">
            <w:pPr>
              <w:jc w:val="right"/>
              <w:rPr>
                <w:rFonts w:eastAsia="Times New Roman" w:cs="Calibri"/>
                <w:color w:val="000000"/>
                <w:sz w:val="2"/>
                <w:szCs w:val="2"/>
                <w:lang w:val="en-GB" w:eastAsia="en-GB"/>
              </w:rPr>
            </w:pPr>
            <w:r w:rsidRPr="000D7061">
              <w:rPr>
                <w:rFonts w:eastAsia="Times New Roman" w:cs="Calibri"/>
                <w:color w:val="000000"/>
                <w:sz w:val="2"/>
                <w:szCs w:val="2"/>
                <w:lang w:val="en-GB" w:eastAsia="en-GB"/>
              </w:rPr>
              <w:t> </w:t>
            </w:r>
          </w:p>
        </w:tc>
        <w:tc>
          <w:tcPr>
            <w:tcW w:w="1472" w:type="dxa"/>
            <w:gridSpan w:val="2"/>
            <w:tcBorders>
              <w:top w:val="nil"/>
              <w:left w:val="nil"/>
              <w:bottom w:val="single" w:sz="8" w:space="0" w:color="000000"/>
              <w:right w:val="nil"/>
            </w:tcBorders>
            <w:shd w:val="clear" w:color="auto" w:fill="auto"/>
            <w:vAlign w:val="center"/>
            <w:hideMark/>
          </w:tcPr>
          <w:p w14:paraId="72C74AA4" w14:textId="77777777" w:rsidR="000D7061" w:rsidRPr="000D7061" w:rsidRDefault="000D7061" w:rsidP="000D7061">
            <w:pPr>
              <w:jc w:val="right"/>
              <w:rPr>
                <w:rFonts w:eastAsia="Times New Roman" w:cs="Calibri"/>
                <w:color w:val="000000"/>
                <w:sz w:val="2"/>
                <w:szCs w:val="2"/>
                <w:lang w:val="en-GB" w:eastAsia="en-GB"/>
              </w:rPr>
            </w:pPr>
            <w:r w:rsidRPr="000D7061">
              <w:rPr>
                <w:rFonts w:eastAsia="Times New Roman" w:cs="Calibri"/>
                <w:color w:val="000000"/>
                <w:sz w:val="2"/>
                <w:szCs w:val="2"/>
                <w:lang w:val="en-GB" w:eastAsia="en-GB"/>
              </w:rPr>
              <w:t> </w:t>
            </w:r>
          </w:p>
        </w:tc>
        <w:tc>
          <w:tcPr>
            <w:tcW w:w="1263" w:type="dxa"/>
            <w:tcBorders>
              <w:top w:val="nil"/>
              <w:left w:val="nil"/>
              <w:bottom w:val="single" w:sz="8" w:space="0" w:color="000000"/>
              <w:right w:val="nil"/>
            </w:tcBorders>
            <w:shd w:val="clear" w:color="auto" w:fill="auto"/>
            <w:vAlign w:val="center"/>
            <w:hideMark/>
          </w:tcPr>
          <w:p w14:paraId="62876C7D" w14:textId="77777777" w:rsidR="000D7061" w:rsidRPr="000D7061" w:rsidRDefault="000D7061" w:rsidP="000D7061">
            <w:pPr>
              <w:jc w:val="right"/>
              <w:rPr>
                <w:rFonts w:eastAsia="Times New Roman" w:cs="Calibri"/>
                <w:color w:val="000000"/>
                <w:sz w:val="2"/>
                <w:szCs w:val="2"/>
                <w:lang w:val="en-GB" w:eastAsia="en-GB"/>
              </w:rPr>
            </w:pPr>
            <w:r w:rsidRPr="000D7061">
              <w:rPr>
                <w:rFonts w:eastAsia="Times New Roman" w:cs="Calibri"/>
                <w:color w:val="000000"/>
                <w:sz w:val="2"/>
                <w:szCs w:val="2"/>
                <w:lang w:val="en-GB" w:eastAsia="en-GB"/>
              </w:rPr>
              <w:t> </w:t>
            </w:r>
          </w:p>
        </w:tc>
        <w:tc>
          <w:tcPr>
            <w:tcW w:w="1431" w:type="dxa"/>
            <w:gridSpan w:val="2"/>
            <w:tcBorders>
              <w:top w:val="nil"/>
              <w:left w:val="nil"/>
              <w:bottom w:val="single" w:sz="8" w:space="0" w:color="000000"/>
              <w:right w:val="nil"/>
            </w:tcBorders>
            <w:shd w:val="clear" w:color="auto" w:fill="auto"/>
            <w:vAlign w:val="center"/>
            <w:hideMark/>
          </w:tcPr>
          <w:p w14:paraId="0059DB72" w14:textId="77777777" w:rsidR="000D7061" w:rsidRPr="000D7061" w:rsidRDefault="000D7061" w:rsidP="000D7061">
            <w:pPr>
              <w:jc w:val="right"/>
              <w:rPr>
                <w:rFonts w:eastAsia="Times New Roman" w:cs="Calibri"/>
                <w:color w:val="000000"/>
                <w:sz w:val="2"/>
                <w:szCs w:val="2"/>
                <w:lang w:val="en-GB" w:eastAsia="en-GB"/>
              </w:rPr>
            </w:pPr>
            <w:r w:rsidRPr="000D7061">
              <w:rPr>
                <w:rFonts w:eastAsia="Times New Roman" w:cs="Calibri"/>
                <w:color w:val="000000"/>
                <w:sz w:val="2"/>
                <w:szCs w:val="2"/>
                <w:lang w:val="en-GB" w:eastAsia="en-GB"/>
              </w:rPr>
              <w:t> </w:t>
            </w:r>
          </w:p>
        </w:tc>
        <w:tc>
          <w:tcPr>
            <w:tcW w:w="1559" w:type="dxa"/>
            <w:gridSpan w:val="2"/>
            <w:tcBorders>
              <w:top w:val="nil"/>
              <w:left w:val="nil"/>
              <w:bottom w:val="single" w:sz="8" w:space="0" w:color="000000"/>
              <w:right w:val="nil"/>
            </w:tcBorders>
            <w:shd w:val="clear" w:color="auto" w:fill="auto"/>
            <w:vAlign w:val="center"/>
            <w:hideMark/>
          </w:tcPr>
          <w:p w14:paraId="12444456" w14:textId="77777777" w:rsidR="000D7061" w:rsidRPr="000D7061" w:rsidRDefault="000D7061" w:rsidP="000D7061">
            <w:pPr>
              <w:jc w:val="right"/>
              <w:rPr>
                <w:rFonts w:eastAsia="Times New Roman" w:cs="Calibri"/>
                <w:color w:val="000000"/>
                <w:sz w:val="2"/>
                <w:szCs w:val="2"/>
                <w:lang w:val="en-GB" w:eastAsia="en-GB"/>
              </w:rPr>
            </w:pPr>
            <w:r w:rsidRPr="000D7061">
              <w:rPr>
                <w:rFonts w:eastAsia="Times New Roman" w:cs="Calibri"/>
                <w:color w:val="000000"/>
                <w:sz w:val="2"/>
                <w:szCs w:val="2"/>
                <w:lang w:val="en-GB" w:eastAsia="en-GB"/>
              </w:rPr>
              <w:t> </w:t>
            </w:r>
          </w:p>
        </w:tc>
        <w:tc>
          <w:tcPr>
            <w:tcW w:w="1276" w:type="dxa"/>
            <w:gridSpan w:val="2"/>
            <w:tcBorders>
              <w:top w:val="nil"/>
              <w:left w:val="single" w:sz="8" w:space="0" w:color="000000"/>
              <w:bottom w:val="single" w:sz="8" w:space="0" w:color="000000"/>
              <w:right w:val="single" w:sz="8" w:space="0" w:color="000000"/>
            </w:tcBorders>
            <w:shd w:val="clear" w:color="auto" w:fill="auto"/>
            <w:vAlign w:val="center"/>
            <w:hideMark/>
          </w:tcPr>
          <w:p w14:paraId="5FFE5941" w14:textId="77777777" w:rsidR="000D7061" w:rsidRPr="000D7061" w:rsidRDefault="000D7061" w:rsidP="000D7061">
            <w:pPr>
              <w:jc w:val="right"/>
              <w:rPr>
                <w:rFonts w:eastAsia="Times New Roman" w:cs="Calibri"/>
                <w:b/>
                <w:bCs/>
                <w:color w:val="000000"/>
                <w:sz w:val="2"/>
                <w:szCs w:val="2"/>
                <w:lang w:val="en-GB" w:eastAsia="en-GB"/>
              </w:rPr>
            </w:pPr>
            <w:r w:rsidRPr="000D7061">
              <w:rPr>
                <w:rFonts w:eastAsia="Times New Roman" w:cs="Calibri"/>
                <w:b/>
                <w:bCs/>
                <w:color w:val="000000"/>
                <w:sz w:val="2"/>
                <w:szCs w:val="2"/>
                <w:lang w:val="en-GB" w:eastAsia="en-GB"/>
              </w:rPr>
              <w:t> </w:t>
            </w:r>
          </w:p>
        </w:tc>
        <w:tc>
          <w:tcPr>
            <w:tcW w:w="1417" w:type="dxa"/>
            <w:gridSpan w:val="2"/>
            <w:tcBorders>
              <w:top w:val="nil"/>
              <w:left w:val="nil"/>
              <w:bottom w:val="single" w:sz="8" w:space="0" w:color="auto"/>
              <w:right w:val="single" w:sz="8" w:space="0" w:color="000000"/>
            </w:tcBorders>
            <w:shd w:val="clear" w:color="auto" w:fill="auto"/>
            <w:vAlign w:val="center"/>
            <w:hideMark/>
          </w:tcPr>
          <w:p w14:paraId="3BB2FBCB"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78,454</w:t>
            </w:r>
          </w:p>
        </w:tc>
        <w:tc>
          <w:tcPr>
            <w:tcW w:w="1344" w:type="dxa"/>
            <w:tcBorders>
              <w:top w:val="nil"/>
              <w:left w:val="nil"/>
              <w:bottom w:val="single" w:sz="8" w:space="0" w:color="000000"/>
              <w:right w:val="nil"/>
            </w:tcBorders>
            <w:shd w:val="clear" w:color="auto" w:fill="auto"/>
            <w:vAlign w:val="center"/>
            <w:hideMark/>
          </w:tcPr>
          <w:p w14:paraId="5C727D5A"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78,454</w:t>
            </w:r>
          </w:p>
        </w:tc>
      </w:tr>
      <w:tr w:rsidR="00017F07" w:rsidRPr="000D7061" w14:paraId="063767C3" w14:textId="77777777" w:rsidTr="0041394A">
        <w:trPr>
          <w:trHeight w:val="420"/>
          <w:jc w:val="center"/>
        </w:trPr>
        <w:tc>
          <w:tcPr>
            <w:tcW w:w="2543" w:type="dxa"/>
            <w:tcBorders>
              <w:top w:val="nil"/>
              <w:left w:val="nil"/>
              <w:bottom w:val="nil"/>
              <w:right w:val="nil"/>
            </w:tcBorders>
            <w:shd w:val="clear" w:color="auto" w:fill="auto"/>
            <w:vAlign w:val="center"/>
            <w:hideMark/>
          </w:tcPr>
          <w:p w14:paraId="3BDD39DB" w14:textId="77777777" w:rsidR="000D7061" w:rsidRPr="000D7061" w:rsidRDefault="000D7061" w:rsidP="000D7061">
            <w:pPr>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Total Comprehensive Income and Expenditure</w:t>
            </w:r>
          </w:p>
        </w:tc>
        <w:tc>
          <w:tcPr>
            <w:tcW w:w="1655" w:type="dxa"/>
            <w:tcBorders>
              <w:top w:val="nil"/>
              <w:left w:val="single" w:sz="8" w:space="0" w:color="000000"/>
              <w:bottom w:val="nil"/>
              <w:right w:val="nil"/>
            </w:tcBorders>
            <w:shd w:val="clear" w:color="auto" w:fill="auto"/>
            <w:vAlign w:val="center"/>
            <w:hideMark/>
          </w:tcPr>
          <w:p w14:paraId="31015A41" w14:textId="66ACA3A2" w:rsidR="000D7061" w:rsidRPr="000D7061" w:rsidRDefault="00017F07" w:rsidP="000D7061">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72,572</w:t>
            </w:r>
          </w:p>
        </w:tc>
        <w:tc>
          <w:tcPr>
            <w:tcW w:w="1472" w:type="dxa"/>
            <w:gridSpan w:val="2"/>
            <w:tcBorders>
              <w:top w:val="nil"/>
              <w:left w:val="nil"/>
              <w:bottom w:val="nil"/>
              <w:right w:val="nil"/>
            </w:tcBorders>
            <w:shd w:val="clear" w:color="auto" w:fill="auto"/>
            <w:vAlign w:val="center"/>
            <w:hideMark/>
          </w:tcPr>
          <w:p w14:paraId="1BF04555"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w:t>
            </w:r>
          </w:p>
        </w:tc>
        <w:tc>
          <w:tcPr>
            <w:tcW w:w="1263" w:type="dxa"/>
            <w:tcBorders>
              <w:top w:val="nil"/>
              <w:left w:val="nil"/>
              <w:bottom w:val="nil"/>
              <w:right w:val="nil"/>
            </w:tcBorders>
            <w:shd w:val="clear" w:color="auto" w:fill="auto"/>
            <w:vAlign w:val="center"/>
            <w:hideMark/>
          </w:tcPr>
          <w:p w14:paraId="6BA09FEC" w14:textId="629262A5" w:rsidR="000D7061" w:rsidRPr="000D7061" w:rsidRDefault="00017F07">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72,572</w:t>
            </w:r>
          </w:p>
        </w:tc>
        <w:tc>
          <w:tcPr>
            <w:tcW w:w="1431" w:type="dxa"/>
            <w:gridSpan w:val="2"/>
            <w:tcBorders>
              <w:top w:val="nil"/>
              <w:left w:val="nil"/>
              <w:bottom w:val="nil"/>
              <w:right w:val="nil"/>
            </w:tcBorders>
            <w:shd w:val="clear" w:color="auto" w:fill="auto"/>
            <w:vAlign w:val="center"/>
            <w:hideMark/>
          </w:tcPr>
          <w:p w14:paraId="0C241CF8"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w:t>
            </w:r>
          </w:p>
        </w:tc>
        <w:tc>
          <w:tcPr>
            <w:tcW w:w="1559" w:type="dxa"/>
            <w:gridSpan w:val="2"/>
            <w:tcBorders>
              <w:top w:val="nil"/>
              <w:left w:val="nil"/>
              <w:bottom w:val="nil"/>
              <w:right w:val="single" w:sz="8" w:space="0" w:color="000000"/>
            </w:tcBorders>
            <w:shd w:val="clear" w:color="auto" w:fill="auto"/>
            <w:vAlign w:val="center"/>
            <w:hideMark/>
          </w:tcPr>
          <w:p w14:paraId="60780FDD"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w:t>
            </w:r>
          </w:p>
        </w:tc>
        <w:tc>
          <w:tcPr>
            <w:tcW w:w="1276" w:type="dxa"/>
            <w:gridSpan w:val="2"/>
            <w:tcBorders>
              <w:top w:val="nil"/>
              <w:left w:val="nil"/>
              <w:bottom w:val="nil"/>
              <w:right w:val="single" w:sz="8" w:space="0" w:color="000000"/>
            </w:tcBorders>
            <w:shd w:val="clear" w:color="auto" w:fill="auto"/>
            <w:vAlign w:val="center"/>
            <w:hideMark/>
          </w:tcPr>
          <w:p w14:paraId="79056CD8" w14:textId="1998D066" w:rsidR="000D7061" w:rsidRPr="000D7061" w:rsidRDefault="00017F07">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72,572</w:t>
            </w:r>
          </w:p>
        </w:tc>
        <w:tc>
          <w:tcPr>
            <w:tcW w:w="1417" w:type="dxa"/>
            <w:gridSpan w:val="2"/>
            <w:tcBorders>
              <w:top w:val="nil"/>
              <w:left w:val="nil"/>
              <w:bottom w:val="nil"/>
              <w:right w:val="single" w:sz="8" w:space="0" w:color="000000"/>
            </w:tcBorders>
            <w:shd w:val="clear" w:color="auto" w:fill="auto"/>
            <w:vAlign w:val="center"/>
            <w:hideMark/>
          </w:tcPr>
          <w:p w14:paraId="602D9952" w14:textId="167F9E5E" w:rsidR="000D7061" w:rsidRPr="000D7061" w:rsidRDefault="00017F07">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78,454</w:t>
            </w:r>
          </w:p>
        </w:tc>
        <w:tc>
          <w:tcPr>
            <w:tcW w:w="1344" w:type="dxa"/>
            <w:tcBorders>
              <w:top w:val="nil"/>
              <w:left w:val="nil"/>
              <w:bottom w:val="nil"/>
              <w:right w:val="nil"/>
            </w:tcBorders>
            <w:shd w:val="clear" w:color="auto" w:fill="auto"/>
            <w:vAlign w:val="center"/>
            <w:hideMark/>
          </w:tcPr>
          <w:p w14:paraId="505FCC8F" w14:textId="5068E649" w:rsidR="000D7061" w:rsidRPr="000D7061" w:rsidRDefault="00017F07">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151,026</w:t>
            </w:r>
          </w:p>
        </w:tc>
      </w:tr>
      <w:tr w:rsidR="00017F07" w:rsidRPr="000D7061" w14:paraId="40A56404" w14:textId="77777777" w:rsidTr="0041394A">
        <w:trPr>
          <w:trHeight w:val="645"/>
          <w:jc w:val="center"/>
        </w:trPr>
        <w:tc>
          <w:tcPr>
            <w:tcW w:w="2543" w:type="dxa"/>
            <w:tcBorders>
              <w:top w:val="nil"/>
              <w:left w:val="nil"/>
              <w:bottom w:val="single" w:sz="8" w:space="0" w:color="auto"/>
              <w:right w:val="nil"/>
            </w:tcBorders>
            <w:shd w:val="clear" w:color="auto" w:fill="auto"/>
            <w:vAlign w:val="center"/>
            <w:hideMark/>
          </w:tcPr>
          <w:p w14:paraId="16946734" w14:textId="77777777" w:rsidR="000D7061" w:rsidRPr="000D7061" w:rsidRDefault="000D7061" w:rsidP="000D7061">
            <w:pPr>
              <w:rPr>
                <w:rFonts w:eastAsia="Times New Roman" w:cs="Calibri"/>
                <w:color w:val="000000"/>
                <w:sz w:val="16"/>
                <w:szCs w:val="16"/>
                <w:lang w:val="en-GB" w:eastAsia="en-GB"/>
              </w:rPr>
            </w:pPr>
            <w:r w:rsidRPr="000D7061">
              <w:rPr>
                <w:rFonts w:eastAsia="Times New Roman" w:cs="Calibri"/>
                <w:color w:val="000000"/>
                <w:sz w:val="16"/>
                <w:szCs w:val="16"/>
                <w:lang w:val="en-GB" w:eastAsia="en-GB"/>
              </w:rPr>
              <w:t>Adjustments between accounting basis and funding basis under regulations</w:t>
            </w:r>
          </w:p>
        </w:tc>
        <w:tc>
          <w:tcPr>
            <w:tcW w:w="1655" w:type="dxa"/>
            <w:tcBorders>
              <w:top w:val="nil"/>
              <w:left w:val="single" w:sz="8" w:space="0" w:color="000000"/>
              <w:bottom w:val="single" w:sz="8" w:space="0" w:color="000000"/>
              <w:right w:val="nil"/>
            </w:tcBorders>
            <w:shd w:val="clear" w:color="auto" w:fill="auto"/>
            <w:vAlign w:val="center"/>
            <w:hideMark/>
          </w:tcPr>
          <w:p w14:paraId="5647F4AE" w14:textId="63577042" w:rsidR="000D7061" w:rsidRPr="000D7061" w:rsidRDefault="000D7061" w:rsidP="000D7061">
            <w:pPr>
              <w:jc w:val="right"/>
              <w:rPr>
                <w:rFonts w:eastAsia="Times New Roman" w:cs="Calibri"/>
                <w:color w:val="000000"/>
                <w:sz w:val="16"/>
                <w:szCs w:val="16"/>
                <w:lang w:val="en-GB" w:eastAsia="en-GB"/>
              </w:rPr>
            </w:pPr>
            <w:r w:rsidRPr="000D7061">
              <w:rPr>
                <w:rFonts w:eastAsia="Times New Roman" w:cs="Calibri"/>
                <w:color w:val="000000"/>
                <w:sz w:val="16"/>
                <w:szCs w:val="16"/>
                <w:lang w:val="en-GB" w:eastAsia="en-GB"/>
              </w:rPr>
              <w:t>(7</w:t>
            </w:r>
            <w:r w:rsidR="00D939E0">
              <w:rPr>
                <w:rFonts w:eastAsia="Times New Roman" w:cs="Calibri"/>
                <w:color w:val="000000"/>
                <w:sz w:val="16"/>
                <w:szCs w:val="16"/>
                <w:lang w:val="en-GB" w:eastAsia="en-GB"/>
              </w:rPr>
              <w:t>2,835</w:t>
            </w:r>
            <w:r w:rsidRPr="000D7061">
              <w:rPr>
                <w:rFonts w:eastAsia="Times New Roman" w:cs="Calibri"/>
                <w:color w:val="000000"/>
                <w:sz w:val="16"/>
                <w:szCs w:val="16"/>
                <w:lang w:val="en-GB" w:eastAsia="en-GB"/>
              </w:rPr>
              <w:t>)</w:t>
            </w:r>
          </w:p>
        </w:tc>
        <w:tc>
          <w:tcPr>
            <w:tcW w:w="1472" w:type="dxa"/>
            <w:gridSpan w:val="2"/>
            <w:tcBorders>
              <w:top w:val="nil"/>
              <w:left w:val="nil"/>
              <w:bottom w:val="single" w:sz="8" w:space="0" w:color="000000"/>
              <w:right w:val="nil"/>
            </w:tcBorders>
            <w:shd w:val="clear" w:color="auto" w:fill="auto"/>
            <w:vAlign w:val="center"/>
            <w:hideMark/>
          </w:tcPr>
          <w:p w14:paraId="2182994B" w14:textId="77777777" w:rsidR="000D7061" w:rsidRPr="000D7061" w:rsidRDefault="000D7061" w:rsidP="000D7061">
            <w:pPr>
              <w:jc w:val="right"/>
              <w:rPr>
                <w:rFonts w:eastAsia="Times New Roman" w:cs="Calibri"/>
                <w:color w:val="000000"/>
                <w:sz w:val="16"/>
                <w:szCs w:val="16"/>
                <w:lang w:val="en-GB" w:eastAsia="en-GB"/>
              </w:rPr>
            </w:pPr>
            <w:r w:rsidRPr="000D7061">
              <w:rPr>
                <w:rFonts w:eastAsia="Times New Roman" w:cs="Calibri"/>
                <w:color w:val="000000"/>
                <w:sz w:val="16"/>
                <w:szCs w:val="16"/>
                <w:lang w:val="en-GB" w:eastAsia="en-GB"/>
              </w:rPr>
              <w:t>0</w:t>
            </w:r>
          </w:p>
        </w:tc>
        <w:tc>
          <w:tcPr>
            <w:tcW w:w="1263" w:type="dxa"/>
            <w:tcBorders>
              <w:top w:val="nil"/>
              <w:left w:val="nil"/>
              <w:bottom w:val="single" w:sz="8" w:space="0" w:color="000000"/>
              <w:right w:val="nil"/>
            </w:tcBorders>
            <w:shd w:val="clear" w:color="auto" w:fill="auto"/>
            <w:vAlign w:val="center"/>
            <w:hideMark/>
          </w:tcPr>
          <w:p w14:paraId="2A3FA32C" w14:textId="7406CC3A" w:rsidR="000D7061" w:rsidRPr="000D7061" w:rsidRDefault="000D7061">
            <w:pPr>
              <w:jc w:val="right"/>
              <w:rPr>
                <w:rFonts w:eastAsia="Times New Roman" w:cs="Calibri"/>
                <w:color w:val="000000"/>
                <w:sz w:val="16"/>
                <w:szCs w:val="16"/>
                <w:lang w:val="en-GB" w:eastAsia="en-GB"/>
              </w:rPr>
            </w:pPr>
            <w:r w:rsidRPr="000D7061">
              <w:rPr>
                <w:rFonts w:eastAsia="Times New Roman" w:cs="Calibri"/>
                <w:color w:val="000000"/>
                <w:sz w:val="16"/>
                <w:szCs w:val="16"/>
                <w:lang w:val="en-GB" w:eastAsia="en-GB"/>
              </w:rPr>
              <w:t>(7</w:t>
            </w:r>
            <w:r w:rsidR="00D939E0">
              <w:rPr>
                <w:rFonts w:eastAsia="Times New Roman" w:cs="Calibri"/>
                <w:color w:val="000000"/>
                <w:sz w:val="16"/>
                <w:szCs w:val="16"/>
                <w:lang w:val="en-GB" w:eastAsia="en-GB"/>
              </w:rPr>
              <w:t>2</w:t>
            </w:r>
            <w:r w:rsidRPr="000D7061">
              <w:rPr>
                <w:rFonts w:eastAsia="Times New Roman" w:cs="Calibri"/>
                <w:color w:val="000000"/>
                <w:sz w:val="16"/>
                <w:szCs w:val="16"/>
                <w:lang w:val="en-GB" w:eastAsia="en-GB"/>
              </w:rPr>
              <w:t>,</w:t>
            </w:r>
            <w:r w:rsidR="00D939E0">
              <w:rPr>
                <w:rFonts w:eastAsia="Times New Roman" w:cs="Calibri"/>
                <w:color w:val="000000"/>
                <w:sz w:val="16"/>
                <w:szCs w:val="16"/>
                <w:lang w:val="en-GB" w:eastAsia="en-GB"/>
              </w:rPr>
              <w:t>835</w:t>
            </w:r>
            <w:r w:rsidRPr="000D7061">
              <w:rPr>
                <w:rFonts w:eastAsia="Times New Roman" w:cs="Calibri"/>
                <w:color w:val="000000"/>
                <w:sz w:val="16"/>
                <w:szCs w:val="16"/>
                <w:lang w:val="en-GB" w:eastAsia="en-GB"/>
              </w:rPr>
              <w:t>)</w:t>
            </w:r>
          </w:p>
        </w:tc>
        <w:tc>
          <w:tcPr>
            <w:tcW w:w="1431" w:type="dxa"/>
            <w:gridSpan w:val="2"/>
            <w:tcBorders>
              <w:top w:val="nil"/>
              <w:left w:val="nil"/>
              <w:bottom w:val="single" w:sz="8" w:space="0" w:color="000000"/>
              <w:right w:val="nil"/>
            </w:tcBorders>
            <w:shd w:val="clear" w:color="auto" w:fill="auto"/>
            <w:vAlign w:val="center"/>
            <w:hideMark/>
          </w:tcPr>
          <w:p w14:paraId="6663890D" w14:textId="77777777" w:rsidR="000D7061" w:rsidRPr="000D7061" w:rsidRDefault="000D7061" w:rsidP="000D7061">
            <w:pPr>
              <w:jc w:val="right"/>
              <w:rPr>
                <w:rFonts w:eastAsia="Times New Roman" w:cs="Calibri"/>
                <w:color w:val="000000"/>
                <w:sz w:val="16"/>
                <w:szCs w:val="16"/>
                <w:lang w:val="en-GB" w:eastAsia="en-GB"/>
              </w:rPr>
            </w:pPr>
            <w:r w:rsidRPr="000D7061">
              <w:rPr>
                <w:rFonts w:eastAsia="Times New Roman" w:cs="Calibri"/>
                <w:color w:val="000000"/>
                <w:sz w:val="16"/>
                <w:szCs w:val="16"/>
                <w:lang w:val="en-GB" w:eastAsia="en-GB"/>
              </w:rPr>
              <w:t>197</w:t>
            </w:r>
          </w:p>
        </w:tc>
        <w:tc>
          <w:tcPr>
            <w:tcW w:w="1559" w:type="dxa"/>
            <w:gridSpan w:val="2"/>
            <w:tcBorders>
              <w:top w:val="nil"/>
              <w:left w:val="nil"/>
              <w:bottom w:val="single" w:sz="8" w:space="0" w:color="000000"/>
              <w:right w:val="single" w:sz="8" w:space="0" w:color="000000"/>
            </w:tcBorders>
            <w:shd w:val="clear" w:color="auto" w:fill="auto"/>
            <w:vAlign w:val="center"/>
            <w:hideMark/>
          </w:tcPr>
          <w:p w14:paraId="138DAF29" w14:textId="43D5C614" w:rsidR="000D7061" w:rsidRPr="000D7061" w:rsidRDefault="000D7061" w:rsidP="000D7061">
            <w:pPr>
              <w:jc w:val="right"/>
              <w:rPr>
                <w:rFonts w:eastAsia="Times New Roman" w:cs="Calibri"/>
                <w:color w:val="000000"/>
                <w:sz w:val="16"/>
                <w:szCs w:val="16"/>
                <w:lang w:val="en-GB" w:eastAsia="en-GB"/>
              </w:rPr>
            </w:pPr>
            <w:r w:rsidRPr="000D7061">
              <w:rPr>
                <w:rFonts w:eastAsia="Times New Roman" w:cs="Calibri"/>
                <w:color w:val="000000"/>
                <w:sz w:val="16"/>
                <w:szCs w:val="16"/>
                <w:lang w:val="en-GB" w:eastAsia="en-GB"/>
              </w:rPr>
              <w:t>1,</w:t>
            </w:r>
            <w:r w:rsidR="00D939E0">
              <w:rPr>
                <w:rFonts w:eastAsia="Times New Roman" w:cs="Calibri"/>
                <w:color w:val="000000"/>
                <w:sz w:val="16"/>
                <w:szCs w:val="16"/>
                <w:lang w:val="en-GB" w:eastAsia="en-GB"/>
              </w:rPr>
              <w:t>083</w:t>
            </w:r>
          </w:p>
        </w:tc>
        <w:tc>
          <w:tcPr>
            <w:tcW w:w="1276" w:type="dxa"/>
            <w:gridSpan w:val="2"/>
            <w:tcBorders>
              <w:top w:val="nil"/>
              <w:left w:val="nil"/>
              <w:bottom w:val="single" w:sz="8" w:space="0" w:color="000000"/>
              <w:right w:val="single" w:sz="8" w:space="0" w:color="000000"/>
            </w:tcBorders>
            <w:shd w:val="clear" w:color="auto" w:fill="auto"/>
            <w:vAlign w:val="center"/>
            <w:hideMark/>
          </w:tcPr>
          <w:p w14:paraId="3D857FE7" w14:textId="1C149134" w:rsidR="000D7061" w:rsidRPr="000D7061" w:rsidRDefault="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w:t>
            </w:r>
            <w:r w:rsidR="00D939E0">
              <w:rPr>
                <w:rFonts w:eastAsia="Times New Roman" w:cs="Calibri"/>
                <w:b/>
                <w:bCs/>
                <w:color w:val="000000"/>
                <w:sz w:val="16"/>
                <w:szCs w:val="16"/>
                <w:lang w:val="en-GB" w:eastAsia="en-GB"/>
              </w:rPr>
              <w:t>71</w:t>
            </w:r>
            <w:r w:rsidRPr="000D7061">
              <w:rPr>
                <w:rFonts w:eastAsia="Times New Roman" w:cs="Calibri"/>
                <w:b/>
                <w:bCs/>
                <w:color w:val="000000"/>
                <w:sz w:val="16"/>
                <w:szCs w:val="16"/>
                <w:lang w:val="en-GB" w:eastAsia="en-GB"/>
              </w:rPr>
              <w:t>,</w:t>
            </w:r>
            <w:r w:rsidR="00D939E0">
              <w:rPr>
                <w:rFonts w:eastAsia="Times New Roman" w:cs="Calibri"/>
                <w:b/>
                <w:bCs/>
                <w:color w:val="000000"/>
                <w:sz w:val="16"/>
                <w:szCs w:val="16"/>
                <w:lang w:val="en-GB" w:eastAsia="en-GB"/>
              </w:rPr>
              <w:t>555</w:t>
            </w:r>
            <w:r w:rsidRPr="000D7061">
              <w:rPr>
                <w:rFonts w:eastAsia="Times New Roman" w:cs="Calibri"/>
                <w:b/>
                <w:bCs/>
                <w:color w:val="000000"/>
                <w:sz w:val="16"/>
                <w:szCs w:val="16"/>
                <w:lang w:val="en-GB" w:eastAsia="en-GB"/>
              </w:rPr>
              <w:t>)</w:t>
            </w:r>
          </w:p>
        </w:tc>
        <w:tc>
          <w:tcPr>
            <w:tcW w:w="1417" w:type="dxa"/>
            <w:gridSpan w:val="2"/>
            <w:tcBorders>
              <w:top w:val="nil"/>
              <w:left w:val="nil"/>
              <w:bottom w:val="single" w:sz="8" w:space="0" w:color="auto"/>
              <w:right w:val="single" w:sz="8" w:space="0" w:color="000000"/>
            </w:tcBorders>
            <w:shd w:val="clear" w:color="auto" w:fill="auto"/>
            <w:vAlign w:val="center"/>
            <w:hideMark/>
          </w:tcPr>
          <w:p w14:paraId="458889C0" w14:textId="6A395B5D" w:rsidR="000D7061" w:rsidRPr="000D7061" w:rsidRDefault="00D939E0">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71</w:t>
            </w:r>
            <w:r w:rsidR="000D7061" w:rsidRPr="000D7061">
              <w:rPr>
                <w:rFonts w:eastAsia="Times New Roman" w:cs="Calibri"/>
                <w:b/>
                <w:bCs/>
                <w:color w:val="000000"/>
                <w:sz w:val="16"/>
                <w:szCs w:val="16"/>
                <w:lang w:val="en-GB" w:eastAsia="en-GB"/>
              </w:rPr>
              <w:t>,</w:t>
            </w:r>
            <w:r>
              <w:rPr>
                <w:rFonts w:eastAsia="Times New Roman" w:cs="Calibri"/>
                <w:b/>
                <w:bCs/>
                <w:color w:val="000000"/>
                <w:sz w:val="16"/>
                <w:szCs w:val="16"/>
                <w:lang w:val="en-GB" w:eastAsia="en-GB"/>
              </w:rPr>
              <w:t>555</w:t>
            </w:r>
          </w:p>
        </w:tc>
        <w:tc>
          <w:tcPr>
            <w:tcW w:w="1344" w:type="dxa"/>
            <w:tcBorders>
              <w:top w:val="nil"/>
              <w:left w:val="nil"/>
              <w:bottom w:val="single" w:sz="8" w:space="0" w:color="000000"/>
              <w:right w:val="nil"/>
            </w:tcBorders>
            <w:shd w:val="clear" w:color="auto" w:fill="auto"/>
            <w:vAlign w:val="center"/>
            <w:hideMark/>
          </w:tcPr>
          <w:p w14:paraId="22195382"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w:t>
            </w:r>
          </w:p>
        </w:tc>
      </w:tr>
      <w:tr w:rsidR="00017F07" w:rsidRPr="000D7061" w14:paraId="1EFCB5D7" w14:textId="77777777" w:rsidTr="0041394A">
        <w:trPr>
          <w:trHeight w:val="630"/>
          <w:jc w:val="center"/>
        </w:trPr>
        <w:tc>
          <w:tcPr>
            <w:tcW w:w="2543" w:type="dxa"/>
            <w:tcBorders>
              <w:top w:val="nil"/>
              <w:left w:val="nil"/>
              <w:bottom w:val="nil"/>
              <w:right w:val="nil"/>
            </w:tcBorders>
            <w:shd w:val="clear" w:color="auto" w:fill="auto"/>
            <w:vAlign w:val="center"/>
            <w:hideMark/>
          </w:tcPr>
          <w:p w14:paraId="23FAB35D" w14:textId="77777777" w:rsidR="000D7061" w:rsidRPr="000D7061" w:rsidRDefault="000D7061" w:rsidP="000D7061">
            <w:pPr>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Net Increase or Decrease before Transfers to Earmarked Reserves</w:t>
            </w:r>
          </w:p>
        </w:tc>
        <w:tc>
          <w:tcPr>
            <w:tcW w:w="1655" w:type="dxa"/>
            <w:tcBorders>
              <w:top w:val="nil"/>
              <w:left w:val="single" w:sz="8" w:space="0" w:color="000000"/>
              <w:bottom w:val="nil"/>
              <w:right w:val="nil"/>
            </w:tcBorders>
            <w:shd w:val="clear" w:color="auto" w:fill="auto"/>
            <w:vAlign w:val="center"/>
            <w:hideMark/>
          </w:tcPr>
          <w:p w14:paraId="63BFBC51" w14:textId="2048346D" w:rsidR="000D7061" w:rsidRPr="000D7061" w:rsidRDefault="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w:t>
            </w:r>
            <w:r w:rsidR="00A73A4F">
              <w:rPr>
                <w:rFonts w:eastAsia="Times New Roman" w:cs="Calibri"/>
                <w:b/>
                <w:bCs/>
                <w:color w:val="000000"/>
                <w:sz w:val="16"/>
                <w:szCs w:val="16"/>
                <w:lang w:val="en-GB" w:eastAsia="en-GB"/>
              </w:rPr>
              <w:t>263</w:t>
            </w:r>
            <w:r w:rsidRPr="000D7061">
              <w:rPr>
                <w:rFonts w:eastAsia="Times New Roman" w:cs="Calibri"/>
                <w:b/>
                <w:bCs/>
                <w:color w:val="000000"/>
                <w:sz w:val="16"/>
                <w:szCs w:val="16"/>
                <w:lang w:val="en-GB" w:eastAsia="en-GB"/>
              </w:rPr>
              <w:t>)</w:t>
            </w:r>
          </w:p>
        </w:tc>
        <w:tc>
          <w:tcPr>
            <w:tcW w:w="1472" w:type="dxa"/>
            <w:gridSpan w:val="2"/>
            <w:tcBorders>
              <w:top w:val="nil"/>
              <w:left w:val="nil"/>
              <w:bottom w:val="nil"/>
              <w:right w:val="nil"/>
            </w:tcBorders>
            <w:shd w:val="clear" w:color="auto" w:fill="auto"/>
            <w:vAlign w:val="center"/>
            <w:hideMark/>
          </w:tcPr>
          <w:p w14:paraId="4DA85ED8"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w:t>
            </w:r>
          </w:p>
        </w:tc>
        <w:tc>
          <w:tcPr>
            <w:tcW w:w="1263" w:type="dxa"/>
            <w:tcBorders>
              <w:top w:val="nil"/>
              <w:left w:val="nil"/>
              <w:bottom w:val="nil"/>
              <w:right w:val="nil"/>
            </w:tcBorders>
            <w:shd w:val="clear" w:color="auto" w:fill="auto"/>
            <w:vAlign w:val="center"/>
            <w:hideMark/>
          </w:tcPr>
          <w:p w14:paraId="4F4B6221" w14:textId="1377B448" w:rsidR="000D7061" w:rsidRPr="000D7061" w:rsidRDefault="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w:t>
            </w:r>
            <w:r w:rsidR="00017F07">
              <w:rPr>
                <w:rFonts w:eastAsia="Times New Roman" w:cs="Calibri"/>
                <w:b/>
                <w:bCs/>
                <w:color w:val="000000"/>
                <w:sz w:val="16"/>
                <w:szCs w:val="16"/>
                <w:lang w:val="en-GB" w:eastAsia="en-GB"/>
              </w:rPr>
              <w:t>263</w:t>
            </w:r>
            <w:r w:rsidRPr="000D7061">
              <w:rPr>
                <w:rFonts w:eastAsia="Times New Roman" w:cs="Calibri"/>
                <w:b/>
                <w:bCs/>
                <w:color w:val="000000"/>
                <w:sz w:val="16"/>
                <w:szCs w:val="16"/>
                <w:lang w:val="en-GB" w:eastAsia="en-GB"/>
              </w:rPr>
              <w:t>)</w:t>
            </w:r>
          </w:p>
        </w:tc>
        <w:tc>
          <w:tcPr>
            <w:tcW w:w="1431" w:type="dxa"/>
            <w:gridSpan w:val="2"/>
            <w:tcBorders>
              <w:top w:val="nil"/>
              <w:left w:val="nil"/>
              <w:bottom w:val="nil"/>
              <w:right w:val="nil"/>
            </w:tcBorders>
            <w:shd w:val="clear" w:color="auto" w:fill="auto"/>
            <w:vAlign w:val="center"/>
            <w:hideMark/>
          </w:tcPr>
          <w:p w14:paraId="1A0067C7"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197</w:t>
            </w:r>
          </w:p>
        </w:tc>
        <w:tc>
          <w:tcPr>
            <w:tcW w:w="1559" w:type="dxa"/>
            <w:gridSpan w:val="2"/>
            <w:tcBorders>
              <w:top w:val="nil"/>
              <w:left w:val="nil"/>
              <w:bottom w:val="nil"/>
              <w:right w:val="nil"/>
            </w:tcBorders>
            <w:shd w:val="clear" w:color="auto" w:fill="auto"/>
            <w:vAlign w:val="center"/>
            <w:hideMark/>
          </w:tcPr>
          <w:p w14:paraId="1C9A0454" w14:textId="724BF69C"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1,</w:t>
            </w:r>
            <w:r w:rsidR="00D939E0">
              <w:rPr>
                <w:rFonts w:eastAsia="Times New Roman" w:cs="Calibri"/>
                <w:b/>
                <w:bCs/>
                <w:color w:val="000000"/>
                <w:sz w:val="16"/>
                <w:szCs w:val="16"/>
                <w:lang w:val="en-GB" w:eastAsia="en-GB"/>
              </w:rPr>
              <w:t>083</w:t>
            </w:r>
          </w:p>
        </w:tc>
        <w:tc>
          <w:tcPr>
            <w:tcW w:w="1276" w:type="dxa"/>
            <w:gridSpan w:val="2"/>
            <w:tcBorders>
              <w:top w:val="nil"/>
              <w:left w:val="single" w:sz="8" w:space="0" w:color="000000"/>
              <w:bottom w:val="nil"/>
              <w:right w:val="single" w:sz="8" w:space="0" w:color="000000"/>
            </w:tcBorders>
            <w:shd w:val="clear" w:color="auto" w:fill="auto"/>
            <w:vAlign w:val="center"/>
            <w:hideMark/>
          </w:tcPr>
          <w:p w14:paraId="5BA4C57C" w14:textId="05F2AC49" w:rsidR="000D7061" w:rsidRPr="000D7061" w:rsidRDefault="00017F07">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1,017</w:t>
            </w:r>
          </w:p>
        </w:tc>
        <w:tc>
          <w:tcPr>
            <w:tcW w:w="1417" w:type="dxa"/>
            <w:gridSpan w:val="2"/>
            <w:tcBorders>
              <w:top w:val="nil"/>
              <w:left w:val="nil"/>
              <w:bottom w:val="nil"/>
              <w:right w:val="nil"/>
            </w:tcBorders>
            <w:shd w:val="clear" w:color="auto" w:fill="auto"/>
            <w:vAlign w:val="center"/>
            <w:hideMark/>
          </w:tcPr>
          <w:p w14:paraId="5B38FE03" w14:textId="1BDC9E31" w:rsidR="000D7061" w:rsidRPr="000D7061" w:rsidRDefault="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1</w:t>
            </w:r>
            <w:r w:rsidR="00D939E0">
              <w:rPr>
                <w:rFonts w:eastAsia="Times New Roman" w:cs="Calibri"/>
                <w:b/>
                <w:bCs/>
                <w:color w:val="000000"/>
                <w:sz w:val="16"/>
                <w:szCs w:val="16"/>
                <w:lang w:val="en-GB" w:eastAsia="en-GB"/>
              </w:rPr>
              <w:t>50</w:t>
            </w:r>
            <w:r w:rsidRPr="000D7061">
              <w:rPr>
                <w:rFonts w:eastAsia="Times New Roman" w:cs="Calibri"/>
                <w:b/>
                <w:bCs/>
                <w:color w:val="000000"/>
                <w:sz w:val="16"/>
                <w:szCs w:val="16"/>
                <w:lang w:val="en-GB" w:eastAsia="en-GB"/>
              </w:rPr>
              <w:t>,</w:t>
            </w:r>
            <w:r w:rsidR="00D939E0">
              <w:rPr>
                <w:rFonts w:eastAsia="Times New Roman" w:cs="Calibri"/>
                <w:b/>
                <w:bCs/>
                <w:color w:val="000000"/>
                <w:sz w:val="16"/>
                <w:szCs w:val="16"/>
                <w:lang w:val="en-GB" w:eastAsia="en-GB"/>
              </w:rPr>
              <w:t>009</w:t>
            </w:r>
          </w:p>
        </w:tc>
        <w:tc>
          <w:tcPr>
            <w:tcW w:w="1344" w:type="dxa"/>
            <w:tcBorders>
              <w:top w:val="nil"/>
              <w:left w:val="single" w:sz="8" w:space="0" w:color="000000"/>
              <w:bottom w:val="nil"/>
              <w:right w:val="nil"/>
            </w:tcBorders>
            <w:shd w:val="clear" w:color="auto" w:fill="auto"/>
            <w:vAlign w:val="center"/>
            <w:hideMark/>
          </w:tcPr>
          <w:p w14:paraId="34759C5F" w14:textId="57266F7B" w:rsidR="000D7061" w:rsidRPr="000D7061" w:rsidRDefault="00017F07">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151,026</w:t>
            </w:r>
          </w:p>
        </w:tc>
      </w:tr>
      <w:tr w:rsidR="00017F07" w:rsidRPr="000D7061" w14:paraId="1601C99E" w14:textId="77777777" w:rsidTr="0041394A">
        <w:trPr>
          <w:trHeight w:val="420"/>
          <w:jc w:val="center"/>
        </w:trPr>
        <w:tc>
          <w:tcPr>
            <w:tcW w:w="2543" w:type="dxa"/>
            <w:tcBorders>
              <w:top w:val="nil"/>
              <w:left w:val="nil"/>
              <w:bottom w:val="nil"/>
              <w:right w:val="nil"/>
            </w:tcBorders>
            <w:shd w:val="clear" w:color="auto" w:fill="auto"/>
            <w:vAlign w:val="center"/>
            <w:hideMark/>
          </w:tcPr>
          <w:p w14:paraId="5FD8BDF7" w14:textId="77777777" w:rsidR="000D7061" w:rsidRPr="000D7061" w:rsidRDefault="000D7061" w:rsidP="000D7061">
            <w:pPr>
              <w:rPr>
                <w:rFonts w:eastAsia="Times New Roman" w:cs="Calibri"/>
                <w:color w:val="000000"/>
                <w:sz w:val="16"/>
                <w:szCs w:val="16"/>
                <w:lang w:val="en-GB" w:eastAsia="en-GB"/>
              </w:rPr>
            </w:pPr>
            <w:r w:rsidRPr="000D7061">
              <w:rPr>
                <w:rFonts w:eastAsia="Times New Roman" w:cs="Calibri"/>
                <w:color w:val="000000"/>
                <w:sz w:val="16"/>
                <w:szCs w:val="16"/>
                <w:lang w:val="en-GB" w:eastAsia="en-GB"/>
              </w:rPr>
              <w:t>Transfers to / from Earmarked Reserves</w:t>
            </w:r>
          </w:p>
        </w:tc>
        <w:tc>
          <w:tcPr>
            <w:tcW w:w="1655" w:type="dxa"/>
            <w:tcBorders>
              <w:top w:val="nil"/>
              <w:left w:val="single" w:sz="8" w:space="0" w:color="000000"/>
              <w:bottom w:val="nil"/>
              <w:right w:val="nil"/>
            </w:tcBorders>
            <w:shd w:val="clear" w:color="auto" w:fill="auto"/>
            <w:vAlign w:val="center"/>
            <w:hideMark/>
          </w:tcPr>
          <w:p w14:paraId="18FC83CD" w14:textId="37628B6C" w:rsidR="000D7061" w:rsidRPr="000D7061" w:rsidRDefault="003C732D">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5</w:t>
            </w:r>
            <w:r w:rsidR="00D87588">
              <w:rPr>
                <w:rFonts w:eastAsia="Times New Roman" w:cs="Calibri"/>
                <w:color w:val="000000"/>
                <w:sz w:val="16"/>
                <w:szCs w:val="16"/>
                <w:lang w:val="en-GB" w:eastAsia="en-GB"/>
              </w:rPr>
              <w:t>6</w:t>
            </w:r>
          </w:p>
        </w:tc>
        <w:tc>
          <w:tcPr>
            <w:tcW w:w="1472" w:type="dxa"/>
            <w:gridSpan w:val="2"/>
            <w:tcBorders>
              <w:top w:val="nil"/>
              <w:left w:val="nil"/>
              <w:bottom w:val="nil"/>
              <w:right w:val="nil"/>
            </w:tcBorders>
            <w:shd w:val="clear" w:color="auto" w:fill="auto"/>
            <w:vAlign w:val="center"/>
            <w:hideMark/>
          </w:tcPr>
          <w:p w14:paraId="2A59057F" w14:textId="33946DBC" w:rsidR="000D7061" w:rsidRPr="000D7061" w:rsidRDefault="003C732D">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(5</w:t>
            </w:r>
            <w:r w:rsidR="00D87588">
              <w:rPr>
                <w:rFonts w:eastAsia="Times New Roman" w:cs="Calibri"/>
                <w:color w:val="000000"/>
                <w:sz w:val="16"/>
                <w:szCs w:val="16"/>
                <w:lang w:val="en-GB" w:eastAsia="en-GB"/>
              </w:rPr>
              <w:t>6</w:t>
            </w:r>
            <w:r>
              <w:rPr>
                <w:rFonts w:eastAsia="Times New Roman" w:cs="Calibri"/>
                <w:color w:val="000000"/>
                <w:sz w:val="16"/>
                <w:szCs w:val="16"/>
                <w:lang w:val="en-GB" w:eastAsia="en-GB"/>
              </w:rPr>
              <w:t>)</w:t>
            </w:r>
          </w:p>
        </w:tc>
        <w:tc>
          <w:tcPr>
            <w:tcW w:w="1263" w:type="dxa"/>
            <w:tcBorders>
              <w:top w:val="nil"/>
              <w:left w:val="nil"/>
              <w:bottom w:val="nil"/>
              <w:right w:val="nil"/>
            </w:tcBorders>
            <w:shd w:val="clear" w:color="auto" w:fill="auto"/>
            <w:vAlign w:val="center"/>
            <w:hideMark/>
          </w:tcPr>
          <w:p w14:paraId="3434B18E" w14:textId="77777777" w:rsidR="000D7061" w:rsidRPr="000D7061" w:rsidRDefault="000D7061" w:rsidP="000D7061">
            <w:pPr>
              <w:jc w:val="right"/>
              <w:rPr>
                <w:rFonts w:eastAsia="Times New Roman" w:cs="Calibri"/>
                <w:color w:val="000000"/>
                <w:sz w:val="16"/>
                <w:szCs w:val="16"/>
                <w:lang w:val="en-GB" w:eastAsia="en-GB"/>
              </w:rPr>
            </w:pPr>
            <w:r w:rsidRPr="000D7061">
              <w:rPr>
                <w:rFonts w:eastAsia="Times New Roman" w:cs="Calibri"/>
                <w:color w:val="000000"/>
                <w:sz w:val="16"/>
                <w:szCs w:val="16"/>
                <w:lang w:val="en-GB" w:eastAsia="en-GB"/>
              </w:rPr>
              <w:t>0</w:t>
            </w:r>
          </w:p>
        </w:tc>
        <w:tc>
          <w:tcPr>
            <w:tcW w:w="1431" w:type="dxa"/>
            <w:gridSpan w:val="2"/>
            <w:tcBorders>
              <w:top w:val="nil"/>
              <w:left w:val="nil"/>
              <w:bottom w:val="nil"/>
              <w:right w:val="nil"/>
            </w:tcBorders>
            <w:shd w:val="clear" w:color="auto" w:fill="auto"/>
            <w:vAlign w:val="center"/>
            <w:hideMark/>
          </w:tcPr>
          <w:p w14:paraId="648C54F3" w14:textId="77777777" w:rsidR="000D7061" w:rsidRPr="000D7061" w:rsidRDefault="000D7061" w:rsidP="000D7061">
            <w:pPr>
              <w:jc w:val="right"/>
              <w:rPr>
                <w:rFonts w:eastAsia="Times New Roman" w:cs="Calibri"/>
                <w:color w:val="000000"/>
                <w:sz w:val="16"/>
                <w:szCs w:val="16"/>
                <w:lang w:val="en-GB" w:eastAsia="en-GB"/>
              </w:rPr>
            </w:pPr>
            <w:r w:rsidRPr="000D7061">
              <w:rPr>
                <w:rFonts w:eastAsia="Times New Roman" w:cs="Calibri"/>
                <w:color w:val="000000"/>
                <w:sz w:val="16"/>
                <w:szCs w:val="16"/>
                <w:lang w:val="en-GB" w:eastAsia="en-GB"/>
              </w:rPr>
              <w:t>0</w:t>
            </w:r>
          </w:p>
        </w:tc>
        <w:tc>
          <w:tcPr>
            <w:tcW w:w="1559" w:type="dxa"/>
            <w:gridSpan w:val="2"/>
            <w:tcBorders>
              <w:top w:val="nil"/>
              <w:left w:val="nil"/>
              <w:bottom w:val="nil"/>
              <w:right w:val="nil"/>
            </w:tcBorders>
            <w:shd w:val="clear" w:color="auto" w:fill="auto"/>
            <w:vAlign w:val="center"/>
            <w:hideMark/>
          </w:tcPr>
          <w:p w14:paraId="76A3C93D" w14:textId="77777777" w:rsidR="000D7061" w:rsidRPr="000D7061" w:rsidRDefault="000D7061" w:rsidP="000D7061">
            <w:pPr>
              <w:jc w:val="right"/>
              <w:rPr>
                <w:rFonts w:eastAsia="Times New Roman" w:cs="Calibri"/>
                <w:color w:val="000000"/>
                <w:sz w:val="16"/>
                <w:szCs w:val="16"/>
                <w:lang w:val="en-GB" w:eastAsia="en-GB"/>
              </w:rPr>
            </w:pPr>
            <w:r w:rsidRPr="000D7061">
              <w:rPr>
                <w:rFonts w:eastAsia="Times New Roman" w:cs="Calibri"/>
                <w:color w:val="000000"/>
                <w:sz w:val="16"/>
                <w:szCs w:val="16"/>
                <w:lang w:val="en-GB" w:eastAsia="en-GB"/>
              </w:rPr>
              <w:t>0</w:t>
            </w:r>
          </w:p>
        </w:tc>
        <w:tc>
          <w:tcPr>
            <w:tcW w:w="1276" w:type="dxa"/>
            <w:gridSpan w:val="2"/>
            <w:tcBorders>
              <w:top w:val="nil"/>
              <w:left w:val="single" w:sz="8" w:space="0" w:color="000000"/>
              <w:bottom w:val="nil"/>
              <w:right w:val="single" w:sz="8" w:space="0" w:color="000000"/>
            </w:tcBorders>
            <w:shd w:val="clear" w:color="auto" w:fill="auto"/>
            <w:vAlign w:val="center"/>
            <w:hideMark/>
          </w:tcPr>
          <w:p w14:paraId="046C16A2"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w:t>
            </w:r>
          </w:p>
        </w:tc>
        <w:tc>
          <w:tcPr>
            <w:tcW w:w="1417" w:type="dxa"/>
            <w:gridSpan w:val="2"/>
            <w:tcBorders>
              <w:top w:val="nil"/>
              <w:left w:val="nil"/>
              <w:bottom w:val="nil"/>
              <w:right w:val="single" w:sz="8" w:space="0" w:color="000000"/>
            </w:tcBorders>
            <w:shd w:val="clear" w:color="auto" w:fill="auto"/>
            <w:vAlign w:val="center"/>
            <w:hideMark/>
          </w:tcPr>
          <w:p w14:paraId="41AD06DD" w14:textId="77777777" w:rsidR="000D7061" w:rsidRPr="000D7061" w:rsidRDefault="000D7061" w:rsidP="000D7061">
            <w:pPr>
              <w:jc w:val="right"/>
              <w:rPr>
                <w:rFonts w:eastAsia="Times New Roman" w:cs="Calibri"/>
                <w:color w:val="000000"/>
                <w:sz w:val="16"/>
                <w:szCs w:val="16"/>
                <w:lang w:val="en-GB" w:eastAsia="en-GB"/>
              </w:rPr>
            </w:pPr>
            <w:r w:rsidRPr="000D7061">
              <w:rPr>
                <w:rFonts w:eastAsia="Times New Roman" w:cs="Calibri"/>
                <w:color w:val="000000"/>
                <w:sz w:val="16"/>
                <w:szCs w:val="16"/>
                <w:lang w:val="en-GB" w:eastAsia="en-GB"/>
              </w:rPr>
              <w:t>0</w:t>
            </w:r>
          </w:p>
        </w:tc>
        <w:tc>
          <w:tcPr>
            <w:tcW w:w="1344" w:type="dxa"/>
            <w:tcBorders>
              <w:top w:val="nil"/>
              <w:left w:val="nil"/>
              <w:bottom w:val="nil"/>
              <w:right w:val="nil"/>
            </w:tcBorders>
            <w:shd w:val="clear" w:color="auto" w:fill="auto"/>
            <w:vAlign w:val="center"/>
            <w:hideMark/>
          </w:tcPr>
          <w:p w14:paraId="25ED271A"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w:t>
            </w:r>
          </w:p>
        </w:tc>
      </w:tr>
      <w:tr w:rsidR="00017F07" w:rsidRPr="000D7061" w14:paraId="3BB4171A" w14:textId="77777777" w:rsidTr="0041394A">
        <w:trPr>
          <w:trHeight w:val="645"/>
          <w:jc w:val="center"/>
        </w:trPr>
        <w:tc>
          <w:tcPr>
            <w:tcW w:w="2543" w:type="dxa"/>
            <w:tcBorders>
              <w:top w:val="nil"/>
              <w:left w:val="nil"/>
              <w:bottom w:val="single" w:sz="8" w:space="0" w:color="auto"/>
              <w:right w:val="nil"/>
            </w:tcBorders>
            <w:shd w:val="clear" w:color="auto" w:fill="auto"/>
            <w:vAlign w:val="center"/>
            <w:hideMark/>
          </w:tcPr>
          <w:p w14:paraId="5DA07C93" w14:textId="77777777" w:rsidR="000D7061" w:rsidRPr="000D7061" w:rsidRDefault="000D7061" w:rsidP="000D7061">
            <w:pPr>
              <w:rPr>
                <w:rFonts w:eastAsia="Times New Roman" w:cs="Calibri"/>
                <w:color w:val="000000"/>
                <w:sz w:val="16"/>
                <w:szCs w:val="16"/>
                <w:lang w:val="en-GB" w:eastAsia="en-GB"/>
              </w:rPr>
            </w:pPr>
            <w:r w:rsidRPr="000D7061">
              <w:rPr>
                <w:rFonts w:eastAsia="Times New Roman" w:cs="Calibri"/>
                <w:color w:val="000000"/>
                <w:sz w:val="16"/>
                <w:szCs w:val="16"/>
                <w:lang w:val="en-GB" w:eastAsia="en-GB"/>
              </w:rPr>
              <w:t>Transfer Chief Constable Reserve to General Fund Balance</w:t>
            </w:r>
          </w:p>
        </w:tc>
        <w:tc>
          <w:tcPr>
            <w:tcW w:w="1655" w:type="dxa"/>
            <w:tcBorders>
              <w:top w:val="nil"/>
              <w:left w:val="single" w:sz="8" w:space="0" w:color="000000"/>
              <w:bottom w:val="single" w:sz="8" w:space="0" w:color="auto"/>
              <w:right w:val="nil"/>
            </w:tcBorders>
            <w:shd w:val="clear" w:color="auto" w:fill="auto"/>
            <w:vAlign w:val="center"/>
            <w:hideMark/>
          </w:tcPr>
          <w:p w14:paraId="70D80CDC" w14:textId="77777777" w:rsidR="000D7061" w:rsidRPr="000D7061" w:rsidRDefault="000D7061" w:rsidP="000D7061">
            <w:pPr>
              <w:jc w:val="right"/>
              <w:rPr>
                <w:rFonts w:eastAsia="Times New Roman" w:cs="Calibri"/>
                <w:color w:val="000000"/>
                <w:sz w:val="16"/>
                <w:szCs w:val="16"/>
                <w:lang w:val="en-GB" w:eastAsia="en-GB"/>
              </w:rPr>
            </w:pPr>
            <w:r w:rsidRPr="000D7061">
              <w:rPr>
                <w:rFonts w:eastAsia="Times New Roman" w:cs="Calibri"/>
                <w:color w:val="000000"/>
                <w:sz w:val="16"/>
                <w:szCs w:val="16"/>
                <w:lang w:val="en-GB" w:eastAsia="en-GB"/>
              </w:rPr>
              <w:t>0</w:t>
            </w:r>
          </w:p>
        </w:tc>
        <w:tc>
          <w:tcPr>
            <w:tcW w:w="1472" w:type="dxa"/>
            <w:gridSpan w:val="2"/>
            <w:tcBorders>
              <w:top w:val="nil"/>
              <w:left w:val="nil"/>
              <w:bottom w:val="single" w:sz="8" w:space="0" w:color="auto"/>
              <w:right w:val="nil"/>
            </w:tcBorders>
            <w:shd w:val="clear" w:color="auto" w:fill="auto"/>
            <w:vAlign w:val="center"/>
            <w:hideMark/>
          </w:tcPr>
          <w:p w14:paraId="2B723E9F" w14:textId="77777777" w:rsidR="000D7061" w:rsidRPr="000D7061" w:rsidRDefault="000D7061" w:rsidP="000D7061">
            <w:pPr>
              <w:jc w:val="right"/>
              <w:rPr>
                <w:rFonts w:eastAsia="Times New Roman" w:cs="Calibri"/>
                <w:color w:val="000000"/>
                <w:sz w:val="16"/>
                <w:szCs w:val="16"/>
                <w:lang w:val="en-GB" w:eastAsia="en-GB"/>
              </w:rPr>
            </w:pPr>
            <w:r w:rsidRPr="000D7061">
              <w:rPr>
                <w:rFonts w:eastAsia="Times New Roman" w:cs="Calibri"/>
                <w:color w:val="000000"/>
                <w:sz w:val="16"/>
                <w:szCs w:val="16"/>
                <w:lang w:val="en-GB" w:eastAsia="en-GB"/>
              </w:rPr>
              <w:t>0</w:t>
            </w:r>
          </w:p>
        </w:tc>
        <w:tc>
          <w:tcPr>
            <w:tcW w:w="1263" w:type="dxa"/>
            <w:tcBorders>
              <w:top w:val="nil"/>
              <w:left w:val="nil"/>
              <w:bottom w:val="single" w:sz="8" w:space="0" w:color="auto"/>
              <w:right w:val="nil"/>
            </w:tcBorders>
            <w:shd w:val="clear" w:color="auto" w:fill="auto"/>
            <w:vAlign w:val="center"/>
            <w:hideMark/>
          </w:tcPr>
          <w:p w14:paraId="58D9266A" w14:textId="77777777" w:rsidR="000D7061" w:rsidRPr="000D7061" w:rsidRDefault="000D7061" w:rsidP="000D7061">
            <w:pPr>
              <w:rPr>
                <w:rFonts w:eastAsia="Times New Roman" w:cs="Calibri"/>
                <w:color w:val="000000"/>
                <w:sz w:val="16"/>
                <w:szCs w:val="16"/>
                <w:lang w:val="en-GB" w:eastAsia="en-GB"/>
              </w:rPr>
            </w:pPr>
            <w:r w:rsidRPr="000D7061">
              <w:rPr>
                <w:rFonts w:eastAsia="Times New Roman" w:cs="Calibri"/>
                <w:color w:val="000000"/>
                <w:sz w:val="16"/>
                <w:szCs w:val="16"/>
                <w:lang w:val="en-GB" w:eastAsia="en-GB"/>
              </w:rPr>
              <w:t> </w:t>
            </w:r>
          </w:p>
        </w:tc>
        <w:tc>
          <w:tcPr>
            <w:tcW w:w="1431" w:type="dxa"/>
            <w:gridSpan w:val="2"/>
            <w:tcBorders>
              <w:top w:val="nil"/>
              <w:left w:val="nil"/>
              <w:bottom w:val="single" w:sz="8" w:space="0" w:color="auto"/>
              <w:right w:val="nil"/>
            </w:tcBorders>
            <w:shd w:val="clear" w:color="auto" w:fill="auto"/>
            <w:vAlign w:val="center"/>
            <w:hideMark/>
          </w:tcPr>
          <w:p w14:paraId="1DA38362" w14:textId="77777777" w:rsidR="000D7061" w:rsidRPr="000D7061" w:rsidRDefault="000D7061" w:rsidP="000D7061">
            <w:pPr>
              <w:rPr>
                <w:rFonts w:eastAsia="Times New Roman" w:cs="Calibri"/>
                <w:color w:val="000000"/>
                <w:sz w:val="2"/>
                <w:szCs w:val="2"/>
                <w:lang w:val="en-GB" w:eastAsia="en-GB"/>
              </w:rPr>
            </w:pPr>
            <w:r w:rsidRPr="000D7061">
              <w:rPr>
                <w:rFonts w:eastAsia="Times New Roman" w:cs="Calibri"/>
                <w:color w:val="000000"/>
                <w:sz w:val="2"/>
                <w:szCs w:val="2"/>
                <w:lang w:val="en-GB" w:eastAsia="en-GB"/>
              </w:rPr>
              <w:t> </w:t>
            </w:r>
          </w:p>
        </w:tc>
        <w:tc>
          <w:tcPr>
            <w:tcW w:w="1559" w:type="dxa"/>
            <w:gridSpan w:val="2"/>
            <w:tcBorders>
              <w:top w:val="nil"/>
              <w:left w:val="nil"/>
              <w:bottom w:val="single" w:sz="8" w:space="0" w:color="auto"/>
              <w:right w:val="single" w:sz="8" w:space="0" w:color="000000"/>
            </w:tcBorders>
            <w:shd w:val="clear" w:color="auto" w:fill="auto"/>
            <w:vAlign w:val="center"/>
            <w:hideMark/>
          </w:tcPr>
          <w:p w14:paraId="24F3F608" w14:textId="77777777" w:rsidR="000D7061" w:rsidRPr="000D7061" w:rsidRDefault="000D7061" w:rsidP="000D7061">
            <w:pPr>
              <w:rPr>
                <w:rFonts w:eastAsia="Times New Roman" w:cs="Calibri"/>
                <w:color w:val="000000"/>
                <w:sz w:val="2"/>
                <w:szCs w:val="2"/>
                <w:lang w:val="en-GB" w:eastAsia="en-GB"/>
              </w:rPr>
            </w:pPr>
            <w:r w:rsidRPr="000D7061">
              <w:rPr>
                <w:rFonts w:eastAsia="Times New Roman" w:cs="Calibri"/>
                <w:color w:val="000000"/>
                <w:sz w:val="2"/>
                <w:szCs w:val="2"/>
                <w:lang w:val="en-GB" w:eastAsia="en-GB"/>
              </w:rPr>
              <w:t> </w:t>
            </w:r>
          </w:p>
        </w:tc>
        <w:tc>
          <w:tcPr>
            <w:tcW w:w="1276" w:type="dxa"/>
            <w:gridSpan w:val="2"/>
            <w:tcBorders>
              <w:top w:val="nil"/>
              <w:left w:val="nil"/>
              <w:bottom w:val="single" w:sz="8" w:space="0" w:color="auto"/>
              <w:right w:val="single" w:sz="8" w:space="0" w:color="000000"/>
            </w:tcBorders>
            <w:shd w:val="clear" w:color="auto" w:fill="auto"/>
            <w:vAlign w:val="center"/>
            <w:hideMark/>
          </w:tcPr>
          <w:p w14:paraId="3E3269EC"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w:t>
            </w:r>
          </w:p>
        </w:tc>
        <w:tc>
          <w:tcPr>
            <w:tcW w:w="1417" w:type="dxa"/>
            <w:gridSpan w:val="2"/>
            <w:tcBorders>
              <w:top w:val="nil"/>
              <w:left w:val="nil"/>
              <w:bottom w:val="single" w:sz="8" w:space="0" w:color="auto"/>
              <w:right w:val="single" w:sz="8" w:space="0" w:color="000000"/>
            </w:tcBorders>
            <w:shd w:val="clear" w:color="auto" w:fill="auto"/>
            <w:vAlign w:val="center"/>
            <w:hideMark/>
          </w:tcPr>
          <w:p w14:paraId="2F16547C" w14:textId="77777777" w:rsidR="000D7061" w:rsidRPr="000D7061" w:rsidRDefault="000D7061" w:rsidP="000D7061">
            <w:pPr>
              <w:jc w:val="right"/>
              <w:rPr>
                <w:rFonts w:eastAsia="Times New Roman" w:cs="Calibri"/>
                <w:color w:val="000000"/>
                <w:sz w:val="16"/>
                <w:szCs w:val="16"/>
                <w:lang w:val="en-GB" w:eastAsia="en-GB"/>
              </w:rPr>
            </w:pPr>
            <w:r w:rsidRPr="000D7061">
              <w:rPr>
                <w:rFonts w:eastAsia="Times New Roman" w:cs="Calibri"/>
                <w:color w:val="000000"/>
                <w:sz w:val="16"/>
                <w:szCs w:val="16"/>
                <w:lang w:val="en-GB" w:eastAsia="en-GB"/>
              </w:rPr>
              <w:t>0</w:t>
            </w:r>
          </w:p>
        </w:tc>
        <w:tc>
          <w:tcPr>
            <w:tcW w:w="1344" w:type="dxa"/>
            <w:tcBorders>
              <w:top w:val="nil"/>
              <w:left w:val="nil"/>
              <w:bottom w:val="single" w:sz="8" w:space="0" w:color="auto"/>
              <w:right w:val="nil"/>
            </w:tcBorders>
            <w:shd w:val="clear" w:color="auto" w:fill="auto"/>
            <w:vAlign w:val="center"/>
            <w:hideMark/>
          </w:tcPr>
          <w:p w14:paraId="06B3D30C"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w:t>
            </w:r>
          </w:p>
        </w:tc>
      </w:tr>
      <w:tr w:rsidR="00017F07" w:rsidRPr="000D7061" w14:paraId="3B583731" w14:textId="77777777" w:rsidTr="0041394A">
        <w:trPr>
          <w:trHeight w:val="435"/>
          <w:jc w:val="center"/>
        </w:trPr>
        <w:tc>
          <w:tcPr>
            <w:tcW w:w="2543" w:type="dxa"/>
            <w:tcBorders>
              <w:top w:val="nil"/>
              <w:left w:val="nil"/>
              <w:bottom w:val="single" w:sz="8" w:space="0" w:color="000000"/>
              <w:right w:val="nil"/>
            </w:tcBorders>
            <w:shd w:val="clear" w:color="auto" w:fill="auto"/>
            <w:vAlign w:val="center"/>
            <w:hideMark/>
          </w:tcPr>
          <w:p w14:paraId="06E70C94" w14:textId="77777777" w:rsidR="000D7061" w:rsidRPr="000D7061" w:rsidRDefault="000D7061" w:rsidP="000D7061">
            <w:pPr>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Increase or Decrease in 2020/21</w:t>
            </w:r>
          </w:p>
        </w:tc>
        <w:tc>
          <w:tcPr>
            <w:tcW w:w="1655" w:type="dxa"/>
            <w:tcBorders>
              <w:top w:val="nil"/>
              <w:left w:val="single" w:sz="8" w:space="0" w:color="000000"/>
              <w:bottom w:val="single" w:sz="8" w:space="0" w:color="000000"/>
              <w:right w:val="nil"/>
            </w:tcBorders>
            <w:shd w:val="clear" w:color="auto" w:fill="auto"/>
            <w:vAlign w:val="center"/>
            <w:hideMark/>
          </w:tcPr>
          <w:p w14:paraId="68DA2BDB" w14:textId="147E0052" w:rsidR="000D7061" w:rsidRPr="000D7061" w:rsidRDefault="003C732D">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w:t>
            </w:r>
            <w:r w:rsidR="00A73A4F">
              <w:rPr>
                <w:rFonts w:eastAsia="Times New Roman" w:cs="Calibri"/>
                <w:b/>
                <w:bCs/>
                <w:color w:val="000000"/>
                <w:sz w:val="16"/>
                <w:szCs w:val="16"/>
                <w:lang w:val="en-GB" w:eastAsia="en-GB"/>
              </w:rPr>
              <w:t>207</w:t>
            </w:r>
            <w:r w:rsidR="000D7061" w:rsidRPr="000D7061">
              <w:rPr>
                <w:rFonts w:eastAsia="Times New Roman" w:cs="Calibri"/>
                <w:b/>
                <w:bCs/>
                <w:color w:val="000000"/>
                <w:sz w:val="16"/>
                <w:szCs w:val="16"/>
                <w:lang w:val="en-GB" w:eastAsia="en-GB"/>
              </w:rPr>
              <w:t>)</w:t>
            </w:r>
          </w:p>
        </w:tc>
        <w:tc>
          <w:tcPr>
            <w:tcW w:w="1472" w:type="dxa"/>
            <w:gridSpan w:val="2"/>
            <w:tcBorders>
              <w:top w:val="nil"/>
              <w:left w:val="nil"/>
              <w:bottom w:val="single" w:sz="8" w:space="0" w:color="000000"/>
              <w:right w:val="nil"/>
            </w:tcBorders>
            <w:shd w:val="clear" w:color="auto" w:fill="auto"/>
            <w:vAlign w:val="center"/>
            <w:hideMark/>
          </w:tcPr>
          <w:p w14:paraId="14D16334" w14:textId="464AC401" w:rsidR="000D7061" w:rsidRPr="000D7061" w:rsidRDefault="003C732D">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(5</w:t>
            </w:r>
            <w:r w:rsidR="00D87588">
              <w:rPr>
                <w:rFonts w:eastAsia="Times New Roman" w:cs="Calibri"/>
                <w:b/>
                <w:bCs/>
                <w:color w:val="000000"/>
                <w:sz w:val="16"/>
                <w:szCs w:val="16"/>
                <w:lang w:val="en-GB" w:eastAsia="en-GB"/>
              </w:rPr>
              <w:t>6</w:t>
            </w:r>
            <w:r>
              <w:rPr>
                <w:rFonts w:eastAsia="Times New Roman" w:cs="Calibri"/>
                <w:b/>
                <w:bCs/>
                <w:color w:val="000000"/>
                <w:sz w:val="16"/>
                <w:szCs w:val="16"/>
                <w:lang w:val="en-GB" w:eastAsia="en-GB"/>
              </w:rPr>
              <w:t>)</w:t>
            </w:r>
          </w:p>
        </w:tc>
        <w:tc>
          <w:tcPr>
            <w:tcW w:w="1263" w:type="dxa"/>
            <w:tcBorders>
              <w:top w:val="nil"/>
              <w:left w:val="nil"/>
              <w:bottom w:val="single" w:sz="8" w:space="0" w:color="000000"/>
              <w:right w:val="nil"/>
            </w:tcBorders>
            <w:shd w:val="clear" w:color="auto" w:fill="auto"/>
            <w:vAlign w:val="center"/>
            <w:hideMark/>
          </w:tcPr>
          <w:p w14:paraId="3FD771EC" w14:textId="7297633E" w:rsidR="000D7061" w:rsidRPr="000D7061" w:rsidRDefault="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w:t>
            </w:r>
            <w:r w:rsidR="00017F07">
              <w:rPr>
                <w:rFonts w:eastAsia="Times New Roman" w:cs="Calibri"/>
                <w:b/>
                <w:bCs/>
                <w:color w:val="000000"/>
                <w:sz w:val="16"/>
                <w:szCs w:val="16"/>
                <w:lang w:val="en-GB" w:eastAsia="en-GB"/>
              </w:rPr>
              <w:t>263</w:t>
            </w:r>
            <w:r w:rsidRPr="000D7061">
              <w:rPr>
                <w:rFonts w:eastAsia="Times New Roman" w:cs="Calibri"/>
                <w:b/>
                <w:bCs/>
                <w:color w:val="000000"/>
                <w:sz w:val="16"/>
                <w:szCs w:val="16"/>
                <w:lang w:val="en-GB" w:eastAsia="en-GB"/>
              </w:rPr>
              <w:t>)</w:t>
            </w:r>
          </w:p>
        </w:tc>
        <w:tc>
          <w:tcPr>
            <w:tcW w:w="1431" w:type="dxa"/>
            <w:gridSpan w:val="2"/>
            <w:tcBorders>
              <w:top w:val="nil"/>
              <w:left w:val="nil"/>
              <w:bottom w:val="single" w:sz="8" w:space="0" w:color="000000"/>
              <w:right w:val="nil"/>
            </w:tcBorders>
            <w:shd w:val="clear" w:color="auto" w:fill="auto"/>
            <w:vAlign w:val="center"/>
            <w:hideMark/>
          </w:tcPr>
          <w:p w14:paraId="473A2EC5"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197</w:t>
            </w:r>
          </w:p>
        </w:tc>
        <w:tc>
          <w:tcPr>
            <w:tcW w:w="1559" w:type="dxa"/>
            <w:gridSpan w:val="2"/>
            <w:tcBorders>
              <w:top w:val="nil"/>
              <w:left w:val="nil"/>
              <w:bottom w:val="single" w:sz="8" w:space="0" w:color="000000"/>
              <w:right w:val="nil"/>
            </w:tcBorders>
            <w:shd w:val="clear" w:color="auto" w:fill="auto"/>
            <w:vAlign w:val="center"/>
            <w:hideMark/>
          </w:tcPr>
          <w:p w14:paraId="1E2112B6" w14:textId="34C742A0"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1,</w:t>
            </w:r>
            <w:r w:rsidR="00D939E0">
              <w:rPr>
                <w:rFonts w:eastAsia="Times New Roman" w:cs="Calibri"/>
                <w:b/>
                <w:bCs/>
                <w:color w:val="000000"/>
                <w:sz w:val="16"/>
                <w:szCs w:val="16"/>
                <w:lang w:val="en-GB" w:eastAsia="en-GB"/>
              </w:rPr>
              <w:t>083</w:t>
            </w:r>
          </w:p>
        </w:tc>
        <w:tc>
          <w:tcPr>
            <w:tcW w:w="1276" w:type="dxa"/>
            <w:gridSpan w:val="2"/>
            <w:tcBorders>
              <w:top w:val="nil"/>
              <w:left w:val="single" w:sz="8" w:space="0" w:color="000000"/>
              <w:bottom w:val="single" w:sz="8" w:space="0" w:color="000000"/>
              <w:right w:val="single" w:sz="8" w:space="0" w:color="000000"/>
            </w:tcBorders>
            <w:shd w:val="clear" w:color="auto" w:fill="auto"/>
            <w:vAlign w:val="center"/>
            <w:hideMark/>
          </w:tcPr>
          <w:p w14:paraId="75D78D1B" w14:textId="3989362E" w:rsidR="000D7061" w:rsidRPr="000D7061" w:rsidRDefault="00017F07">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1</w:t>
            </w:r>
            <w:r w:rsidR="000D7061" w:rsidRPr="000D7061">
              <w:rPr>
                <w:rFonts w:eastAsia="Times New Roman" w:cs="Calibri"/>
                <w:b/>
                <w:bCs/>
                <w:color w:val="000000"/>
                <w:sz w:val="16"/>
                <w:szCs w:val="16"/>
                <w:lang w:val="en-GB" w:eastAsia="en-GB"/>
              </w:rPr>
              <w:t>,</w:t>
            </w:r>
            <w:r>
              <w:rPr>
                <w:rFonts w:eastAsia="Times New Roman" w:cs="Calibri"/>
                <w:b/>
                <w:bCs/>
                <w:color w:val="000000"/>
                <w:sz w:val="16"/>
                <w:szCs w:val="16"/>
                <w:lang w:val="en-GB" w:eastAsia="en-GB"/>
              </w:rPr>
              <w:t>017</w:t>
            </w:r>
          </w:p>
        </w:tc>
        <w:tc>
          <w:tcPr>
            <w:tcW w:w="1417" w:type="dxa"/>
            <w:gridSpan w:val="2"/>
            <w:tcBorders>
              <w:top w:val="nil"/>
              <w:left w:val="nil"/>
              <w:bottom w:val="single" w:sz="8" w:space="0" w:color="000000"/>
              <w:right w:val="nil"/>
            </w:tcBorders>
            <w:shd w:val="clear" w:color="auto" w:fill="auto"/>
            <w:vAlign w:val="center"/>
            <w:hideMark/>
          </w:tcPr>
          <w:p w14:paraId="694D3F77" w14:textId="23B0D82C"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1</w:t>
            </w:r>
            <w:r w:rsidR="00D939E0">
              <w:rPr>
                <w:rFonts w:eastAsia="Times New Roman" w:cs="Calibri"/>
                <w:b/>
                <w:bCs/>
                <w:color w:val="000000"/>
                <w:sz w:val="16"/>
                <w:szCs w:val="16"/>
                <w:lang w:val="en-GB" w:eastAsia="en-GB"/>
              </w:rPr>
              <w:t>50</w:t>
            </w:r>
            <w:r w:rsidRPr="000D7061">
              <w:rPr>
                <w:rFonts w:eastAsia="Times New Roman" w:cs="Calibri"/>
                <w:b/>
                <w:bCs/>
                <w:color w:val="000000"/>
                <w:sz w:val="16"/>
                <w:szCs w:val="16"/>
                <w:lang w:val="en-GB" w:eastAsia="en-GB"/>
              </w:rPr>
              <w:t>,</w:t>
            </w:r>
            <w:r w:rsidR="00D939E0">
              <w:rPr>
                <w:rFonts w:eastAsia="Times New Roman" w:cs="Calibri"/>
                <w:b/>
                <w:bCs/>
                <w:color w:val="000000"/>
                <w:sz w:val="16"/>
                <w:szCs w:val="16"/>
                <w:lang w:val="en-GB" w:eastAsia="en-GB"/>
              </w:rPr>
              <w:t>009</w:t>
            </w:r>
          </w:p>
        </w:tc>
        <w:tc>
          <w:tcPr>
            <w:tcW w:w="1344" w:type="dxa"/>
            <w:tcBorders>
              <w:top w:val="nil"/>
              <w:left w:val="single" w:sz="8" w:space="0" w:color="000000"/>
              <w:bottom w:val="single" w:sz="8" w:space="0" w:color="000000"/>
              <w:right w:val="nil"/>
            </w:tcBorders>
            <w:shd w:val="clear" w:color="auto" w:fill="auto"/>
            <w:vAlign w:val="center"/>
            <w:hideMark/>
          </w:tcPr>
          <w:p w14:paraId="53889F68" w14:textId="46F6AA0C" w:rsidR="000D7061" w:rsidRPr="000D7061" w:rsidRDefault="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1</w:t>
            </w:r>
            <w:r w:rsidR="00017F07">
              <w:rPr>
                <w:rFonts w:eastAsia="Times New Roman" w:cs="Calibri"/>
                <w:b/>
                <w:bCs/>
                <w:color w:val="000000"/>
                <w:sz w:val="16"/>
                <w:szCs w:val="16"/>
                <w:lang w:val="en-GB" w:eastAsia="en-GB"/>
              </w:rPr>
              <w:t>51,026</w:t>
            </w:r>
          </w:p>
        </w:tc>
      </w:tr>
      <w:tr w:rsidR="00017F07" w:rsidRPr="000D7061" w14:paraId="68C79A51" w14:textId="77777777" w:rsidTr="0041394A">
        <w:trPr>
          <w:trHeight w:val="315"/>
          <w:jc w:val="center"/>
        </w:trPr>
        <w:tc>
          <w:tcPr>
            <w:tcW w:w="2543" w:type="dxa"/>
            <w:tcBorders>
              <w:top w:val="nil"/>
              <w:left w:val="nil"/>
              <w:bottom w:val="single" w:sz="12" w:space="0" w:color="000000"/>
              <w:right w:val="nil"/>
            </w:tcBorders>
            <w:shd w:val="clear" w:color="auto" w:fill="auto"/>
            <w:vAlign w:val="center"/>
            <w:hideMark/>
          </w:tcPr>
          <w:p w14:paraId="424A278B" w14:textId="77777777" w:rsidR="000D7061" w:rsidRPr="000D7061" w:rsidRDefault="000D7061" w:rsidP="000D7061">
            <w:pPr>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Balance at 31 March 2021</w:t>
            </w:r>
          </w:p>
        </w:tc>
        <w:tc>
          <w:tcPr>
            <w:tcW w:w="1655" w:type="dxa"/>
            <w:tcBorders>
              <w:top w:val="nil"/>
              <w:left w:val="single" w:sz="8" w:space="0" w:color="000000"/>
              <w:bottom w:val="single" w:sz="12" w:space="0" w:color="000000"/>
              <w:right w:val="nil"/>
            </w:tcBorders>
            <w:shd w:val="clear" w:color="auto" w:fill="auto"/>
            <w:vAlign w:val="center"/>
            <w:hideMark/>
          </w:tcPr>
          <w:p w14:paraId="31DBEA0C" w14:textId="4EE3C652" w:rsidR="000D7061" w:rsidRPr="000D7061" w:rsidRDefault="003C732D">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w:t>
            </w:r>
            <w:r w:rsidR="00A73A4F">
              <w:rPr>
                <w:rFonts w:eastAsia="Times New Roman" w:cs="Calibri"/>
                <w:b/>
                <w:bCs/>
                <w:color w:val="000000"/>
                <w:sz w:val="16"/>
                <w:szCs w:val="16"/>
                <w:lang w:val="en-GB" w:eastAsia="en-GB"/>
              </w:rPr>
              <w:t>8,327</w:t>
            </w:r>
            <w:r w:rsidR="000D7061" w:rsidRPr="000D7061">
              <w:rPr>
                <w:rFonts w:eastAsia="Times New Roman" w:cs="Calibri"/>
                <w:b/>
                <w:bCs/>
                <w:color w:val="000000"/>
                <w:sz w:val="16"/>
                <w:szCs w:val="16"/>
                <w:lang w:val="en-GB" w:eastAsia="en-GB"/>
              </w:rPr>
              <w:t>)</w:t>
            </w:r>
          </w:p>
        </w:tc>
        <w:tc>
          <w:tcPr>
            <w:tcW w:w="1472" w:type="dxa"/>
            <w:gridSpan w:val="2"/>
            <w:tcBorders>
              <w:top w:val="nil"/>
              <w:left w:val="nil"/>
              <w:bottom w:val="single" w:sz="12" w:space="0" w:color="000000"/>
              <w:right w:val="nil"/>
            </w:tcBorders>
            <w:shd w:val="clear" w:color="auto" w:fill="auto"/>
            <w:vAlign w:val="center"/>
            <w:hideMark/>
          </w:tcPr>
          <w:p w14:paraId="5CAE8D13" w14:textId="019FC91F" w:rsidR="000D7061" w:rsidRPr="000D7061" w:rsidRDefault="003C732D">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(11,43</w:t>
            </w:r>
            <w:r w:rsidR="00D87588">
              <w:rPr>
                <w:rFonts w:eastAsia="Times New Roman" w:cs="Calibri"/>
                <w:b/>
                <w:bCs/>
                <w:color w:val="000000"/>
                <w:sz w:val="16"/>
                <w:szCs w:val="16"/>
                <w:lang w:val="en-GB" w:eastAsia="en-GB"/>
              </w:rPr>
              <w:t>7</w:t>
            </w:r>
            <w:r w:rsidR="000D7061" w:rsidRPr="000D7061">
              <w:rPr>
                <w:rFonts w:eastAsia="Times New Roman" w:cs="Calibri"/>
                <w:b/>
                <w:bCs/>
                <w:color w:val="000000"/>
                <w:sz w:val="16"/>
                <w:szCs w:val="16"/>
                <w:lang w:val="en-GB" w:eastAsia="en-GB"/>
              </w:rPr>
              <w:t>)</w:t>
            </w:r>
          </w:p>
        </w:tc>
        <w:tc>
          <w:tcPr>
            <w:tcW w:w="1263" w:type="dxa"/>
            <w:tcBorders>
              <w:top w:val="nil"/>
              <w:left w:val="nil"/>
              <w:bottom w:val="single" w:sz="12" w:space="0" w:color="000000"/>
              <w:right w:val="nil"/>
            </w:tcBorders>
            <w:shd w:val="clear" w:color="auto" w:fill="auto"/>
            <w:vAlign w:val="center"/>
            <w:hideMark/>
          </w:tcPr>
          <w:p w14:paraId="2F66ED04" w14:textId="1DB5BE31" w:rsidR="000D7061" w:rsidRPr="000D7061" w:rsidRDefault="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w:t>
            </w:r>
            <w:r w:rsidR="00017F07">
              <w:rPr>
                <w:rFonts w:eastAsia="Times New Roman" w:cs="Calibri"/>
                <w:b/>
                <w:bCs/>
                <w:color w:val="000000"/>
                <w:sz w:val="16"/>
                <w:szCs w:val="16"/>
                <w:lang w:val="en-GB" w:eastAsia="en-GB"/>
              </w:rPr>
              <w:t>19,764</w:t>
            </w:r>
            <w:r w:rsidRPr="000D7061">
              <w:rPr>
                <w:rFonts w:eastAsia="Times New Roman" w:cs="Calibri"/>
                <w:b/>
                <w:bCs/>
                <w:color w:val="000000"/>
                <w:sz w:val="16"/>
                <w:szCs w:val="16"/>
                <w:lang w:val="en-GB" w:eastAsia="en-GB"/>
              </w:rPr>
              <w:t>)</w:t>
            </w:r>
          </w:p>
        </w:tc>
        <w:tc>
          <w:tcPr>
            <w:tcW w:w="1431" w:type="dxa"/>
            <w:gridSpan w:val="2"/>
            <w:tcBorders>
              <w:top w:val="nil"/>
              <w:left w:val="nil"/>
              <w:bottom w:val="single" w:sz="12" w:space="0" w:color="000000"/>
              <w:right w:val="nil"/>
            </w:tcBorders>
            <w:shd w:val="clear" w:color="auto" w:fill="auto"/>
            <w:vAlign w:val="center"/>
            <w:hideMark/>
          </w:tcPr>
          <w:p w14:paraId="1A9F8780" w14:textId="77777777"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0</w:t>
            </w:r>
          </w:p>
        </w:tc>
        <w:tc>
          <w:tcPr>
            <w:tcW w:w="1559" w:type="dxa"/>
            <w:gridSpan w:val="2"/>
            <w:tcBorders>
              <w:top w:val="nil"/>
              <w:left w:val="nil"/>
              <w:bottom w:val="single" w:sz="12" w:space="0" w:color="000000"/>
              <w:right w:val="nil"/>
            </w:tcBorders>
            <w:shd w:val="clear" w:color="auto" w:fill="auto"/>
            <w:vAlign w:val="center"/>
            <w:hideMark/>
          </w:tcPr>
          <w:p w14:paraId="751DF331" w14:textId="604E2F79" w:rsidR="000D7061" w:rsidRPr="000D7061" w:rsidRDefault="000D7061" w:rsidP="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(1,</w:t>
            </w:r>
            <w:r w:rsidR="00D939E0">
              <w:rPr>
                <w:rFonts w:eastAsia="Times New Roman" w:cs="Calibri"/>
                <w:b/>
                <w:bCs/>
                <w:color w:val="000000"/>
                <w:sz w:val="16"/>
                <w:szCs w:val="16"/>
                <w:lang w:val="en-GB" w:eastAsia="en-GB"/>
              </w:rPr>
              <w:t>863</w:t>
            </w:r>
            <w:r w:rsidRPr="000D7061">
              <w:rPr>
                <w:rFonts w:eastAsia="Times New Roman" w:cs="Calibri"/>
                <w:b/>
                <w:bCs/>
                <w:color w:val="000000"/>
                <w:sz w:val="16"/>
                <w:szCs w:val="16"/>
                <w:lang w:val="en-GB" w:eastAsia="en-GB"/>
              </w:rPr>
              <w:t>)</w:t>
            </w:r>
          </w:p>
        </w:tc>
        <w:tc>
          <w:tcPr>
            <w:tcW w:w="1276" w:type="dxa"/>
            <w:gridSpan w:val="2"/>
            <w:tcBorders>
              <w:top w:val="nil"/>
              <w:left w:val="single" w:sz="8" w:space="0" w:color="000000"/>
              <w:bottom w:val="single" w:sz="12" w:space="0" w:color="000000"/>
              <w:right w:val="single" w:sz="8" w:space="0" w:color="000000"/>
            </w:tcBorders>
            <w:shd w:val="clear" w:color="auto" w:fill="auto"/>
            <w:vAlign w:val="center"/>
            <w:hideMark/>
          </w:tcPr>
          <w:p w14:paraId="190799C3" w14:textId="18924AFB" w:rsidR="000D7061" w:rsidRPr="000D7061" w:rsidRDefault="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w:t>
            </w:r>
            <w:r w:rsidR="00017F07">
              <w:rPr>
                <w:rFonts w:eastAsia="Times New Roman" w:cs="Calibri"/>
                <w:b/>
                <w:bCs/>
                <w:color w:val="000000"/>
                <w:sz w:val="16"/>
                <w:szCs w:val="16"/>
                <w:lang w:val="en-GB" w:eastAsia="en-GB"/>
              </w:rPr>
              <w:t>21,627</w:t>
            </w:r>
            <w:r w:rsidRPr="000D7061">
              <w:rPr>
                <w:rFonts w:eastAsia="Times New Roman" w:cs="Calibri"/>
                <w:b/>
                <w:bCs/>
                <w:color w:val="000000"/>
                <w:sz w:val="16"/>
                <w:szCs w:val="16"/>
                <w:lang w:val="en-GB" w:eastAsia="en-GB"/>
              </w:rPr>
              <w:t>)</w:t>
            </w:r>
          </w:p>
        </w:tc>
        <w:tc>
          <w:tcPr>
            <w:tcW w:w="1417" w:type="dxa"/>
            <w:gridSpan w:val="2"/>
            <w:tcBorders>
              <w:top w:val="nil"/>
              <w:left w:val="nil"/>
              <w:bottom w:val="single" w:sz="12" w:space="0" w:color="000000"/>
              <w:right w:val="nil"/>
            </w:tcBorders>
            <w:shd w:val="clear" w:color="auto" w:fill="auto"/>
            <w:vAlign w:val="center"/>
            <w:hideMark/>
          </w:tcPr>
          <w:p w14:paraId="53A28429" w14:textId="756C7355" w:rsidR="000D7061" w:rsidRPr="000D7061" w:rsidRDefault="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2,06</w:t>
            </w:r>
            <w:r w:rsidR="00D939E0">
              <w:rPr>
                <w:rFonts w:eastAsia="Times New Roman" w:cs="Calibri"/>
                <w:b/>
                <w:bCs/>
                <w:color w:val="000000"/>
                <w:sz w:val="16"/>
                <w:szCs w:val="16"/>
                <w:lang w:val="en-GB" w:eastAsia="en-GB"/>
              </w:rPr>
              <w:t>9</w:t>
            </w:r>
            <w:r w:rsidRPr="000D7061">
              <w:rPr>
                <w:rFonts w:eastAsia="Times New Roman" w:cs="Calibri"/>
                <w:b/>
                <w:bCs/>
                <w:color w:val="000000"/>
                <w:sz w:val="16"/>
                <w:szCs w:val="16"/>
                <w:lang w:val="en-GB" w:eastAsia="en-GB"/>
              </w:rPr>
              <w:t>,</w:t>
            </w:r>
            <w:r w:rsidR="00D939E0">
              <w:rPr>
                <w:rFonts w:eastAsia="Times New Roman" w:cs="Calibri"/>
                <w:b/>
                <w:bCs/>
                <w:color w:val="000000"/>
                <w:sz w:val="16"/>
                <w:szCs w:val="16"/>
                <w:lang w:val="en-GB" w:eastAsia="en-GB"/>
              </w:rPr>
              <w:t>441</w:t>
            </w:r>
          </w:p>
        </w:tc>
        <w:tc>
          <w:tcPr>
            <w:tcW w:w="1344" w:type="dxa"/>
            <w:tcBorders>
              <w:top w:val="nil"/>
              <w:left w:val="single" w:sz="8" w:space="0" w:color="000000"/>
              <w:bottom w:val="single" w:sz="12" w:space="0" w:color="000000"/>
              <w:right w:val="nil"/>
            </w:tcBorders>
            <w:shd w:val="clear" w:color="auto" w:fill="auto"/>
            <w:vAlign w:val="center"/>
            <w:hideMark/>
          </w:tcPr>
          <w:p w14:paraId="1CB50D30" w14:textId="143C85BB" w:rsidR="000D7061" w:rsidRPr="000D7061" w:rsidRDefault="000D7061">
            <w:pPr>
              <w:jc w:val="right"/>
              <w:rPr>
                <w:rFonts w:eastAsia="Times New Roman" w:cs="Calibri"/>
                <w:b/>
                <w:bCs/>
                <w:color w:val="000000"/>
                <w:sz w:val="16"/>
                <w:szCs w:val="16"/>
                <w:lang w:val="en-GB" w:eastAsia="en-GB"/>
              </w:rPr>
            </w:pPr>
            <w:r w:rsidRPr="000D7061">
              <w:rPr>
                <w:rFonts w:eastAsia="Times New Roman" w:cs="Calibri"/>
                <w:b/>
                <w:bCs/>
                <w:color w:val="000000"/>
                <w:sz w:val="16"/>
                <w:szCs w:val="16"/>
                <w:lang w:val="en-GB" w:eastAsia="en-GB"/>
              </w:rPr>
              <w:t>2,0</w:t>
            </w:r>
            <w:r w:rsidR="00017F07">
              <w:rPr>
                <w:rFonts w:eastAsia="Times New Roman" w:cs="Calibri"/>
                <w:b/>
                <w:bCs/>
                <w:color w:val="000000"/>
                <w:sz w:val="16"/>
                <w:szCs w:val="16"/>
                <w:lang w:val="en-GB" w:eastAsia="en-GB"/>
              </w:rPr>
              <w:t>47,814</w:t>
            </w:r>
          </w:p>
        </w:tc>
      </w:tr>
    </w:tbl>
    <w:p w14:paraId="4C77F1E3" w14:textId="77777777" w:rsidR="000D7061" w:rsidRDefault="000D7061" w:rsidP="000D6EF8">
      <w:pPr>
        <w:rPr>
          <w:highlight w:val="yellow"/>
          <w:lang w:val="pt-BR"/>
        </w:rPr>
      </w:pPr>
    </w:p>
    <w:p w14:paraId="308770DA" w14:textId="77777777" w:rsidR="000D7061" w:rsidRDefault="000D7061" w:rsidP="000D6EF8">
      <w:pPr>
        <w:rPr>
          <w:highlight w:val="yellow"/>
          <w:lang w:val="pt-BR"/>
        </w:rPr>
      </w:pPr>
    </w:p>
    <w:p w14:paraId="57011770" w14:textId="77777777" w:rsidR="000D7061" w:rsidRDefault="000D7061" w:rsidP="000D6EF8">
      <w:pPr>
        <w:rPr>
          <w:highlight w:val="yellow"/>
          <w:lang w:val="pt-BR"/>
        </w:rPr>
      </w:pPr>
    </w:p>
    <w:tbl>
      <w:tblPr>
        <w:tblW w:w="0" w:type="auto"/>
        <w:jc w:val="center"/>
        <w:tblLayout w:type="fixed"/>
        <w:tblLook w:val="04A0" w:firstRow="1" w:lastRow="0" w:firstColumn="1" w:lastColumn="0" w:noHBand="0" w:noVBand="1"/>
      </w:tblPr>
      <w:tblGrid>
        <w:gridCol w:w="2556"/>
        <w:gridCol w:w="1096"/>
        <w:gridCol w:w="1267"/>
        <w:gridCol w:w="1191"/>
        <w:gridCol w:w="1348"/>
        <w:gridCol w:w="1396"/>
        <w:gridCol w:w="1096"/>
        <w:gridCol w:w="1191"/>
        <w:gridCol w:w="1191"/>
      </w:tblGrid>
      <w:tr w:rsidR="00F45246" w:rsidRPr="003516A4" w14:paraId="167656E7" w14:textId="77777777" w:rsidTr="005503D2">
        <w:trPr>
          <w:trHeight w:hRule="exact" w:val="402"/>
          <w:jc w:val="center"/>
        </w:trPr>
        <w:tc>
          <w:tcPr>
            <w:tcW w:w="2556" w:type="dxa"/>
            <w:shd w:val="clear" w:color="auto" w:fill="auto"/>
            <w:tcMar>
              <w:top w:w="20" w:type="dxa"/>
              <w:left w:w="20" w:type="dxa"/>
              <w:bottom w:w="20" w:type="dxa"/>
              <w:right w:w="20" w:type="dxa"/>
            </w:tcMar>
            <w:vAlign w:val="center"/>
          </w:tcPr>
          <w:p w14:paraId="5FECFF06" w14:textId="77777777" w:rsidR="00F45246" w:rsidRPr="003516A4" w:rsidRDefault="00F45246" w:rsidP="00F45246">
            <w:pPr>
              <w:pStyle w:val="T1TableStyle"/>
              <w:jc w:val="center"/>
              <w:rPr>
                <w:rFonts w:ascii="Calibri" w:eastAsia="Calibri" w:hAnsi="Calibri" w:cs="Calibri"/>
                <w:color w:val="000000"/>
                <w:sz w:val="2"/>
                <w:highlight w:val="yellow"/>
                <w:lang w:val="en-GB"/>
              </w:rPr>
            </w:pPr>
          </w:p>
        </w:tc>
        <w:tc>
          <w:tcPr>
            <w:tcW w:w="1096" w:type="dxa"/>
            <w:shd w:val="clear" w:color="auto" w:fill="auto"/>
            <w:tcMar>
              <w:top w:w="20" w:type="dxa"/>
              <w:left w:w="20" w:type="dxa"/>
              <w:bottom w:w="20" w:type="dxa"/>
              <w:right w:w="20" w:type="dxa"/>
            </w:tcMar>
            <w:vAlign w:val="center"/>
          </w:tcPr>
          <w:p w14:paraId="22007321" w14:textId="77777777" w:rsidR="00F45246" w:rsidRPr="003516A4" w:rsidRDefault="00F45246" w:rsidP="00F45246">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c>
          <w:tcPr>
            <w:tcW w:w="1267" w:type="dxa"/>
            <w:shd w:val="clear" w:color="auto" w:fill="auto"/>
            <w:tcMar>
              <w:top w:w="20" w:type="dxa"/>
              <w:left w:w="20" w:type="dxa"/>
              <w:bottom w:w="20" w:type="dxa"/>
              <w:right w:w="20" w:type="dxa"/>
            </w:tcMar>
            <w:vAlign w:val="center"/>
          </w:tcPr>
          <w:p w14:paraId="064D8CB0" w14:textId="77777777" w:rsidR="00F45246" w:rsidRPr="003516A4" w:rsidRDefault="00F45246" w:rsidP="00F45246">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c>
          <w:tcPr>
            <w:tcW w:w="1191" w:type="dxa"/>
            <w:shd w:val="clear" w:color="auto" w:fill="auto"/>
            <w:tcMar>
              <w:top w:w="20" w:type="dxa"/>
              <w:left w:w="20" w:type="dxa"/>
              <w:bottom w:w="20" w:type="dxa"/>
              <w:right w:w="20" w:type="dxa"/>
            </w:tcMar>
            <w:vAlign w:val="center"/>
          </w:tcPr>
          <w:p w14:paraId="681AEB4A" w14:textId="77777777" w:rsidR="00F45246" w:rsidRPr="003516A4" w:rsidRDefault="00F45246" w:rsidP="00F45246">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c>
          <w:tcPr>
            <w:tcW w:w="1348" w:type="dxa"/>
            <w:shd w:val="clear" w:color="auto" w:fill="auto"/>
            <w:tcMar>
              <w:top w:w="20" w:type="dxa"/>
              <w:left w:w="20" w:type="dxa"/>
              <w:bottom w:w="20" w:type="dxa"/>
              <w:right w:w="20" w:type="dxa"/>
            </w:tcMar>
            <w:vAlign w:val="center"/>
          </w:tcPr>
          <w:p w14:paraId="6BC16E4A" w14:textId="77777777" w:rsidR="00F45246" w:rsidRPr="003516A4" w:rsidRDefault="00F45246" w:rsidP="00F45246">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c>
          <w:tcPr>
            <w:tcW w:w="1396" w:type="dxa"/>
            <w:shd w:val="clear" w:color="auto" w:fill="auto"/>
            <w:tcMar>
              <w:top w:w="20" w:type="dxa"/>
              <w:left w:w="20" w:type="dxa"/>
              <w:bottom w:w="20" w:type="dxa"/>
              <w:right w:w="20" w:type="dxa"/>
            </w:tcMar>
            <w:vAlign w:val="center"/>
          </w:tcPr>
          <w:p w14:paraId="76B1091C" w14:textId="77777777" w:rsidR="00F45246" w:rsidRPr="003516A4" w:rsidRDefault="00F45246" w:rsidP="00F45246">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c>
          <w:tcPr>
            <w:tcW w:w="1096" w:type="dxa"/>
            <w:shd w:val="clear" w:color="auto" w:fill="auto"/>
            <w:tcMar>
              <w:top w:w="20" w:type="dxa"/>
              <w:left w:w="20" w:type="dxa"/>
              <w:bottom w:w="20" w:type="dxa"/>
              <w:right w:w="20" w:type="dxa"/>
            </w:tcMar>
            <w:vAlign w:val="center"/>
          </w:tcPr>
          <w:p w14:paraId="00B77DAC" w14:textId="77777777" w:rsidR="00F45246" w:rsidRPr="003516A4" w:rsidRDefault="00F45246" w:rsidP="00F45246">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c>
          <w:tcPr>
            <w:tcW w:w="1191" w:type="dxa"/>
            <w:shd w:val="clear" w:color="auto" w:fill="auto"/>
            <w:tcMar>
              <w:top w:w="20" w:type="dxa"/>
              <w:left w:w="20" w:type="dxa"/>
              <w:bottom w:w="20" w:type="dxa"/>
              <w:right w:w="20" w:type="dxa"/>
            </w:tcMar>
            <w:vAlign w:val="center"/>
          </w:tcPr>
          <w:p w14:paraId="1A5CE4C3" w14:textId="77777777" w:rsidR="00F45246" w:rsidRPr="003516A4" w:rsidRDefault="00F45246" w:rsidP="00F45246">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c>
          <w:tcPr>
            <w:tcW w:w="1191" w:type="dxa"/>
            <w:shd w:val="clear" w:color="auto" w:fill="auto"/>
            <w:tcMar>
              <w:top w:w="20" w:type="dxa"/>
              <w:left w:w="20" w:type="dxa"/>
              <w:bottom w:w="20" w:type="dxa"/>
              <w:right w:w="20" w:type="dxa"/>
            </w:tcMar>
            <w:vAlign w:val="center"/>
          </w:tcPr>
          <w:p w14:paraId="78C0C5EF" w14:textId="77777777" w:rsidR="00F45246" w:rsidRPr="003516A4" w:rsidRDefault="00F45246" w:rsidP="00F45246">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r>
      <w:tr w:rsidR="00F45246" w:rsidRPr="00037881" w14:paraId="66878D60" w14:textId="77777777" w:rsidTr="005503D2">
        <w:trPr>
          <w:trHeight w:val="1050"/>
          <w:jc w:val="center"/>
        </w:trPr>
        <w:tc>
          <w:tcPr>
            <w:tcW w:w="2556" w:type="dxa"/>
            <w:shd w:val="clear" w:color="auto" w:fill="auto"/>
            <w:tcMar>
              <w:top w:w="20" w:type="dxa"/>
              <w:left w:w="20" w:type="dxa"/>
              <w:bottom w:w="20" w:type="dxa"/>
              <w:right w:w="20" w:type="dxa"/>
            </w:tcMar>
          </w:tcPr>
          <w:p w14:paraId="54F09B88" w14:textId="77777777" w:rsidR="00F45246" w:rsidRPr="00037881" w:rsidRDefault="00F45246" w:rsidP="00F45246">
            <w:pPr>
              <w:pStyle w:val="T1TableStyle"/>
              <w:jc w:val="center"/>
              <w:rPr>
                <w:rFonts w:ascii="Verdana" w:eastAsia="Verdana" w:hAnsi="Verdana" w:cs="Verdana"/>
                <w:b/>
                <w:color w:val="000000"/>
                <w:sz w:val="2"/>
                <w:lang w:val="en-GB"/>
              </w:rPr>
            </w:pPr>
            <w:r w:rsidRPr="00037881">
              <w:rPr>
                <w:rFonts w:ascii="Verdana" w:eastAsia="Verdana" w:hAnsi="Verdana" w:cs="Verdana"/>
                <w:b/>
                <w:color w:val="000000"/>
                <w:sz w:val="2"/>
                <w:lang w:val="en-GB"/>
              </w:rPr>
              <w:t xml:space="preserve"> </w:t>
            </w:r>
          </w:p>
        </w:tc>
        <w:tc>
          <w:tcPr>
            <w:tcW w:w="1096" w:type="dxa"/>
            <w:shd w:val="clear" w:color="auto" w:fill="auto"/>
            <w:tcMar>
              <w:top w:w="20" w:type="dxa"/>
              <w:left w:w="20" w:type="dxa"/>
              <w:bottom w:w="20" w:type="dxa"/>
              <w:right w:w="20" w:type="dxa"/>
            </w:tcMar>
            <w:vAlign w:val="bottom"/>
          </w:tcPr>
          <w:p w14:paraId="2D8B926A" w14:textId="77777777" w:rsidR="00F45246" w:rsidRPr="00037881" w:rsidRDefault="00F45246" w:rsidP="00F45246">
            <w:pPr>
              <w:pStyle w:val="T1TableStyle"/>
              <w:jc w:val="center"/>
              <w:rPr>
                <w:rFonts w:ascii="Verdana" w:eastAsia="Verdana" w:hAnsi="Verdana" w:cs="Verdana"/>
                <w:b/>
                <w:color w:val="000000"/>
                <w:sz w:val="16"/>
                <w:lang w:val="en-GB"/>
              </w:rPr>
            </w:pPr>
            <w:r w:rsidRPr="00037881">
              <w:rPr>
                <w:rFonts w:ascii="Verdana" w:eastAsia="Verdana" w:hAnsi="Verdana" w:cs="Verdana"/>
                <w:b/>
                <w:color w:val="000000"/>
                <w:sz w:val="16"/>
                <w:lang w:val="en-GB"/>
              </w:rPr>
              <w:t>General Fund Balance</w:t>
            </w:r>
          </w:p>
        </w:tc>
        <w:tc>
          <w:tcPr>
            <w:tcW w:w="1267" w:type="dxa"/>
            <w:shd w:val="clear" w:color="auto" w:fill="auto"/>
            <w:tcMar>
              <w:top w:w="20" w:type="dxa"/>
              <w:left w:w="20" w:type="dxa"/>
              <w:bottom w:w="20" w:type="dxa"/>
              <w:right w:w="20" w:type="dxa"/>
            </w:tcMar>
            <w:vAlign w:val="bottom"/>
          </w:tcPr>
          <w:p w14:paraId="5E7CB676" w14:textId="77777777" w:rsidR="00F45246" w:rsidRPr="00037881" w:rsidRDefault="00F45246" w:rsidP="00F45246">
            <w:pPr>
              <w:pStyle w:val="T1TableStyle"/>
              <w:jc w:val="center"/>
              <w:rPr>
                <w:rFonts w:ascii="Verdana" w:eastAsia="Verdana" w:hAnsi="Verdana" w:cs="Verdana"/>
                <w:b/>
                <w:color w:val="000000"/>
                <w:sz w:val="16"/>
                <w:lang w:val="en-GB"/>
              </w:rPr>
            </w:pPr>
            <w:r w:rsidRPr="00037881">
              <w:rPr>
                <w:rFonts w:ascii="Verdana" w:eastAsia="Verdana" w:hAnsi="Verdana" w:cs="Verdana"/>
                <w:b/>
                <w:color w:val="000000"/>
                <w:sz w:val="16"/>
                <w:lang w:val="en-GB"/>
              </w:rPr>
              <w:t>Earmarked General Fund Reserves</w:t>
            </w:r>
          </w:p>
        </w:tc>
        <w:tc>
          <w:tcPr>
            <w:tcW w:w="1191" w:type="dxa"/>
            <w:shd w:val="clear" w:color="auto" w:fill="auto"/>
            <w:tcMar>
              <w:top w:w="20" w:type="dxa"/>
              <w:left w:w="20" w:type="dxa"/>
              <w:bottom w:w="20" w:type="dxa"/>
              <w:right w:w="20" w:type="dxa"/>
            </w:tcMar>
            <w:vAlign w:val="bottom"/>
          </w:tcPr>
          <w:p w14:paraId="7170B16B" w14:textId="77777777" w:rsidR="00F45246" w:rsidRPr="00037881" w:rsidRDefault="00F45246" w:rsidP="00F45246">
            <w:pPr>
              <w:pStyle w:val="T1TableStyle"/>
              <w:jc w:val="center"/>
              <w:rPr>
                <w:rFonts w:ascii="Verdana" w:eastAsia="Verdana" w:hAnsi="Verdana" w:cs="Verdana"/>
                <w:b/>
                <w:color w:val="000000"/>
                <w:sz w:val="16"/>
                <w:lang w:val="en-GB"/>
              </w:rPr>
            </w:pPr>
            <w:r w:rsidRPr="00037881">
              <w:rPr>
                <w:rFonts w:ascii="Verdana" w:eastAsia="Verdana" w:hAnsi="Verdana" w:cs="Verdana"/>
                <w:b/>
                <w:color w:val="000000"/>
                <w:sz w:val="16"/>
                <w:lang w:val="en-GB"/>
              </w:rPr>
              <w:t>Total General Fund Balance</w:t>
            </w:r>
          </w:p>
        </w:tc>
        <w:tc>
          <w:tcPr>
            <w:tcW w:w="1348" w:type="dxa"/>
            <w:shd w:val="clear" w:color="auto" w:fill="auto"/>
            <w:tcMar>
              <w:top w:w="20" w:type="dxa"/>
              <w:left w:w="20" w:type="dxa"/>
              <w:bottom w:w="20" w:type="dxa"/>
              <w:right w:w="20" w:type="dxa"/>
            </w:tcMar>
            <w:vAlign w:val="bottom"/>
          </w:tcPr>
          <w:p w14:paraId="0B534CF0" w14:textId="77777777" w:rsidR="00F45246" w:rsidRPr="00037881" w:rsidRDefault="00F45246" w:rsidP="00F45246">
            <w:pPr>
              <w:pStyle w:val="T1TableStyle"/>
              <w:jc w:val="center"/>
              <w:rPr>
                <w:rFonts w:ascii="Verdana" w:eastAsia="Verdana" w:hAnsi="Verdana" w:cs="Verdana"/>
                <w:b/>
                <w:color w:val="000000"/>
                <w:sz w:val="16"/>
                <w:lang w:val="en-GB"/>
              </w:rPr>
            </w:pPr>
            <w:r w:rsidRPr="00037881">
              <w:rPr>
                <w:rFonts w:ascii="Verdana" w:eastAsia="Verdana" w:hAnsi="Verdana" w:cs="Verdana"/>
                <w:b/>
                <w:color w:val="000000"/>
                <w:sz w:val="16"/>
                <w:lang w:val="en-GB"/>
              </w:rPr>
              <w:t>Capital Receipts Reserve</w:t>
            </w:r>
          </w:p>
        </w:tc>
        <w:tc>
          <w:tcPr>
            <w:tcW w:w="1396" w:type="dxa"/>
            <w:shd w:val="clear" w:color="auto" w:fill="auto"/>
            <w:tcMar>
              <w:top w:w="20" w:type="dxa"/>
              <w:left w:w="20" w:type="dxa"/>
              <w:bottom w:w="20" w:type="dxa"/>
              <w:right w:w="20" w:type="dxa"/>
            </w:tcMar>
            <w:vAlign w:val="bottom"/>
          </w:tcPr>
          <w:p w14:paraId="15BB386E" w14:textId="77777777" w:rsidR="00F45246" w:rsidRPr="00037881" w:rsidRDefault="00F45246" w:rsidP="00F45246">
            <w:pPr>
              <w:pStyle w:val="T1TableStyle"/>
              <w:jc w:val="center"/>
              <w:rPr>
                <w:rFonts w:ascii="Verdana" w:eastAsia="Verdana" w:hAnsi="Verdana" w:cs="Verdana"/>
                <w:b/>
                <w:color w:val="000000"/>
                <w:sz w:val="16"/>
                <w:lang w:val="en-GB"/>
              </w:rPr>
            </w:pPr>
            <w:r w:rsidRPr="00037881">
              <w:rPr>
                <w:rFonts w:ascii="Verdana" w:eastAsia="Verdana" w:hAnsi="Verdana" w:cs="Verdana"/>
                <w:b/>
                <w:color w:val="000000"/>
                <w:sz w:val="16"/>
                <w:lang w:val="en-GB"/>
              </w:rPr>
              <w:t>Capital Grants Un-applied Account</w:t>
            </w:r>
          </w:p>
        </w:tc>
        <w:tc>
          <w:tcPr>
            <w:tcW w:w="1096" w:type="dxa"/>
            <w:shd w:val="clear" w:color="auto" w:fill="auto"/>
            <w:tcMar>
              <w:top w:w="20" w:type="dxa"/>
              <w:left w:w="20" w:type="dxa"/>
              <w:bottom w:w="20" w:type="dxa"/>
              <w:right w:w="20" w:type="dxa"/>
            </w:tcMar>
            <w:vAlign w:val="bottom"/>
          </w:tcPr>
          <w:p w14:paraId="4A709200" w14:textId="77777777" w:rsidR="00F45246" w:rsidRPr="00037881" w:rsidRDefault="00F45246" w:rsidP="00F45246">
            <w:pPr>
              <w:pStyle w:val="T1TableStyle"/>
              <w:jc w:val="center"/>
              <w:rPr>
                <w:rFonts w:ascii="Verdana" w:eastAsia="Verdana" w:hAnsi="Verdana" w:cs="Verdana"/>
                <w:b/>
                <w:color w:val="000000"/>
                <w:sz w:val="16"/>
                <w:lang w:val="en-GB"/>
              </w:rPr>
            </w:pPr>
            <w:r w:rsidRPr="00037881">
              <w:rPr>
                <w:rFonts w:ascii="Verdana" w:eastAsia="Verdana" w:hAnsi="Verdana" w:cs="Verdana"/>
                <w:b/>
                <w:color w:val="000000"/>
                <w:sz w:val="16"/>
                <w:lang w:val="en-GB"/>
              </w:rPr>
              <w:t>Total Usable Reserves</w:t>
            </w:r>
          </w:p>
        </w:tc>
        <w:tc>
          <w:tcPr>
            <w:tcW w:w="1191" w:type="dxa"/>
            <w:shd w:val="clear" w:color="auto" w:fill="auto"/>
            <w:tcMar>
              <w:top w:w="20" w:type="dxa"/>
              <w:left w:w="20" w:type="dxa"/>
              <w:bottom w:w="20" w:type="dxa"/>
              <w:right w:w="20" w:type="dxa"/>
            </w:tcMar>
            <w:vAlign w:val="bottom"/>
          </w:tcPr>
          <w:p w14:paraId="5B9DF31F" w14:textId="77777777" w:rsidR="00F45246" w:rsidRPr="00037881" w:rsidRDefault="00F45246" w:rsidP="00F45246">
            <w:pPr>
              <w:pStyle w:val="T1TableStyle"/>
              <w:jc w:val="center"/>
              <w:rPr>
                <w:rFonts w:ascii="Verdana" w:eastAsia="Verdana" w:hAnsi="Verdana" w:cs="Verdana"/>
                <w:b/>
                <w:color w:val="000000"/>
                <w:sz w:val="16"/>
                <w:lang w:val="en-GB"/>
              </w:rPr>
            </w:pPr>
            <w:r w:rsidRPr="00037881">
              <w:rPr>
                <w:rFonts w:ascii="Verdana" w:eastAsia="Verdana" w:hAnsi="Verdana" w:cs="Verdana"/>
                <w:b/>
                <w:color w:val="000000"/>
                <w:sz w:val="16"/>
                <w:lang w:val="en-GB"/>
              </w:rPr>
              <w:t>Unusable Reserves</w:t>
            </w:r>
          </w:p>
        </w:tc>
        <w:tc>
          <w:tcPr>
            <w:tcW w:w="1191" w:type="dxa"/>
            <w:shd w:val="clear" w:color="auto" w:fill="auto"/>
            <w:tcMar>
              <w:top w:w="20" w:type="dxa"/>
              <w:left w:w="20" w:type="dxa"/>
              <w:bottom w:w="20" w:type="dxa"/>
              <w:right w:w="20" w:type="dxa"/>
            </w:tcMar>
            <w:vAlign w:val="bottom"/>
          </w:tcPr>
          <w:p w14:paraId="5584E665" w14:textId="77777777" w:rsidR="00F45246" w:rsidRPr="00037881" w:rsidRDefault="00F45246" w:rsidP="00F45246">
            <w:pPr>
              <w:pStyle w:val="T1TableStyle"/>
              <w:jc w:val="center"/>
              <w:rPr>
                <w:rFonts w:ascii="Verdana" w:eastAsia="Verdana" w:hAnsi="Verdana" w:cs="Verdana"/>
                <w:b/>
                <w:color w:val="000000"/>
                <w:sz w:val="16"/>
                <w:lang w:val="en-GB"/>
              </w:rPr>
            </w:pPr>
            <w:r w:rsidRPr="00037881">
              <w:rPr>
                <w:rFonts w:ascii="Verdana" w:eastAsia="Verdana" w:hAnsi="Verdana" w:cs="Verdana"/>
                <w:b/>
                <w:color w:val="000000"/>
                <w:sz w:val="16"/>
                <w:lang w:val="en-GB"/>
              </w:rPr>
              <w:t>Total Reserves</w:t>
            </w:r>
          </w:p>
        </w:tc>
      </w:tr>
      <w:tr w:rsidR="00F45246" w:rsidRPr="00037881" w14:paraId="166F81AB" w14:textId="77777777" w:rsidTr="005503D2">
        <w:trPr>
          <w:trHeight w:val="243"/>
          <w:jc w:val="center"/>
        </w:trPr>
        <w:tc>
          <w:tcPr>
            <w:tcW w:w="2556" w:type="dxa"/>
            <w:tcBorders>
              <w:bottom w:val="single" w:sz="2" w:space="0" w:color="000000"/>
            </w:tcBorders>
            <w:shd w:val="clear" w:color="auto" w:fill="auto"/>
            <w:tcMar>
              <w:top w:w="20" w:type="dxa"/>
              <w:left w:w="20" w:type="dxa"/>
              <w:bottom w:w="20" w:type="dxa"/>
              <w:right w:w="20" w:type="dxa"/>
            </w:tcMar>
          </w:tcPr>
          <w:p w14:paraId="79479029" w14:textId="77777777" w:rsidR="00F45246" w:rsidRPr="00037881" w:rsidRDefault="00F45246" w:rsidP="00F45246">
            <w:pPr>
              <w:pStyle w:val="T1TableStyle"/>
              <w:jc w:val="center"/>
              <w:rPr>
                <w:rFonts w:ascii="Verdana" w:eastAsia="Verdana" w:hAnsi="Verdana" w:cs="Verdana"/>
                <w:b/>
                <w:color w:val="000000"/>
                <w:sz w:val="2"/>
                <w:lang w:val="en-GB"/>
              </w:rPr>
            </w:pPr>
            <w:r w:rsidRPr="00037881">
              <w:rPr>
                <w:rFonts w:ascii="Verdana" w:eastAsia="Verdana" w:hAnsi="Verdana" w:cs="Verdana"/>
                <w:b/>
                <w:color w:val="000000"/>
                <w:sz w:val="2"/>
                <w:lang w:val="en-GB"/>
              </w:rPr>
              <w:t xml:space="preserve"> </w:t>
            </w:r>
          </w:p>
        </w:tc>
        <w:tc>
          <w:tcPr>
            <w:tcW w:w="1096" w:type="dxa"/>
            <w:tcBorders>
              <w:bottom w:val="single" w:sz="2" w:space="0" w:color="000000"/>
            </w:tcBorders>
            <w:shd w:val="clear" w:color="auto" w:fill="auto"/>
            <w:tcMar>
              <w:top w:w="20" w:type="dxa"/>
              <w:left w:w="20" w:type="dxa"/>
              <w:bottom w:w="20" w:type="dxa"/>
              <w:right w:w="20" w:type="dxa"/>
            </w:tcMar>
          </w:tcPr>
          <w:p w14:paraId="49727180"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£000</w:t>
            </w:r>
          </w:p>
        </w:tc>
        <w:tc>
          <w:tcPr>
            <w:tcW w:w="1267" w:type="dxa"/>
            <w:tcBorders>
              <w:bottom w:val="single" w:sz="2" w:space="0" w:color="000000"/>
            </w:tcBorders>
            <w:shd w:val="clear" w:color="auto" w:fill="auto"/>
            <w:tcMar>
              <w:top w:w="20" w:type="dxa"/>
              <w:left w:w="20" w:type="dxa"/>
              <w:bottom w:w="20" w:type="dxa"/>
              <w:right w:w="20" w:type="dxa"/>
            </w:tcMar>
          </w:tcPr>
          <w:p w14:paraId="46791809"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£000</w:t>
            </w:r>
          </w:p>
        </w:tc>
        <w:tc>
          <w:tcPr>
            <w:tcW w:w="1191" w:type="dxa"/>
            <w:tcBorders>
              <w:bottom w:val="single" w:sz="2" w:space="0" w:color="000000"/>
            </w:tcBorders>
            <w:shd w:val="clear" w:color="auto" w:fill="auto"/>
            <w:tcMar>
              <w:top w:w="20" w:type="dxa"/>
              <w:left w:w="20" w:type="dxa"/>
              <w:bottom w:w="20" w:type="dxa"/>
              <w:right w:w="20" w:type="dxa"/>
            </w:tcMar>
          </w:tcPr>
          <w:p w14:paraId="2E9BF79F"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£000</w:t>
            </w:r>
          </w:p>
        </w:tc>
        <w:tc>
          <w:tcPr>
            <w:tcW w:w="1348" w:type="dxa"/>
            <w:tcBorders>
              <w:bottom w:val="single" w:sz="2" w:space="0" w:color="000000"/>
            </w:tcBorders>
            <w:shd w:val="clear" w:color="auto" w:fill="auto"/>
            <w:tcMar>
              <w:top w:w="20" w:type="dxa"/>
              <w:left w:w="20" w:type="dxa"/>
              <w:bottom w:w="20" w:type="dxa"/>
              <w:right w:w="20" w:type="dxa"/>
            </w:tcMar>
          </w:tcPr>
          <w:p w14:paraId="30776D3F"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£000</w:t>
            </w:r>
          </w:p>
        </w:tc>
        <w:tc>
          <w:tcPr>
            <w:tcW w:w="1396" w:type="dxa"/>
            <w:tcBorders>
              <w:bottom w:val="single" w:sz="2" w:space="0" w:color="000000"/>
            </w:tcBorders>
            <w:shd w:val="clear" w:color="auto" w:fill="auto"/>
            <w:tcMar>
              <w:top w:w="20" w:type="dxa"/>
              <w:left w:w="20" w:type="dxa"/>
              <w:bottom w:w="20" w:type="dxa"/>
              <w:right w:w="20" w:type="dxa"/>
            </w:tcMar>
          </w:tcPr>
          <w:p w14:paraId="70A6E599"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£000</w:t>
            </w:r>
          </w:p>
        </w:tc>
        <w:tc>
          <w:tcPr>
            <w:tcW w:w="1096" w:type="dxa"/>
            <w:tcBorders>
              <w:bottom w:val="single" w:sz="2" w:space="0" w:color="000000"/>
            </w:tcBorders>
            <w:shd w:val="clear" w:color="auto" w:fill="auto"/>
            <w:tcMar>
              <w:top w:w="20" w:type="dxa"/>
              <w:left w:w="20" w:type="dxa"/>
              <w:bottom w:w="20" w:type="dxa"/>
              <w:right w:w="20" w:type="dxa"/>
            </w:tcMar>
          </w:tcPr>
          <w:p w14:paraId="4DC30502"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£000</w:t>
            </w:r>
          </w:p>
        </w:tc>
        <w:tc>
          <w:tcPr>
            <w:tcW w:w="1191" w:type="dxa"/>
            <w:tcBorders>
              <w:bottom w:val="single" w:sz="2" w:space="0" w:color="000000"/>
            </w:tcBorders>
            <w:shd w:val="clear" w:color="auto" w:fill="auto"/>
            <w:tcMar>
              <w:top w:w="20" w:type="dxa"/>
              <w:left w:w="20" w:type="dxa"/>
              <w:bottom w:w="20" w:type="dxa"/>
              <w:right w:w="20" w:type="dxa"/>
            </w:tcMar>
          </w:tcPr>
          <w:p w14:paraId="4DA40341"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£000</w:t>
            </w:r>
          </w:p>
        </w:tc>
        <w:tc>
          <w:tcPr>
            <w:tcW w:w="1191" w:type="dxa"/>
            <w:tcBorders>
              <w:bottom w:val="single" w:sz="2" w:space="0" w:color="000000"/>
            </w:tcBorders>
            <w:shd w:val="clear" w:color="auto" w:fill="auto"/>
            <w:tcMar>
              <w:top w:w="20" w:type="dxa"/>
              <w:left w:w="20" w:type="dxa"/>
              <w:bottom w:w="20" w:type="dxa"/>
              <w:right w:w="20" w:type="dxa"/>
            </w:tcMar>
          </w:tcPr>
          <w:p w14:paraId="281DB32D"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£000</w:t>
            </w:r>
          </w:p>
        </w:tc>
      </w:tr>
      <w:tr w:rsidR="00F45246" w:rsidRPr="00037881" w14:paraId="288DD5B2" w14:textId="77777777" w:rsidTr="005503D2">
        <w:trPr>
          <w:trHeight w:val="243"/>
          <w:jc w:val="center"/>
        </w:trPr>
        <w:tc>
          <w:tcPr>
            <w:tcW w:w="2556" w:type="dxa"/>
            <w:tcBorders>
              <w:bottom w:val="single" w:sz="2" w:space="0" w:color="000000"/>
            </w:tcBorders>
            <w:shd w:val="clear" w:color="auto" w:fill="auto"/>
            <w:tcMar>
              <w:top w:w="20" w:type="dxa"/>
              <w:left w:w="20" w:type="dxa"/>
              <w:bottom w:w="20" w:type="dxa"/>
              <w:right w:w="20" w:type="dxa"/>
            </w:tcMar>
          </w:tcPr>
          <w:p w14:paraId="4ECE3910" w14:textId="77777777" w:rsidR="00F45246" w:rsidRPr="00037881" w:rsidRDefault="00F45246" w:rsidP="00F45246">
            <w:pPr>
              <w:pStyle w:val="T1TableStyle"/>
              <w:rPr>
                <w:rFonts w:ascii="Verdana" w:eastAsia="Verdana" w:hAnsi="Verdana" w:cs="Verdana"/>
                <w:b/>
                <w:color w:val="000000"/>
                <w:sz w:val="16"/>
                <w:lang w:val="en-GB"/>
              </w:rPr>
            </w:pPr>
            <w:r w:rsidRPr="00037881">
              <w:rPr>
                <w:rFonts w:ascii="Verdana" w:eastAsia="Verdana" w:hAnsi="Verdana" w:cs="Verdana"/>
                <w:b/>
                <w:color w:val="000000"/>
                <w:sz w:val="16"/>
                <w:lang w:val="en-GB"/>
              </w:rPr>
              <w:t>Balance at 31 March 2019</w:t>
            </w:r>
          </w:p>
        </w:tc>
        <w:tc>
          <w:tcPr>
            <w:tcW w:w="1096"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14:paraId="587000A4"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215</w:t>
            </w:r>
          </w:p>
          <w:p w14:paraId="5BD567A5" w14:textId="77777777" w:rsidR="00F45246" w:rsidRPr="00037881" w:rsidRDefault="00F45246" w:rsidP="00F45246">
            <w:pPr>
              <w:jc w:val="right"/>
              <w:rPr>
                <w:sz w:val="16"/>
                <w:szCs w:val="16"/>
                <w:lang w:val="en-GB"/>
              </w:rPr>
            </w:pPr>
            <w:r w:rsidRPr="00037881">
              <w:rPr>
                <w:sz w:val="16"/>
                <w:szCs w:val="16"/>
                <w:lang w:val="en-GB"/>
              </w:rPr>
              <w:t>(6,812)</w:t>
            </w:r>
          </w:p>
        </w:tc>
        <w:tc>
          <w:tcPr>
            <w:tcW w:w="1267" w:type="dxa"/>
            <w:tcBorders>
              <w:bottom w:val="single" w:sz="2" w:space="0" w:color="000000"/>
            </w:tcBorders>
            <w:shd w:val="clear" w:color="auto" w:fill="auto"/>
            <w:tcMar>
              <w:top w:w="20" w:type="dxa"/>
              <w:left w:w="20" w:type="dxa"/>
              <w:bottom w:w="20" w:type="dxa"/>
              <w:right w:w="20" w:type="dxa"/>
            </w:tcMar>
          </w:tcPr>
          <w:p w14:paraId="24F61D81"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w:t>
            </w:r>
          </w:p>
          <w:p w14:paraId="10D69B4F" w14:textId="77777777" w:rsidR="00F45246" w:rsidRPr="00037881" w:rsidRDefault="00F45246" w:rsidP="00F45246">
            <w:pPr>
              <w:jc w:val="center"/>
              <w:rPr>
                <w:sz w:val="16"/>
                <w:szCs w:val="16"/>
                <w:lang w:val="en-GB"/>
              </w:rPr>
            </w:pPr>
            <w:r w:rsidRPr="00037881">
              <w:rPr>
                <w:sz w:val="16"/>
                <w:szCs w:val="16"/>
                <w:lang w:val="en-GB"/>
              </w:rPr>
              <w:t xml:space="preserve">        (10,441)</w:t>
            </w:r>
          </w:p>
        </w:tc>
        <w:tc>
          <w:tcPr>
            <w:tcW w:w="1191" w:type="dxa"/>
            <w:tcBorders>
              <w:bottom w:val="single" w:sz="2" w:space="0" w:color="000000"/>
            </w:tcBorders>
            <w:shd w:val="clear" w:color="auto" w:fill="auto"/>
            <w:tcMar>
              <w:top w:w="20" w:type="dxa"/>
              <w:left w:w="20" w:type="dxa"/>
              <w:bottom w:w="20" w:type="dxa"/>
              <w:right w:w="20" w:type="dxa"/>
            </w:tcMar>
          </w:tcPr>
          <w:p w14:paraId="1410D714"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p w14:paraId="6517E8A4" w14:textId="77777777" w:rsidR="00F45246" w:rsidRPr="00037881" w:rsidRDefault="00F45246" w:rsidP="00F45246">
            <w:pPr>
              <w:rPr>
                <w:b/>
                <w:sz w:val="16"/>
                <w:szCs w:val="16"/>
                <w:lang w:val="en-GB"/>
              </w:rPr>
            </w:pPr>
            <w:r w:rsidRPr="00037881">
              <w:rPr>
                <w:b/>
                <w:sz w:val="16"/>
                <w:szCs w:val="16"/>
                <w:lang w:val="en-GB"/>
              </w:rPr>
              <w:t xml:space="preserve">      (17,253)</w:t>
            </w:r>
          </w:p>
        </w:tc>
        <w:tc>
          <w:tcPr>
            <w:tcW w:w="1348" w:type="dxa"/>
            <w:tcBorders>
              <w:bottom w:val="single" w:sz="2" w:space="0" w:color="000000"/>
            </w:tcBorders>
            <w:shd w:val="clear" w:color="auto" w:fill="auto"/>
            <w:tcMar>
              <w:top w:w="20" w:type="dxa"/>
              <w:left w:w="20" w:type="dxa"/>
              <w:bottom w:w="20" w:type="dxa"/>
              <w:right w:w="20" w:type="dxa"/>
            </w:tcMar>
          </w:tcPr>
          <w:p w14:paraId="6144B544" w14:textId="77777777" w:rsidR="00F45246" w:rsidRPr="00037881" w:rsidRDefault="00F45246" w:rsidP="00F45246">
            <w:pPr>
              <w:pStyle w:val="T1TableStyle"/>
              <w:jc w:val="right"/>
              <w:rPr>
                <w:rFonts w:ascii="Verdana" w:eastAsia="Verdana" w:hAnsi="Verdana" w:cs="Verdana"/>
                <w:color w:val="000000"/>
                <w:sz w:val="2"/>
                <w:lang w:val="en-GB"/>
              </w:rPr>
            </w:pPr>
          </w:p>
          <w:p w14:paraId="23EADBCE" w14:textId="77777777" w:rsidR="00F45246" w:rsidRPr="00037881" w:rsidRDefault="00F45246" w:rsidP="00F45246">
            <w:pPr>
              <w:rPr>
                <w:sz w:val="16"/>
                <w:szCs w:val="16"/>
                <w:lang w:val="en-GB"/>
              </w:rPr>
            </w:pPr>
            <w:r w:rsidRPr="00037881">
              <w:rPr>
                <w:sz w:val="16"/>
                <w:szCs w:val="16"/>
                <w:lang w:val="en-GB"/>
              </w:rPr>
              <w:t xml:space="preserve">            (3,996)</w:t>
            </w:r>
          </w:p>
        </w:tc>
        <w:tc>
          <w:tcPr>
            <w:tcW w:w="1396" w:type="dxa"/>
            <w:tcBorders>
              <w:bottom w:val="single" w:sz="2" w:space="0" w:color="000000"/>
            </w:tcBorders>
            <w:shd w:val="clear" w:color="auto" w:fill="auto"/>
            <w:tcMar>
              <w:top w:w="20" w:type="dxa"/>
              <w:left w:w="20" w:type="dxa"/>
              <w:bottom w:w="20" w:type="dxa"/>
              <w:right w:w="20" w:type="dxa"/>
            </w:tcMar>
          </w:tcPr>
          <w:p w14:paraId="03FF291C"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w:t>
            </w:r>
          </w:p>
          <w:p w14:paraId="6ED8BE48" w14:textId="77777777" w:rsidR="00F45246" w:rsidRPr="00037881" w:rsidRDefault="00F45246" w:rsidP="00F45246">
            <w:pPr>
              <w:rPr>
                <w:sz w:val="16"/>
                <w:szCs w:val="16"/>
                <w:lang w:val="en-GB"/>
              </w:rPr>
            </w:pPr>
            <w:r w:rsidRPr="00037881">
              <w:rPr>
                <w:sz w:val="16"/>
                <w:szCs w:val="16"/>
                <w:lang w:val="en-GB"/>
              </w:rPr>
              <w:t xml:space="preserve">             (1,317)</w:t>
            </w:r>
          </w:p>
        </w:tc>
        <w:tc>
          <w:tcPr>
            <w:tcW w:w="1096"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C08C952" w14:textId="77777777" w:rsidR="00F45246" w:rsidRPr="00037881" w:rsidRDefault="00F45246" w:rsidP="00F45246">
            <w:pPr>
              <w:pStyle w:val="T1TableStyle"/>
              <w:jc w:val="right"/>
              <w:rPr>
                <w:rFonts w:ascii="Verdana" w:eastAsia="Verdana" w:hAnsi="Verdana" w:cs="Verdana"/>
                <w:b/>
                <w:color w:val="000000"/>
                <w:sz w:val="2"/>
                <w:lang w:val="en-GB"/>
              </w:rPr>
            </w:pPr>
          </w:p>
          <w:p w14:paraId="481FF753" w14:textId="77777777" w:rsidR="00F45246" w:rsidRPr="00037881" w:rsidRDefault="00F45246" w:rsidP="00F45246">
            <w:pPr>
              <w:tabs>
                <w:tab w:val="left" w:pos="590"/>
              </w:tabs>
              <w:jc w:val="right"/>
              <w:rPr>
                <w:b/>
                <w:sz w:val="16"/>
                <w:szCs w:val="16"/>
                <w:lang w:val="en-GB"/>
              </w:rPr>
            </w:pPr>
            <w:r w:rsidRPr="00037881">
              <w:rPr>
                <w:b/>
                <w:sz w:val="16"/>
                <w:szCs w:val="16"/>
                <w:lang w:val="en-GB"/>
              </w:rPr>
              <w:t xml:space="preserve">    (22,566)</w:t>
            </w:r>
          </w:p>
        </w:tc>
        <w:tc>
          <w:tcPr>
            <w:tcW w:w="1191" w:type="dxa"/>
            <w:tcBorders>
              <w:bottom w:val="single" w:sz="2" w:space="0" w:color="000000"/>
            </w:tcBorders>
            <w:shd w:val="clear" w:color="auto" w:fill="auto"/>
            <w:tcMar>
              <w:top w:w="20" w:type="dxa"/>
              <w:left w:w="20" w:type="dxa"/>
              <w:bottom w:w="20" w:type="dxa"/>
              <w:right w:w="20" w:type="dxa"/>
            </w:tcMar>
          </w:tcPr>
          <w:p w14:paraId="0D600F43" w14:textId="77777777" w:rsidR="00F45246" w:rsidRPr="00037881" w:rsidRDefault="00F45246" w:rsidP="00F45246">
            <w:pPr>
              <w:pStyle w:val="T1TableStyle"/>
              <w:jc w:val="right"/>
              <w:rPr>
                <w:rFonts w:ascii="Verdana" w:eastAsia="Verdana" w:hAnsi="Verdana" w:cs="Verdana"/>
                <w:color w:val="000000"/>
                <w:sz w:val="2"/>
                <w:lang w:val="en-GB"/>
              </w:rPr>
            </w:pPr>
          </w:p>
          <w:p w14:paraId="3936243A" w14:textId="77777777" w:rsidR="00F45246" w:rsidRPr="00037881" w:rsidRDefault="00F45246" w:rsidP="00F45246">
            <w:pPr>
              <w:jc w:val="right"/>
              <w:rPr>
                <w:b/>
                <w:sz w:val="16"/>
                <w:szCs w:val="16"/>
                <w:lang w:val="en-GB"/>
              </w:rPr>
            </w:pPr>
            <w:r w:rsidRPr="00037881">
              <w:rPr>
                <w:b/>
                <w:sz w:val="16"/>
                <w:szCs w:val="16"/>
                <w:lang w:val="en-GB"/>
              </w:rPr>
              <w:t>2,056,936</w:t>
            </w:r>
          </w:p>
        </w:tc>
        <w:tc>
          <w:tcPr>
            <w:tcW w:w="1191" w:type="dxa"/>
            <w:tcBorders>
              <w:left w:val="single" w:sz="2" w:space="0" w:color="000000"/>
              <w:bottom w:val="single" w:sz="2" w:space="0" w:color="000000"/>
            </w:tcBorders>
            <w:shd w:val="clear" w:color="auto" w:fill="auto"/>
            <w:tcMar>
              <w:top w:w="20" w:type="dxa"/>
              <w:left w:w="20" w:type="dxa"/>
              <w:bottom w:w="20" w:type="dxa"/>
              <w:right w:w="20" w:type="dxa"/>
            </w:tcMar>
          </w:tcPr>
          <w:p w14:paraId="6D18A952" w14:textId="77777777" w:rsidR="00F45246" w:rsidRPr="00037881" w:rsidRDefault="00F45246" w:rsidP="00F45246">
            <w:pPr>
              <w:pStyle w:val="T1TableStyle"/>
              <w:jc w:val="right"/>
              <w:rPr>
                <w:rFonts w:ascii="Verdana" w:eastAsia="Verdana" w:hAnsi="Verdana" w:cs="Verdana"/>
                <w:b/>
                <w:color w:val="000000"/>
                <w:sz w:val="2"/>
                <w:lang w:val="en-GB"/>
              </w:rPr>
            </w:pPr>
          </w:p>
          <w:p w14:paraId="6624B057" w14:textId="77777777" w:rsidR="00F45246" w:rsidRPr="00037881" w:rsidRDefault="00F45246" w:rsidP="00F45246">
            <w:pPr>
              <w:tabs>
                <w:tab w:val="left" w:pos="850"/>
              </w:tabs>
              <w:jc w:val="right"/>
              <w:rPr>
                <w:b/>
                <w:sz w:val="16"/>
                <w:szCs w:val="16"/>
                <w:lang w:val="en-GB"/>
              </w:rPr>
            </w:pPr>
            <w:r w:rsidRPr="00037881">
              <w:rPr>
                <w:b/>
                <w:sz w:val="16"/>
                <w:szCs w:val="16"/>
                <w:lang w:val="en-GB"/>
              </w:rPr>
              <w:t>2,034,370</w:t>
            </w:r>
          </w:p>
        </w:tc>
      </w:tr>
      <w:tr w:rsidR="00F45246" w:rsidRPr="00037881" w14:paraId="76E55593" w14:textId="77777777" w:rsidTr="005503D2">
        <w:trPr>
          <w:trHeight w:val="341"/>
          <w:jc w:val="center"/>
        </w:trPr>
        <w:tc>
          <w:tcPr>
            <w:tcW w:w="2556" w:type="dxa"/>
            <w:shd w:val="clear" w:color="auto" w:fill="auto"/>
            <w:tcMar>
              <w:top w:w="20" w:type="dxa"/>
              <w:left w:w="20" w:type="dxa"/>
              <w:bottom w:w="20" w:type="dxa"/>
              <w:right w:w="20" w:type="dxa"/>
            </w:tcMar>
          </w:tcPr>
          <w:p w14:paraId="644BCA34" w14:textId="77777777" w:rsidR="00F45246" w:rsidRPr="00037881" w:rsidRDefault="00F45246" w:rsidP="00F45246">
            <w:pPr>
              <w:pStyle w:val="T1TableStyle"/>
              <w:rPr>
                <w:rFonts w:ascii="Verdana" w:eastAsia="Verdana" w:hAnsi="Verdana" w:cs="Verdana"/>
                <w:b/>
                <w:color w:val="000000"/>
                <w:sz w:val="16"/>
                <w:lang w:val="en-GB"/>
              </w:rPr>
            </w:pPr>
            <w:r w:rsidRPr="00037881">
              <w:rPr>
                <w:rFonts w:ascii="Verdana" w:eastAsia="Verdana" w:hAnsi="Verdana" w:cs="Verdana"/>
                <w:b/>
                <w:color w:val="000000"/>
                <w:sz w:val="16"/>
                <w:lang w:val="en-GB"/>
              </w:rPr>
              <w:t>Movement in reserves during 2019/20</w:t>
            </w:r>
          </w:p>
        </w:tc>
        <w:tc>
          <w:tcPr>
            <w:tcW w:w="1096" w:type="dxa"/>
            <w:tcBorders>
              <w:left w:val="single" w:sz="2" w:space="0" w:color="000000"/>
            </w:tcBorders>
            <w:shd w:val="clear" w:color="auto" w:fill="auto"/>
            <w:tcMar>
              <w:top w:w="20" w:type="dxa"/>
              <w:left w:w="20" w:type="dxa"/>
              <w:bottom w:w="20" w:type="dxa"/>
              <w:right w:w="20" w:type="dxa"/>
            </w:tcMar>
          </w:tcPr>
          <w:p w14:paraId="4A99241A"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tc>
        <w:tc>
          <w:tcPr>
            <w:tcW w:w="1267" w:type="dxa"/>
            <w:shd w:val="clear" w:color="auto" w:fill="auto"/>
            <w:tcMar>
              <w:top w:w="20" w:type="dxa"/>
              <w:left w:w="20" w:type="dxa"/>
              <w:bottom w:w="20" w:type="dxa"/>
              <w:right w:w="20" w:type="dxa"/>
            </w:tcMar>
          </w:tcPr>
          <w:p w14:paraId="700AD2E8"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tc>
        <w:tc>
          <w:tcPr>
            <w:tcW w:w="1191" w:type="dxa"/>
            <w:shd w:val="clear" w:color="auto" w:fill="auto"/>
            <w:tcMar>
              <w:top w:w="20" w:type="dxa"/>
              <w:left w:w="20" w:type="dxa"/>
              <w:bottom w:w="20" w:type="dxa"/>
              <w:right w:w="20" w:type="dxa"/>
            </w:tcMar>
          </w:tcPr>
          <w:p w14:paraId="6A4A09D6"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tc>
        <w:tc>
          <w:tcPr>
            <w:tcW w:w="1348" w:type="dxa"/>
            <w:shd w:val="clear" w:color="auto" w:fill="auto"/>
            <w:tcMar>
              <w:top w:w="20" w:type="dxa"/>
              <w:left w:w="20" w:type="dxa"/>
              <w:bottom w:w="20" w:type="dxa"/>
              <w:right w:w="20" w:type="dxa"/>
            </w:tcMar>
          </w:tcPr>
          <w:p w14:paraId="356844D0"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tc>
        <w:tc>
          <w:tcPr>
            <w:tcW w:w="1396" w:type="dxa"/>
            <w:shd w:val="clear" w:color="auto" w:fill="auto"/>
            <w:tcMar>
              <w:top w:w="20" w:type="dxa"/>
              <w:left w:w="20" w:type="dxa"/>
              <w:bottom w:w="20" w:type="dxa"/>
              <w:right w:w="20" w:type="dxa"/>
            </w:tcMar>
          </w:tcPr>
          <w:p w14:paraId="7C24B2E1"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tc>
        <w:tc>
          <w:tcPr>
            <w:tcW w:w="1096" w:type="dxa"/>
            <w:tcBorders>
              <w:left w:val="single" w:sz="2" w:space="0" w:color="000000"/>
              <w:right w:val="single" w:sz="2" w:space="0" w:color="000000"/>
            </w:tcBorders>
            <w:shd w:val="clear" w:color="auto" w:fill="auto"/>
            <w:tcMar>
              <w:top w:w="20" w:type="dxa"/>
              <w:left w:w="20" w:type="dxa"/>
              <w:bottom w:w="20" w:type="dxa"/>
              <w:right w:w="20" w:type="dxa"/>
            </w:tcMar>
          </w:tcPr>
          <w:p w14:paraId="26EF6158" w14:textId="77777777" w:rsidR="00F45246" w:rsidRPr="00037881" w:rsidRDefault="00F45246" w:rsidP="00F45246">
            <w:pPr>
              <w:pStyle w:val="T1TableStyle"/>
              <w:jc w:val="right"/>
              <w:rPr>
                <w:rFonts w:ascii="Verdana" w:eastAsia="Verdana" w:hAnsi="Verdana" w:cs="Verdana"/>
                <w:b/>
                <w:color w:val="000000"/>
                <w:sz w:val="2"/>
                <w:lang w:val="en-GB"/>
              </w:rPr>
            </w:pPr>
            <w:r w:rsidRPr="00037881">
              <w:rPr>
                <w:rFonts w:ascii="Verdana" w:eastAsia="Verdana" w:hAnsi="Verdana" w:cs="Verdana"/>
                <w:b/>
                <w:color w:val="000000"/>
                <w:sz w:val="2"/>
                <w:lang w:val="en-GB"/>
              </w:rPr>
              <w:t xml:space="preserve"> </w:t>
            </w:r>
          </w:p>
        </w:tc>
        <w:tc>
          <w:tcPr>
            <w:tcW w:w="1191" w:type="dxa"/>
            <w:shd w:val="clear" w:color="auto" w:fill="auto"/>
            <w:tcMar>
              <w:top w:w="20" w:type="dxa"/>
              <w:left w:w="20" w:type="dxa"/>
              <w:bottom w:w="20" w:type="dxa"/>
              <w:right w:w="20" w:type="dxa"/>
            </w:tcMar>
          </w:tcPr>
          <w:p w14:paraId="48762D55"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tc>
        <w:tc>
          <w:tcPr>
            <w:tcW w:w="1191" w:type="dxa"/>
            <w:tcBorders>
              <w:left w:val="single" w:sz="2" w:space="0" w:color="000000"/>
            </w:tcBorders>
            <w:shd w:val="clear" w:color="auto" w:fill="auto"/>
            <w:tcMar>
              <w:top w:w="20" w:type="dxa"/>
              <w:left w:w="20" w:type="dxa"/>
              <w:bottom w:w="20" w:type="dxa"/>
              <w:right w:w="20" w:type="dxa"/>
            </w:tcMar>
          </w:tcPr>
          <w:p w14:paraId="78B5F0D7" w14:textId="77777777" w:rsidR="00F45246" w:rsidRPr="00037881" w:rsidRDefault="00F45246" w:rsidP="00F45246">
            <w:pPr>
              <w:pStyle w:val="T1TableStyle"/>
              <w:jc w:val="right"/>
              <w:rPr>
                <w:rFonts w:ascii="Verdana" w:eastAsia="Verdana" w:hAnsi="Verdana" w:cs="Verdana"/>
                <w:b/>
                <w:color w:val="000000"/>
                <w:sz w:val="2"/>
                <w:lang w:val="en-GB"/>
              </w:rPr>
            </w:pPr>
            <w:r w:rsidRPr="00037881">
              <w:rPr>
                <w:rFonts w:ascii="Verdana" w:eastAsia="Verdana" w:hAnsi="Verdana" w:cs="Verdana"/>
                <w:b/>
                <w:color w:val="000000"/>
                <w:sz w:val="2"/>
                <w:lang w:val="en-GB"/>
              </w:rPr>
              <w:t xml:space="preserve"> </w:t>
            </w:r>
          </w:p>
        </w:tc>
      </w:tr>
      <w:tr w:rsidR="00F45246" w:rsidRPr="00037881" w14:paraId="3EB9D6FA" w14:textId="77777777" w:rsidTr="005503D2">
        <w:trPr>
          <w:trHeight w:val="341"/>
          <w:jc w:val="center"/>
        </w:trPr>
        <w:tc>
          <w:tcPr>
            <w:tcW w:w="2556" w:type="dxa"/>
            <w:shd w:val="clear" w:color="auto" w:fill="auto"/>
            <w:tcMar>
              <w:top w:w="20" w:type="dxa"/>
              <w:left w:w="20" w:type="dxa"/>
              <w:bottom w:w="20" w:type="dxa"/>
              <w:right w:w="20" w:type="dxa"/>
            </w:tcMar>
          </w:tcPr>
          <w:p w14:paraId="5710D0C7" w14:textId="77777777" w:rsidR="00F45246" w:rsidRPr="00037881" w:rsidRDefault="00F45246" w:rsidP="00F45246">
            <w:pPr>
              <w:pStyle w:val="T1TableStyle"/>
              <w:rPr>
                <w:rFonts w:ascii="Verdana" w:eastAsia="Verdana" w:hAnsi="Verdana" w:cs="Verdana"/>
                <w:color w:val="000000"/>
                <w:sz w:val="16"/>
                <w:lang w:val="en-GB"/>
              </w:rPr>
            </w:pPr>
            <w:r w:rsidRPr="00037881">
              <w:rPr>
                <w:rFonts w:ascii="Verdana" w:eastAsia="Verdana" w:hAnsi="Verdana" w:cs="Verdana"/>
                <w:color w:val="000000"/>
                <w:sz w:val="16"/>
                <w:lang w:val="en-GB"/>
              </w:rPr>
              <w:t>Surplus or deficit on the provision of services</w:t>
            </w:r>
          </w:p>
        </w:tc>
        <w:tc>
          <w:tcPr>
            <w:tcW w:w="1096" w:type="dxa"/>
            <w:tcBorders>
              <w:left w:val="single" w:sz="2" w:space="0" w:color="000000"/>
            </w:tcBorders>
            <w:shd w:val="clear" w:color="auto" w:fill="auto"/>
            <w:tcMar>
              <w:top w:w="20" w:type="dxa"/>
              <w:left w:w="20" w:type="dxa"/>
              <w:bottom w:w="20" w:type="dxa"/>
              <w:right w:w="20" w:type="dxa"/>
            </w:tcMar>
          </w:tcPr>
          <w:p w14:paraId="3B263D2E" w14:textId="77777777" w:rsidR="00F45246" w:rsidRPr="00037881" w:rsidRDefault="00F45246" w:rsidP="00F45246">
            <w:pPr>
              <w:pStyle w:val="T1TableStyle"/>
              <w:jc w:val="right"/>
              <w:rPr>
                <w:rFonts w:ascii="Verdana" w:eastAsia="Verdana" w:hAnsi="Verdana" w:cs="Verdana"/>
                <w:color w:val="000000"/>
                <w:sz w:val="16"/>
                <w:lang w:val="en-GB"/>
              </w:rPr>
            </w:pPr>
            <w:r w:rsidRPr="00037881">
              <w:rPr>
                <w:rFonts w:ascii="Verdana" w:eastAsia="Verdana" w:hAnsi="Verdana" w:cs="Verdana"/>
                <w:color w:val="000000"/>
                <w:sz w:val="16"/>
                <w:lang w:val="en-GB"/>
              </w:rPr>
              <w:t>63,875</w:t>
            </w:r>
          </w:p>
        </w:tc>
        <w:tc>
          <w:tcPr>
            <w:tcW w:w="1267" w:type="dxa"/>
            <w:shd w:val="clear" w:color="auto" w:fill="auto"/>
            <w:tcMar>
              <w:top w:w="20" w:type="dxa"/>
              <w:left w:w="20" w:type="dxa"/>
              <w:bottom w:w="20" w:type="dxa"/>
              <w:right w:w="20" w:type="dxa"/>
            </w:tcMar>
          </w:tcPr>
          <w:p w14:paraId="4505F436"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tc>
        <w:tc>
          <w:tcPr>
            <w:tcW w:w="1191" w:type="dxa"/>
            <w:shd w:val="clear" w:color="auto" w:fill="auto"/>
            <w:tcMar>
              <w:top w:w="20" w:type="dxa"/>
              <w:left w:w="20" w:type="dxa"/>
              <w:bottom w:w="20" w:type="dxa"/>
              <w:right w:w="20" w:type="dxa"/>
            </w:tcMar>
          </w:tcPr>
          <w:p w14:paraId="1076A80B" w14:textId="77777777" w:rsidR="00F45246" w:rsidRPr="00037881" w:rsidRDefault="00F45246" w:rsidP="00F45246">
            <w:pPr>
              <w:pStyle w:val="T1TableStyle"/>
              <w:jc w:val="right"/>
              <w:rPr>
                <w:rFonts w:ascii="Verdana" w:eastAsia="Verdana" w:hAnsi="Verdana" w:cs="Verdana"/>
                <w:color w:val="000000"/>
                <w:sz w:val="16"/>
                <w:lang w:val="en-GB"/>
              </w:rPr>
            </w:pPr>
            <w:r w:rsidRPr="00037881">
              <w:rPr>
                <w:rFonts w:ascii="Verdana" w:eastAsia="Verdana" w:hAnsi="Verdana" w:cs="Verdana"/>
                <w:color w:val="000000"/>
                <w:sz w:val="16"/>
                <w:lang w:val="en-GB"/>
              </w:rPr>
              <w:t>63,875</w:t>
            </w:r>
          </w:p>
        </w:tc>
        <w:tc>
          <w:tcPr>
            <w:tcW w:w="1348" w:type="dxa"/>
            <w:shd w:val="clear" w:color="auto" w:fill="auto"/>
            <w:tcMar>
              <w:top w:w="20" w:type="dxa"/>
              <w:left w:w="20" w:type="dxa"/>
              <w:bottom w:w="20" w:type="dxa"/>
              <w:right w:w="20" w:type="dxa"/>
            </w:tcMar>
          </w:tcPr>
          <w:p w14:paraId="33195B1B"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tc>
        <w:tc>
          <w:tcPr>
            <w:tcW w:w="1396" w:type="dxa"/>
            <w:shd w:val="clear" w:color="auto" w:fill="auto"/>
            <w:tcMar>
              <w:top w:w="20" w:type="dxa"/>
              <w:left w:w="20" w:type="dxa"/>
              <w:bottom w:w="20" w:type="dxa"/>
              <w:right w:w="20" w:type="dxa"/>
            </w:tcMar>
          </w:tcPr>
          <w:p w14:paraId="6EC8DB9E"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tc>
        <w:tc>
          <w:tcPr>
            <w:tcW w:w="1096" w:type="dxa"/>
            <w:tcBorders>
              <w:left w:val="single" w:sz="2" w:space="0" w:color="000000"/>
              <w:right w:val="single" w:sz="2" w:space="0" w:color="000000"/>
            </w:tcBorders>
            <w:shd w:val="clear" w:color="auto" w:fill="auto"/>
            <w:tcMar>
              <w:top w:w="20" w:type="dxa"/>
              <w:left w:w="20" w:type="dxa"/>
              <w:bottom w:w="20" w:type="dxa"/>
              <w:right w:w="20" w:type="dxa"/>
            </w:tcMar>
          </w:tcPr>
          <w:p w14:paraId="2A9E412C"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63,875</w:t>
            </w:r>
          </w:p>
        </w:tc>
        <w:tc>
          <w:tcPr>
            <w:tcW w:w="1191" w:type="dxa"/>
            <w:shd w:val="clear" w:color="auto" w:fill="auto"/>
            <w:tcMar>
              <w:top w:w="20" w:type="dxa"/>
              <w:left w:w="20" w:type="dxa"/>
              <w:bottom w:w="20" w:type="dxa"/>
              <w:right w:w="20" w:type="dxa"/>
            </w:tcMar>
          </w:tcPr>
          <w:p w14:paraId="143709BB"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tc>
        <w:tc>
          <w:tcPr>
            <w:tcW w:w="1191" w:type="dxa"/>
            <w:tcBorders>
              <w:left w:val="single" w:sz="2" w:space="0" w:color="000000"/>
            </w:tcBorders>
            <w:shd w:val="clear" w:color="auto" w:fill="auto"/>
            <w:tcMar>
              <w:top w:w="20" w:type="dxa"/>
              <w:left w:w="20" w:type="dxa"/>
              <w:bottom w:w="20" w:type="dxa"/>
              <w:right w:w="20" w:type="dxa"/>
            </w:tcMar>
          </w:tcPr>
          <w:p w14:paraId="1E7D0F1F"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63,875</w:t>
            </w:r>
          </w:p>
        </w:tc>
      </w:tr>
      <w:tr w:rsidR="00F45246" w:rsidRPr="00037881" w14:paraId="5A669C16" w14:textId="77777777" w:rsidTr="005503D2">
        <w:trPr>
          <w:trHeight w:val="341"/>
          <w:jc w:val="center"/>
        </w:trPr>
        <w:tc>
          <w:tcPr>
            <w:tcW w:w="2556" w:type="dxa"/>
            <w:tcBorders>
              <w:bottom w:val="single" w:sz="2" w:space="0" w:color="000000"/>
            </w:tcBorders>
            <w:shd w:val="clear" w:color="auto" w:fill="auto"/>
            <w:tcMar>
              <w:top w:w="20" w:type="dxa"/>
              <w:left w:w="20" w:type="dxa"/>
              <w:bottom w:w="20" w:type="dxa"/>
              <w:right w:w="20" w:type="dxa"/>
            </w:tcMar>
          </w:tcPr>
          <w:p w14:paraId="7A790FEE" w14:textId="77777777" w:rsidR="00F45246" w:rsidRPr="00037881" w:rsidRDefault="00F45246" w:rsidP="00F45246">
            <w:pPr>
              <w:pStyle w:val="T1TableStyle"/>
              <w:rPr>
                <w:rFonts w:ascii="Verdana" w:eastAsia="Verdana" w:hAnsi="Verdana" w:cs="Verdana"/>
                <w:color w:val="000000"/>
                <w:sz w:val="16"/>
                <w:lang w:val="en-GB"/>
              </w:rPr>
            </w:pPr>
            <w:r w:rsidRPr="00037881">
              <w:rPr>
                <w:rFonts w:ascii="Verdana" w:eastAsia="Verdana" w:hAnsi="Verdana" w:cs="Verdana"/>
                <w:color w:val="000000"/>
                <w:sz w:val="16"/>
                <w:lang w:val="en-GB"/>
              </w:rPr>
              <w:t>Other Comprehensive Income / Expenditure</w:t>
            </w:r>
          </w:p>
        </w:tc>
        <w:tc>
          <w:tcPr>
            <w:tcW w:w="1096" w:type="dxa"/>
            <w:tcBorders>
              <w:left w:val="single" w:sz="2" w:space="0" w:color="000000"/>
              <w:bottom w:val="single" w:sz="2" w:space="0" w:color="000000"/>
            </w:tcBorders>
            <w:shd w:val="clear" w:color="auto" w:fill="auto"/>
            <w:tcMar>
              <w:top w:w="20" w:type="dxa"/>
              <w:left w:w="20" w:type="dxa"/>
              <w:bottom w:w="20" w:type="dxa"/>
              <w:right w:w="20" w:type="dxa"/>
            </w:tcMar>
          </w:tcPr>
          <w:p w14:paraId="116518DF"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tc>
        <w:tc>
          <w:tcPr>
            <w:tcW w:w="1267" w:type="dxa"/>
            <w:tcBorders>
              <w:bottom w:val="single" w:sz="2" w:space="0" w:color="000000"/>
            </w:tcBorders>
            <w:shd w:val="clear" w:color="auto" w:fill="auto"/>
            <w:tcMar>
              <w:top w:w="20" w:type="dxa"/>
              <w:left w:w="20" w:type="dxa"/>
              <w:bottom w:w="20" w:type="dxa"/>
              <w:right w:w="20" w:type="dxa"/>
            </w:tcMar>
          </w:tcPr>
          <w:p w14:paraId="6E77DCC7"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tc>
        <w:tc>
          <w:tcPr>
            <w:tcW w:w="1191" w:type="dxa"/>
            <w:tcBorders>
              <w:bottom w:val="single" w:sz="2" w:space="0" w:color="000000"/>
            </w:tcBorders>
            <w:shd w:val="clear" w:color="auto" w:fill="auto"/>
            <w:tcMar>
              <w:top w:w="20" w:type="dxa"/>
              <w:left w:w="20" w:type="dxa"/>
              <w:bottom w:w="20" w:type="dxa"/>
              <w:right w:w="20" w:type="dxa"/>
            </w:tcMar>
          </w:tcPr>
          <w:p w14:paraId="075DC039"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tc>
        <w:tc>
          <w:tcPr>
            <w:tcW w:w="1348" w:type="dxa"/>
            <w:tcBorders>
              <w:bottom w:val="single" w:sz="2" w:space="0" w:color="000000"/>
            </w:tcBorders>
            <w:shd w:val="clear" w:color="auto" w:fill="auto"/>
            <w:tcMar>
              <w:top w:w="20" w:type="dxa"/>
              <w:left w:w="20" w:type="dxa"/>
              <w:bottom w:w="20" w:type="dxa"/>
              <w:right w:w="20" w:type="dxa"/>
            </w:tcMar>
          </w:tcPr>
          <w:p w14:paraId="32A3FCFC"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tc>
        <w:tc>
          <w:tcPr>
            <w:tcW w:w="1396" w:type="dxa"/>
            <w:tcBorders>
              <w:bottom w:val="single" w:sz="2" w:space="0" w:color="000000"/>
            </w:tcBorders>
            <w:shd w:val="clear" w:color="auto" w:fill="auto"/>
            <w:tcMar>
              <w:top w:w="20" w:type="dxa"/>
              <w:left w:w="20" w:type="dxa"/>
              <w:bottom w:w="20" w:type="dxa"/>
              <w:right w:w="20" w:type="dxa"/>
            </w:tcMar>
          </w:tcPr>
          <w:p w14:paraId="582D24D0"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tc>
        <w:tc>
          <w:tcPr>
            <w:tcW w:w="1096"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6EA3486" w14:textId="77777777" w:rsidR="00F45246" w:rsidRPr="00037881" w:rsidRDefault="00F45246" w:rsidP="00F45246">
            <w:pPr>
              <w:pStyle w:val="T1TableStyle"/>
              <w:jc w:val="right"/>
              <w:rPr>
                <w:rFonts w:ascii="Verdana" w:eastAsia="Verdana" w:hAnsi="Verdana" w:cs="Verdana"/>
                <w:b/>
                <w:color w:val="000000"/>
                <w:sz w:val="2"/>
                <w:lang w:val="en-GB"/>
              </w:rPr>
            </w:pPr>
            <w:r w:rsidRPr="00037881">
              <w:rPr>
                <w:rFonts w:ascii="Verdana" w:eastAsia="Verdana" w:hAnsi="Verdana" w:cs="Verdana"/>
                <w:b/>
                <w:color w:val="000000"/>
                <w:sz w:val="2"/>
                <w:lang w:val="en-GB"/>
              </w:rPr>
              <w:t xml:space="preserve"> </w:t>
            </w:r>
          </w:p>
        </w:tc>
        <w:tc>
          <w:tcPr>
            <w:tcW w:w="1191" w:type="dxa"/>
            <w:tcBorders>
              <w:bottom w:val="single" w:sz="2" w:space="0" w:color="000000"/>
            </w:tcBorders>
            <w:shd w:val="clear" w:color="auto" w:fill="auto"/>
            <w:tcMar>
              <w:top w:w="20" w:type="dxa"/>
              <w:left w:w="20" w:type="dxa"/>
              <w:bottom w:w="20" w:type="dxa"/>
              <w:right w:w="20" w:type="dxa"/>
            </w:tcMar>
          </w:tcPr>
          <w:p w14:paraId="71EDE745" w14:textId="77777777" w:rsidR="00F45246" w:rsidRPr="00037881" w:rsidRDefault="00F45246" w:rsidP="00F45246">
            <w:pPr>
              <w:pStyle w:val="T1TableStyle"/>
              <w:jc w:val="right"/>
              <w:rPr>
                <w:rFonts w:ascii="Verdana" w:eastAsia="Verdana" w:hAnsi="Verdana" w:cs="Verdana"/>
                <w:color w:val="000000"/>
                <w:sz w:val="16"/>
                <w:lang w:val="en-GB"/>
              </w:rPr>
            </w:pPr>
            <w:r w:rsidRPr="00037881">
              <w:rPr>
                <w:rFonts w:ascii="Verdana" w:eastAsia="Verdana" w:hAnsi="Verdana" w:cs="Verdana"/>
                <w:color w:val="000000"/>
                <w:sz w:val="16"/>
                <w:lang w:val="en-GB"/>
              </w:rPr>
              <w:t>(201,457)</w:t>
            </w:r>
          </w:p>
        </w:tc>
        <w:tc>
          <w:tcPr>
            <w:tcW w:w="1191" w:type="dxa"/>
            <w:tcBorders>
              <w:left w:val="single" w:sz="2" w:space="0" w:color="000000"/>
              <w:bottom w:val="single" w:sz="2" w:space="0" w:color="000000"/>
            </w:tcBorders>
            <w:shd w:val="clear" w:color="auto" w:fill="auto"/>
            <w:tcMar>
              <w:top w:w="20" w:type="dxa"/>
              <w:left w:w="20" w:type="dxa"/>
              <w:bottom w:w="20" w:type="dxa"/>
              <w:right w:w="20" w:type="dxa"/>
            </w:tcMar>
          </w:tcPr>
          <w:p w14:paraId="4ECE462A"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(201,457)</w:t>
            </w:r>
          </w:p>
        </w:tc>
      </w:tr>
      <w:tr w:rsidR="00F45246" w:rsidRPr="00037881" w14:paraId="644013FA" w14:textId="77777777" w:rsidTr="005503D2">
        <w:trPr>
          <w:trHeight w:val="341"/>
          <w:jc w:val="center"/>
        </w:trPr>
        <w:tc>
          <w:tcPr>
            <w:tcW w:w="2556" w:type="dxa"/>
            <w:shd w:val="clear" w:color="auto" w:fill="auto"/>
            <w:tcMar>
              <w:top w:w="20" w:type="dxa"/>
              <w:left w:w="20" w:type="dxa"/>
              <w:bottom w:w="20" w:type="dxa"/>
              <w:right w:w="20" w:type="dxa"/>
            </w:tcMar>
          </w:tcPr>
          <w:p w14:paraId="2D7EE83C" w14:textId="77777777" w:rsidR="00F45246" w:rsidRPr="00037881" w:rsidRDefault="00F45246" w:rsidP="00F45246">
            <w:pPr>
              <w:pStyle w:val="T1TableStyle"/>
              <w:rPr>
                <w:rFonts w:ascii="Verdana" w:eastAsia="Verdana" w:hAnsi="Verdana" w:cs="Verdana"/>
                <w:b/>
                <w:color w:val="000000"/>
                <w:sz w:val="16"/>
                <w:lang w:val="en-GB"/>
              </w:rPr>
            </w:pPr>
            <w:r w:rsidRPr="00037881">
              <w:rPr>
                <w:rFonts w:ascii="Verdana" w:eastAsia="Verdana" w:hAnsi="Verdana" w:cs="Verdana"/>
                <w:b/>
                <w:color w:val="000000"/>
                <w:sz w:val="16"/>
                <w:lang w:val="en-GB"/>
              </w:rPr>
              <w:t>Total Comprehensive Income and Expenditure</w:t>
            </w:r>
          </w:p>
        </w:tc>
        <w:tc>
          <w:tcPr>
            <w:tcW w:w="1096" w:type="dxa"/>
            <w:tcBorders>
              <w:left w:val="single" w:sz="2" w:space="0" w:color="000000"/>
            </w:tcBorders>
            <w:shd w:val="clear" w:color="auto" w:fill="auto"/>
            <w:tcMar>
              <w:top w:w="20" w:type="dxa"/>
              <w:left w:w="20" w:type="dxa"/>
              <w:bottom w:w="20" w:type="dxa"/>
              <w:right w:w="20" w:type="dxa"/>
            </w:tcMar>
          </w:tcPr>
          <w:p w14:paraId="78A02361"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63,875</w:t>
            </w:r>
          </w:p>
        </w:tc>
        <w:tc>
          <w:tcPr>
            <w:tcW w:w="1267" w:type="dxa"/>
            <w:shd w:val="clear" w:color="auto" w:fill="auto"/>
            <w:tcMar>
              <w:top w:w="20" w:type="dxa"/>
              <w:left w:w="20" w:type="dxa"/>
              <w:bottom w:w="20" w:type="dxa"/>
              <w:right w:w="20" w:type="dxa"/>
            </w:tcMar>
          </w:tcPr>
          <w:p w14:paraId="327A3B6C"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0</w:t>
            </w:r>
          </w:p>
        </w:tc>
        <w:tc>
          <w:tcPr>
            <w:tcW w:w="1191" w:type="dxa"/>
            <w:shd w:val="clear" w:color="auto" w:fill="auto"/>
            <w:tcMar>
              <w:top w:w="20" w:type="dxa"/>
              <w:left w:w="20" w:type="dxa"/>
              <w:bottom w:w="20" w:type="dxa"/>
              <w:right w:w="20" w:type="dxa"/>
            </w:tcMar>
          </w:tcPr>
          <w:p w14:paraId="16466964"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63,875</w:t>
            </w:r>
          </w:p>
        </w:tc>
        <w:tc>
          <w:tcPr>
            <w:tcW w:w="1348" w:type="dxa"/>
            <w:shd w:val="clear" w:color="auto" w:fill="auto"/>
            <w:tcMar>
              <w:top w:w="20" w:type="dxa"/>
              <w:left w:w="20" w:type="dxa"/>
              <w:bottom w:w="20" w:type="dxa"/>
              <w:right w:w="20" w:type="dxa"/>
            </w:tcMar>
          </w:tcPr>
          <w:p w14:paraId="2645DBED" w14:textId="77777777" w:rsidR="00F45246" w:rsidRPr="00037881" w:rsidRDefault="00F45246" w:rsidP="00F45246">
            <w:pPr>
              <w:pStyle w:val="T1TableStyle"/>
              <w:jc w:val="right"/>
              <w:rPr>
                <w:rFonts w:ascii="Verdana" w:eastAsia="Verdana" w:hAnsi="Verdana" w:cs="Verdana"/>
                <w:b/>
                <w:color w:val="000000"/>
                <w:sz w:val="2"/>
                <w:lang w:val="en-GB"/>
              </w:rPr>
            </w:pPr>
            <w:r w:rsidRPr="00037881">
              <w:rPr>
                <w:rFonts w:ascii="Verdana" w:eastAsia="Verdana" w:hAnsi="Verdana" w:cs="Verdana"/>
                <w:b/>
                <w:color w:val="000000"/>
                <w:sz w:val="2"/>
                <w:lang w:val="en-GB"/>
              </w:rPr>
              <w:t xml:space="preserve"> </w:t>
            </w:r>
          </w:p>
        </w:tc>
        <w:tc>
          <w:tcPr>
            <w:tcW w:w="1396" w:type="dxa"/>
            <w:shd w:val="clear" w:color="auto" w:fill="auto"/>
            <w:tcMar>
              <w:top w:w="20" w:type="dxa"/>
              <w:left w:w="20" w:type="dxa"/>
              <w:bottom w:w="20" w:type="dxa"/>
              <w:right w:w="20" w:type="dxa"/>
            </w:tcMar>
          </w:tcPr>
          <w:p w14:paraId="6112C838" w14:textId="77777777" w:rsidR="00F45246" w:rsidRPr="00037881" w:rsidRDefault="00F45246" w:rsidP="00F45246">
            <w:pPr>
              <w:pStyle w:val="T1TableStyle"/>
              <w:jc w:val="right"/>
              <w:rPr>
                <w:rFonts w:ascii="Verdana" w:eastAsia="Verdana" w:hAnsi="Verdana" w:cs="Verdana"/>
                <w:b/>
                <w:color w:val="000000"/>
                <w:sz w:val="2"/>
                <w:lang w:val="en-GB"/>
              </w:rPr>
            </w:pPr>
            <w:r w:rsidRPr="00037881">
              <w:rPr>
                <w:rFonts w:ascii="Verdana" w:eastAsia="Verdana" w:hAnsi="Verdana" w:cs="Verdana"/>
                <w:b/>
                <w:color w:val="000000"/>
                <w:sz w:val="2"/>
                <w:lang w:val="en-GB"/>
              </w:rPr>
              <w:t xml:space="preserve"> </w:t>
            </w:r>
          </w:p>
        </w:tc>
        <w:tc>
          <w:tcPr>
            <w:tcW w:w="1096" w:type="dxa"/>
            <w:tcBorders>
              <w:left w:val="single" w:sz="2" w:space="0" w:color="000000"/>
              <w:right w:val="single" w:sz="2" w:space="0" w:color="000000"/>
            </w:tcBorders>
            <w:shd w:val="clear" w:color="auto" w:fill="auto"/>
            <w:tcMar>
              <w:top w:w="20" w:type="dxa"/>
              <w:left w:w="20" w:type="dxa"/>
              <w:bottom w:w="20" w:type="dxa"/>
              <w:right w:w="20" w:type="dxa"/>
            </w:tcMar>
          </w:tcPr>
          <w:p w14:paraId="2898043B"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92,678</w:t>
            </w:r>
          </w:p>
        </w:tc>
        <w:tc>
          <w:tcPr>
            <w:tcW w:w="1191" w:type="dxa"/>
            <w:shd w:val="clear" w:color="auto" w:fill="auto"/>
            <w:tcMar>
              <w:top w:w="20" w:type="dxa"/>
              <w:left w:w="20" w:type="dxa"/>
              <w:bottom w:w="20" w:type="dxa"/>
              <w:right w:w="20" w:type="dxa"/>
            </w:tcMar>
          </w:tcPr>
          <w:p w14:paraId="6AE716E2"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(201,457)</w:t>
            </w:r>
          </w:p>
        </w:tc>
        <w:tc>
          <w:tcPr>
            <w:tcW w:w="1191" w:type="dxa"/>
            <w:tcBorders>
              <w:left w:val="single" w:sz="2" w:space="0" w:color="000000"/>
            </w:tcBorders>
            <w:shd w:val="clear" w:color="auto" w:fill="auto"/>
            <w:tcMar>
              <w:top w:w="20" w:type="dxa"/>
              <w:left w:w="20" w:type="dxa"/>
              <w:bottom w:w="20" w:type="dxa"/>
              <w:right w:w="20" w:type="dxa"/>
            </w:tcMar>
          </w:tcPr>
          <w:p w14:paraId="3E65D8EF"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(137,582)</w:t>
            </w:r>
          </w:p>
        </w:tc>
      </w:tr>
      <w:tr w:rsidR="00F45246" w:rsidRPr="00037881" w14:paraId="737B9B3A" w14:textId="77777777" w:rsidTr="005503D2">
        <w:trPr>
          <w:trHeight w:val="683"/>
          <w:jc w:val="center"/>
        </w:trPr>
        <w:tc>
          <w:tcPr>
            <w:tcW w:w="2556" w:type="dxa"/>
            <w:tcBorders>
              <w:bottom w:val="single" w:sz="4" w:space="0" w:color="auto"/>
            </w:tcBorders>
            <w:shd w:val="clear" w:color="auto" w:fill="auto"/>
            <w:tcMar>
              <w:top w:w="20" w:type="dxa"/>
              <w:left w:w="20" w:type="dxa"/>
              <w:bottom w:w="20" w:type="dxa"/>
              <w:right w:w="20" w:type="dxa"/>
            </w:tcMar>
          </w:tcPr>
          <w:p w14:paraId="094B3EC8" w14:textId="77777777" w:rsidR="00F45246" w:rsidRPr="00037881" w:rsidRDefault="00F45246" w:rsidP="00F45246">
            <w:pPr>
              <w:pStyle w:val="T1TableStyle"/>
              <w:rPr>
                <w:rFonts w:ascii="Verdana" w:eastAsia="Verdana" w:hAnsi="Verdana" w:cs="Verdana"/>
                <w:color w:val="000000"/>
                <w:sz w:val="16"/>
                <w:lang w:val="en-GB"/>
              </w:rPr>
            </w:pPr>
            <w:r w:rsidRPr="00037881">
              <w:rPr>
                <w:rFonts w:ascii="Verdana" w:eastAsia="Verdana" w:hAnsi="Verdana" w:cs="Verdana"/>
                <w:color w:val="000000"/>
                <w:sz w:val="16"/>
                <w:lang w:val="en-GB"/>
              </w:rPr>
              <w:t>Adjustments between accounting basis and funding basis under regulations</w:t>
            </w:r>
          </w:p>
        </w:tc>
        <w:tc>
          <w:tcPr>
            <w:tcW w:w="1096" w:type="dxa"/>
            <w:tcBorders>
              <w:left w:val="single" w:sz="2" w:space="0" w:color="000000"/>
              <w:bottom w:val="single" w:sz="4" w:space="0" w:color="auto"/>
            </w:tcBorders>
            <w:shd w:val="clear" w:color="auto" w:fill="auto"/>
            <w:tcMar>
              <w:top w:w="20" w:type="dxa"/>
              <w:left w:w="20" w:type="dxa"/>
              <w:bottom w:w="20" w:type="dxa"/>
              <w:right w:w="20" w:type="dxa"/>
            </w:tcMar>
          </w:tcPr>
          <w:p w14:paraId="26B433C8" w14:textId="77777777" w:rsidR="00F45246" w:rsidRPr="00037881" w:rsidRDefault="00F45246" w:rsidP="00F45246">
            <w:pPr>
              <w:pStyle w:val="T1TableStyle"/>
              <w:jc w:val="right"/>
              <w:rPr>
                <w:rFonts w:ascii="Verdana" w:eastAsia="Verdana" w:hAnsi="Verdana" w:cs="Verdana"/>
                <w:color w:val="000000"/>
                <w:sz w:val="16"/>
                <w:lang w:val="en-GB"/>
              </w:rPr>
            </w:pPr>
            <w:r w:rsidRPr="00037881">
              <w:rPr>
                <w:rFonts w:ascii="Verdana" w:eastAsia="Verdana" w:hAnsi="Verdana" w:cs="Verdana"/>
                <w:color w:val="000000"/>
                <w:sz w:val="16"/>
                <w:lang w:val="en-GB"/>
              </w:rPr>
              <w:t>(66,123)</w:t>
            </w:r>
          </w:p>
        </w:tc>
        <w:tc>
          <w:tcPr>
            <w:tcW w:w="1267" w:type="dxa"/>
            <w:tcBorders>
              <w:bottom w:val="single" w:sz="4" w:space="0" w:color="auto"/>
            </w:tcBorders>
            <w:shd w:val="clear" w:color="auto" w:fill="auto"/>
            <w:tcMar>
              <w:top w:w="20" w:type="dxa"/>
              <w:left w:w="20" w:type="dxa"/>
              <w:bottom w:w="20" w:type="dxa"/>
              <w:right w:w="20" w:type="dxa"/>
            </w:tcMar>
          </w:tcPr>
          <w:p w14:paraId="6A33512D"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tc>
        <w:tc>
          <w:tcPr>
            <w:tcW w:w="1191" w:type="dxa"/>
            <w:tcBorders>
              <w:bottom w:val="single" w:sz="4" w:space="0" w:color="auto"/>
            </w:tcBorders>
            <w:shd w:val="clear" w:color="auto" w:fill="auto"/>
            <w:tcMar>
              <w:top w:w="20" w:type="dxa"/>
              <w:left w:w="20" w:type="dxa"/>
              <w:bottom w:w="20" w:type="dxa"/>
              <w:right w:w="20" w:type="dxa"/>
            </w:tcMar>
          </w:tcPr>
          <w:p w14:paraId="4DBE1D2A" w14:textId="77777777" w:rsidR="00F45246" w:rsidRPr="00037881" w:rsidRDefault="00F45246" w:rsidP="00F45246">
            <w:pPr>
              <w:pStyle w:val="T1TableStyle"/>
              <w:jc w:val="right"/>
              <w:rPr>
                <w:rFonts w:ascii="Verdana" w:eastAsia="Verdana" w:hAnsi="Verdana" w:cs="Verdana"/>
                <w:color w:val="000000"/>
                <w:sz w:val="16"/>
                <w:lang w:val="en-GB"/>
              </w:rPr>
            </w:pPr>
            <w:r w:rsidRPr="00037881">
              <w:rPr>
                <w:rFonts w:ascii="Verdana" w:eastAsia="Verdana" w:hAnsi="Verdana" w:cs="Verdana"/>
                <w:color w:val="000000"/>
                <w:sz w:val="16"/>
                <w:lang w:val="en-GB"/>
              </w:rPr>
              <w:t>(66,123)</w:t>
            </w:r>
          </w:p>
        </w:tc>
        <w:tc>
          <w:tcPr>
            <w:tcW w:w="1348" w:type="dxa"/>
            <w:tcBorders>
              <w:bottom w:val="single" w:sz="4" w:space="0" w:color="auto"/>
            </w:tcBorders>
            <w:shd w:val="clear" w:color="auto" w:fill="auto"/>
            <w:tcMar>
              <w:top w:w="20" w:type="dxa"/>
              <w:left w:w="20" w:type="dxa"/>
              <w:bottom w:w="20" w:type="dxa"/>
              <w:right w:w="20" w:type="dxa"/>
            </w:tcMar>
          </w:tcPr>
          <w:p w14:paraId="1171AABA" w14:textId="77777777" w:rsidR="00F45246" w:rsidRPr="00037881" w:rsidRDefault="00F45246" w:rsidP="00F45246">
            <w:pPr>
              <w:pStyle w:val="T1TableStyle"/>
              <w:jc w:val="right"/>
              <w:rPr>
                <w:rFonts w:ascii="Verdana" w:eastAsia="Verdana" w:hAnsi="Verdana" w:cs="Verdana"/>
                <w:color w:val="000000"/>
                <w:sz w:val="16"/>
                <w:lang w:val="en-GB"/>
              </w:rPr>
            </w:pPr>
            <w:r w:rsidRPr="00037881">
              <w:rPr>
                <w:rFonts w:ascii="Verdana" w:eastAsia="Verdana" w:hAnsi="Verdana" w:cs="Verdana"/>
                <w:color w:val="000000"/>
                <w:sz w:val="16"/>
                <w:lang w:val="en-GB"/>
              </w:rPr>
              <w:t>3,799</w:t>
            </w:r>
          </w:p>
        </w:tc>
        <w:tc>
          <w:tcPr>
            <w:tcW w:w="1396" w:type="dxa"/>
            <w:tcBorders>
              <w:bottom w:val="single" w:sz="4" w:space="0" w:color="auto"/>
            </w:tcBorders>
            <w:shd w:val="clear" w:color="auto" w:fill="auto"/>
            <w:tcMar>
              <w:top w:w="20" w:type="dxa"/>
              <w:left w:w="20" w:type="dxa"/>
              <w:bottom w:w="20" w:type="dxa"/>
              <w:right w:w="20" w:type="dxa"/>
            </w:tcMar>
          </w:tcPr>
          <w:p w14:paraId="50AF6C93" w14:textId="77777777" w:rsidR="00F45246" w:rsidRPr="00037881" w:rsidRDefault="00F45246" w:rsidP="00F45246">
            <w:pPr>
              <w:pStyle w:val="T1TableStyle"/>
              <w:jc w:val="right"/>
              <w:rPr>
                <w:rFonts w:ascii="Verdana" w:eastAsia="Verdana" w:hAnsi="Verdana" w:cs="Verdana"/>
                <w:color w:val="000000"/>
                <w:sz w:val="16"/>
                <w:lang w:val="en-GB"/>
              </w:rPr>
            </w:pPr>
            <w:r w:rsidRPr="00037881">
              <w:rPr>
                <w:rFonts w:ascii="Verdana" w:eastAsia="Verdana" w:hAnsi="Verdana" w:cs="Verdana"/>
                <w:color w:val="000000"/>
                <w:sz w:val="16"/>
                <w:lang w:val="en-GB"/>
              </w:rPr>
              <w:t>(1,629)</w:t>
            </w:r>
          </w:p>
        </w:tc>
        <w:tc>
          <w:tcPr>
            <w:tcW w:w="1096" w:type="dxa"/>
            <w:tcBorders>
              <w:left w:val="single" w:sz="2" w:space="0" w:color="000000"/>
              <w:bottom w:val="single" w:sz="4" w:space="0" w:color="auto"/>
              <w:right w:val="single" w:sz="2" w:space="0" w:color="000000"/>
            </w:tcBorders>
            <w:shd w:val="clear" w:color="auto" w:fill="auto"/>
            <w:tcMar>
              <w:top w:w="20" w:type="dxa"/>
              <w:left w:w="20" w:type="dxa"/>
              <w:bottom w:w="20" w:type="dxa"/>
              <w:right w:w="20" w:type="dxa"/>
            </w:tcMar>
          </w:tcPr>
          <w:p w14:paraId="74E5166C"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(63,953)</w:t>
            </w:r>
          </w:p>
        </w:tc>
        <w:tc>
          <w:tcPr>
            <w:tcW w:w="1191" w:type="dxa"/>
            <w:tcBorders>
              <w:bottom w:val="single" w:sz="4" w:space="0" w:color="auto"/>
            </w:tcBorders>
            <w:shd w:val="clear" w:color="auto" w:fill="auto"/>
            <w:tcMar>
              <w:top w:w="20" w:type="dxa"/>
              <w:left w:w="20" w:type="dxa"/>
              <w:bottom w:w="20" w:type="dxa"/>
              <w:right w:w="20" w:type="dxa"/>
            </w:tcMar>
          </w:tcPr>
          <w:p w14:paraId="139A10F8" w14:textId="77777777" w:rsidR="00F45246" w:rsidRPr="00037881" w:rsidRDefault="00F45246" w:rsidP="00F45246">
            <w:pPr>
              <w:pStyle w:val="T1TableStyle"/>
              <w:jc w:val="right"/>
              <w:rPr>
                <w:rFonts w:ascii="Verdana" w:eastAsia="Verdana" w:hAnsi="Verdana" w:cs="Verdana"/>
                <w:color w:val="000000"/>
                <w:sz w:val="16"/>
                <w:lang w:val="en-GB"/>
              </w:rPr>
            </w:pPr>
            <w:r w:rsidRPr="00037881">
              <w:rPr>
                <w:rFonts w:ascii="Verdana" w:eastAsia="Verdana" w:hAnsi="Verdana" w:cs="Verdana"/>
                <w:color w:val="000000"/>
                <w:sz w:val="16"/>
                <w:lang w:val="en-GB"/>
              </w:rPr>
              <w:t>63,953</w:t>
            </w:r>
          </w:p>
        </w:tc>
        <w:tc>
          <w:tcPr>
            <w:tcW w:w="1191" w:type="dxa"/>
            <w:tcBorders>
              <w:left w:val="single" w:sz="2" w:space="0" w:color="000000"/>
              <w:bottom w:val="single" w:sz="4" w:space="0" w:color="auto"/>
            </w:tcBorders>
            <w:shd w:val="clear" w:color="auto" w:fill="auto"/>
            <w:tcMar>
              <w:top w:w="20" w:type="dxa"/>
              <w:left w:w="20" w:type="dxa"/>
              <w:bottom w:w="20" w:type="dxa"/>
              <w:right w:w="20" w:type="dxa"/>
            </w:tcMar>
          </w:tcPr>
          <w:p w14:paraId="1889A495"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0</w:t>
            </w:r>
          </w:p>
        </w:tc>
      </w:tr>
      <w:tr w:rsidR="00F45246" w:rsidRPr="00037881" w14:paraId="146E672E" w14:textId="77777777" w:rsidTr="005503D2">
        <w:trPr>
          <w:trHeight w:val="537"/>
          <w:jc w:val="center"/>
        </w:trPr>
        <w:tc>
          <w:tcPr>
            <w:tcW w:w="2556" w:type="dxa"/>
            <w:tcBorders>
              <w:top w:val="single" w:sz="4" w:space="0" w:color="auto"/>
            </w:tcBorders>
            <w:shd w:val="clear" w:color="auto" w:fill="auto"/>
            <w:tcMar>
              <w:top w:w="20" w:type="dxa"/>
              <w:left w:w="20" w:type="dxa"/>
              <w:bottom w:w="20" w:type="dxa"/>
              <w:right w:w="20" w:type="dxa"/>
            </w:tcMar>
          </w:tcPr>
          <w:p w14:paraId="67FEFBA0" w14:textId="77777777" w:rsidR="00F45246" w:rsidRPr="00037881" w:rsidRDefault="00F45246" w:rsidP="00F45246">
            <w:pPr>
              <w:pStyle w:val="T1TableStyle"/>
              <w:rPr>
                <w:rFonts w:ascii="Verdana" w:eastAsia="Verdana" w:hAnsi="Verdana" w:cs="Verdana"/>
                <w:b/>
                <w:color w:val="000000"/>
                <w:sz w:val="16"/>
                <w:lang w:val="en-GB"/>
              </w:rPr>
            </w:pPr>
            <w:r w:rsidRPr="00037881">
              <w:rPr>
                <w:rFonts w:ascii="Verdana" w:eastAsia="Verdana" w:hAnsi="Verdana" w:cs="Verdana"/>
                <w:b/>
                <w:color w:val="000000"/>
                <w:sz w:val="16"/>
                <w:lang w:val="en-GB"/>
              </w:rPr>
              <w:t>Net Increase or Decrease before Transfers to Earmarked Reserves</w:t>
            </w:r>
          </w:p>
        </w:tc>
        <w:tc>
          <w:tcPr>
            <w:tcW w:w="1096" w:type="dxa"/>
            <w:tcBorders>
              <w:top w:val="single" w:sz="4" w:space="0" w:color="auto"/>
              <w:left w:val="single" w:sz="2" w:space="0" w:color="000000"/>
            </w:tcBorders>
            <w:shd w:val="clear" w:color="auto" w:fill="auto"/>
            <w:tcMar>
              <w:top w:w="20" w:type="dxa"/>
              <w:left w:w="20" w:type="dxa"/>
              <w:bottom w:w="20" w:type="dxa"/>
              <w:right w:w="20" w:type="dxa"/>
            </w:tcMar>
          </w:tcPr>
          <w:p w14:paraId="3C081732"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(2,248)</w:t>
            </w:r>
          </w:p>
        </w:tc>
        <w:tc>
          <w:tcPr>
            <w:tcW w:w="1267" w:type="dxa"/>
            <w:tcBorders>
              <w:top w:val="single" w:sz="4" w:space="0" w:color="auto"/>
            </w:tcBorders>
            <w:shd w:val="clear" w:color="auto" w:fill="auto"/>
            <w:tcMar>
              <w:top w:w="20" w:type="dxa"/>
              <w:left w:w="20" w:type="dxa"/>
              <w:bottom w:w="20" w:type="dxa"/>
              <w:right w:w="20" w:type="dxa"/>
            </w:tcMar>
          </w:tcPr>
          <w:p w14:paraId="1D6EAC7D"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0</w:t>
            </w:r>
          </w:p>
        </w:tc>
        <w:tc>
          <w:tcPr>
            <w:tcW w:w="1191" w:type="dxa"/>
            <w:tcBorders>
              <w:top w:val="single" w:sz="4" w:space="0" w:color="auto"/>
            </w:tcBorders>
            <w:shd w:val="clear" w:color="auto" w:fill="auto"/>
            <w:tcMar>
              <w:top w:w="20" w:type="dxa"/>
              <w:left w:w="20" w:type="dxa"/>
              <w:bottom w:w="20" w:type="dxa"/>
              <w:right w:w="20" w:type="dxa"/>
            </w:tcMar>
          </w:tcPr>
          <w:p w14:paraId="39DBEA4A"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(2,248)</w:t>
            </w:r>
          </w:p>
        </w:tc>
        <w:tc>
          <w:tcPr>
            <w:tcW w:w="1348" w:type="dxa"/>
            <w:tcBorders>
              <w:top w:val="single" w:sz="4" w:space="0" w:color="auto"/>
            </w:tcBorders>
            <w:shd w:val="clear" w:color="auto" w:fill="auto"/>
            <w:tcMar>
              <w:top w:w="20" w:type="dxa"/>
              <w:left w:w="20" w:type="dxa"/>
              <w:bottom w:w="20" w:type="dxa"/>
              <w:right w:w="20" w:type="dxa"/>
            </w:tcMar>
          </w:tcPr>
          <w:p w14:paraId="44B7D92C"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3,799</w:t>
            </w:r>
          </w:p>
        </w:tc>
        <w:tc>
          <w:tcPr>
            <w:tcW w:w="1396" w:type="dxa"/>
            <w:tcBorders>
              <w:top w:val="single" w:sz="4" w:space="0" w:color="auto"/>
            </w:tcBorders>
            <w:shd w:val="clear" w:color="auto" w:fill="auto"/>
            <w:tcMar>
              <w:top w:w="20" w:type="dxa"/>
              <w:left w:w="20" w:type="dxa"/>
              <w:bottom w:w="20" w:type="dxa"/>
              <w:right w:w="20" w:type="dxa"/>
            </w:tcMar>
          </w:tcPr>
          <w:p w14:paraId="5C1340FA"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(1,629)</w:t>
            </w:r>
          </w:p>
        </w:tc>
        <w:tc>
          <w:tcPr>
            <w:tcW w:w="1096" w:type="dxa"/>
            <w:tcBorders>
              <w:top w:val="single" w:sz="4" w:space="0" w:color="auto"/>
              <w:left w:val="single" w:sz="2" w:space="0" w:color="000000"/>
              <w:right w:val="single" w:sz="2" w:space="0" w:color="000000"/>
            </w:tcBorders>
            <w:shd w:val="clear" w:color="auto" w:fill="auto"/>
            <w:tcMar>
              <w:top w:w="20" w:type="dxa"/>
              <w:left w:w="20" w:type="dxa"/>
              <w:bottom w:w="20" w:type="dxa"/>
              <w:right w:w="20" w:type="dxa"/>
            </w:tcMar>
          </w:tcPr>
          <w:p w14:paraId="69B0A869"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(78)</w:t>
            </w:r>
          </w:p>
        </w:tc>
        <w:tc>
          <w:tcPr>
            <w:tcW w:w="1191" w:type="dxa"/>
            <w:tcBorders>
              <w:top w:val="single" w:sz="4" w:space="0" w:color="auto"/>
            </w:tcBorders>
            <w:shd w:val="clear" w:color="auto" w:fill="auto"/>
            <w:tcMar>
              <w:top w:w="20" w:type="dxa"/>
              <w:left w:w="20" w:type="dxa"/>
              <w:bottom w:w="20" w:type="dxa"/>
              <w:right w:w="20" w:type="dxa"/>
            </w:tcMar>
          </w:tcPr>
          <w:p w14:paraId="3939AC12"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(137,504)</w:t>
            </w:r>
          </w:p>
        </w:tc>
        <w:tc>
          <w:tcPr>
            <w:tcW w:w="1191" w:type="dxa"/>
            <w:tcBorders>
              <w:top w:val="single" w:sz="4" w:space="0" w:color="auto"/>
              <w:left w:val="single" w:sz="2" w:space="0" w:color="000000"/>
            </w:tcBorders>
            <w:shd w:val="clear" w:color="auto" w:fill="auto"/>
            <w:tcMar>
              <w:top w:w="20" w:type="dxa"/>
              <w:left w:w="20" w:type="dxa"/>
              <w:bottom w:w="20" w:type="dxa"/>
              <w:right w:w="20" w:type="dxa"/>
            </w:tcMar>
          </w:tcPr>
          <w:p w14:paraId="748B05E7"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(137,582)</w:t>
            </w:r>
          </w:p>
        </w:tc>
      </w:tr>
      <w:tr w:rsidR="00F45246" w:rsidRPr="00037881" w14:paraId="0CF88F22" w14:textId="77777777" w:rsidTr="005503D2">
        <w:trPr>
          <w:trHeight w:val="341"/>
          <w:jc w:val="center"/>
        </w:trPr>
        <w:tc>
          <w:tcPr>
            <w:tcW w:w="2556" w:type="dxa"/>
            <w:tcBorders>
              <w:bottom w:val="single" w:sz="2" w:space="0" w:color="000000"/>
            </w:tcBorders>
            <w:shd w:val="clear" w:color="auto" w:fill="auto"/>
            <w:tcMar>
              <w:top w:w="20" w:type="dxa"/>
              <w:left w:w="20" w:type="dxa"/>
              <w:bottom w:w="20" w:type="dxa"/>
              <w:right w:w="20" w:type="dxa"/>
            </w:tcMar>
          </w:tcPr>
          <w:p w14:paraId="6A7917B7" w14:textId="77777777" w:rsidR="00F45246" w:rsidRPr="00037881" w:rsidRDefault="00F45246" w:rsidP="00F45246">
            <w:pPr>
              <w:pStyle w:val="T1TableStyle"/>
              <w:rPr>
                <w:rFonts w:ascii="Verdana" w:eastAsia="Verdana" w:hAnsi="Verdana" w:cs="Verdana"/>
                <w:color w:val="000000"/>
                <w:sz w:val="16"/>
                <w:lang w:val="en-GB"/>
              </w:rPr>
            </w:pPr>
            <w:r w:rsidRPr="00037881">
              <w:rPr>
                <w:rFonts w:ascii="Verdana" w:eastAsia="Verdana" w:hAnsi="Verdana" w:cs="Verdana"/>
                <w:color w:val="000000"/>
                <w:sz w:val="16"/>
                <w:lang w:val="en-GB"/>
              </w:rPr>
              <w:t>Transfers to / from Earmarked Reserves</w:t>
            </w:r>
          </w:p>
          <w:p w14:paraId="428FB6AD" w14:textId="77777777" w:rsidR="00D178FE" w:rsidRPr="00037881" w:rsidRDefault="00D178FE" w:rsidP="00F45246">
            <w:pPr>
              <w:pStyle w:val="T1TableStyle"/>
              <w:rPr>
                <w:rFonts w:ascii="Verdana" w:eastAsia="Verdana" w:hAnsi="Verdana" w:cs="Verdana"/>
                <w:color w:val="000000"/>
                <w:sz w:val="16"/>
                <w:lang w:val="en-GB"/>
              </w:rPr>
            </w:pPr>
          </w:p>
          <w:p w14:paraId="1E5FD39B" w14:textId="77777777" w:rsidR="00D178FE" w:rsidRPr="00037881" w:rsidRDefault="00D178FE" w:rsidP="00D178FE">
            <w:pPr>
              <w:pStyle w:val="T1TableStyle"/>
              <w:rPr>
                <w:rFonts w:ascii="Verdana" w:eastAsia="Verdana" w:hAnsi="Verdana" w:cs="Verdana"/>
                <w:color w:val="000000"/>
                <w:sz w:val="16"/>
                <w:lang w:val="en-GB"/>
              </w:rPr>
            </w:pPr>
            <w:r w:rsidRPr="00037881">
              <w:rPr>
                <w:rFonts w:ascii="Verdana" w:eastAsia="Verdana" w:hAnsi="Verdana" w:cs="Verdana"/>
                <w:color w:val="000000"/>
                <w:sz w:val="16"/>
                <w:lang w:val="en-GB"/>
              </w:rPr>
              <w:t>Transfer  Chief Constable Reserve to General Fund Balance</w:t>
            </w:r>
          </w:p>
          <w:p w14:paraId="5D45A318" w14:textId="77777777" w:rsidR="00D178FE" w:rsidRPr="00037881" w:rsidRDefault="00D178FE" w:rsidP="00F45246">
            <w:pPr>
              <w:pStyle w:val="T1TableStyle"/>
              <w:rPr>
                <w:rFonts w:ascii="Verdana" w:eastAsia="Verdana" w:hAnsi="Verdana" w:cs="Verdana"/>
                <w:color w:val="000000"/>
                <w:sz w:val="16"/>
                <w:lang w:val="en-GB"/>
              </w:rPr>
            </w:pPr>
          </w:p>
        </w:tc>
        <w:tc>
          <w:tcPr>
            <w:tcW w:w="1096" w:type="dxa"/>
            <w:tcBorders>
              <w:left w:val="single" w:sz="2" w:space="0" w:color="000000"/>
              <w:bottom w:val="single" w:sz="2" w:space="0" w:color="000000"/>
            </w:tcBorders>
            <w:shd w:val="clear" w:color="auto" w:fill="auto"/>
            <w:tcMar>
              <w:top w:w="20" w:type="dxa"/>
              <w:left w:w="20" w:type="dxa"/>
              <w:bottom w:w="20" w:type="dxa"/>
              <w:right w:w="20" w:type="dxa"/>
            </w:tcMar>
          </w:tcPr>
          <w:p w14:paraId="538EBBFD" w14:textId="77777777" w:rsidR="00F45246" w:rsidRPr="00037881" w:rsidRDefault="00F45246" w:rsidP="00F45246">
            <w:pPr>
              <w:pStyle w:val="T1TableStyle"/>
              <w:jc w:val="right"/>
              <w:rPr>
                <w:rFonts w:ascii="Verdana" w:eastAsia="Verdana" w:hAnsi="Verdana" w:cs="Verdana"/>
                <w:color w:val="000000"/>
                <w:sz w:val="16"/>
                <w:lang w:val="en-GB"/>
              </w:rPr>
            </w:pPr>
            <w:r w:rsidRPr="00037881">
              <w:rPr>
                <w:rFonts w:ascii="Verdana" w:eastAsia="Verdana" w:hAnsi="Verdana" w:cs="Verdana"/>
                <w:color w:val="000000"/>
                <w:sz w:val="16"/>
                <w:lang w:val="en-GB"/>
              </w:rPr>
              <w:t>2,011</w:t>
            </w:r>
          </w:p>
          <w:p w14:paraId="25CEC4CF" w14:textId="77777777" w:rsidR="00F45246" w:rsidRPr="00037881" w:rsidRDefault="00F45246" w:rsidP="00F45246">
            <w:pPr>
              <w:pStyle w:val="T1TableStyle"/>
              <w:jc w:val="right"/>
              <w:rPr>
                <w:rFonts w:ascii="Verdana" w:eastAsia="Verdana" w:hAnsi="Verdana" w:cs="Verdana"/>
                <w:color w:val="000000"/>
                <w:sz w:val="16"/>
                <w:lang w:val="en-GB"/>
              </w:rPr>
            </w:pPr>
          </w:p>
          <w:p w14:paraId="08610242" w14:textId="77777777" w:rsidR="00F45246" w:rsidRPr="00037881" w:rsidRDefault="00F45246" w:rsidP="00F45246">
            <w:pPr>
              <w:pStyle w:val="T1TableStyle"/>
              <w:jc w:val="right"/>
              <w:rPr>
                <w:rFonts w:ascii="Verdana" w:eastAsia="Verdana" w:hAnsi="Verdana" w:cs="Verdana"/>
                <w:color w:val="000000"/>
                <w:sz w:val="16"/>
                <w:lang w:val="en-GB"/>
              </w:rPr>
            </w:pPr>
          </w:p>
          <w:p w14:paraId="0CA05547" w14:textId="77777777" w:rsidR="00F45246" w:rsidRPr="00037881" w:rsidRDefault="00F45246" w:rsidP="00F45246">
            <w:pPr>
              <w:pStyle w:val="T1TableStyle"/>
              <w:jc w:val="right"/>
              <w:rPr>
                <w:rFonts w:ascii="Verdana" w:eastAsia="Verdana" w:hAnsi="Verdana" w:cs="Verdana"/>
                <w:color w:val="000000"/>
                <w:sz w:val="16"/>
                <w:lang w:val="en-GB"/>
              </w:rPr>
            </w:pPr>
            <w:r w:rsidRPr="00037881">
              <w:rPr>
                <w:rFonts w:ascii="Verdana" w:eastAsia="Verdana" w:hAnsi="Verdana" w:cs="Verdana"/>
                <w:color w:val="000000"/>
                <w:sz w:val="16"/>
                <w:lang w:val="en-GB"/>
              </w:rPr>
              <w:t>(1,071)</w:t>
            </w:r>
          </w:p>
        </w:tc>
        <w:tc>
          <w:tcPr>
            <w:tcW w:w="1267" w:type="dxa"/>
            <w:tcBorders>
              <w:bottom w:val="single" w:sz="2" w:space="0" w:color="000000"/>
            </w:tcBorders>
            <w:shd w:val="clear" w:color="auto" w:fill="auto"/>
            <w:tcMar>
              <w:top w:w="20" w:type="dxa"/>
              <w:left w:w="20" w:type="dxa"/>
              <w:bottom w:w="20" w:type="dxa"/>
              <w:right w:w="20" w:type="dxa"/>
            </w:tcMar>
          </w:tcPr>
          <w:p w14:paraId="7DF43A37" w14:textId="77777777" w:rsidR="00F45246" w:rsidRPr="00037881" w:rsidRDefault="00F45246" w:rsidP="00F45246">
            <w:pPr>
              <w:pStyle w:val="T1TableStyle"/>
              <w:jc w:val="right"/>
              <w:rPr>
                <w:rFonts w:ascii="Verdana" w:eastAsia="Verdana" w:hAnsi="Verdana" w:cs="Verdana"/>
                <w:color w:val="000000"/>
                <w:sz w:val="16"/>
                <w:lang w:val="en-GB"/>
              </w:rPr>
            </w:pPr>
            <w:r w:rsidRPr="00037881">
              <w:rPr>
                <w:rFonts w:ascii="Verdana" w:eastAsia="Verdana" w:hAnsi="Verdana" w:cs="Verdana"/>
                <w:color w:val="000000"/>
                <w:sz w:val="16"/>
                <w:lang w:val="en-GB"/>
              </w:rPr>
              <w:t>(2,011)</w:t>
            </w:r>
          </w:p>
          <w:p w14:paraId="1D6A3D61" w14:textId="77777777" w:rsidR="00F45246" w:rsidRPr="00037881" w:rsidRDefault="00F45246" w:rsidP="00F45246">
            <w:pPr>
              <w:pStyle w:val="T1TableStyle"/>
              <w:jc w:val="right"/>
              <w:rPr>
                <w:rFonts w:ascii="Verdana" w:eastAsia="Verdana" w:hAnsi="Verdana" w:cs="Verdana"/>
                <w:color w:val="000000"/>
                <w:sz w:val="16"/>
                <w:lang w:val="en-GB"/>
              </w:rPr>
            </w:pPr>
          </w:p>
          <w:p w14:paraId="0FC16D36" w14:textId="77777777" w:rsidR="00F45246" w:rsidRPr="00037881" w:rsidRDefault="00F45246" w:rsidP="00F45246">
            <w:pPr>
              <w:pStyle w:val="T1TableStyle"/>
              <w:jc w:val="right"/>
              <w:rPr>
                <w:rFonts w:ascii="Verdana" w:eastAsia="Verdana" w:hAnsi="Verdana" w:cs="Verdana"/>
                <w:color w:val="000000"/>
                <w:sz w:val="16"/>
                <w:lang w:val="en-GB"/>
              </w:rPr>
            </w:pPr>
          </w:p>
          <w:p w14:paraId="0A876239" w14:textId="77777777" w:rsidR="00F45246" w:rsidRPr="00037881" w:rsidRDefault="00F45246" w:rsidP="00F45246">
            <w:pPr>
              <w:pStyle w:val="T1TableStyle"/>
              <w:jc w:val="right"/>
              <w:rPr>
                <w:rFonts w:ascii="Verdana" w:eastAsia="Verdana" w:hAnsi="Verdana" w:cs="Verdana"/>
                <w:color w:val="000000"/>
                <w:sz w:val="16"/>
                <w:lang w:val="en-GB"/>
              </w:rPr>
            </w:pPr>
            <w:r w:rsidRPr="00037881">
              <w:rPr>
                <w:rFonts w:ascii="Verdana" w:eastAsia="Verdana" w:hAnsi="Verdana" w:cs="Verdana"/>
                <w:color w:val="000000"/>
                <w:sz w:val="16"/>
                <w:lang w:val="en-GB"/>
              </w:rPr>
              <w:t>1,071</w:t>
            </w:r>
          </w:p>
        </w:tc>
        <w:tc>
          <w:tcPr>
            <w:tcW w:w="1191" w:type="dxa"/>
            <w:tcBorders>
              <w:bottom w:val="single" w:sz="2" w:space="0" w:color="000000"/>
            </w:tcBorders>
            <w:shd w:val="clear" w:color="auto" w:fill="auto"/>
            <w:tcMar>
              <w:top w:w="20" w:type="dxa"/>
              <w:left w:w="20" w:type="dxa"/>
              <w:bottom w:w="20" w:type="dxa"/>
              <w:right w:w="20" w:type="dxa"/>
            </w:tcMar>
          </w:tcPr>
          <w:p w14:paraId="06CFE1A1" w14:textId="77777777" w:rsidR="00F45246" w:rsidRPr="00037881" w:rsidRDefault="00F45246" w:rsidP="00F45246">
            <w:pPr>
              <w:pStyle w:val="T1TableStyle"/>
              <w:jc w:val="right"/>
              <w:rPr>
                <w:rFonts w:ascii="Verdana" w:eastAsia="Verdana" w:hAnsi="Verdana" w:cs="Verdana"/>
                <w:color w:val="000000"/>
                <w:sz w:val="16"/>
                <w:lang w:val="en-GB"/>
              </w:rPr>
            </w:pPr>
            <w:r w:rsidRPr="00037881">
              <w:rPr>
                <w:rFonts w:ascii="Verdana" w:eastAsia="Verdana" w:hAnsi="Verdana" w:cs="Verdana"/>
                <w:color w:val="000000"/>
                <w:sz w:val="16"/>
                <w:lang w:val="en-GB"/>
              </w:rPr>
              <w:t>0</w:t>
            </w:r>
          </w:p>
          <w:p w14:paraId="700F8473" w14:textId="77777777" w:rsidR="00F45246" w:rsidRPr="00037881" w:rsidRDefault="00F45246" w:rsidP="00F45246">
            <w:pPr>
              <w:pStyle w:val="T1TableStyle"/>
              <w:jc w:val="right"/>
              <w:rPr>
                <w:rFonts w:ascii="Verdana" w:eastAsia="Verdana" w:hAnsi="Verdana" w:cs="Verdana"/>
                <w:color w:val="000000"/>
                <w:sz w:val="16"/>
                <w:lang w:val="en-GB"/>
              </w:rPr>
            </w:pPr>
          </w:p>
          <w:p w14:paraId="1E591B01" w14:textId="77777777" w:rsidR="00F45246" w:rsidRPr="00037881" w:rsidRDefault="00F45246" w:rsidP="00F45246">
            <w:pPr>
              <w:pStyle w:val="T1TableStyle"/>
              <w:jc w:val="right"/>
              <w:rPr>
                <w:rFonts w:ascii="Verdana" w:eastAsia="Verdana" w:hAnsi="Verdana" w:cs="Verdana"/>
                <w:color w:val="000000"/>
                <w:sz w:val="16"/>
                <w:lang w:val="en-GB"/>
              </w:rPr>
            </w:pPr>
          </w:p>
          <w:p w14:paraId="5B6DA624" w14:textId="77777777" w:rsidR="00F45246" w:rsidRPr="00037881" w:rsidRDefault="00F45246" w:rsidP="00F45246">
            <w:pPr>
              <w:pStyle w:val="T1TableStyle"/>
              <w:jc w:val="right"/>
              <w:rPr>
                <w:rFonts w:ascii="Verdana" w:eastAsia="Verdana" w:hAnsi="Verdana" w:cs="Verdana"/>
                <w:color w:val="000000"/>
                <w:sz w:val="16"/>
                <w:lang w:val="en-GB"/>
              </w:rPr>
            </w:pPr>
            <w:r w:rsidRPr="00037881">
              <w:rPr>
                <w:rFonts w:ascii="Verdana" w:eastAsia="Verdana" w:hAnsi="Verdana" w:cs="Verdana"/>
                <w:color w:val="000000"/>
                <w:sz w:val="16"/>
                <w:lang w:val="en-GB"/>
              </w:rPr>
              <w:t>0</w:t>
            </w:r>
          </w:p>
        </w:tc>
        <w:tc>
          <w:tcPr>
            <w:tcW w:w="1348" w:type="dxa"/>
            <w:tcBorders>
              <w:bottom w:val="single" w:sz="2" w:space="0" w:color="000000"/>
            </w:tcBorders>
            <w:shd w:val="clear" w:color="auto" w:fill="auto"/>
            <w:tcMar>
              <w:top w:w="20" w:type="dxa"/>
              <w:left w:w="20" w:type="dxa"/>
              <w:bottom w:w="20" w:type="dxa"/>
              <w:right w:w="20" w:type="dxa"/>
            </w:tcMar>
          </w:tcPr>
          <w:p w14:paraId="188B9670"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p w14:paraId="3E16F49E" w14:textId="77777777" w:rsidR="00F45246" w:rsidRPr="00037881" w:rsidRDefault="00F45246" w:rsidP="00F45246">
            <w:pPr>
              <w:pStyle w:val="T1TableStyle"/>
              <w:jc w:val="right"/>
              <w:rPr>
                <w:rFonts w:ascii="Verdana" w:eastAsia="Verdana" w:hAnsi="Verdana" w:cs="Verdana"/>
                <w:color w:val="000000"/>
                <w:sz w:val="2"/>
                <w:lang w:val="en-GB"/>
              </w:rPr>
            </w:pPr>
          </w:p>
          <w:p w14:paraId="11B33881" w14:textId="77777777" w:rsidR="00F45246" w:rsidRPr="00037881" w:rsidRDefault="00F45246" w:rsidP="00F45246">
            <w:pPr>
              <w:pStyle w:val="T1TableStyle"/>
              <w:jc w:val="right"/>
              <w:rPr>
                <w:rFonts w:ascii="Verdana" w:eastAsia="Verdana" w:hAnsi="Verdana" w:cs="Verdana"/>
                <w:color w:val="000000"/>
                <w:sz w:val="2"/>
                <w:lang w:val="en-GB"/>
              </w:rPr>
            </w:pPr>
          </w:p>
          <w:p w14:paraId="238B5DF2"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0</w:t>
            </w:r>
          </w:p>
        </w:tc>
        <w:tc>
          <w:tcPr>
            <w:tcW w:w="1396" w:type="dxa"/>
            <w:tcBorders>
              <w:bottom w:val="single" w:sz="2" w:space="0" w:color="000000"/>
            </w:tcBorders>
            <w:shd w:val="clear" w:color="auto" w:fill="auto"/>
            <w:tcMar>
              <w:top w:w="20" w:type="dxa"/>
              <w:left w:w="20" w:type="dxa"/>
              <w:bottom w:w="20" w:type="dxa"/>
              <w:right w:w="20" w:type="dxa"/>
            </w:tcMar>
          </w:tcPr>
          <w:p w14:paraId="349FBF6B" w14:textId="77777777" w:rsidR="00F45246" w:rsidRPr="00037881" w:rsidRDefault="00F45246" w:rsidP="00F45246">
            <w:pPr>
              <w:pStyle w:val="T1TableStyle"/>
              <w:jc w:val="right"/>
              <w:rPr>
                <w:rFonts w:ascii="Verdana" w:eastAsia="Verdana" w:hAnsi="Verdana" w:cs="Verdana"/>
                <w:color w:val="000000"/>
                <w:sz w:val="2"/>
                <w:lang w:val="en-GB"/>
              </w:rPr>
            </w:pPr>
            <w:r w:rsidRPr="00037881">
              <w:rPr>
                <w:rFonts w:ascii="Verdana" w:eastAsia="Verdana" w:hAnsi="Verdana" w:cs="Verdana"/>
                <w:color w:val="000000"/>
                <w:sz w:val="2"/>
                <w:lang w:val="en-GB"/>
              </w:rPr>
              <w:t xml:space="preserve"> </w:t>
            </w:r>
          </w:p>
        </w:tc>
        <w:tc>
          <w:tcPr>
            <w:tcW w:w="1096"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F7F2FAE"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0</w:t>
            </w:r>
          </w:p>
          <w:p w14:paraId="7D550ECF" w14:textId="77777777" w:rsidR="00F45246" w:rsidRPr="00037881" w:rsidRDefault="00F45246" w:rsidP="00F45246">
            <w:pPr>
              <w:pStyle w:val="T1TableStyle"/>
              <w:jc w:val="right"/>
              <w:rPr>
                <w:rFonts w:ascii="Verdana" w:eastAsia="Verdana" w:hAnsi="Verdana" w:cs="Verdana"/>
                <w:b/>
                <w:color w:val="000000"/>
                <w:sz w:val="16"/>
                <w:lang w:val="en-GB"/>
              </w:rPr>
            </w:pPr>
          </w:p>
          <w:p w14:paraId="43260AEB" w14:textId="77777777" w:rsidR="00F45246" w:rsidRPr="00037881" w:rsidRDefault="00F45246" w:rsidP="00F45246">
            <w:pPr>
              <w:pStyle w:val="T1TableStyle"/>
              <w:jc w:val="right"/>
              <w:rPr>
                <w:rFonts w:ascii="Verdana" w:eastAsia="Verdana" w:hAnsi="Verdana" w:cs="Verdana"/>
                <w:b/>
                <w:color w:val="000000"/>
                <w:sz w:val="16"/>
                <w:lang w:val="en-GB"/>
              </w:rPr>
            </w:pPr>
          </w:p>
          <w:p w14:paraId="257DAC9E"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0</w:t>
            </w:r>
          </w:p>
          <w:p w14:paraId="6153FBAB" w14:textId="77777777" w:rsidR="00F45246" w:rsidRPr="00037881" w:rsidRDefault="00F45246" w:rsidP="00F45246">
            <w:pPr>
              <w:pStyle w:val="T1TableStyle"/>
              <w:jc w:val="right"/>
              <w:rPr>
                <w:rFonts w:ascii="Verdana" w:eastAsia="Verdana" w:hAnsi="Verdana" w:cs="Verdana"/>
                <w:b/>
                <w:color w:val="000000"/>
                <w:sz w:val="16"/>
                <w:lang w:val="en-GB"/>
              </w:rPr>
            </w:pPr>
          </w:p>
        </w:tc>
        <w:tc>
          <w:tcPr>
            <w:tcW w:w="1191" w:type="dxa"/>
            <w:tcBorders>
              <w:bottom w:val="single" w:sz="2" w:space="0" w:color="000000"/>
            </w:tcBorders>
            <w:shd w:val="clear" w:color="auto" w:fill="auto"/>
            <w:tcMar>
              <w:top w:w="20" w:type="dxa"/>
              <w:left w:w="20" w:type="dxa"/>
              <w:bottom w:w="20" w:type="dxa"/>
              <w:right w:w="20" w:type="dxa"/>
            </w:tcMar>
          </w:tcPr>
          <w:p w14:paraId="6DEAB9E4" w14:textId="77777777" w:rsidR="00F45246" w:rsidRPr="00037881" w:rsidRDefault="00F45246" w:rsidP="00F45246">
            <w:pPr>
              <w:pStyle w:val="T1TableStyle"/>
              <w:jc w:val="right"/>
              <w:rPr>
                <w:rFonts w:ascii="Verdana" w:eastAsia="Verdana" w:hAnsi="Verdana" w:cs="Verdana"/>
                <w:color w:val="000000"/>
                <w:sz w:val="16"/>
                <w:lang w:val="en-GB"/>
              </w:rPr>
            </w:pPr>
            <w:r w:rsidRPr="00037881">
              <w:rPr>
                <w:rFonts w:ascii="Verdana" w:eastAsia="Verdana" w:hAnsi="Verdana" w:cs="Verdana"/>
                <w:color w:val="000000"/>
                <w:sz w:val="16"/>
                <w:lang w:val="en-GB"/>
              </w:rPr>
              <w:t>0</w:t>
            </w:r>
          </w:p>
          <w:p w14:paraId="60EA59CF" w14:textId="77777777" w:rsidR="00F45246" w:rsidRPr="00037881" w:rsidRDefault="00F45246" w:rsidP="00F45246">
            <w:pPr>
              <w:pStyle w:val="T1TableStyle"/>
              <w:jc w:val="right"/>
              <w:rPr>
                <w:rFonts w:ascii="Verdana" w:eastAsia="Verdana" w:hAnsi="Verdana" w:cs="Verdana"/>
                <w:color w:val="000000"/>
                <w:sz w:val="16"/>
                <w:lang w:val="en-GB"/>
              </w:rPr>
            </w:pPr>
          </w:p>
          <w:p w14:paraId="19844F51" w14:textId="77777777" w:rsidR="00F45246" w:rsidRPr="00037881" w:rsidRDefault="00F45246" w:rsidP="00F45246">
            <w:pPr>
              <w:pStyle w:val="T1TableStyle"/>
              <w:jc w:val="right"/>
              <w:rPr>
                <w:rFonts w:ascii="Verdana" w:eastAsia="Verdana" w:hAnsi="Verdana" w:cs="Verdana"/>
                <w:color w:val="000000"/>
                <w:sz w:val="16"/>
                <w:lang w:val="en-GB"/>
              </w:rPr>
            </w:pPr>
          </w:p>
          <w:p w14:paraId="03E3863C" w14:textId="77777777" w:rsidR="00F45246" w:rsidRPr="00037881" w:rsidRDefault="00F45246" w:rsidP="00F45246">
            <w:pPr>
              <w:pStyle w:val="T1TableStyle"/>
              <w:jc w:val="right"/>
              <w:rPr>
                <w:rFonts w:ascii="Verdana" w:eastAsia="Verdana" w:hAnsi="Verdana" w:cs="Verdana"/>
                <w:color w:val="000000"/>
                <w:sz w:val="16"/>
                <w:lang w:val="en-GB"/>
              </w:rPr>
            </w:pPr>
            <w:r w:rsidRPr="00037881">
              <w:rPr>
                <w:rFonts w:ascii="Verdana" w:eastAsia="Verdana" w:hAnsi="Verdana" w:cs="Verdana"/>
                <w:color w:val="000000"/>
                <w:sz w:val="16"/>
                <w:lang w:val="en-GB"/>
              </w:rPr>
              <w:t>0</w:t>
            </w:r>
          </w:p>
          <w:p w14:paraId="4AA15AED" w14:textId="77777777" w:rsidR="00F45246" w:rsidRPr="00037881" w:rsidRDefault="00F45246" w:rsidP="00F45246">
            <w:pPr>
              <w:pStyle w:val="T1TableStyle"/>
              <w:jc w:val="right"/>
              <w:rPr>
                <w:rFonts w:ascii="Verdana" w:eastAsia="Verdana" w:hAnsi="Verdana" w:cs="Verdana"/>
                <w:color w:val="000000"/>
                <w:sz w:val="16"/>
                <w:lang w:val="en-GB"/>
              </w:rPr>
            </w:pPr>
          </w:p>
          <w:p w14:paraId="2B2A199B" w14:textId="77777777" w:rsidR="00F45246" w:rsidRPr="00037881" w:rsidRDefault="00F45246" w:rsidP="00F45246">
            <w:pPr>
              <w:pStyle w:val="T1TableStyle"/>
              <w:jc w:val="right"/>
              <w:rPr>
                <w:rFonts w:ascii="Verdana" w:eastAsia="Verdana" w:hAnsi="Verdana" w:cs="Verdana"/>
                <w:color w:val="000000"/>
                <w:sz w:val="16"/>
                <w:lang w:val="en-GB"/>
              </w:rPr>
            </w:pPr>
          </w:p>
          <w:p w14:paraId="09250B2E" w14:textId="77777777" w:rsidR="00F45246" w:rsidRPr="00037881" w:rsidRDefault="00F45246" w:rsidP="00F45246">
            <w:pPr>
              <w:pStyle w:val="T1TableStyle"/>
              <w:jc w:val="right"/>
              <w:rPr>
                <w:rFonts w:ascii="Verdana" w:eastAsia="Verdana" w:hAnsi="Verdana" w:cs="Verdana"/>
                <w:color w:val="000000"/>
                <w:sz w:val="16"/>
                <w:lang w:val="en-GB"/>
              </w:rPr>
            </w:pPr>
          </w:p>
          <w:p w14:paraId="6D2A9C34" w14:textId="77777777" w:rsidR="00F45246" w:rsidRPr="00037881" w:rsidRDefault="00F45246" w:rsidP="00F45246">
            <w:pPr>
              <w:pStyle w:val="T1TableStyle"/>
              <w:jc w:val="right"/>
              <w:rPr>
                <w:rFonts w:ascii="Verdana" w:eastAsia="Verdana" w:hAnsi="Verdana" w:cs="Verdana"/>
                <w:color w:val="000000"/>
                <w:sz w:val="16"/>
                <w:lang w:val="en-GB"/>
              </w:rPr>
            </w:pPr>
          </w:p>
        </w:tc>
        <w:tc>
          <w:tcPr>
            <w:tcW w:w="1191" w:type="dxa"/>
            <w:tcBorders>
              <w:left w:val="single" w:sz="2" w:space="0" w:color="000000"/>
              <w:bottom w:val="single" w:sz="2" w:space="0" w:color="000000"/>
            </w:tcBorders>
            <w:shd w:val="clear" w:color="auto" w:fill="auto"/>
            <w:tcMar>
              <w:top w:w="20" w:type="dxa"/>
              <w:left w:w="20" w:type="dxa"/>
              <w:bottom w:w="20" w:type="dxa"/>
              <w:right w:w="20" w:type="dxa"/>
            </w:tcMar>
          </w:tcPr>
          <w:p w14:paraId="16B77573"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0</w:t>
            </w:r>
          </w:p>
          <w:p w14:paraId="17216850" w14:textId="77777777" w:rsidR="00F45246" w:rsidRPr="00037881" w:rsidRDefault="00F45246" w:rsidP="00F45246">
            <w:pPr>
              <w:pStyle w:val="T1TableStyle"/>
              <w:jc w:val="right"/>
              <w:rPr>
                <w:rFonts w:ascii="Verdana" w:eastAsia="Verdana" w:hAnsi="Verdana" w:cs="Verdana"/>
                <w:b/>
                <w:color w:val="000000"/>
                <w:sz w:val="16"/>
                <w:lang w:val="en-GB"/>
              </w:rPr>
            </w:pPr>
          </w:p>
          <w:p w14:paraId="77AB8CFE" w14:textId="77777777" w:rsidR="00F45246" w:rsidRPr="00037881" w:rsidRDefault="00F45246" w:rsidP="00F45246">
            <w:pPr>
              <w:pStyle w:val="T1TableStyle"/>
              <w:jc w:val="right"/>
              <w:rPr>
                <w:rFonts w:ascii="Verdana" w:eastAsia="Verdana" w:hAnsi="Verdana" w:cs="Verdana"/>
                <w:b/>
                <w:color w:val="000000"/>
                <w:sz w:val="16"/>
                <w:lang w:val="en-GB"/>
              </w:rPr>
            </w:pPr>
          </w:p>
          <w:p w14:paraId="0B4CD481"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0</w:t>
            </w:r>
          </w:p>
          <w:p w14:paraId="1D80FF74" w14:textId="77777777" w:rsidR="00F45246" w:rsidRPr="00037881" w:rsidRDefault="00F45246" w:rsidP="00F45246">
            <w:pPr>
              <w:pStyle w:val="T1TableStyle"/>
              <w:jc w:val="right"/>
              <w:rPr>
                <w:rFonts w:ascii="Verdana" w:eastAsia="Verdana" w:hAnsi="Verdana" w:cs="Verdana"/>
                <w:b/>
                <w:color w:val="000000"/>
                <w:sz w:val="16"/>
                <w:lang w:val="en-GB"/>
              </w:rPr>
            </w:pPr>
          </w:p>
          <w:p w14:paraId="78D4CD85" w14:textId="77777777" w:rsidR="00F45246" w:rsidRPr="00037881" w:rsidRDefault="00F45246" w:rsidP="00F45246">
            <w:pPr>
              <w:pStyle w:val="T1TableStyle"/>
              <w:jc w:val="right"/>
              <w:rPr>
                <w:rFonts w:ascii="Verdana" w:eastAsia="Verdana" w:hAnsi="Verdana" w:cs="Verdana"/>
                <w:b/>
                <w:color w:val="000000"/>
                <w:sz w:val="16"/>
                <w:lang w:val="en-GB"/>
              </w:rPr>
            </w:pPr>
          </w:p>
          <w:p w14:paraId="16DD52FE" w14:textId="77777777" w:rsidR="00F45246" w:rsidRPr="00037881" w:rsidRDefault="00F45246" w:rsidP="00F45246">
            <w:pPr>
              <w:pStyle w:val="T1TableStyle"/>
              <w:jc w:val="right"/>
              <w:rPr>
                <w:rFonts w:ascii="Verdana" w:eastAsia="Verdana" w:hAnsi="Verdana" w:cs="Verdana"/>
                <w:b/>
                <w:color w:val="000000"/>
                <w:sz w:val="16"/>
                <w:lang w:val="en-GB"/>
              </w:rPr>
            </w:pPr>
          </w:p>
          <w:p w14:paraId="43C58E80" w14:textId="77777777" w:rsidR="00F45246" w:rsidRPr="00037881" w:rsidRDefault="00F45246" w:rsidP="00F45246">
            <w:pPr>
              <w:pStyle w:val="T1TableStyle"/>
              <w:jc w:val="right"/>
              <w:rPr>
                <w:rFonts w:ascii="Verdana" w:eastAsia="Verdana" w:hAnsi="Verdana" w:cs="Verdana"/>
                <w:b/>
                <w:color w:val="000000"/>
                <w:sz w:val="16"/>
                <w:lang w:val="en-GB"/>
              </w:rPr>
            </w:pPr>
          </w:p>
        </w:tc>
      </w:tr>
      <w:tr w:rsidR="00F45246" w:rsidRPr="00037881" w14:paraId="33202C72" w14:textId="77777777" w:rsidTr="005503D2">
        <w:trPr>
          <w:trHeight w:val="341"/>
          <w:jc w:val="center"/>
        </w:trPr>
        <w:tc>
          <w:tcPr>
            <w:tcW w:w="2556" w:type="dxa"/>
            <w:tcBorders>
              <w:top w:val="single" w:sz="2" w:space="0" w:color="000000"/>
              <w:bottom w:val="single" w:sz="2" w:space="0" w:color="000000"/>
            </w:tcBorders>
            <w:shd w:val="clear" w:color="auto" w:fill="auto"/>
            <w:tcMar>
              <w:top w:w="20" w:type="dxa"/>
              <w:left w:w="20" w:type="dxa"/>
              <w:bottom w:w="20" w:type="dxa"/>
              <w:right w:w="20" w:type="dxa"/>
            </w:tcMar>
          </w:tcPr>
          <w:p w14:paraId="3697BB88" w14:textId="77777777" w:rsidR="00F45246" w:rsidRPr="00037881" w:rsidRDefault="00F45246" w:rsidP="00F45246">
            <w:pPr>
              <w:pStyle w:val="T1TableStyle"/>
              <w:rPr>
                <w:rFonts w:ascii="Verdana" w:eastAsia="Verdana" w:hAnsi="Verdana" w:cs="Verdana"/>
                <w:b/>
                <w:color w:val="000000"/>
                <w:sz w:val="16"/>
                <w:lang w:val="en-GB"/>
              </w:rPr>
            </w:pPr>
            <w:r w:rsidRPr="00037881">
              <w:rPr>
                <w:rFonts w:ascii="Verdana" w:eastAsia="Verdana" w:hAnsi="Verdana" w:cs="Verdana"/>
                <w:b/>
                <w:color w:val="000000"/>
                <w:sz w:val="16"/>
                <w:lang w:val="en-GB"/>
              </w:rPr>
              <w:t>Increase or Decrease in 2019/20</w:t>
            </w:r>
          </w:p>
        </w:tc>
        <w:tc>
          <w:tcPr>
            <w:tcW w:w="1096"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14:paraId="76022260"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(1,308)</w:t>
            </w:r>
          </w:p>
        </w:tc>
        <w:tc>
          <w:tcPr>
            <w:tcW w:w="1267" w:type="dxa"/>
            <w:tcBorders>
              <w:top w:val="single" w:sz="2" w:space="0" w:color="000000"/>
              <w:bottom w:val="single" w:sz="2" w:space="0" w:color="000000"/>
            </w:tcBorders>
            <w:shd w:val="clear" w:color="auto" w:fill="auto"/>
            <w:tcMar>
              <w:top w:w="20" w:type="dxa"/>
              <w:left w:w="20" w:type="dxa"/>
              <w:bottom w:w="20" w:type="dxa"/>
              <w:right w:w="20" w:type="dxa"/>
            </w:tcMar>
          </w:tcPr>
          <w:p w14:paraId="4AEDB223"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(940)</w:t>
            </w:r>
          </w:p>
        </w:tc>
        <w:tc>
          <w:tcPr>
            <w:tcW w:w="1191" w:type="dxa"/>
            <w:tcBorders>
              <w:top w:val="single" w:sz="2" w:space="0" w:color="000000"/>
              <w:bottom w:val="single" w:sz="2" w:space="0" w:color="000000"/>
            </w:tcBorders>
            <w:shd w:val="clear" w:color="auto" w:fill="auto"/>
            <w:tcMar>
              <w:top w:w="20" w:type="dxa"/>
              <w:left w:w="20" w:type="dxa"/>
              <w:bottom w:w="20" w:type="dxa"/>
              <w:right w:w="20" w:type="dxa"/>
            </w:tcMar>
          </w:tcPr>
          <w:p w14:paraId="1BD7CCE6"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(2,248)</w:t>
            </w:r>
          </w:p>
        </w:tc>
        <w:tc>
          <w:tcPr>
            <w:tcW w:w="1348" w:type="dxa"/>
            <w:tcBorders>
              <w:top w:val="single" w:sz="2" w:space="0" w:color="000000"/>
              <w:bottom w:val="single" w:sz="2" w:space="0" w:color="000000"/>
            </w:tcBorders>
            <w:shd w:val="clear" w:color="auto" w:fill="auto"/>
            <w:tcMar>
              <w:top w:w="20" w:type="dxa"/>
              <w:left w:w="20" w:type="dxa"/>
              <w:bottom w:w="20" w:type="dxa"/>
              <w:right w:w="20" w:type="dxa"/>
            </w:tcMar>
          </w:tcPr>
          <w:p w14:paraId="40DC4169"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3,799</w:t>
            </w:r>
          </w:p>
        </w:tc>
        <w:tc>
          <w:tcPr>
            <w:tcW w:w="1396" w:type="dxa"/>
            <w:tcBorders>
              <w:top w:val="single" w:sz="2" w:space="0" w:color="000000"/>
              <w:bottom w:val="single" w:sz="2" w:space="0" w:color="000000"/>
            </w:tcBorders>
            <w:shd w:val="clear" w:color="auto" w:fill="auto"/>
            <w:tcMar>
              <w:top w:w="20" w:type="dxa"/>
              <w:left w:w="20" w:type="dxa"/>
              <w:bottom w:w="20" w:type="dxa"/>
              <w:right w:w="20" w:type="dxa"/>
            </w:tcMar>
          </w:tcPr>
          <w:p w14:paraId="5CC63947"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(1,629)</w:t>
            </w:r>
          </w:p>
        </w:tc>
        <w:tc>
          <w:tcPr>
            <w:tcW w:w="1096"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B90345B"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(78)</w:t>
            </w:r>
          </w:p>
          <w:p w14:paraId="26355F8D" w14:textId="77777777" w:rsidR="00F45246" w:rsidRPr="00037881" w:rsidRDefault="00F45246" w:rsidP="00F45246">
            <w:pPr>
              <w:pStyle w:val="T1TableStyle"/>
              <w:jc w:val="right"/>
              <w:rPr>
                <w:rFonts w:ascii="Verdana" w:eastAsia="Verdana" w:hAnsi="Verdana" w:cs="Verdana"/>
                <w:b/>
                <w:color w:val="000000"/>
                <w:sz w:val="16"/>
                <w:lang w:val="en-GB"/>
              </w:rPr>
            </w:pPr>
          </w:p>
        </w:tc>
        <w:tc>
          <w:tcPr>
            <w:tcW w:w="1191" w:type="dxa"/>
            <w:tcBorders>
              <w:top w:val="single" w:sz="2" w:space="0" w:color="000000"/>
              <w:bottom w:val="single" w:sz="2" w:space="0" w:color="000000"/>
            </w:tcBorders>
            <w:shd w:val="clear" w:color="auto" w:fill="auto"/>
            <w:tcMar>
              <w:top w:w="20" w:type="dxa"/>
              <w:left w:w="20" w:type="dxa"/>
              <w:bottom w:w="20" w:type="dxa"/>
              <w:right w:w="20" w:type="dxa"/>
            </w:tcMar>
          </w:tcPr>
          <w:p w14:paraId="689F6B8D"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(137,504)</w:t>
            </w:r>
          </w:p>
        </w:tc>
        <w:tc>
          <w:tcPr>
            <w:tcW w:w="1191"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14:paraId="46EDFD6D"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(137,582)</w:t>
            </w:r>
          </w:p>
        </w:tc>
      </w:tr>
      <w:tr w:rsidR="00F45246" w:rsidRPr="00037881" w14:paraId="47AE4CC8" w14:textId="77777777" w:rsidTr="005503D2">
        <w:trPr>
          <w:trHeight w:val="243"/>
          <w:jc w:val="center"/>
        </w:trPr>
        <w:tc>
          <w:tcPr>
            <w:tcW w:w="2556" w:type="dxa"/>
            <w:tcBorders>
              <w:top w:val="single" w:sz="2" w:space="0" w:color="000000"/>
              <w:bottom w:val="single" w:sz="12" w:space="0" w:color="000000"/>
            </w:tcBorders>
            <w:shd w:val="clear" w:color="auto" w:fill="auto"/>
            <w:tcMar>
              <w:top w:w="20" w:type="dxa"/>
              <w:left w:w="20" w:type="dxa"/>
              <w:bottom w:w="20" w:type="dxa"/>
              <w:right w:w="20" w:type="dxa"/>
            </w:tcMar>
          </w:tcPr>
          <w:p w14:paraId="7455CFD4" w14:textId="77777777" w:rsidR="00F45246" w:rsidRPr="00037881" w:rsidRDefault="00F45246" w:rsidP="00F45246">
            <w:pPr>
              <w:pStyle w:val="T1TableStyle"/>
              <w:rPr>
                <w:rFonts w:ascii="Verdana" w:eastAsia="Verdana" w:hAnsi="Verdana" w:cs="Verdana"/>
                <w:b/>
                <w:color w:val="000000"/>
                <w:sz w:val="16"/>
                <w:lang w:val="en-GB"/>
              </w:rPr>
            </w:pPr>
            <w:r w:rsidRPr="00037881">
              <w:rPr>
                <w:rFonts w:ascii="Verdana" w:eastAsia="Verdana" w:hAnsi="Verdana" w:cs="Verdana"/>
                <w:b/>
                <w:color w:val="000000"/>
                <w:sz w:val="16"/>
                <w:lang w:val="en-GB"/>
              </w:rPr>
              <w:t>Balance at 31 March 2020</w:t>
            </w:r>
          </w:p>
        </w:tc>
        <w:tc>
          <w:tcPr>
            <w:tcW w:w="1096" w:type="dxa"/>
            <w:tcBorders>
              <w:top w:val="single" w:sz="2" w:space="0" w:color="000000"/>
              <w:left w:val="single" w:sz="2" w:space="0" w:color="000000"/>
              <w:bottom w:val="single" w:sz="12" w:space="0" w:color="000000"/>
            </w:tcBorders>
            <w:shd w:val="clear" w:color="auto" w:fill="auto"/>
            <w:tcMar>
              <w:top w:w="20" w:type="dxa"/>
              <w:left w:w="20" w:type="dxa"/>
              <w:bottom w:w="20" w:type="dxa"/>
              <w:right w:w="20" w:type="dxa"/>
            </w:tcMar>
          </w:tcPr>
          <w:p w14:paraId="1B12DD9F"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(8,120)</w:t>
            </w:r>
          </w:p>
        </w:tc>
        <w:tc>
          <w:tcPr>
            <w:tcW w:w="1267" w:type="dxa"/>
            <w:tcBorders>
              <w:top w:val="single" w:sz="2" w:space="0" w:color="000000"/>
              <w:bottom w:val="single" w:sz="12" w:space="0" w:color="000000"/>
            </w:tcBorders>
            <w:shd w:val="clear" w:color="auto" w:fill="auto"/>
            <w:tcMar>
              <w:top w:w="20" w:type="dxa"/>
              <w:left w:w="20" w:type="dxa"/>
              <w:bottom w:w="20" w:type="dxa"/>
              <w:right w:w="20" w:type="dxa"/>
            </w:tcMar>
          </w:tcPr>
          <w:p w14:paraId="3DCCDBED"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(11,381)</w:t>
            </w:r>
          </w:p>
        </w:tc>
        <w:tc>
          <w:tcPr>
            <w:tcW w:w="1191" w:type="dxa"/>
            <w:tcBorders>
              <w:top w:val="single" w:sz="2" w:space="0" w:color="000000"/>
              <w:bottom w:val="single" w:sz="12" w:space="0" w:color="000000"/>
            </w:tcBorders>
            <w:shd w:val="clear" w:color="auto" w:fill="auto"/>
            <w:tcMar>
              <w:top w:w="20" w:type="dxa"/>
              <w:left w:w="20" w:type="dxa"/>
              <w:bottom w:w="20" w:type="dxa"/>
              <w:right w:w="20" w:type="dxa"/>
            </w:tcMar>
          </w:tcPr>
          <w:p w14:paraId="771DF1A7"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(19,501)</w:t>
            </w:r>
          </w:p>
        </w:tc>
        <w:tc>
          <w:tcPr>
            <w:tcW w:w="1348" w:type="dxa"/>
            <w:tcBorders>
              <w:top w:val="single" w:sz="2" w:space="0" w:color="000000"/>
              <w:bottom w:val="single" w:sz="12" w:space="0" w:color="000000"/>
            </w:tcBorders>
            <w:shd w:val="clear" w:color="auto" w:fill="auto"/>
            <w:tcMar>
              <w:top w:w="20" w:type="dxa"/>
              <w:left w:w="20" w:type="dxa"/>
              <w:bottom w:w="20" w:type="dxa"/>
              <w:right w:w="20" w:type="dxa"/>
            </w:tcMar>
          </w:tcPr>
          <w:p w14:paraId="52CC9CB6"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(197)</w:t>
            </w:r>
          </w:p>
        </w:tc>
        <w:tc>
          <w:tcPr>
            <w:tcW w:w="1396" w:type="dxa"/>
            <w:tcBorders>
              <w:top w:val="single" w:sz="2" w:space="0" w:color="000000"/>
              <w:bottom w:val="single" w:sz="12" w:space="0" w:color="000000"/>
            </w:tcBorders>
            <w:shd w:val="clear" w:color="auto" w:fill="auto"/>
            <w:tcMar>
              <w:top w:w="20" w:type="dxa"/>
              <w:left w:w="20" w:type="dxa"/>
              <w:bottom w:w="20" w:type="dxa"/>
              <w:right w:w="20" w:type="dxa"/>
            </w:tcMar>
          </w:tcPr>
          <w:p w14:paraId="0EA4D480"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(2,946)</w:t>
            </w:r>
          </w:p>
        </w:tc>
        <w:tc>
          <w:tcPr>
            <w:tcW w:w="1096" w:type="dxa"/>
            <w:tcBorders>
              <w:top w:val="single" w:sz="2" w:space="0" w:color="000000"/>
              <w:left w:val="single" w:sz="2" w:space="0" w:color="000000"/>
              <w:bottom w:val="single" w:sz="12" w:space="0" w:color="000000"/>
              <w:right w:val="single" w:sz="2" w:space="0" w:color="000000"/>
            </w:tcBorders>
            <w:shd w:val="clear" w:color="auto" w:fill="auto"/>
            <w:tcMar>
              <w:top w:w="20" w:type="dxa"/>
              <w:left w:w="20" w:type="dxa"/>
              <w:bottom w:w="20" w:type="dxa"/>
              <w:right w:w="20" w:type="dxa"/>
            </w:tcMar>
          </w:tcPr>
          <w:p w14:paraId="6478F8EE"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(22,644)</w:t>
            </w:r>
          </w:p>
        </w:tc>
        <w:tc>
          <w:tcPr>
            <w:tcW w:w="1191" w:type="dxa"/>
            <w:tcBorders>
              <w:top w:val="single" w:sz="2" w:space="0" w:color="000000"/>
              <w:bottom w:val="single" w:sz="12" w:space="0" w:color="000000"/>
            </w:tcBorders>
            <w:shd w:val="clear" w:color="auto" w:fill="auto"/>
            <w:tcMar>
              <w:top w:w="20" w:type="dxa"/>
              <w:left w:w="20" w:type="dxa"/>
              <w:bottom w:w="20" w:type="dxa"/>
              <w:right w:w="20" w:type="dxa"/>
            </w:tcMar>
          </w:tcPr>
          <w:p w14:paraId="0FF2B8C7"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 xml:space="preserve">1,919,432 </w:t>
            </w:r>
          </w:p>
        </w:tc>
        <w:tc>
          <w:tcPr>
            <w:tcW w:w="1191" w:type="dxa"/>
            <w:tcBorders>
              <w:top w:val="single" w:sz="2" w:space="0" w:color="000000"/>
              <w:left w:val="single" w:sz="2" w:space="0" w:color="000000"/>
              <w:bottom w:val="single" w:sz="12" w:space="0" w:color="000000"/>
            </w:tcBorders>
            <w:shd w:val="clear" w:color="auto" w:fill="auto"/>
            <w:tcMar>
              <w:top w:w="20" w:type="dxa"/>
              <w:left w:w="20" w:type="dxa"/>
              <w:bottom w:w="20" w:type="dxa"/>
              <w:right w:w="20" w:type="dxa"/>
            </w:tcMar>
          </w:tcPr>
          <w:p w14:paraId="6DA75680" w14:textId="77777777" w:rsidR="00F45246" w:rsidRPr="00037881" w:rsidRDefault="00F45246" w:rsidP="00F45246">
            <w:pPr>
              <w:pStyle w:val="T1TableStyle"/>
              <w:jc w:val="right"/>
              <w:rPr>
                <w:rFonts w:ascii="Verdana" w:eastAsia="Verdana" w:hAnsi="Verdana" w:cs="Verdana"/>
                <w:b/>
                <w:color w:val="000000"/>
                <w:sz w:val="16"/>
                <w:lang w:val="en-GB"/>
              </w:rPr>
            </w:pPr>
            <w:r w:rsidRPr="00037881">
              <w:rPr>
                <w:rFonts w:ascii="Verdana" w:eastAsia="Verdana" w:hAnsi="Verdana" w:cs="Verdana"/>
                <w:b/>
                <w:color w:val="000000"/>
                <w:sz w:val="16"/>
                <w:lang w:val="en-GB"/>
              </w:rPr>
              <w:t>1,896,788</w:t>
            </w:r>
          </w:p>
        </w:tc>
      </w:tr>
      <w:tr w:rsidR="00F45246" w:rsidRPr="003516A4" w14:paraId="07C34C87" w14:textId="77777777" w:rsidTr="005503D2">
        <w:trPr>
          <w:trHeight w:hRule="exact" w:val="108"/>
          <w:jc w:val="center"/>
        </w:trPr>
        <w:tc>
          <w:tcPr>
            <w:tcW w:w="2556" w:type="dxa"/>
            <w:shd w:val="clear" w:color="auto" w:fill="auto"/>
            <w:tcMar>
              <w:top w:w="20" w:type="dxa"/>
              <w:left w:w="20" w:type="dxa"/>
              <w:bottom w:w="20" w:type="dxa"/>
              <w:right w:w="20" w:type="dxa"/>
            </w:tcMar>
          </w:tcPr>
          <w:p w14:paraId="04C47E3C" w14:textId="77777777" w:rsidR="00F45246" w:rsidRPr="003516A4" w:rsidRDefault="00F45246" w:rsidP="00F45246">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c>
          <w:tcPr>
            <w:tcW w:w="1096" w:type="dxa"/>
            <w:shd w:val="clear" w:color="auto" w:fill="auto"/>
            <w:tcMar>
              <w:top w:w="20" w:type="dxa"/>
              <w:left w:w="20" w:type="dxa"/>
              <w:bottom w:w="20" w:type="dxa"/>
              <w:right w:w="20" w:type="dxa"/>
            </w:tcMar>
          </w:tcPr>
          <w:p w14:paraId="012B74A7" w14:textId="77777777" w:rsidR="00F45246" w:rsidRPr="003516A4" w:rsidRDefault="00F45246" w:rsidP="00F45246">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c>
          <w:tcPr>
            <w:tcW w:w="1267" w:type="dxa"/>
            <w:shd w:val="clear" w:color="auto" w:fill="auto"/>
            <w:tcMar>
              <w:top w:w="20" w:type="dxa"/>
              <w:left w:w="20" w:type="dxa"/>
              <w:bottom w:w="20" w:type="dxa"/>
              <w:right w:w="20" w:type="dxa"/>
            </w:tcMar>
          </w:tcPr>
          <w:p w14:paraId="7B26EEA0" w14:textId="77777777" w:rsidR="00F45246" w:rsidRPr="003516A4" w:rsidRDefault="00F45246" w:rsidP="00F45246">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c>
          <w:tcPr>
            <w:tcW w:w="1191" w:type="dxa"/>
            <w:shd w:val="clear" w:color="auto" w:fill="auto"/>
            <w:tcMar>
              <w:top w:w="20" w:type="dxa"/>
              <w:left w:w="20" w:type="dxa"/>
              <w:bottom w:w="20" w:type="dxa"/>
              <w:right w:w="20" w:type="dxa"/>
            </w:tcMar>
          </w:tcPr>
          <w:p w14:paraId="1F9D66AA" w14:textId="77777777" w:rsidR="00F45246" w:rsidRPr="003516A4" w:rsidRDefault="00F45246" w:rsidP="00F45246">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c>
          <w:tcPr>
            <w:tcW w:w="1348" w:type="dxa"/>
            <w:shd w:val="clear" w:color="auto" w:fill="auto"/>
            <w:tcMar>
              <w:top w:w="20" w:type="dxa"/>
              <w:left w:w="20" w:type="dxa"/>
              <w:bottom w:w="20" w:type="dxa"/>
              <w:right w:w="20" w:type="dxa"/>
            </w:tcMar>
          </w:tcPr>
          <w:p w14:paraId="74785468" w14:textId="77777777" w:rsidR="00F45246" w:rsidRPr="003516A4" w:rsidRDefault="00F45246" w:rsidP="00F45246">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c>
          <w:tcPr>
            <w:tcW w:w="1396" w:type="dxa"/>
            <w:shd w:val="clear" w:color="auto" w:fill="auto"/>
            <w:tcMar>
              <w:top w:w="20" w:type="dxa"/>
              <w:left w:w="20" w:type="dxa"/>
              <w:bottom w:w="20" w:type="dxa"/>
              <w:right w:w="20" w:type="dxa"/>
            </w:tcMar>
          </w:tcPr>
          <w:p w14:paraId="474B1304" w14:textId="77777777" w:rsidR="00F45246" w:rsidRPr="003516A4" w:rsidRDefault="00F45246" w:rsidP="00F45246">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c>
          <w:tcPr>
            <w:tcW w:w="1096" w:type="dxa"/>
            <w:shd w:val="clear" w:color="auto" w:fill="auto"/>
            <w:tcMar>
              <w:top w:w="20" w:type="dxa"/>
              <w:left w:w="20" w:type="dxa"/>
              <w:bottom w:w="20" w:type="dxa"/>
              <w:right w:w="20" w:type="dxa"/>
            </w:tcMar>
          </w:tcPr>
          <w:p w14:paraId="26255666" w14:textId="77777777" w:rsidR="00F45246" w:rsidRPr="003516A4" w:rsidRDefault="00F45246" w:rsidP="00F45246">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c>
          <w:tcPr>
            <w:tcW w:w="1191" w:type="dxa"/>
            <w:shd w:val="clear" w:color="auto" w:fill="auto"/>
            <w:tcMar>
              <w:top w:w="20" w:type="dxa"/>
              <w:left w:w="20" w:type="dxa"/>
              <w:bottom w:w="20" w:type="dxa"/>
              <w:right w:w="20" w:type="dxa"/>
            </w:tcMar>
            <w:vAlign w:val="center"/>
          </w:tcPr>
          <w:p w14:paraId="017047A6" w14:textId="77777777" w:rsidR="00F45246" w:rsidRPr="003516A4" w:rsidRDefault="00F45246" w:rsidP="00F45246">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c>
          <w:tcPr>
            <w:tcW w:w="1191" w:type="dxa"/>
            <w:shd w:val="clear" w:color="auto" w:fill="auto"/>
            <w:tcMar>
              <w:top w:w="20" w:type="dxa"/>
              <w:left w:w="20" w:type="dxa"/>
              <w:bottom w:w="20" w:type="dxa"/>
              <w:right w:w="20" w:type="dxa"/>
            </w:tcMar>
          </w:tcPr>
          <w:p w14:paraId="4B794E72" w14:textId="77777777" w:rsidR="00F45246" w:rsidRPr="003516A4" w:rsidRDefault="00F45246" w:rsidP="00F45246">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r>
    </w:tbl>
    <w:p w14:paraId="6A5B7F34" w14:textId="77777777" w:rsidR="00F43C93" w:rsidRPr="00037881" w:rsidRDefault="00DF2050">
      <w:pPr>
        <w:pStyle w:val="Normal0"/>
        <w:spacing w:after="160" w:line="259" w:lineRule="auto"/>
        <w:rPr>
          <w:rFonts w:ascii="Verdana" w:eastAsia="Verdana" w:hAnsi="Verdana" w:cs="Verdana"/>
          <w:b/>
          <w:szCs w:val="22"/>
          <w:lang w:val="en-GB"/>
        </w:rPr>
      </w:pPr>
      <w:r w:rsidRPr="00037881">
        <w:rPr>
          <w:rFonts w:ascii="Verdana" w:eastAsia="Verdana" w:hAnsi="Verdana" w:cs="Verdana"/>
          <w:b/>
          <w:szCs w:val="22"/>
          <w:lang w:val="en-GB"/>
        </w:rPr>
        <w:tab/>
      </w:r>
    </w:p>
    <w:p w14:paraId="532BD584" w14:textId="77777777" w:rsidR="00F43C93" w:rsidRPr="00037881" w:rsidRDefault="00F43C93">
      <w:pPr>
        <w:pStyle w:val="Normal0"/>
        <w:spacing w:after="160" w:line="259" w:lineRule="auto"/>
        <w:rPr>
          <w:rFonts w:ascii="Verdana" w:eastAsia="Verdana" w:hAnsi="Verdana" w:cs="Verdana"/>
          <w:b/>
          <w:szCs w:val="22"/>
          <w:lang w:val="en-GB"/>
        </w:rPr>
      </w:pPr>
    </w:p>
    <w:p w14:paraId="53AB0ACF" w14:textId="77777777" w:rsidR="00F43C93" w:rsidRPr="00037881" w:rsidRDefault="00F43C93">
      <w:pPr>
        <w:pStyle w:val="Normal0"/>
        <w:spacing w:after="160" w:line="259" w:lineRule="auto"/>
        <w:rPr>
          <w:rFonts w:ascii="Verdana" w:eastAsia="Verdana" w:hAnsi="Verdana" w:cs="Verdana"/>
          <w:b/>
          <w:szCs w:val="22"/>
          <w:lang w:val="en-GB"/>
        </w:rPr>
      </w:pPr>
    </w:p>
    <w:tbl>
      <w:tblPr>
        <w:tblW w:w="13639" w:type="dxa"/>
        <w:tblInd w:w="165" w:type="dxa"/>
        <w:tblLayout w:type="fixed"/>
        <w:tblLook w:val="04A0" w:firstRow="1" w:lastRow="0" w:firstColumn="1" w:lastColumn="0" w:noHBand="0" w:noVBand="1"/>
      </w:tblPr>
      <w:tblGrid>
        <w:gridCol w:w="2803"/>
        <w:gridCol w:w="1416"/>
        <w:gridCol w:w="1193"/>
        <w:gridCol w:w="1530"/>
        <w:gridCol w:w="1399"/>
        <w:gridCol w:w="1244"/>
        <w:gridCol w:w="1297"/>
        <w:gridCol w:w="1418"/>
        <w:gridCol w:w="1339"/>
      </w:tblGrid>
      <w:tr w:rsidR="00666FF4" w:rsidRPr="00000E24" w14:paraId="248114E9" w14:textId="77777777" w:rsidTr="0041394A">
        <w:trPr>
          <w:trHeight w:val="300"/>
        </w:trPr>
        <w:tc>
          <w:tcPr>
            <w:tcW w:w="2803" w:type="dxa"/>
            <w:tcBorders>
              <w:top w:val="nil"/>
              <w:left w:val="nil"/>
              <w:bottom w:val="nil"/>
              <w:right w:val="nil"/>
            </w:tcBorders>
            <w:shd w:val="clear" w:color="auto" w:fill="auto"/>
            <w:noWrap/>
            <w:vAlign w:val="bottom"/>
            <w:hideMark/>
          </w:tcPr>
          <w:p w14:paraId="63CA8994" w14:textId="77777777" w:rsidR="00000E24" w:rsidRPr="00000E24" w:rsidRDefault="00000E24" w:rsidP="00000E24">
            <w:pPr>
              <w:rPr>
                <w:rFonts w:ascii="Calibri" w:eastAsia="Times New Roman" w:hAnsi="Calibri" w:cs="Calibri"/>
                <w:b/>
                <w:bCs/>
                <w:color w:val="000000"/>
                <w:lang w:val="en-GB" w:eastAsia="en-GB"/>
              </w:rPr>
            </w:pPr>
            <w:r w:rsidRPr="00000E24">
              <w:rPr>
                <w:rFonts w:ascii="Calibri" w:eastAsia="Times New Roman" w:hAnsi="Calibri" w:cs="Calibri"/>
                <w:b/>
                <w:bCs/>
                <w:color w:val="000000"/>
                <w:lang w:val="en-GB" w:eastAsia="en-GB"/>
              </w:rPr>
              <w:t>PCC</w:t>
            </w:r>
          </w:p>
        </w:tc>
        <w:tc>
          <w:tcPr>
            <w:tcW w:w="1416" w:type="dxa"/>
            <w:tcBorders>
              <w:top w:val="nil"/>
              <w:left w:val="nil"/>
              <w:bottom w:val="nil"/>
              <w:right w:val="nil"/>
            </w:tcBorders>
            <w:shd w:val="clear" w:color="auto" w:fill="auto"/>
            <w:noWrap/>
            <w:vAlign w:val="bottom"/>
            <w:hideMark/>
          </w:tcPr>
          <w:p w14:paraId="6C0CDF8F" w14:textId="77777777" w:rsidR="00000E24" w:rsidRPr="00000E24" w:rsidRDefault="00000E24" w:rsidP="00000E24">
            <w:pPr>
              <w:rPr>
                <w:rFonts w:ascii="Calibri" w:eastAsia="Times New Roman" w:hAnsi="Calibri" w:cs="Calibri"/>
                <w:b/>
                <w:bCs/>
                <w:color w:val="000000"/>
                <w:lang w:val="en-GB" w:eastAsia="en-GB"/>
              </w:rPr>
            </w:pPr>
          </w:p>
        </w:tc>
        <w:tc>
          <w:tcPr>
            <w:tcW w:w="1193" w:type="dxa"/>
            <w:tcBorders>
              <w:top w:val="nil"/>
              <w:left w:val="nil"/>
              <w:bottom w:val="nil"/>
              <w:right w:val="nil"/>
            </w:tcBorders>
            <w:shd w:val="clear" w:color="auto" w:fill="auto"/>
            <w:noWrap/>
            <w:vAlign w:val="bottom"/>
            <w:hideMark/>
          </w:tcPr>
          <w:p w14:paraId="44E96743" w14:textId="77777777" w:rsidR="00000E24" w:rsidRPr="00000E24" w:rsidRDefault="00000E24" w:rsidP="00000E24">
            <w:pPr>
              <w:rPr>
                <w:rFonts w:ascii="Times New Roman" w:eastAsia="Times New Roman" w:hAnsi="Times New Roman" w:cs="Times New Roman"/>
                <w:sz w:val="20"/>
                <w:szCs w:val="20"/>
                <w:lang w:val="en-GB" w:eastAsia="en-GB"/>
              </w:rPr>
            </w:pPr>
          </w:p>
        </w:tc>
        <w:tc>
          <w:tcPr>
            <w:tcW w:w="1530" w:type="dxa"/>
            <w:tcBorders>
              <w:top w:val="nil"/>
              <w:left w:val="nil"/>
              <w:bottom w:val="nil"/>
              <w:right w:val="nil"/>
            </w:tcBorders>
            <w:shd w:val="clear" w:color="auto" w:fill="auto"/>
            <w:noWrap/>
            <w:vAlign w:val="bottom"/>
            <w:hideMark/>
          </w:tcPr>
          <w:p w14:paraId="492B47FC" w14:textId="77777777" w:rsidR="00000E24" w:rsidRPr="00000E24" w:rsidRDefault="00000E24" w:rsidP="00000E24">
            <w:pPr>
              <w:rPr>
                <w:rFonts w:ascii="Times New Roman" w:eastAsia="Times New Roman" w:hAnsi="Times New Roman" w:cs="Times New Roman"/>
                <w:sz w:val="20"/>
                <w:szCs w:val="20"/>
                <w:lang w:val="en-GB" w:eastAsia="en-GB"/>
              </w:rPr>
            </w:pPr>
          </w:p>
        </w:tc>
        <w:tc>
          <w:tcPr>
            <w:tcW w:w="1399" w:type="dxa"/>
            <w:tcBorders>
              <w:top w:val="nil"/>
              <w:left w:val="nil"/>
              <w:bottom w:val="nil"/>
              <w:right w:val="nil"/>
            </w:tcBorders>
            <w:shd w:val="clear" w:color="auto" w:fill="auto"/>
            <w:noWrap/>
            <w:vAlign w:val="bottom"/>
            <w:hideMark/>
          </w:tcPr>
          <w:p w14:paraId="1C7575CD" w14:textId="77777777" w:rsidR="00000E24" w:rsidRPr="00000E24" w:rsidRDefault="00000E24" w:rsidP="00000E24">
            <w:pPr>
              <w:rPr>
                <w:rFonts w:ascii="Times New Roman" w:eastAsia="Times New Roman" w:hAnsi="Times New Roman" w:cs="Times New Roman"/>
                <w:sz w:val="20"/>
                <w:szCs w:val="20"/>
                <w:lang w:val="en-GB" w:eastAsia="en-GB"/>
              </w:rPr>
            </w:pPr>
          </w:p>
        </w:tc>
        <w:tc>
          <w:tcPr>
            <w:tcW w:w="1244" w:type="dxa"/>
            <w:tcBorders>
              <w:top w:val="nil"/>
              <w:left w:val="nil"/>
              <w:bottom w:val="nil"/>
              <w:right w:val="nil"/>
            </w:tcBorders>
            <w:shd w:val="clear" w:color="auto" w:fill="auto"/>
            <w:noWrap/>
            <w:vAlign w:val="bottom"/>
            <w:hideMark/>
          </w:tcPr>
          <w:p w14:paraId="6134F87C" w14:textId="77777777" w:rsidR="00000E24" w:rsidRPr="00000E24" w:rsidRDefault="00000E24" w:rsidP="00000E24">
            <w:pPr>
              <w:rPr>
                <w:rFonts w:ascii="Times New Roman" w:eastAsia="Times New Roman" w:hAnsi="Times New Roman" w:cs="Times New Roman"/>
                <w:sz w:val="20"/>
                <w:szCs w:val="20"/>
                <w:lang w:val="en-GB" w:eastAsia="en-GB"/>
              </w:rPr>
            </w:pPr>
          </w:p>
        </w:tc>
        <w:tc>
          <w:tcPr>
            <w:tcW w:w="1297" w:type="dxa"/>
            <w:tcBorders>
              <w:top w:val="nil"/>
              <w:left w:val="nil"/>
              <w:bottom w:val="nil"/>
              <w:right w:val="nil"/>
            </w:tcBorders>
            <w:shd w:val="clear" w:color="auto" w:fill="auto"/>
            <w:noWrap/>
            <w:vAlign w:val="bottom"/>
            <w:hideMark/>
          </w:tcPr>
          <w:p w14:paraId="482DA408" w14:textId="77777777" w:rsidR="00000E24" w:rsidRPr="00000E24" w:rsidRDefault="00000E24" w:rsidP="00000E24">
            <w:pPr>
              <w:rPr>
                <w:rFonts w:ascii="Times New Roman" w:eastAsia="Times New Roman" w:hAnsi="Times New Roman" w:cs="Times New Roman"/>
                <w:sz w:val="20"/>
                <w:szCs w:val="20"/>
                <w:lang w:val="en-GB" w:eastAsia="en-GB"/>
              </w:rPr>
            </w:pPr>
          </w:p>
        </w:tc>
        <w:tc>
          <w:tcPr>
            <w:tcW w:w="1418" w:type="dxa"/>
            <w:tcBorders>
              <w:top w:val="nil"/>
              <w:left w:val="nil"/>
              <w:bottom w:val="nil"/>
              <w:right w:val="nil"/>
            </w:tcBorders>
            <w:shd w:val="clear" w:color="auto" w:fill="auto"/>
            <w:noWrap/>
            <w:vAlign w:val="bottom"/>
            <w:hideMark/>
          </w:tcPr>
          <w:p w14:paraId="19FAB1D5" w14:textId="77777777" w:rsidR="00000E24" w:rsidRPr="00000E24" w:rsidRDefault="00000E24" w:rsidP="00000E24">
            <w:pPr>
              <w:rPr>
                <w:rFonts w:ascii="Times New Roman" w:eastAsia="Times New Roman" w:hAnsi="Times New Roman" w:cs="Times New Roman"/>
                <w:sz w:val="20"/>
                <w:szCs w:val="20"/>
                <w:lang w:val="en-GB" w:eastAsia="en-GB"/>
              </w:rPr>
            </w:pPr>
          </w:p>
        </w:tc>
        <w:tc>
          <w:tcPr>
            <w:tcW w:w="1339" w:type="dxa"/>
            <w:tcBorders>
              <w:top w:val="nil"/>
              <w:left w:val="nil"/>
              <w:bottom w:val="nil"/>
              <w:right w:val="nil"/>
            </w:tcBorders>
            <w:shd w:val="clear" w:color="auto" w:fill="auto"/>
            <w:noWrap/>
            <w:vAlign w:val="bottom"/>
            <w:hideMark/>
          </w:tcPr>
          <w:p w14:paraId="4184F393" w14:textId="77777777" w:rsidR="00000E24" w:rsidRPr="00000E24" w:rsidRDefault="00000E24" w:rsidP="00000E24">
            <w:pPr>
              <w:rPr>
                <w:rFonts w:ascii="Times New Roman" w:eastAsia="Times New Roman" w:hAnsi="Times New Roman" w:cs="Times New Roman"/>
                <w:sz w:val="20"/>
                <w:szCs w:val="20"/>
                <w:lang w:val="en-GB" w:eastAsia="en-GB"/>
              </w:rPr>
            </w:pPr>
          </w:p>
        </w:tc>
      </w:tr>
      <w:tr w:rsidR="00666FF4" w:rsidRPr="00000E24" w14:paraId="1A0972FE" w14:textId="77777777" w:rsidTr="0041394A">
        <w:trPr>
          <w:trHeight w:val="1050"/>
        </w:trPr>
        <w:tc>
          <w:tcPr>
            <w:tcW w:w="2803" w:type="dxa"/>
            <w:tcBorders>
              <w:top w:val="nil"/>
              <w:left w:val="nil"/>
              <w:bottom w:val="nil"/>
              <w:right w:val="nil"/>
            </w:tcBorders>
            <w:shd w:val="clear" w:color="auto" w:fill="auto"/>
            <w:vAlign w:val="center"/>
            <w:hideMark/>
          </w:tcPr>
          <w:p w14:paraId="070C0591" w14:textId="77777777" w:rsidR="00000E24" w:rsidRPr="00000E24" w:rsidRDefault="00000E24" w:rsidP="00000E24">
            <w:pPr>
              <w:rPr>
                <w:rFonts w:ascii="Times New Roman" w:eastAsia="Times New Roman" w:hAnsi="Times New Roman" w:cs="Times New Roman"/>
                <w:sz w:val="20"/>
                <w:szCs w:val="20"/>
                <w:lang w:val="en-GB" w:eastAsia="en-GB"/>
              </w:rPr>
            </w:pPr>
          </w:p>
        </w:tc>
        <w:tc>
          <w:tcPr>
            <w:tcW w:w="1416" w:type="dxa"/>
            <w:tcBorders>
              <w:top w:val="nil"/>
              <w:left w:val="nil"/>
              <w:bottom w:val="nil"/>
              <w:right w:val="nil"/>
            </w:tcBorders>
            <w:shd w:val="clear" w:color="auto" w:fill="auto"/>
            <w:vAlign w:val="center"/>
            <w:hideMark/>
          </w:tcPr>
          <w:p w14:paraId="733E33C2" w14:textId="77777777" w:rsidR="00000E24" w:rsidRPr="00000E24" w:rsidRDefault="00000E24" w:rsidP="00000E24">
            <w:pPr>
              <w:jc w:val="center"/>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General Fund Balance</w:t>
            </w:r>
          </w:p>
        </w:tc>
        <w:tc>
          <w:tcPr>
            <w:tcW w:w="1193" w:type="dxa"/>
            <w:tcBorders>
              <w:top w:val="nil"/>
              <w:left w:val="nil"/>
              <w:bottom w:val="nil"/>
              <w:right w:val="nil"/>
            </w:tcBorders>
            <w:shd w:val="clear" w:color="auto" w:fill="auto"/>
            <w:vAlign w:val="center"/>
            <w:hideMark/>
          </w:tcPr>
          <w:p w14:paraId="3454A080" w14:textId="77777777" w:rsidR="00000E24" w:rsidRPr="00000E24" w:rsidRDefault="00000E24" w:rsidP="00000E24">
            <w:pPr>
              <w:jc w:val="center"/>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Earmarked General Fund Reserves</w:t>
            </w:r>
          </w:p>
        </w:tc>
        <w:tc>
          <w:tcPr>
            <w:tcW w:w="1530" w:type="dxa"/>
            <w:tcBorders>
              <w:top w:val="nil"/>
              <w:left w:val="nil"/>
              <w:bottom w:val="nil"/>
              <w:right w:val="nil"/>
            </w:tcBorders>
            <w:shd w:val="clear" w:color="auto" w:fill="auto"/>
            <w:vAlign w:val="center"/>
            <w:hideMark/>
          </w:tcPr>
          <w:p w14:paraId="2D9E0E44" w14:textId="77777777" w:rsidR="00000E24" w:rsidRPr="00000E24" w:rsidRDefault="00000E24" w:rsidP="00000E24">
            <w:pPr>
              <w:jc w:val="center"/>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Total General Fund Balance</w:t>
            </w:r>
          </w:p>
        </w:tc>
        <w:tc>
          <w:tcPr>
            <w:tcW w:w="1399" w:type="dxa"/>
            <w:tcBorders>
              <w:top w:val="nil"/>
              <w:left w:val="nil"/>
              <w:bottom w:val="nil"/>
              <w:right w:val="nil"/>
            </w:tcBorders>
            <w:shd w:val="clear" w:color="auto" w:fill="auto"/>
            <w:vAlign w:val="center"/>
            <w:hideMark/>
          </w:tcPr>
          <w:p w14:paraId="23961049" w14:textId="77777777" w:rsidR="00000E24" w:rsidRPr="00000E24" w:rsidRDefault="00000E24" w:rsidP="00000E24">
            <w:pPr>
              <w:jc w:val="center"/>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Capital Receipts Reserve</w:t>
            </w:r>
          </w:p>
        </w:tc>
        <w:tc>
          <w:tcPr>
            <w:tcW w:w="1244" w:type="dxa"/>
            <w:tcBorders>
              <w:top w:val="nil"/>
              <w:left w:val="nil"/>
              <w:bottom w:val="nil"/>
              <w:right w:val="nil"/>
            </w:tcBorders>
            <w:shd w:val="clear" w:color="auto" w:fill="auto"/>
            <w:vAlign w:val="center"/>
            <w:hideMark/>
          </w:tcPr>
          <w:p w14:paraId="4EFB823B" w14:textId="77777777" w:rsidR="00000E24" w:rsidRPr="00000E24" w:rsidRDefault="00000E24" w:rsidP="00000E24">
            <w:pPr>
              <w:jc w:val="center"/>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Capital Grants Un-applied Account</w:t>
            </w:r>
          </w:p>
        </w:tc>
        <w:tc>
          <w:tcPr>
            <w:tcW w:w="1297" w:type="dxa"/>
            <w:tcBorders>
              <w:top w:val="nil"/>
              <w:left w:val="nil"/>
              <w:bottom w:val="nil"/>
              <w:right w:val="nil"/>
            </w:tcBorders>
            <w:shd w:val="clear" w:color="auto" w:fill="auto"/>
            <w:vAlign w:val="center"/>
            <w:hideMark/>
          </w:tcPr>
          <w:p w14:paraId="21BFF6BD" w14:textId="77777777" w:rsidR="00000E24" w:rsidRPr="00000E24" w:rsidRDefault="00000E24" w:rsidP="00000E24">
            <w:pPr>
              <w:jc w:val="center"/>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Total Usable Reserves</w:t>
            </w:r>
          </w:p>
        </w:tc>
        <w:tc>
          <w:tcPr>
            <w:tcW w:w="1418" w:type="dxa"/>
            <w:tcBorders>
              <w:top w:val="nil"/>
              <w:left w:val="nil"/>
              <w:bottom w:val="nil"/>
              <w:right w:val="nil"/>
            </w:tcBorders>
            <w:shd w:val="clear" w:color="auto" w:fill="auto"/>
            <w:vAlign w:val="center"/>
            <w:hideMark/>
          </w:tcPr>
          <w:p w14:paraId="5C697A50" w14:textId="77777777" w:rsidR="00000E24" w:rsidRPr="00000E24" w:rsidRDefault="00000E24" w:rsidP="00000E24">
            <w:pPr>
              <w:jc w:val="center"/>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Unusable Reserves</w:t>
            </w:r>
          </w:p>
        </w:tc>
        <w:tc>
          <w:tcPr>
            <w:tcW w:w="1339" w:type="dxa"/>
            <w:tcBorders>
              <w:top w:val="nil"/>
              <w:left w:val="nil"/>
              <w:bottom w:val="nil"/>
              <w:right w:val="nil"/>
            </w:tcBorders>
            <w:shd w:val="clear" w:color="auto" w:fill="auto"/>
            <w:vAlign w:val="center"/>
            <w:hideMark/>
          </w:tcPr>
          <w:p w14:paraId="55863E1B" w14:textId="77777777" w:rsidR="00000E24" w:rsidRPr="00000E24" w:rsidRDefault="00000E24" w:rsidP="00000E24">
            <w:pPr>
              <w:jc w:val="center"/>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Total Reserves</w:t>
            </w:r>
          </w:p>
        </w:tc>
      </w:tr>
      <w:tr w:rsidR="00666FF4" w:rsidRPr="00000E24" w14:paraId="6A7B0309" w14:textId="77777777" w:rsidTr="0041394A">
        <w:trPr>
          <w:trHeight w:val="315"/>
        </w:trPr>
        <w:tc>
          <w:tcPr>
            <w:tcW w:w="2803" w:type="dxa"/>
            <w:tcBorders>
              <w:top w:val="nil"/>
              <w:left w:val="nil"/>
              <w:bottom w:val="single" w:sz="8" w:space="0" w:color="auto"/>
              <w:right w:val="nil"/>
            </w:tcBorders>
            <w:shd w:val="clear" w:color="auto" w:fill="auto"/>
            <w:vAlign w:val="center"/>
            <w:hideMark/>
          </w:tcPr>
          <w:p w14:paraId="778D444D" w14:textId="77777777" w:rsidR="00000E24" w:rsidRPr="00000E24" w:rsidRDefault="00000E24" w:rsidP="00000E24">
            <w:pPr>
              <w:jc w:val="center"/>
              <w:rPr>
                <w:rFonts w:eastAsia="Times New Roman" w:cs="Calibri"/>
                <w:b/>
                <w:bCs/>
                <w:color w:val="000000"/>
                <w:sz w:val="2"/>
                <w:szCs w:val="2"/>
                <w:lang w:val="en-GB" w:eastAsia="en-GB"/>
              </w:rPr>
            </w:pPr>
            <w:r w:rsidRPr="00000E24">
              <w:rPr>
                <w:rFonts w:eastAsia="Times New Roman" w:cs="Calibri"/>
                <w:b/>
                <w:bCs/>
                <w:color w:val="000000"/>
                <w:sz w:val="2"/>
                <w:szCs w:val="2"/>
                <w:lang w:val="en-GB" w:eastAsia="en-GB"/>
              </w:rPr>
              <w:t xml:space="preserve"> </w:t>
            </w:r>
          </w:p>
        </w:tc>
        <w:tc>
          <w:tcPr>
            <w:tcW w:w="1416" w:type="dxa"/>
            <w:tcBorders>
              <w:top w:val="nil"/>
              <w:left w:val="nil"/>
              <w:bottom w:val="single" w:sz="8" w:space="0" w:color="000000"/>
              <w:right w:val="nil"/>
            </w:tcBorders>
            <w:shd w:val="clear" w:color="auto" w:fill="auto"/>
            <w:vAlign w:val="center"/>
            <w:hideMark/>
          </w:tcPr>
          <w:p w14:paraId="01822980"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£000</w:t>
            </w:r>
          </w:p>
        </w:tc>
        <w:tc>
          <w:tcPr>
            <w:tcW w:w="1193" w:type="dxa"/>
            <w:tcBorders>
              <w:top w:val="nil"/>
              <w:left w:val="nil"/>
              <w:bottom w:val="single" w:sz="8" w:space="0" w:color="000000"/>
              <w:right w:val="nil"/>
            </w:tcBorders>
            <w:shd w:val="clear" w:color="auto" w:fill="auto"/>
            <w:vAlign w:val="center"/>
            <w:hideMark/>
          </w:tcPr>
          <w:p w14:paraId="797EB9C9"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£000</w:t>
            </w:r>
          </w:p>
        </w:tc>
        <w:tc>
          <w:tcPr>
            <w:tcW w:w="1530" w:type="dxa"/>
            <w:tcBorders>
              <w:top w:val="nil"/>
              <w:left w:val="nil"/>
              <w:bottom w:val="single" w:sz="8" w:space="0" w:color="000000"/>
              <w:right w:val="nil"/>
            </w:tcBorders>
            <w:shd w:val="clear" w:color="auto" w:fill="auto"/>
            <w:vAlign w:val="center"/>
            <w:hideMark/>
          </w:tcPr>
          <w:p w14:paraId="0DAA4D42"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£000</w:t>
            </w:r>
          </w:p>
        </w:tc>
        <w:tc>
          <w:tcPr>
            <w:tcW w:w="1399" w:type="dxa"/>
            <w:tcBorders>
              <w:top w:val="nil"/>
              <w:left w:val="nil"/>
              <w:bottom w:val="single" w:sz="8" w:space="0" w:color="000000"/>
              <w:right w:val="nil"/>
            </w:tcBorders>
            <w:shd w:val="clear" w:color="auto" w:fill="auto"/>
            <w:vAlign w:val="center"/>
            <w:hideMark/>
          </w:tcPr>
          <w:p w14:paraId="596297F2"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£000</w:t>
            </w:r>
          </w:p>
        </w:tc>
        <w:tc>
          <w:tcPr>
            <w:tcW w:w="1244" w:type="dxa"/>
            <w:tcBorders>
              <w:top w:val="nil"/>
              <w:left w:val="nil"/>
              <w:bottom w:val="single" w:sz="8" w:space="0" w:color="000000"/>
              <w:right w:val="nil"/>
            </w:tcBorders>
            <w:shd w:val="clear" w:color="auto" w:fill="auto"/>
            <w:vAlign w:val="center"/>
            <w:hideMark/>
          </w:tcPr>
          <w:p w14:paraId="366BF6E1"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£000</w:t>
            </w:r>
          </w:p>
        </w:tc>
        <w:tc>
          <w:tcPr>
            <w:tcW w:w="1297" w:type="dxa"/>
            <w:tcBorders>
              <w:top w:val="nil"/>
              <w:left w:val="nil"/>
              <w:bottom w:val="single" w:sz="8" w:space="0" w:color="000000"/>
              <w:right w:val="nil"/>
            </w:tcBorders>
            <w:shd w:val="clear" w:color="auto" w:fill="auto"/>
            <w:vAlign w:val="center"/>
            <w:hideMark/>
          </w:tcPr>
          <w:p w14:paraId="66EAF904"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£000</w:t>
            </w:r>
          </w:p>
        </w:tc>
        <w:tc>
          <w:tcPr>
            <w:tcW w:w="1418" w:type="dxa"/>
            <w:tcBorders>
              <w:top w:val="nil"/>
              <w:left w:val="nil"/>
              <w:bottom w:val="single" w:sz="8" w:space="0" w:color="000000"/>
              <w:right w:val="nil"/>
            </w:tcBorders>
            <w:shd w:val="clear" w:color="auto" w:fill="auto"/>
            <w:vAlign w:val="center"/>
            <w:hideMark/>
          </w:tcPr>
          <w:p w14:paraId="5F600224"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£000</w:t>
            </w:r>
          </w:p>
        </w:tc>
        <w:tc>
          <w:tcPr>
            <w:tcW w:w="1339" w:type="dxa"/>
            <w:tcBorders>
              <w:top w:val="nil"/>
              <w:left w:val="nil"/>
              <w:bottom w:val="single" w:sz="8" w:space="0" w:color="000000"/>
              <w:right w:val="nil"/>
            </w:tcBorders>
            <w:shd w:val="clear" w:color="auto" w:fill="auto"/>
            <w:vAlign w:val="center"/>
            <w:hideMark/>
          </w:tcPr>
          <w:p w14:paraId="013F0A4E"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£000</w:t>
            </w:r>
          </w:p>
        </w:tc>
      </w:tr>
      <w:tr w:rsidR="00666FF4" w:rsidRPr="00000E24" w14:paraId="58369723" w14:textId="77777777" w:rsidTr="0041394A">
        <w:trPr>
          <w:trHeight w:val="315"/>
        </w:trPr>
        <w:tc>
          <w:tcPr>
            <w:tcW w:w="2803" w:type="dxa"/>
            <w:tcBorders>
              <w:top w:val="nil"/>
              <w:left w:val="nil"/>
              <w:bottom w:val="single" w:sz="8" w:space="0" w:color="auto"/>
              <w:right w:val="nil"/>
            </w:tcBorders>
            <w:shd w:val="clear" w:color="auto" w:fill="auto"/>
            <w:vAlign w:val="center"/>
            <w:hideMark/>
          </w:tcPr>
          <w:p w14:paraId="0C307306" w14:textId="77777777" w:rsidR="00000E24" w:rsidRPr="00000E24" w:rsidRDefault="00000E24" w:rsidP="00000E24">
            <w:pPr>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Balance at 31 March 2020</w:t>
            </w:r>
          </w:p>
        </w:tc>
        <w:tc>
          <w:tcPr>
            <w:tcW w:w="1416" w:type="dxa"/>
            <w:tcBorders>
              <w:top w:val="nil"/>
              <w:left w:val="single" w:sz="8" w:space="0" w:color="000000"/>
              <w:bottom w:val="single" w:sz="8" w:space="0" w:color="auto"/>
              <w:right w:val="nil"/>
            </w:tcBorders>
            <w:shd w:val="clear" w:color="auto" w:fill="auto"/>
            <w:vAlign w:val="center"/>
            <w:hideMark/>
          </w:tcPr>
          <w:p w14:paraId="39B96AB2"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(8,120)</w:t>
            </w:r>
          </w:p>
        </w:tc>
        <w:tc>
          <w:tcPr>
            <w:tcW w:w="1193" w:type="dxa"/>
            <w:tcBorders>
              <w:top w:val="nil"/>
              <w:left w:val="nil"/>
              <w:bottom w:val="single" w:sz="8" w:space="0" w:color="auto"/>
              <w:right w:val="nil"/>
            </w:tcBorders>
            <w:shd w:val="clear" w:color="auto" w:fill="auto"/>
            <w:vAlign w:val="center"/>
            <w:hideMark/>
          </w:tcPr>
          <w:p w14:paraId="193F0D60"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(11,381)</w:t>
            </w:r>
          </w:p>
        </w:tc>
        <w:tc>
          <w:tcPr>
            <w:tcW w:w="1530" w:type="dxa"/>
            <w:tcBorders>
              <w:top w:val="nil"/>
              <w:left w:val="nil"/>
              <w:bottom w:val="single" w:sz="8" w:space="0" w:color="auto"/>
              <w:right w:val="nil"/>
            </w:tcBorders>
            <w:shd w:val="clear" w:color="auto" w:fill="auto"/>
            <w:vAlign w:val="center"/>
            <w:hideMark/>
          </w:tcPr>
          <w:p w14:paraId="22F0E622"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(19,501)</w:t>
            </w:r>
          </w:p>
        </w:tc>
        <w:tc>
          <w:tcPr>
            <w:tcW w:w="1399" w:type="dxa"/>
            <w:tcBorders>
              <w:top w:val="nil"/>
              <w:left w:val="nil"/>
              <w:bottom w:val="single" w:sz="8" w:space="0" w:color="auto"/>
              <w:right w:val="nil"/>
            </w:tcBorders>
            <w:shd w:val="clear" w:color="auto" w:fill="auto"/>
            <w:vAlign w:val="center"/>
            <w:hideMark/>
          </w:tcPr>
          <w:p w14:paraId="0EB95A0E"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(197)</w:t>
            </w:r>
          </w:p>
        </w:tc>
        <w:tc>
          <w:tcPr>
            <w:tcW w:w="1244" w:type="dxa"/>
            <w:tcBorders>
              <w:top w:val="nil"/>
              <w:left w:val="nil"/>
              <w:bottom w:val="single" w:sz="8" w:space="0" w:color="auto"/>
              <w:right w:val="single" w:sz="8" w:space="0" w:color="000000"/>
            </w:tcBorders>
            <w:shd w:val="clear" w:color="auto" w:fill="auto"/>
            <w:vAlign w:val="center"/>
            <w:hideMark/>
          </w:tcPr>
          <w:p w14:paraId="77C08B4C"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(2,946)</w:t>
            </w:r>
          </w:p>
        </w:tc>
        <w:tc>
          <w:tcPr>
            <w:tcW w:w="1297" w:type="dxa"/>
            <w:tcBorders>
              <w:top w:val="nil"/>
              <w:left w:val="nil"/>
              <w:bottom w:val="single" w:sz="8" w:space="0" w:color="auto"/>
              <w:right w:val="single" w:sz="8" w:space="0" w:color="000000"/>
            </w:tcBorders>
            <w:shd w:val="clear" w:color="auto" w:fill="auto"/>
            <w:vAlign w:val="center"/>
            <w:hideMark/>
          </w:tcPr>
          <w:p w14:paraId="30ACD600"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(22,644)</w:t>
            </w:r>
          </w:p>
        </w:tc>
        <w:tc>
          <w:tcPr>
            <w:tcW w:w="1418" w:type="dxa"/>
            <w:tcBorders>
              <w:top w:val="nil"/>
              <w:left w:val="nil"/>
              <w:bottom w:val="single" w:sz="8" w:space="0" w:color="auto"/>
              <w:right w:val="single" w:sz="8" w:space="0" w:color="000000"/>
            </w:tcBorders>
            <w:shd w:val="clear" w:color="auto" w:fill="auto"/>
            <w:vAlign w:val="center"/>
            <w:hideMark/>
          </w:tcPr>
          <w:p w14:paraId="719A8D59"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(108,176)</w:t>
            </w:r>
          </w:p>
        </w:tc>
        <w:tc>
          <w:tcPr>
            <w:tcW w:w="1339" w:type="dxa"/>
            <w:tcBorders>
              <w:top w:val="nil"/>
              <w:left w:val="nil"/>
              <w:bottom w:val="single" w:sz="8" w:space="0" w:color="auto"/>
              <w:right w:val="nil"/>
            </w:tcBorders>
            <w:shd w:val="clear" w:color="auto" w:fill="auto"/>
            <w:vAlign w:val="center"/>
            <w:hideMark/>
          </w:tcPr>
          <w:p w14:paraId="512D76E2"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(130,820)</w:t>
            </w:r>
          </w:p>
        </w:tc>
      </w:tr>
      <w:tr w:rsidR="00666FF4" w:rsidRPr="00000E24" w14:paraId="1CA81DC9" w14:textId="77777777" w:rsidTr="0041394A">
        <w:trPr>
          <w:trHeight w:val="420"/>
        </w:trPr>
        <w:tc>
          <w:tcPr>
            <w:tcW w:w="2803" w:type="dxa"/>
            <w:tcBorders>
              <w:top w:val="nil"/>
              <w:left w:val="nil"/>
              <w:bottom w:val="nil"/>
              <w:right w:val="nil"/>
            </w:tcBorders>
            <w:shd w:val="clear" w:color="auto" w:fill="auto"/>
            <w:vAlign w:val="center"/>
            <w:hideMark/>
          </w:tcPr>
          <w:p w14:paraId="41510E27" w14:textId="77777777" w:rsidR="00000E24" w:rsidRPr="00000E24" w:rsidRDefault="00000E24" w:rsidP="00000E24">
            <w:pPr>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Movement in reserves during 2021/21</w:t>
            </w:r>
          </w:p>
        </w:tc>
        <w:tc>
          <w:tcPr>
            <w:tcW w:w="1416" w:type="dxa"/>
            <w:tcBorders>
              <w:top w:val="nil"/>
              <w:left w:val="single" w:sz="8" w:space="0" w:color="000000"/>
              <w:bottom w:val="nil"/>
              <w:right w:val="nil"/>
            </w:tcBorders>
            <w:shd w:val="clear" w:color="auto" w:fill="auto"/>
            <w:vAlign w:val="center"/>
            <w:hideMark/>
          </w:tcPr>
          <w:p w14:paraId="5D98D258" w14:textId="77777777" w:rsidR="00000E24" w:rsidRPr="00000E24" w:rsidRDefault="00000E24" w:rsidP="00000E24">
            <w:pPr>
              <w:jc w:val="right"/>
              <w:rPr>
                <w:rFonts w:eastAsia="Times New Roman" w:cs="Calibri"/>
                <w:color w:val="000000"/>
                <w:sz w:val="2"/>
                <w:szCs w:val="2"/>
                <w:lang w:val="en-GB" w:eastAsia="en-GB"/>
              </w:rPr>
            </w:pPr>
            <w:r w:rsidRPr="00000E24">
              <w:rPr>
                <w:rFonts w:eastAsia="Times New Roman" w:cs="Calibri"/>
                <w:color w:val="000000"/>
                <w:sz w:val="2"/>
                <w:szCs w:val="2"/>
                <w:lang w:val="en-GB" w:eastAsia="en-GB"/>
              </w:rPr>
              <w:t xml:space="preserve"> </w:t>
            </w:r>
          </w:p>
        </w:tc>
        <w:tc>
          <w:tcPr>
            <w:tcW w:w="1193" w:type="dxa"/>
            <w:tcBorders>
              <w:top w:val="nil"/>
              <w:left w:val="nil"/>
              <w:bottom w:val="nil"/>
              <w:right w:val="nil"/>
            </w:tcBorders>
            <w:shd w:val="clear" w:color="auto" w:fill="auto"/>
            <w:vAlign w:val="center"/>
            <w:hideMark/>
          </w:tcPr>
          <w:p w14:paraId="4ACA748D" w14:textId="77777777" w:rsidR="00000E24" w:rsidRPr="00000E24" w:rsidRDefault="00000E24" w:rsidP="00000E24">
            <w:pPr>
              <w:jc w:val="right"/>
              <w:rPr>
                <w:rFonts w:eastAsia="Times New Roman" w:cs="Calibri"/>
                <w:color w:val="000000"/>
                <w:sz w:val="2"/>
                <w:szCs w:val="2"/>
                <w:lang w:val="en-GB" w:eastAsia="en-GB"/>
              </w:rPr>
            </w:pPr>
            <w:r w:rsidRPr="00000E24">
              <w:rPr>
                <w:rFonts w:eastAsia="Times New Roman" w:cs="Calibri"/>
                <w:color w:val="000000"/>
                <w:sz w:val="2"/>
                <w:szCs w:val="2"/>
                <w:lang w:val="en-GB" w:eastAsia="en-GB"/>
              </w:rPr>
              <w:t xml:space="preserve"> </w:t>
            </w:r>
          </w:p>
        </w:tc>
        <w:tc>
          <w:tcPr>
            <w:tcW w:w="1530" w:type="dxa"/>
            <w:tcBorders>
              <w:top w:val="nil"/>
              <w:left w:val="nil"/>
              <w:bottom w:val="nil"/>
              <w:right w:val="nil"/>
            </w:tcBorders>
            <w:shd w:val="clear" w:color="auto" w:fill="auto"/>
            <w:vAlign w:val="center"/>
            <w:hideMark/>
          </w:tcPr>
          <w:p w14:paraId="53E6255B" w14:textId="77777777" w:rsidR="00000E24" w:rsidRPr="00000E24" w:rsidRDefault="00000E24" w:rsidP="00000E24">
            <w:pPr>
              <w:jc w:val="right"/>
              <w:rPr>
                <w:rFonts w:eastAsia="Times New Roman" w:cs="Calibri"/>
                <w:color w:val="000000"/>
                <w:sz w:val="2"/>
                <w:szCs w:val="2"/>
                <w:lang w:val="en-GB" w:eastAsia="en-GB"/>
              </w:rPr>
            </w:pPr>
            <w:r w:rsidRPr="00000E24">
              <w:rPr>
                <w:rFonts w:eastAsia="Times New Roman" w:cs="Calibri"/>
                <w:color w:val="000000"/>
                <w:sz w:val="2"/>
                <w:szCs w:val="2"/>
                <w:lang w:val="en-GB" w:eastAsia="en-GB"/>
              </w:rPr>
              <w:t xml:space="preserve"> </w:t>
            </w:r>
          </w:p>
        </w:tc>
        <w:tc>
          <w:tcPr>
            <w:tcW w:w="1399" w:type="dxa"/>
            <w:tcBorders>
              <w:top w:val="nil"/>
              <w:left w:val="nil"/>
              <w:bottom w:val="nil"/>
              <w:right w:val="nil"/>
            </w:tcBorders>
            <w:shd w:val="clear" w:color="auto" w:fill="auto"/>
            <w:vAlign w:val="center"/>
            <w:hideMark/>
          </w:tcPr>
          <w:p w14:paraId="3F33EF9F" w14:textId="77777777" w:rsidR="00000E24" w:rsidRPr="00000E24" w:rsidRDefault="00000E24" w:rsidP="00000E24">
            <w:pPr>
              <w:jc w:val="right"/>
              <w:rPr>
                <w:rFonts w:eastAsia="Times New Roman" w:cs="Calibri"/>
                <w:color w:val="000000"/>
                <w:sz w:val="2"/>
                <w:szCs w:val="2"/>
                <w:lang w:val="en-GB" w:eastAsia="en-GB"/>
              </w:rPr>
            </w:pPr>
            <w:r w:rsidRPr="00000E24">
              <w:rPr>
                <w:rFonts w:eastAsia="Times New Roman" w:cs="Calibri"/>
                <w:color w:val="000000"/>
                <w:sz w:val="2"/>
                <w:szCs w:val="2"/>
                <w:lang w:val="en-GB" w:eastAsia="en-GB"/>
              </w:rPr>
              <w:t xml:space="preserve"> </w:t>
            </w:r>
          </w:p>
        </w:tc>
        <w:tc>
          <w:tcPr>
            <w:tcW w:w="1244" w:type="dxa"/>
            <w:tcBorders>
              <w:top w:val="nil"/>
              <w:left w:val="nil"/>
              <w:bottom w:val="nil"/>
              <w:right w:val="nil"/>
            </w:tcBorders>
            <w:shd w:val="clear" w:color="auto" w:fill="auto"/>
            <w:vAlign w:val="center"/>
            <w:hideMark/>
          </w:tcPr>
          <w:p w14:paraId="467C7F41" w14:textId="77777777" w:rsidR="00000E24" w:rsidRPr="00000E24" w:rsidRDefault="00000E24" w:rsidP="00000E24">
            <w:pPr>
              <w:jc w:val="right"/>
              <w:rPr>
                <w:rFonts w:eastAsia="Times New Roman" w:cs="Calibri"/>
                <w:color w:val="000000"/>
                <w:sz w:val="2"/>
                <w:szCs w:val="2"/>
                <w:lang w:val="en-GB" w:eastAsia="en-GB"/>
              </w:rPr>
            </w:pPr>
            <w:r w:rsidRPr="00000E24">
              <w:rPr>
                <w:rFonts w:eastAsia="Times New Roman" w:cs="Calibri"/>
                <w:color w:val="000000"/>
                <w:sz w:val="2"/>
                <w:szCs w:val="2"/>
                <w:lang w:val="en-GB" w:eastAsia="en-GB"/>
              </w:rPr>
              <w:t xml:space="preserve"> </w:t>
            </w:r>
          </w:p>
        </w:tc>
        <w:tc>
          <w:tcPr>
            <w:tcW w:w="1297" w:type="dxa"/>
            <w:tcBorders>
              <w:top w:val="nil"/>
              <w:left w:val="single" w:sz="8" w:space="0" w:color="000000"/>
              <w:bottom w:val="nil"/>
              <w:right w:val="single" w:sz="8" w:space="0" w:color="000000"/>
            </w:tcBorders>
            <w:shd w:val="clear" w:color="auto" w:fill="auto"/>
            <w:vAlign w:val="center"/>
            <w:hideMark/>
          </w:tcPr>
          <w:p w14:paraId="312AA7F2" w14:textId="77777777" w:rsidR="00000E24" w:rsidRPr="00000E24" w:rsidRDefault="00000E24" w:rsidP="00000E24">
            <w:pPr>
              <w:jc w:val="right"/>
              <w:rPr>
                <w:rFonts w:eastAsia="Times New Roman" w:cs="Calibri"/>
                <w:b/>
                <w:bCs/>
                <w:color w:val="000000"/>
                <w:sz w:val="2"/>
                <w:szCs w:val="2"/>
                <w:lang w:val="en-GB" w:eastAsia="en-GB"/>
              </w:rPr>
            </w:pPr>
            <w:r w:rsidRPr="00000E24">
              <w:rPr>
                <w:rFonts w:eastAsia="Times New Roman" w:cs="Calibri"/>
                <w:b/>
                <w:bCs/>
                <w:color w:val="000000"/>
                <w:sz w:val="2"/>
                <w:szCs w:val="2"/>
                <w:lang w:val="en-GB" w:eastAsia="en-GB"/>
              </w:rPr>
              <w:t xml:space="preserve"> </w:t>
            </w:r>
          </w:p>
        </w:tc>
        <w:tc>
          <w:tcPr>
            <w:tcW w:w="1418" w:type="dxa"/>
            <w:tcBorders>
              <w:top w:val="nil"/>
              <w:left w:val="nil"/>
              <w:bottom w:val="nil"/>
              <w:right w:val="nil"/>
            </w:tcBorders>
            <w:shd w:val="clear" w:color="auto" w:fill="auto"/>
            <w:vAlign w:val="center"/>
            <w:hideMark/>
          </w:tcPr>
          <w:p w14:paraId="4C79C5C1" w14:textId="77777777" w:rsidR="00000E24" w:rsidRPr="00000E24" w:rsidRDefault="00000E24" w:rsidP="00000E24">
            <w:pPr>
              <w:jc w:val="right"/>
              <w:rPr>
                <w:rFonts w:eastAsia="Times New Roman" w:cs="Calibri"/>
                <w:color w:val="000000"/>
                <w:sz w:val="2"/>
                <w:szCs w:val="2"/>
                <w:lang w:val="en-GB" w:eastAsia="en-GB"/>
              </w:rPr>
            </w:pPr>
            <w:r w:rsidRPr="00000E24">
              <w:rPr>
                <w:rFonts w:eastAsia="Times New Roman" w:cs="Calibri"/>
                <w:color w:val="000000"/>
                <w:sz w:val="2"/>
                <w:szCs w:val="2"/>
                <w:lang w:val="en-GB" w:eastAsia="en-GB"/>
              </w:rPr>
              <w:t xml:space="preserve"> </w:t>
            </w:r>
          </w:p>
        </w:tc>
        <w:tc>
          <w:tcPr>
            <w:tcW w:w="1339" w:type="dxa"/>
            <w:tcBorders>
              <w:top w:val="nil"/>
              <w:left w:val="single" w:sz="8" w:space="0" w:color="000000"/>
              <w:bottom w:val="nil"/>
              <w:right w:val="nil"/>
            </w:tcBorders>
            <w:shd w:val="clear" w:color="auto" w:fill="auto"/>
            <w:vAlign w:val="center"/>
            <w:hideMark/>
          </w:tcPr>
          <w:p w14:paraId="76A46AF5" w14:textId="77777777" w:rsidR="00000E24" w:rsidRPr="00000E24" w:rsidRDefault="00000E24" w:rsidP="00000E24">
            <w:pPr>
              <w:jc w:val="right"/>
              <w:rPr>
                <w:rFonts w:eastAsia="Times New Roman" w:cs="Calibri"/>
                <w:b/>
                <w:bCs/>
                <w:color w:val="000000"/>
                <w:sz w:val="2"/>
                <w:szCs w:val="2"/>
                <w:lang w:val="en-GB" w:eastAsia="en-GB"/>
              </w:rPr>
            </w:pPr>
            <w:r w:rsidRPr="00000E24">
              <w:rPr>
                <w:rFonts w:eastAsia="Times New Roman" w:cs="Calibri"/>
                <w:b/>
                <w:bCs/>
                <w:color w:val="000000"/>
                <w:sz w:val="2"/>
                <w:szCs w:val="2"/>
                <w:lang w:val="en-GB" w:eastAsia="en-GB"/>
              </w:rPr>
              <w:t xml:space="preserve"> </w:t>
            </w:r>
          </w:p>
        </w:tc>
      </w:tr>
      <w:tr w:rsidR="00666FF4" w:rsidRPr="00000E24" w14:paraId="457B742C" w14:textId="77777777" w:rsidTr="0041394A">
        <w:trPr>
          <w:trHeight w:val="420"/>
        </w:trPr>
        <w:tc>
          <w:tcPr>
            <w:tcW w:w="2803" w:type="dxa"/>
            <w:tcBorders>
              <w:top w:val="nil"/>
              <w:left w:val="nil"/>
              <w:bottom w:val="nil"/>
              <w:right w:val="nil"/>
            </w:tcBorders>
            <w:shd w:val="clear" w:color="auto" w:fill="auto"/>
            <w:vAlign w:val="center"/>
            <w:hideMark/>
          </w:tcPr>
          <w:p w14:paraId="788B6755" w14:textId="77777777" w:rsidR="00000E24" w:rsidRPr="00000E24" w:rsidRDefault="00000E24" w:rsidP="00000E24">
            <w:pPr>
              <w:rPr>
                <w:rFonts w:eastAsia="Times New Roman" w:cs="Calibri"/>
                <w:color w:val="000000"/>
                <w:sz w:val="16"/>
                <w:szCs w:val="16"/>
                <w:lang w:val="en-GB" w:eastAsia="en-GB"/>
              </w:rPr>
            </w:pPr>
            <w:r w:rsidRPr="00000E24">
              <w:rPr>
                <w:rFonts w:eastAsia="Times New Roman" w:cs="Calibri"/>
                <w:color w:val="000000"/>
                <w:sz w:val="16"/>
                <w:szCs w:val="16"/>
                <w:lang w:val="en-GB" w:eastAsia="en-GB"/>
              </w:rPr>
              <w:t>Surplus or deficit on the provision of services</w:t>
            </w:r>
          </w:p>
        </w:tc>
        <w:tc>
          <w:tcPr>
            <w:tcW w:w="1416" w:type="dxa"/>
            <w:tcBorders>
              <w:top w:val="nil"/>
              <w:left w:val="single" w:sz="8" w:space="0" w:color="000000"/>
              <w:bottom w:val="nil"/>
              <w:right w:val="nil"/>
            </w:tcBorders>
            <w:shd w:val="clear" w:color="auto" w:fill="auto"/>
            <w:vAlign w:val="center"/>
            <w:hideMark/>
          </w:tcPr>
          <w:p w14:paraId="17081461" w14:textId="522A0345" w:rsidR="00000E24" w:rsidRPr="00000E24" w:rsidRDefault="00A85C83" w:rsidP="00000E24">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4,044</w:t>
            </w:r>
          </w:p>
        </w:tc>
        <w:tc>
          <w:tcPr>
            <w:tcW w:w="1193" w:type="dxa"/>
            <w:tcBorders>
              <w:top w:val="nil"/>
              <w:left w:val="nil"/>
              <w:bottom w:val="nil"/>
              <w:right w:val="nil"/>
            </w:tcBorders>
            <w:shd w:val="clear" w:color="auto" w:fill="auto"/>
            <w:vAlign w:val="center"/>
            <w:hideMark/>
          </w:tcPr>
          <w:p w14:paraId="2C028151" w14:textId="77777777" w:rsidR="00000E24" w:rsidRPr="00000E24" w:rsidRDefault="00000E24" w:rsidP="00000E24">
            <w:pPr>
              <w:jc w:val="right"/>
              <w:rPr>
                <w:rFonts w:eastAsia="Times New Roman" w:cs="Calibri"/>
                <w:color w:val="000000"/>
                <w:sz w:val="16"/>
                <w:szCs w:val="16"/>
                <w:lang w:val="en-GB" w:eastAsia="en-GB"/>
              </w:rPr>
            </w:pPr>
          </w:p>
        </w:tc>
        <w:tc>
          <w:tcPr>
            <w:tcW w:w="1530" w:type="dxa"/>
            <w:tcBorders>
              <w:top w:val="nil"/>
              <w:left w:val="nil"/>
              <w:bottom w:val="nil"/>
              <w:right w:val="nil"/>
            </w:tcBorders>
            <w:shd w:val="clear" w:color="auto" w:fill="auto"/>
            <w:vAlign w:val="center"/>
            <w:hideMark/>
          </w:tcPr>
          <w:p w14:paraId="7727BD1D" w14:textId="2B36BB31" w:rsidR="00000E24" w:rsidRPr="00000E24" w:rsidRDefault="00A85C83" w:rsidP="00000E24">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4,044</w:t>
            </w:r>
          </w:p>
        </w:tc>
        <w:tc>
          <w:tcPr>
            <w:tcW w:w="1399" w:type="dxa"/>
            <w:tcBorders>
              <w:top w:val="nil"/>
              <w:left w:val="nil"/>
              <w:bottom w:val="nil"/>
              <w:right w:val="nil"/>
            </w:tcBorders>
            <w:shd w:val="clear" w:color="auto" w:fill="auto"/>
            <w:vAlign w:val="center"/>
            <w:hideMark/>
          </w:tcPr>
          <w:p w14:paraId="4A8F06AF" w14:textId="77777777" w:rsidR="00000E24" w:rsidRPr="00000E24" w:rsidRDefault="00000E24" w:rsidP="00000E24">
            <w:pPr>
              <w:jc w:val="right"/>
              <w:rPr>
                <w:rFonts w:eastAsia="Times New Roman" w:cs="Calibri"/>
                <w:color w:val="000000"/>
                <w:sz w:val="16"/>
                <w:szCs w:val="16"/>
                <w:lang w:val="en-GB" w:eastAsia="en-GB"/>
              </w:rPr>
            </w:pPr>
          </w:p>
        </w:tc>
        <w:tc>
          <w:tcPr>
            <w:tcW w:w="1244" w:type="dxa"/>
            <w:tcBorders>
              <w:top w:val="nil"/>
              <w:left w:val="nil"/>
              <w:bottom w:val="nil"/>
              <w:right w:val="nil"/>
            </w:tcBorders>
            <w:shd w:val="clear" w:color="auto" w:fill="auto"/>
            <w:vAlign w:val="center"/>
            <w:hideMark/>
          </w:tcPr>
          <w:p w14:paraId="6C0038DE" w14:textId="77777777" w:rsidR="00000E24" w:rsidRPr="00000E24" w:rsidRDefault="00000E24" w:rsidP="00000E24">
            <w:pPr>
              <w:jc w:val="right"/>
              <w:rPr>
                <w:rFonts w:ascii="Times New Roman" w:eastAsia="Times New Roman" w:hAnsi="Times New Roman" w:cs="Times New Roman"/>
                <w:sz w:val="20"/>
                <w:szCs w:val="20"/>
                <w:lang w:val="en-GB" w:eastAsia="en-GB"/>
              </w:rPr>
            </w:pPr>
          </w:p>
        </w:tc>
        <w:tc>
          <w:tcPr>
            <w:tcW w:w="1297" w:type="dxa"/>
            <w:tcBorders>
              <w:top w:val="nil"/>
              <w:left w:val="single" w:sz="8" w:space="0" w:color="000000"/>
              <w:bottom w:val="nil"/>
              <w:right w:val="single" w:sz="8" w:space="0" w:color="000000"/>
            </w:tcBorders>
            <w:shd w:val="clear" w:color="auto" w:fill="auto"/>
            <w:vAlign w:val="center"/>
            <w:hideMark/>
          </w:tcPr>
          <w:p w14:paraId="5F929FEC" w14:textId="499B5E57" w:rsidR="00000E24" w:rsidRPr="00000E24" w:rsidRDefault="00A85C83" w:rsidP="00000E24">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4,044</w:t>
            </w:r>
          </w:p>
        </w:tc>
        <w:tc>
          <w:tcPr>
            <w:tcW w:w="1418" w:type="dxa"/>
            <w:tcBorders>
              <w:top w:val="nil"/>
              <w:left w:val="nil"/>
              <w:bottom w:val="nil"/>
              <w:right w:val="nil"/>
            </w:tcBorders>
            <w:shd w:val="clear" w:color="auto" w:fill="auto"/>
            <w:vAlign w:val="center"/>
            <w:hideMark/>
          </w:tcPr>
          <w:p w14:paraId="170E0391" w14:textId="77777777" w:rsidR="00000E24" w:rsidRPr="00000E24" w:rsidRDefault="00000E24" w:rsidP="00000E24">
            <w:pPr>
              <w:jc w:val="right"/>
              <w:rPr>
                <w:rFonts w:eastAsia="Times New Roman" w:cs="Calibri"/>
                <w:b/>
                <w:bCs/>
                <w:color w:val="000000"/>
                <w:sz w:val="16"/>
                <w:szCs w:val="16"/>
                <w:lang w:val="en-GB" w:eastAsia="en-GB"/>
              </w:rPr>
            </w:pPr>
          </w:p>
        </w:tc>
        <w:tc>
          <w:tcPr>
            <w:tcW w:w="1339" w:type="dxa"/>
            <w:tcBorders>
              <w:top w:val="nil"/>
              <w:left w:val="single" w:sz="8" w:space="0" w:color="000000"/>
              <w:bottom w:val="nil"/>
              <w:right w:val="nil"/>
            </w:tcBorders>
            <w:shd w:val="clear" w:color="auto" w:fill="auto"/>
            <w:vAlign w:val="center"/>
            <w:hideMark/>
          </w:tcPr>
          <w:p w14:paraId="0FAB9B8F" w14:textId="6B9D3777" w:rsidR="00000E24" w:rsidRPr="00000E24" w:rsidRDefault="00A85C83" w:rsidP="00000E24">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4,044</w:t>
            </w:r>
          </w:p>
        </w:tc>
      </w:tr>
      <w:tr w:rsidR="00666FF4" w:rsidRPr="00000E24" w14:paraId="5BBE20B8" w14:textId="77777777" w:rsidTr="0041394A">
        <w:trPr>
          <w:trHeight w:val="435"/>
        </w:trPr>
        <w:tc>
          <w:tcPr>
            <w:tcW w:w="2803" w:type="dxa"/>
            <w:tcBorders>
              <w:top w:val="nil"/>
              <w:left w:val="nil"/>
              <w:bottom w:val="single" w:sz="8" w:space="0" w:color="000000"/>
              <w:right w:val="nil"/>
            </w:tcBorders>
            <w:shd w:val="clear" w:color="auto" w:fill="auto"/>
            <w:vAlign w:val="center"/>
            <w:hideMark/>
          </w:tcPr>
          <w:p w14:paraId="2C2490CE" w14:textId="77777777" w:rsidR="00000E24" w:rsidRPr="00000E24" w:rsidRDefault="00000E24" w:rsidP="00000E24">
            <w:pPr>
              <w:rPr>
                <w:rFonts w:eastAsia="Times New Roman" w:cs="Calibri"/>
                <w:color w:val="000000"/>
                <w:sz w:val="16"/>
                <w:szCs w:val="16"/>
                <w:lang w:val="en-GB" w:eastAsia="en-GB"/>
              </w:rPr>
            </w:pPr>
            <w:r w:rsidRPr="00000E24">
              <w:rPr>
                <w:rFonts w:eastAsia="Times New Roman" w:cs="Calibri"/>
                <w:color w:val="000000"/>
                <w:sz w:val="16"/>
                <w:szCs w:val="16"/>
                <w:lang w:val="en-GB" w:eastAsia="en-GB"/>
              </w:rPr>
              <w:t>Other Comprehensive Income / Expenditure</w:t>
            </w:r>
          </w:p>
        </w:tc>
        <w:tc>
          <w:tcPr>
            <w:tcW w:w="1416" w:type="dxa"/>
            <w:tcBorders>
              <w:top w:val="nil"/>
              <w:left w:val="single" w:sz="8" w:space="0" w:color="000000"/>
              <w:bottom w:val="single" w:sz="8" w:space="0" w:color="000000"/>
              <w:right w:val="nil"/>
            </w:tcBorders>
            <w:shd w:val="clear" w:color="auto" w:fill="auto"/>
            <w:vAlign w:val="center"/>
            <w:hideMark/>
          </w:tcPr>
          <w:p w14:paraId="11D3F9FE" w14:textId="77777777" w:rsidR="00000E24" w:rsidRPr="00000E24" w:rsidRDefault="00000E24" w:rsidP="00000E24">
            <w:pPr>
              <w:jc w:val="right"/>
              <w:rPr>
                <w:rFonts w:eastAsia="Times New Roman" w:cs="Calibri"/>
                <w:color w:val="000000"/>
                <w:sz w:val="2"/>
                <w:szCs w:val="2"/>
                <w:lang w:val="en-GB" w:eastAsia="en-GB"/>
              </w:rPr>
            </w:pPr>
            <w:r w:rsidRPr="00000E24">
              <w:rPr>
                <w:rFonts w:eastAsia="Times New Roman" w:cs="Calibri"/>
                <w:color w:val="000000"/>
                <w:sz w:val="2"/>
                <w:szCs w:val="2"/>
                <w:lang w:val="en-GB" w:eastAsia="en-GB"/>
              </w:rPr>
              <w:t> </w:t>
            </w:r>
          </w:p>
        </w:tc>
        <w:tc>
          <w:tcPr>
            <w:tcW w:w="1193" w:type="dxa"/>
            <w:tcBorders>
              <w:top w:val="nil"/>
              <w:left w:val="nil"/>
              <w:bottom w:val="single" w:sz="8" w:space="0" w:color="000000"/>
              <w:right w:val="nil"/>
            </w:tcBorders>
            <w:shd w:val="clear" w:color="auto" w:fill="auto"/>
            <w:vAlign w:val="center"/>
            <w:hideMark/>
          </w:tcPr>
          <w:p w14:paraId="0C2A3FDF" w14:textId="77777777" w:rsidR="00000E24" w:rsidRPr="00000E24" w:rsidRDefault="00000E24" w:rsidP="00000E24">
            <w:pPr>
              <w:jc w:val="right"/>
              <w:rPr>
                <w:rFonts w:eastAsia="Times New Roman" w:cs="Calibri"/>
                <w:color w:val="000000"/>
                <w:sz w:val="2"/>
                <w:szCs w:val="2"/>
                <w:lang w:val="en-GB" w:eastAsia="en-GB"/>
              </w:rPr>
            </w:pPr>
            <w:r w:rsidRPr="00000E24">
              <w:rPr>
                <w:rFonts w:eastAsia="Times New Roman" w:cs="Calibri"/>
                <w:color w:val="000000"/>
                <w:sz w:val="2"/>
                <w:szCs w:val="2"/>
                <w:lang w:val="en-GB" w:eastAsia="en-GB"/>
              </w:rPr>
              <w:t> </w:t>
            </w:r>
          </w:p>
        </w:tc>
        <w:tc>
          <w:tcPr>
            <w:tcW w:w="1530" w:type="dxa"/>
            <w:tcBorders>
              <w:top w:val="nil"/>
              <w:left w:val="nil"/>
              <w:bottom w:val="single" w:sz="8" w:space="0" w:color="000000"/>
              <w:right w:val="nil"/>
            </w:tcBorders>
            <w:shd w:val="clear" w:color="auto" w:fill="auto"/>
            <w:vAlign w:val="center"/>
            <w:hideMark/>
          </w:tcPr>
          <w:p w14:paraId="4BE10323" w14:textId="77777777" w:rsidR="00000E24" w:rsidRPr="00000E24" w:rsidRDefault="00000E24" w:rsidP="00000E24">
            <w:pPr>
              <w:jc w:val="right"/>
              <w:rPr>
                <w:rFonts w:eastAsia="Times New Roman" w:cs="Calibri"/>
                <w:color w:val="000000"/>
                <w:sz w:val="2"/>
                <w:szCs w:val="2"/>
                <w:lang w:val="en-GB" w:eastAsia="en-GB"/>
              </w:rPr>
            </w:pPr>
            <w:r w:rsidRPr="00000E24">
              <w:rPr>
                <w:rFonts w:eastAsia="Times New Roman" w:cs="Calibri"/>
                <w:color w:val="000000"/>
                <w:sz w:val="2"/>
                <w:szCs w:val="2"/>
                <w:lang w:val="en-GB" w:eastAsia="en-GB"/>
              </w:rPr>
              <w:t> </w:t>
            </w:r>
          </w:p>
        </w:tc>
        <w:tc>
          <w:tcPr>
            <w:tcW w:w="1399" w:type="dxa"/>
            <w:tcBorders>
              <w:top w:val="nil"/>
              <w:left w:val="nil"/>
              <w:bottom w:val="single" w:sz="8" w:space="0" w:color="000000"/>
              <w:right w:val="nil"/>
            </w:tcBorders>
            <w:shd w:val="clear" w:color="auto" w:fill="auto"/>
            <w:vAlign w:val="center"/>
            <w:hideMark/>
          </w:tcPr>
          <w:p w14:paraId="1242273D" w14:textId="77777777" w:rsidR="00000E24" w:rsidRPr="00000E24" w:rsidRDefault="00000E24" w:rsidP="00000E24">
            <w:pPr>
              <w:jc w:val="right"/>
              <w:rPr>
                <w:rFonts w:eastAsia="Times New Roman" w:cs="Calibri"/>
                <w:color w:val="000000"/>
                <w:sz w:val="2"/>
                <w:szCs w:val="2"/>
                <w:lang w:val="en-GB" w:eastAsia="en-GB"/>
              </w:rPr>
            </w:pPr>
            <w:r w:rsidRPr="00000E24">
              <w:rPr>
                <w:rFonts w:eastAsia="Times New Roman" w:cs="Calibri"/>
                <w:color w:val="000000"/>
                <w:sz w:val="2"/>
                <w:szCs w:val="2"/>
                <w:lang w:val="en-GB" w:eastAsia="en-GB"/>
              </w:rPr>
              <w:t> </w:t>
            </w:r>
          </w:p>
        </w:tc>
        <w:tc>
          <w:tcPr>
            <w:tcW w:w="1244" w:type="dxa"/>
            <w:tcBorders>
              <w:top w:val="nil"/>
              <w:left w:val="nil"/>
              <w:bottom w:val="single" w:sz="8" w:space="0" w:color="000000"/>
              <w:right w:val="nil"/>
            </w:tcBorders>
            <w:shd w:val="clear" w:color="auto" w:fill="auto"/>
            <w:vAlign w:val="center"/>
            <w:hideMark/>
          </w:tcPr>
          <w:p w14:paraId="0EE81A9E" w14:textId="77777777" w:rsidR="00000E24" w:rsidRPr="00000E24" w:rsidRDefault="00000E24" w:rsidP="00000E24">
            <w:pPr>
              <w:jc w:val="right"/>
              <w:rPr>
                <w:rFonts w:eastAsia="Times New Roman" w:cs="Calibri"/>
                <w:color w:val="000000"/>
                <w:sz w:val="2"/>
                <w:szCs w:val="2"/>
                <w:lang w:val="en-GB" w:eastAsia="en-GB"/>
              </w:rPr>
            </w:pPr>
            <w:r w:rsidRPr="00000E24">
              <w:rPr>
                <w:rFonts w:eastAsia="Times New Roman" w:cs="Calibri"/>
                <w:color w:val="000000"/>
                <w:sz w:val="2"/>
                <w:szCs w:val="2"/>
                <w:lang w:val="en-GB" w:eastAsia="en-GB"/>
              </w:rPr>
              <w:t> </w:t>
            </w:r>
          </w:p>
        </w:tc>
        <w:tc>
          <w:tcPr>
            <w:tcW w:w="1297" w:type="dxa"/>
            <w:tcBorders>
              <w:top w:val="nil"/>
              <w:left w:val="single" w:sz="8" w:space="0" w:color="000000"/>
              <w:bottom w:val="single" w:sz="8" w:space="0" w:color="000000"/>
              <w:right w:val="single" w:sz="8" w:space="0" w:color="000000"/>
            </w:tcBorders>
            <w:shd w:val="clear" w:color="auto" w:fill="auto"/>
            <w:vAlign w:val="center"/>
            <w:hideMark/>
          </w:tcPr>
          <w:p w14:paraId="7951CF80" w14:textId="77777777" w:rsidR="00000E24" w:rsidRPr="00000E24" w:rsidRDefault="00000E24" w:rsidP="00000E24">
            <w:pPr>
              <w:jc w:val="right"/>
              <w:rPr>
                <w:rFonts w:eastAsia="Times New Roman" w:cs="Calibri"/>
                <w:b/>
                <w:bCs/>
                <w:color w:val="000000"/>
                <w:sz w:val="2"/>
                <w:szCs w:val="2"/>
                <w:lang w:val="en-GB" w:eastAsia="en-GB"/>
              </w:rPr>
            </w:pPr>
            <w:r w:rsidRPr="00000E24">
              <w:rPr>
                <w:rFonts w:eastAsia="Times New Roman" w:cs="Calibri"/>
                <w:b/>
                <w:bCs/>
                <w:color w:val="000000"/>
                <w:sz w:val="2"/>
                <w:szCs w:val="2"/>
                <w:lang w:val="en-GB" w:eastAsia="en-GB"/>
              </w:rPr>
              <w:t> </w:t>
            </w:r>
          </w:p>
        </w:tc>
        <w:tc>
          <w:tcPr>
            <w:tcW w:w="1418" w:type="dxa"/>
            <w:tcBorders>
              <w:top w:val="nil"/>
              <w:left w:val="nil"/>
              <w:bottom w:val="single" w:sz="8" w:space="0" w:color="auto"/>
              <w:right w:val="single" w:sz="8" w:space="0" w:color="000000"/>
            </w:tcBorders>
            <w:shd w:val="clear" w:color="auto" w:fill="auto"/>
            <w:vAlign w:val="center"/>
            <w:hideMark/>
          </w:tcPr>
          <w:p w14:paraId="529252DE"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(1,406)</w:t>
            </w:r>
          </w:p>
        </w:tc>
        <w:tc>
          <w:tcPr>
            <w:tcW w:w="1339" w:type="dxa"/>
            <w:tcBorders>
              <w:top w:val="nil"/>
              <w:left w:val="nil"/>
              <w:bottom w:val="single" w:sz="8" w:space="0" w:color="000000"/>
              <w:right w:val="nil"/>
            </w:tcBorders>
            <w:shd w:val="clear" w:color="auto" w:fill="auto"/>
            <w:vAlign w:val="center"/>
            <w:hideMark/>
          </w:tcPr>
          <w:p w14:paraId="5281E1BE"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(1,406)</w:t>
            </w:r>
          </w:p>
        </w:tc>
      </w:tr>
      <w:tr w:rsidR="00666FF4" w:rsidRPr="00000E24" w14:paraId="47A0A53B" w14:textId="77777777" w:rsidTr="0041394A">
        <w:trPr>
          <w:trHeight w:val="420"/>
        </w:trPr>
        <w:tc>
          <w:tcPr>
            <w:tcW w:w="2803" w:type="dxa"/>
            <w:tcBorders>
              <w:top w:val="nil"/>
              <w:left w:val="nil"/>
              <w:bottom w:val="nil"/>
              <w:right w:val="nil"/>
            </w:tcBorders>
            <w:shd w:val="clear" w:color="auto" w:fill="auto"/>
            <w:vAlign w:val="center"/>
            <w:hideMark/>
          </w:tcPr>
          <w:p w14:paraId="27FA25DC" w14:textId="77777777" w:rsidR="00000E24" w:rsidRPr="00000E24" w:rsidRDefault="00000E24" w:rsidP="00000E24">
            <w:pPr>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Total Comprehensive Income and Expenditure</w:t>
            </w:r>
          </w:p>
        </w:tc>
        <w:tc>
          <w:tcPr>
            <w:tcW w:w="1416" w:type="dxa"/>
            <w:tcBorders>
              <w:top w:val="nil"/>
              <w:left w:val="single" w:sz="8" w:space="0" w:color="000000"/>
              <w:bottom w:val="nil"/>
              <w:right w:val="nil"/>
            </w:tcBorders>
            <w:shd w:val="clear" w:color="auto" w:fill="auto"/>
            <w:vAlign w:val="center"/>
            <w:hideMark/>
          </w:tcPr>
          <w:p w14:paraId="428B3BCB" w14:textId="1EC3E90F" w:rsidR="00000E24" w:rsidRPr="00000E24" w:rsidRDefault="00A85C83" w:rsidP="00000E24">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4,044</w:t>
            </w:r>
          </w:p>
        </w:tc>
        <w:tc>
          <w:tcPr>
            <w:tcW w:w="1193" w:type="dxa"/>
            <w:tcBorders>
              <w:top w:val="nil"/>
              <w:left w:val="nil"/>
              <w:bottom w:val="nil"/>
              <w:right w:val="nil"/>
            </w:tcBorders>
            <w:shd w:val="clear" w:color="auto" w:fill="auto"/>
            <w:vAlign w:val="center"/>
            <w:hideMark/>
          </w:tcPr>
          <w:p w14:paraId="7281B089"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w:t>
            </w:r>
          </w:p>
        </w:tc>
        <w:tc>
          <w:tcPr>
            <w:tcW w:w="1530" w:type="dxa"/>
            <w:tcBorders>
              <w:top w:val="nil"/>
              <w:left w:val="nil"/>
              <w:bottom w:val="nil"/>
              <w:right w:val="nil"/>
            </w:tcBorders>
            <w:shd w:val="clear" w:color="auto" w:fill="auto"/>
            <w:vAlign w:val="center"/>
            <w:hideMark/>
          </w:tcPr>
          <w:p w14:paraId="745E7725" w14:textId="4E82D5AB" w:rsidR="00000E24" w:rsidRPr="00000E24" w:rsidRDefault="00A85C83" w:rsidP="00000E24">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4,044</w:t>
            </w:r>
          </w:p>
        </w:tc>
        <w:tc>
          <w:tcPr>
            <w:tcW w:w="1399" w:type="dxa"/>
            <w:tcBorders>
              <w:top w:val="nil"/>
              <w:left w:val="nil"/>
              <w:bottom w:val="nil"/>
              <w:right w:val="nil"/>
            </w:tcBorders>
            <w:shd w:val="clear" w:color="auto" w:fill="auto"/>
            <w:vAlign w:val="center"/>
            <w:hideMark/>
          </w:tcPr>
          <w:p w14:paraId="670DBE8D"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w:t>
            </w:r>
          </w:p>
        </w:tc>
        <w:tc>
          <w:tcPr>
            <w:tcW w:w="1244" w:type="dxa"/>
            <w:tcBorders>
              <w:top w:val="nil"/>
              <w:left w:val="nil"/>
              <w:bottom w:val="nil"/>
              <w:right w:val="single" w:sz="8" w:space="0" w:color="000000"/>
            </w:tcBorders>
            <w:shd w:val="clear" w:color="auto" w:fill="auto"/>
            <w:vAlign w:val="center"/>
            <w:hideMark/>
          </w:tcPr>
          <w:p w14:paraId="155407A9"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w:t>
            </w:r>
          </w:p>
        </w:tc>
        <w:tc>
          <w:tcPr>
            <w:tcW w:w="1297" w:type="dxa"/>
            <w:tcBorders>
              <w:top w:val="nil"/>
              <w:left w:val="nil"/>
              <w:bottom w:val="nil"/>
              <w:right w:val="single" w:sz="8" w:space="0" w:color="000000"/>
            </w:tcBorders>
            <w:shd w:val="clear" w:color="auto" w:fill="auto"/>
            <w:vAlign w:val="center"/>
            <w:hideMark/>
          </w:tcPr>
          <w:p w14:paraId="53B6891A" w14:textId="548387E4" w:rsidR="00000E24" w:rsidRPr="00000E24" w:rsidRDefault="00A85C83" w:rsidP="00000E24">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4,044</w:t>
            </w:r>
          </w:p>
        </w:tc>
        <w:tc>
          <w:tcPr>
            <w:tcW w:w="1418" w:type="dxa"/>
            <w:tcBorders>
              <w:top w:val="nil"/>
              <w:left w:val="nil"/>
              <w:bottom w:val="nil"/>
              <w:right w:val="single" w:sz="8" w:space="0" w:color="000000"/>
            </w:tcBorders>
            <w:shd w:val="clear" w:color="auto" w:fill="auto"/>
            <w:vAlign w:val="center"/>
            <w:hideMark/>
          </w:tcPr>
          <w:p w14:paraId="1CB698D1"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(1,406)</w:t>
            </w:r>
          </w:p>
        </w:tc>
        <w:tc>
          <w:tcPr>
            <w:tcW w:w="1339" w:type="dxa"/>
            <w:tcBorders>
              <w:top w:val="nil"/>
              <w:left w:val="nil"/>
              <w:bottom w:val="nil"/>
              <w:right w:val="nil"/>
            </w:tcBorders>
            <w:shd w:val="clear" w:color="auto" w:fill="auto"/>
            <w:vAlign w:val="center"/>
            <w:hideMark/>
          </w:tcPr>
          <w:p w14:paraId="241152C2" w14:textId="28AE17A9" w:rsidR="00000E24" w:rsidRPr="00000E24" w:rsidRDefault="00A85C83" w:rsidP="00000E24">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2,638</w:t>
            </w:r>
          </w:p>
        </w:tc>
      </w:tr>
      <w:tr w:rsidR="00666FF4" w:rsidRPr="00000E24" w14:paraId="53095C95" w14:textId="77777777" w:rsidTr="0041394A">
        <w:trPr>
          <w:trHeight w:val="645"/>
        </w:trPr>
        <w:tc>
          <w:tcPr>
            <w:tcW w:w="2803" w:type="dxa"/>
            <w:tcBorders>
              <w:top w:val="nil"/>
              <w:left w:val="nil"/>
              <w:bottom w:val="single" w:sz="8" w:space="0" w:color="auto"/>
              <w:right w:val="nil"/>
            </w:tcBorders>
            <w:shd w:val="clear" w:color="auto" w:fill="auto"/>
            <w:vAlign w:val="center"/>
            <w:hideMark/>
          </w:tcPr>
          <w:p w14:paraId="78EFB095" w14:textId="77777777" w:rsidR="00000E24" w:rsidRPr="00000E24" w:rsidRDefault="00000E24" w:rsidP="00000E24">
            <w:pPr>
              <w:rPr>
                <w:rFonts w:eastAsia="Times New Roman" w:cs="Calibri"/>
                <w:color w:val="000000"/>
                <w:sz w:val="16"/>
                <w:szCs w:val="16"/>
                <w:lang w:val="en-GB" w:eastAsia="en-GB"/>
              </w:rPr>
            </w:pPr>
            <w:r w:rsidRPr="00000E24">
              <w:rPr>
                <w:rFonts w:eastAsia="Times New Roman" w:cs="Calibri"/>
                <w:color w:val="000000"/>
                <w:sz w:val="16"/>
                <w:szCs w:val="16"/>
                <w:lang w:val="en-GB" w:eastAsia="en-GB"/>
              </w:rPr>
              <w:t>Adjustments between accounting basis and funding basis under regulations</w:t>
            </w:r>
          </w:p>
        </w:tc>
        <w:tc>
          <w:tcPr>
            <w:tcW w:w="1416" w:type="dxa"/>
            <w:tcBorders>
              <w:top w:val="nil"/>
              <w:left w:val="single" w:sz="8" w:space="0" w:color="000000"/>
              <w:bottom w:val="single" w:sz="8" w:space="0" w:color="000000"/>
              <w:right w:val="nil"/>
            </w:tcBorders>
            <w:shd w:val="clear" w:color="auto" w:fill="auto"/>
            <w:vAlign w:val="center"/>
            <w:hideMark/>
          </w:tcPr>
          <w:p w14:paraId="1E563067" w14:textId="39CE74FA" w:rsidR="00000E24" w:rsidRPr="00000E24" w:rsidRDefault="00000E24" w:rsidP="00000E24">
            <w:pPr>
              <w:jc w:val="right"/>
              <w:rPr>
                <w:rFonts w:eastAsia="Times New Roman" w:cs="Calibri"/>
                <w:color w:val="000000"/>
                <w:sz w:val="16"/>
                <w:szCs w:val="16"/>
                <w:lang w:val="en-GB" w:eastAsia="en-GB"/>
              </w:rPr>
            </w:pPr>
            <w:r w:rsidRPr="00000E24">
              <w:rPr>
                <w:rFonts w:eastAsia="Times New Roman" w:cs="Calibri"/>
                <w:color w:val="000000"/>
                <w:sz w:val="16"/>
                <w:szCs w:val="16"/>
                <w:lang w:val="en-GB" w:eastAsia="en-GB"/>
              </w:rPr>
              <w:t>(</w:t>
            </w:r>
            <w:r w:rsidR="00666FF4">
              <w:rPr>
                <w:rFonts w:eastAsia="Times New Roman" w:cs="Calibri"/>
                <w:color w:val="000000"/>
                <w:sz w:val="16"/>
                <w:szCs w:val="16"/>
                <w:lang w:val="en-GB" w:eastAsia="en-GB"/>
              </w:rPr>
              <w:t>4,307</w:t>
            </w:r>
            <w:r w:rsidRPr="00000E24">
              <w:rPr>
                <w:rFonts w:eastAsia="Times New Roman" w:cs="Calibri"/>
                <w:color w:val="000000"/>
                <w:sz w:val="16"/>
                <w:szCs w:val="16"/>
                <w:lang w:val="en-GB" w:eastAsia="en-GB"/>
              </w:rPr>
              <w:t>)</w:t>
            </w:r>
          </w:p>
        </w:tc>
        <w:tc>
          <w:tcPr>
            <w:tcW w:w="1193" w:type="dxa"/>
            <w:tcBorders>
              <w:top w:val="nil"/>
              <w:left w:val="nil"/>
              <w:bottom w:val="single" w:sz="8" w:space="0" w:color="000000"/>
              <w:right w:val="nil"/>
            </w:tcBorders>
            <w:shd w:val="clear" w:color="auto" w:fill="auto"/>
            <w:vAlign w:val="center"/>
            <w:hideMark/>
          </w:tcPr>
          <w:p w14:paraId="6B8BA506" w14:textId="77777777" w:rsidR="00000E24" w:rsidRPr="00000E24" w:rsidRDefault="00000E24" w:rsidP="00000E24">
            <w:pPr>
              <w:jc w:val="right"/>
              <w:rPr>
                <w:rFonts w:eastAsia="Times New Roman" w:cs="Calibri"/>
                <w:color w:val="000000"/>
                <w:sz w:val="16"/>
                <w:szCs w:val="16"/>
                <w:lang w:val="en-GB" w:eastAsia="en-GB"/>
              </w:rPr>
            </w:pPr>
            <w:r w:rsidRPr="00000E24">
              <w:rPr>
                <w:rFonts w:eastAsia="Times New Roman" w:cs="Calibri"/>
                <w:color w:val="000000"/>
                <w:sz w:val="16"/>
                <w:szCs w:val="16"/>
                <w:lang w:val="en-GB" w:eastAsia="en-GB"/>
              </w:rPr>
              <w:t>0</w:t>
            </w:r>
          </w:p>
        </w:tc>
        <w:tc>
          <w:tcPr>
            <w:tcW w:w="1530" w:type="dxa"/>
            <w:tcBorders>
              <w:top w:val="nil"/>
              <w:left w:val="nil"/>
              <w:bottom w:val="single" w:sz="8" w:space="0" w:color="000000"/>
              <w:right w:val="nil"/>
            </w:tcBorders>
            <w:shd w:val="clear" w:color="auto" w:fill="auto"/>
            <w:vAlign w:val="center"/>
            <w:hideMark/>
          </w:tcPr>
          <w:p w14:paraId="6746CD90" w14:textId="406A78B5" w:rsidR="00000E24" w:rsidRPr="00000E24" w:rsidRDefault="00000E24" w:rsidP="00000E24">
            <w:pPr>
              <w:jc w:val="right"/>
              <w:rPr>
                <w:rFonts w:eastAsia="Times New Roman" w:cs="Calibri"/>
                <w:color w:val="000000"/>
                <w:sz w:val="16"/>
                <w:szCs w:val="16"/>
                <w:lang w:val="en-GB" w:eastAsia="en-GB"/>
              </w:rPr>
            </w:pPr>
            <w:r w:rsidRPr="00000E24">
              <w:rPr>
                <w:rFonts w:eastAsia="Times New Roman" w:cs="Calibri"/>
                <w:color w:val="000000"/>
                <w:sz w:val="16"/>
                <w:szCs w:val="16"/>
                <w:lang w:val="en-GB" w:eastAsia="en-GB"/>
              </w:rPr>
              <w:t>(</w:t>
            </w:r>
            <w:r w:rsidR="00666FF4">
              <w:rPr>
                <w:rFonts w:eastAsia="Times New Roman" w:cs="Calibri"/>
                <w:color w:val="000000"/>
                <w:sz w:val="16"/>
                <w:szCs w:val="16"/>
                <w:lang w:val="en-GB" w:eastAsia="en-GB"/>
              </w:rPr>
              <w:t>4,307</w:t>
            </w:r>
            <w:r w:rsidRPr="00000E24">
              <w:rPr>
                <w:rFonts w:eastAsia="Times New Roman" w:cs="Calibri"/>
                <w:color w:val="000000"/>
                <w:sz w:val="16"/>
                <w:szCs w:val="16"/>
                <w:lang w:val="en-GB" w:eastAsia="en-GB"/>
              </w:rPr>
              <w:t>)</w:t>
            </w:r>
          </w:p>
        </w:tc>
        <w:tc>
          <w:tcPr>
            <w:tcW w:w="1399" w:type="dxa"/>
            <w:tcBorders>
              <w:top w:val="nil"/>
              <w:left w:val="nil"/>
              <w:bottom w:val="single" w:sz="8" w:space="0" w:color="000000"/>
              <w:right w:val="nil"/>
            </w:tcBorders>
            <w:shd w:val="clear" w:color="auto" w:fill="auto"/>
            <w:vAlign w:val="center"/>
            <w:hideMark/>
          </w:tcPr>
          <w:p w14:paraId="22490D38" w14:textId="77777777" w:rsidR="00000E24" w:rsidRPr="00000E24" w:rsidRDefault="00000E24" w:rsidP="00000E24">
            <w:pPr>
              <w:jc w:val="right"/>
              <w:rPr>
                <w:rFonts w:eastAsia="Times New Roman" w:cs="Calibri"/>
                <w:color w:val="000000"/>
                <w:sz w:val="16"/>
                <w:szCs w:val="16"/>
                <w:lang w:val="en-GB" w:eastAsia="en-GB"/>
              </w:rPr>
            </w:pPr>
            <w:r w:rsidRPr="00000E24">
              <w:rPr>
                <w:rFonts w:eastAsia="Times New Roman" w:cs="Calibri"/>
                <w:color w:val="000000"/>
                <w:sz w:val="16"/>
                <w:szCs w:val="16"/>
                <w:lang w:val="en-GB" w:eastAsia="en-GB"/>
              </w:rPr>
              <w:t>197</w:t>
            </w:r>
          </w:p>
        </w:tc>
        <w:tc>
          <w:tcPr>
            <w:tcW w:w="1244" w:type="dxa"/>
            <w:tcBorders>
              <w:top w:val="nil"/>
              <w:left w:val="nil"/>
              <w:bottom w:val="single" w:sz="8" w:space="0" w:color="000000"/>
              <w:right w:val="single" w:sz="8" w:space="0" w:color="000000"/>
            </w:tcBorders>
            <w:shd w:val="clear" w:color="auto" w:fill="auto"/>
            <w:vAlign w:val="center"/>
            <w:hideMark/>
          </w:tcPr>
          <w:p w14:paraId="678CD324" w14:textId="4FA58215" w:rsidR="00000E24" w:rsidRPr="00000E24" w:rsidRDefault="00000E24" w:rsidP="00000E24">
            <w:pPr>
              <w:jc w:val="right"/>
              <w:rPr>
                <w:rFonts w:eastAsia="Times New Roman" w:cs="Calibri"/>
                <w:color w:val="000000"/>
                <w:sz w:val="16"/>
                <w:szCs w:val="16"/>
                <w:lang w:val="en-GB" w:eastAsia="en-GB"/>
              </w:rPr>
            </w:pPr>
            <w:r w:rsidRPr="00000E24">
              <w:rPr>
                <w:rFonts w:eastAsia="Times New Roman" w:cs="Calibri"/>
                <w:color w:val="000000"/>
                <w:sz w:val="16"/>
                <w:szCs w:val="16"/>
                <w:lang w:val="en-GB" w:eastAsia="en-GB"/>
              </w:rPr>
              <w:t>1,</w:t>
            </w:r>
            <w:r w:rsidR="00666FF4">
              <w:rPr>
                <w:rFonts w:eastAsia="Times New Roman" w:cs="Calibri"/>
                <w:color w:val="000000"/>
                <w:sz w:val="16"/>
                <w:szCs w:val="16"/>
                <w:lang w:val="en-GB" w:eastAsia="en-GB"/>
              </w:rPr>
              <w:t>083</w:t>
            </w:r>
          </w:p>
        </w:tc>
        <w:tc>
          <w:tcPr>
            <w:tcW w:w="1297" w:type="dxa"/>
            <w:tcBorders>
              <w:top w:val="nil"/>
              <w:left w:val="nil"/>
              <w:bottom w:val="single" w:sz="8" w:space="0" w:color="000000"/>
              <w:right w:val="single" w:sz="8" w:space="0" w:color="000000"/>
            </w:tcBorders>
            <w:shd w:val="clear" w:color="auto" w:fill="auto"/>
            <w:vAlign w:val="center"/>
            <w:hideMark/>
          </w:tcPr>
          <w:p w14:paraId="208CF5F4" w14:textId="1B7C40AA"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w:t>
            </w:r>
            <w:r w:rsidR="00666FF4">
              <w:rPr>
                <w:rFonts w:eastAsia="Times New Roman" w:cs="Calibri"/>
                <w:b/>
                <w:bCs/>
                <w:color w:val="000000"/>
                <w:sz w:val="16"/>
                <w:szCs w:val="16"/>
                <w:lang w:val="en-GB" w:eastAsia="en-GB"/>
              </w:rPr>
              <w:t>3,027</w:t>
            </w:r>
            <w:r w:rsidRPr="00000E24">
              <w:rPr>
                <w:rFonts w:eastAsia="Times New Roman" w:cs="Calibri"/>
                <w:b/>
                <w:bCs/>
                <w:color w:val="000000"/>
                <w:sz w:val="16"/>
                <w:szCs w:val="16"/>
                <w:lang w:val="en-GB" w:eastAsia="en-GB"/>
              </w:rPr>
              <w:t>)</w:t>
            </w:r>
          </w:p>
        </w:tc>
        <w:tc>
          <w:tcPr>
            <w:tcW w:w="1418" w:type="dxa"/>
            <w:tcBorders>
              <w:top w:val="nil"/>
              <w:left w:val="nil"/>
              <w:bottom w:val="single" w:sz="8" w:space="0" w:color="auto"/>
              <w:right w:val="single" w:sz="8" w:space="0" w:color="000000"/>
            </w:tcBorders>
            <w:shd w:val="clear" w:color="auto" w:fill="auto"/>
            <w:vAlign w:val="center"/>
            <w:hideMark/>
          </w:tcPr>
          <w:p w14:paraId="5AC45E5E" w14:textId="08C975DB" w:rsidR="00000E24" w:rsidRPr="00000E24" w:rsidRDefault="00666FF4" w:rsidP="00000E24">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3,027</w:t>
            </w:r>
          </w:p>
        </w:tc>
        <w:tc>
          <w:tcPr>
            <w:tcW w:w="1339" w:type="dxa"/>
            <w:tcBorders>
              <w:top w:val="nil"/>
              <w:left w:val="nil"/>
              <w:bottom w:val="single" w:sz="8" w:space="0" w:color="000000"/>
              <w:right w:val="nil"/>
            </w:tcBorders>
            <w:shd w:val="clear" w:color="auto" w:fill="auto"/>
            <w:vAlign w:val="center"/>
            <w:hideMark/>
          </w:tcPr>
          <w:p w14:paraId="3A6515FD"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w:t>
            </w:r>
          </w:p>
        </w:tc>
      </w:tr>
      <w:tr w:rsidR="00666FF4" w:rsidRPr="00000E24" w14:paraId="7ABDFAFA" w14:textId="77777777" w:rsidTr="0041394A">
        <w:trPr>
          <w:trHeight w:val="630"/>
        </w:trPr>
        <w:tc>
          <w:tcPr>
            <w:tcW w:w="2803" w:type="dxa"/>
            <w:tcBorders>
              <w:top w:val="nil"/>
              <w:left w:val="nil"/>
              <w:bottom w:val="nil"/>
              <w:right w:val="nil"/>
            </w:tcBorders>
            <w:shd w:val="clear" w:color="auto" w:fill="auto"/>
            <w:vAlign w:val="center"/>
            <w:hideMark/>
          </w:tcPr>
          <w:p w14:paraId="29319985" w14:textId="77777777" w:rsidR="00000E24" w:rsidRPr="00000E24" w:rsidRDefault="00000E24" w:rsidP="00000E24">
            <w:pPr>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Net Increase or Decrease before Transfers to Earmarked Reserves</w:t>
            </w:r>
          </w:p>
        </w:tc>
        <w:tc>
          <w:tcPr>
            <w:tcW w:w="1416" w:type="dxa"/>
            <w:tcBorders>
              <w:top w:val="nil"/>
              <w:left w:val="single" w:sz="8" w:space="0" w:color="000000"/>
              <w:bottom w:val="nil"/>
              <w:right w:val="nil"/>
            </w:tcBorders>
            <w:shd w:val="clear" w:color="auto" w:fill="auto"/>
            <w:vAlign w:val="center"/>
            <w:hideMark/>
          </w:tcPr>
          <w:p w14:paraId="6EDB518A" w14:textId="27062E69" w:rsidR="00000E24" w:rsidRPr="00000E24" w:rsidRDefault="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w:t>
            </w:r>
            <w:r w:rsidR="00A85C83">
              <w:rPr>
                <w:rFonts w:eastAsia="Times New Roman" w:cs="Calibri"/>
                <w:b/>
                <w:bCs/>
                <w:color w:val="000000"/>
                <w:sz w:val="16"/>
                <w:szCs w:val="16"/>
                <w:lang w:val="en-GB" w:eastAsia="en-GB"/>
              </w:rPr>
              <w:t>263</w:t>
            </w:r>
            <w:r w:rsidRPr="00000E24">
              <w:rPr>
                <w:rFonts w:eastAsia="Times New Roman" w:cs="Calibri"/>
                <w:b/>
                <w:bCs/>
                <w:color w:val="000000"/>
                <w:sz w:val="16"/>
                <w:szCs w:val="16"/>
                <w:lang w:val="en-GB" w:eastAsia="en-GB"/>
              </w:rPr>
              <w:t>)</w:t>
            </w:r>
          </w:p>
        </w:tc>
        <w:tc>
          <w:tcPr>
            <w:tcW w:w="1193" w:type="dxa"/>
            <w:tcBorders>
              <w:top w:val="nil"/>
              <w:left w:val="nil"/>
              <w:bottom w:val="nil"/>
              <w:right w:val="nil"/>
            </w:tcBorders>
            <w:shd w:val="clear" w:color="auto" w:fill="auto"/>
            <w:vAlign w:val="center"/>
            <w:hideMark/>
          </w:tcPr>
          <w:p w14:paraId="6ED40D3F"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w:t>
            </w:r>
          </w:p>
        </w:tc>
        <w:tc>
          <w:tcPr>
            <w:tcW w:w="1530" w:type="dxa"/>
            <w:tcBorders>
              <w:top w:val="nil"/>
              <w:left w:val="nil"/>
              <w:bottom w:val="nil"/>
              <w:right w:val="nil"/>
            </w:tcBorders>
            <w:shd w:val="clear" w:color="auto" w:fill="auto"/>
            <w:vAlign w:val="center"/>
            <w:hideMark/>
          </w:tcPr>
          <w:p w14:paraId="580D1C4D" w14:textId="377A601E" w:rsidR="00000E24" w:rsidRPr="00000E24" w:rsidRDefault="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w:t>
            </w:r>
            <w:r w:rsidR="00A85C83">
              <w:rPr>
                <w:rFonts w:eastAsia="Times New Roman" w:cs="Calibri"/>
                <w:b/>
                <w:bCs/>
                <w:color w:val="000000"/>
                <w:sz w:val="16"/>
                <w:szCs w:val="16"/>
                <w:lang w:val="en-GB" w:eastAsia="en-GB"/>
              </w:rPr>
              <w:t>263</w:t>
            </w:r>
            <w:r w:rsidRPr="00000E24">
              <w:rPr>
                <w:rFonts w:eastAsia="Times New Roman" w:cs="Calibri"/>
                <w:b/>
                <w:bCs/>
                <w:color w:val="000000"/>
                <w:sz w:val="16"/>
                <w:szCs w:val="16"/>
                <w:lang w:val="en-GB" w:eastAsia="en-GB"/>
              </w:rPr>
              <w:t>)</w:t>
            </w:r>
          </w:p>
        </w:tc>
        <w:tc>
          <w:tcPr>
            <w:tcW w:w="1399" w:type="dxa"/>
            <w:tcBorders>
              <w:top w:val="nil"/>
              <w:left w:val="nil"/>
              <w:bottom w:val="nil"/>
              <w:right w:val="nil"/>
            </w:tcBorders>
            <w:shd w:val="clear" w:color="auto" w:fill="auto"/>
            <w:vAlign w:val="center"/>
            <w:hideMark/>
          </w:tcPr>
          <w:p w14:paraId="0A039DE7"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197</w:t>
            </w:r>
          </w:p>
        </w:tc>
        <w:tc>
          <w:tcPr>
            <w:tcW w:w="1244" w:type="dxa"/>
            <w:tcBorders>
              <w:top w:val="nil"/>
              <w:left w:val="nil"/>
              <w:bottom w:val="nil"/>
              <w:right w:val="nil"/>
            </w:tcBorders>
            <w:shd w:val="clear" w:color="auto" w:fill="auto"/>
            <w:vAlign w:val="center"/>
            <w:hideMark/>
          </w:tcPr>
          <w:p w14:paraId="47CD57EC" w14:textId="6CC633CA"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1,</w:t>
            </w:r>
            <w:r w:rsidR="00666FF4">
              <w:rPr>
                <w:rFonts w:eastAsia="Times New Roman" w:cs="Calibri"/>
                <w:b/>
                <w:bCs/>
                <w:color w:val="000000"/>
                <w:sz w:val="16"/>
                <w:szCs w:val="16"/>
                <w:lang w:val="en-GB" w:eastAsia="en-GB"/>
              </w:rPr>
              <w:t>083</w:t>
            </w:r>
          </w:p>
        </w:tc>
        <w:tc>
          <w:tcPr>
            <w:tcW w:w="1297" w:type="dxa"/>
            <w:tcBorders>
              <w:top w:val="nil"/>
              <w:left w:val="single" w:sz="8" w:space="0" w:color="000000"/>
              <w:bottom w:val="nil"/>
              <w:right w:val="single" w:sz="8" w:space="0" w:color="000000"/>
            </w:tcBorders>
            <w:shd w:val="clear" w:color="auto" w:fill="auto"/>
            <w:vAlign w:val="center"/>
            <w:hideMark/>
          </w:tcPr>
          <w:p w14:paraId="2BB2CAA2" w14:textId="2D36557C" w:rsidR="00000E24" w:rsidRPr="00000E24" w:rsidRDefault="00A85C83" w:rsidP="00000E24">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1,017</w:t>
            </w:r>
          </w:p>
        </w:tc>
        <w:tc>
          <w:tcPr>
            <w:tcW w:w="1418" w:type="dxa"/>
            <w:tcBorders>
              <w:top w:val="nil"/>
              <w:left w:val="nil"/>
              <w:bottom w:val="nil"/>
              <w:right w:val="nil"/>
            </w:tcBorders>
            <w:shd w:val="clear" w:color="auto" w:fill="auto"/>
            <w:vAlign w:val="center"/>
            <w:hideMark/>
          </w:tcPr>
          <w:p w14:paraId="051470C9" w14:textId="187A51E9"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w:t>
            </w:r>
            <w:r w:rsidR="00666FF4">
              <w:rPr>
                <w:rFonts w:eastAsia="Times New Roman" w:cs="Calibri"/>
                <w:b/>
                <w:bCs/>
                <w:color w:val="000000"/>
                <w:sz w:val="16"/>
                <w:szCs w:val="16"/>
                <w:lang w:val="en-GB" w:eastAsia="en-GB"/>
              </w:rPr>
              <w:t>1,621</w:t>
            </w:r>
            <w:r w:rsidRPr="00000E24">
              <w:rPr>
                <w:rFonts w:eastAsia="Times New Roman" w:cs="Calibri"/>
                <w:b/>
                <w:bCs/>
                <w:color w:val="000000"/>
                <w:sz w:val="16"/>
                <w:szCs w:val="16"/>
                <w:lang w:val="en-GB" w:eastAsia="en-GB"/>
              </w:rPr>
              <w:t>)</w:t>
            </w:r>
          </w:p>
        </w:tc>
        <w:tc>
          <w:tcPr>
            <w:tcW w:w="1339" w:type="dxa"/>
            <w:tcBorders>
              <w:top w:val="nil"/>
              <w:left w:val="single" w:sz="8" w:space="0" w:color="000000"/>
              <w:bottom w:val="nil"/>
              <w:right w:val="nil"/>
            </w:tcBorders>
            <w:shd w:val="clear" w:color="auto" w:fill="auto"/>
            <w:vAlign w:val="center"/>
            <w:hideMark/>
          </w:tcPr>
          <w:p w14:paraId="7C3790E1" w14:textId="05A20828" w:rsidR="00000E24" w:rsidRPr="00000E24" w:rsidRDefault="00A85C83" w:rsidP="00000E24">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2,638</w:t>
            </w:r>
          </w:p>
        </w:tc>
      </w:tr>
      <w:tr w:rsidR="00666FF4" w:rsidRPr="00000E24" w14:paraId="7697A85F" w14:textId="77777777" w:rsidTr="0041394A">
        <w:trPr>
          <w:trHeight w:val="420"/>
        </w:trPr>
        <w:tc>
          <w:tcPr>
            <w:tcW w:w="2803" w:type="dxa"/>
            <w:tcBorders>
              <w:top w:val="nil"/>
              <w:left w:val="nil"/>
              <w:bottom w:val="nil"/>
              <w:right w:val="nil"/>
            </w:tcBorders>
            <w:shd w:val="clear" w:color="auto" w:fill="auto"/>
            <w:vAlign w:val="center"/>
            <w:hideMark/>
          </w:tcPr>
          <w:p w14:paraId="655230BE" w14:textId="77777777" w:rsidR="00000E24" w:rsidRPr="00000E24" w:rsidRDefault="00000E24" w:rsidP="00000E24">
            <w:pPr>
              <w:rPr>
                <w:rFonts w:eastAsia="Times New Roman" w:cs="Calibri"/>
                <w:color w:val="000000"/>
                <w:sz w:val="16"/>
                <w:szCs w:val="16"/>
                <w:lang w:val="en-GB" w:eastAsia="en-GB"/>
              </w:rPr>
            </w:pPr>
            <w:r w:rsidRPr="00000E24">
              <w:rPr>
                <w:rFonts w:eastAsia="Times New Roman" w:cs="Calibri"/>
                <w:color w:val="000000"/>
                <w:sz w:val="16"/>
                <w:szCs w:val="16"/>
                <w:lang w:val="en-GB" w:eastAsia="en-GB"/>
              </w:rPr>
              <w:t>Transfers to / from Earmarked Reserves</w:t>
            </w:r>
          </w:p>
        </w:tc>
        <w:tc>
          <w:tcPr>
            <w:tcW w:w="1416" w:type="dxa"/>
            <w:tcBorders>
              <w:top w:val="nil"/>
              <w:left w:val="single" w:sz="8" w:space="0" w:color="000000"/>
              <w:bottom w:val="nil"/>
              <w:right w:val="nil"/>
            </w:tcBorders>
            <w:shd w:val="clear" w:color="auto" w:fill="auto"/>
            <w:vAlign w:val="center"/>
            <w:hideMark/>
          </w:tcPr>
          <w:p w14:paraId="1D24E6D5" w14:textId="3B2A92FC" w:rsidR="00000E24" w:rsidRPr="00000E24" w:rsidRDefault="003C732D">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5</w:t>
            </w:r>
            <w:r w:rsidR="00D87588">
              <w:rPr>
                <w:rFonts w:eastAsia="Times New Roman" w:cs="Calibri"/>
                <w:color w:val="000000"/>
                <w:sz w:val="16"/>
                <w:szCs w:val="16"/>
                <w:lang w:val="en-GB" w:eastAsia="en-GB"/>
              </w:rPr>
              <w:t>6</w:t>
            </w:r>
          </w:p>
        </w:tc>
        <w:tc>
          <w:tcPr>
            <w:tcW w:w="1193" w:type="dxa"/>
            <w:tcBorders>
              <w:top w:val="nil"/>
              <w:left w:val="nil"/>
              <w:bottom w:val="nil"/>
              <w:right w:val="nil"/>
            </w:tcBorders>
            <w:shd w:val="clear" w:color="auto" w:fill="auto"/>
            <w:vAlign w:val="center"/>
            <w:hideMark/>
          </w:tcPr>
          <w:p w14:paraId="2BB82BE2" w14:textId="50CC8995" w:rsidR="00000E24" w:rsidRPr="00000E24" w:rsidRDefault="003C732D">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(5</w:t>
            </w:r>
            <w:r w:rsidR="00D87588">
              <w:rPr>
                <w:rFonts w:eastAsia="Times New Roman" w:cs="Calibri"/>
                <w:color w:val="000000"/>
                <w:sz w:val="16"/>
                <w:szCs w:val="16"/>
                <w:lang w:val="en-GB" w:eastAsia="en-GB"/>
              </w:rPr>
              <w:t>6</w:t>
            </w:r>
            <w:r>
              <w:rPr>
                <w:rFonts w:eastAsia="Times New Roman" w:cs="Calibri"/>
                <w:color w:val="000000"/>
                <w:sz w:val="16"/>
                <w:szCs w:val="16"/>
                <w:lang w:val="en-GB" w:eastAsia="en-GB"/>
              </w:rPr>
              <w:t>)</w:t>
            </w:r>
          </w:p>
        </w:tc>
        <w:tc>
          <w:tcPr>
            <w:tcW w:w="1530" w:type="dxa"/>
            <w:tcBorders>
              <w:top w:val="nil"/>
              <w:left w:val="nil"/>
              <w:bottom w:val="nil"/>
              <w:right w:val="nil"/>
            </w:tcBorders>
            <w:shd w:val="clear" w:color="auto" w:fill="auto"/>
            <w:vAlign w:val="center"/>
            <w:hideMark/>
          </w:tcPr>
          <w:p w14:paraId="537840E9" w14:textId="77777777" w:rsidR="00000E24" w:rsidRPr="00000E24" w:rsidRDefault="00000E24" w:rsidP="00000E24">
            <w:pPr>
              <w:jc w:val="right"/>
              <w:rPr>
                <w:rFonts w:eastAsia="Times New Roman" w:cs="Calibri"/>
                <w:color w:val="000000"/>
                <w:sz w:val="16"/>
                <w:szCs w:val="16"/>
                <w:lang w:val="en-GB" w:eastAsia="en-GB"/>
              </w:rPr>
            </w:pPr>
            <w:r w:rsidRPr="00000E24">
              <w:rPr>
                <w:rFonts w:eastAsia="Times New Roman" w:cs="Calibri"/>
                <w:color w:val="000000"/>
                <w:sz w:val="16"/>
                <w:szCs w:val="16"/>
                <w:lang w:val="en-GB" w:eastAsia="en-GB"/>
              </w:rPr>
              <w:t>0</w:t>
            </w:r>
          </w:p>
        </w:tc>
        <w:tc>
          <w:tcPr>
            <w:tcW w:w="1399" w:type="dxa"/>
            <w:tcBorders>
              <w:top w:val="nil"/>
              <w:left w:val="nil"/>
              <w:bottom w:val="nil"/>
              <w:right w:val="nil"/>
            </w:tcBorders>
            <w:shd w:val="clear" w:color="auto" w:fill="auto"/>
            <w:vAlign w:val="center"/>
            <w:hideMark/>
          </w:tcPr>
          <w:p w14:paraId="475F133F" w14:textId="77777777" w:rsidR="00000E24" w:rsidRPr="00000E24" w:rsidRDefault="00000E24" w:rsidP="00000E24">
            <w:pPr>
              <w:jc w:val="right"/>
              <w:rPr>
                <w:rFonts w:eastAsia="Times New Roman" w:cs="Calibri"/>
                <w:color w:val="000000"/>
                <w:sz w:val="16"/>
                <w:szCs w:val="16"/>
                <w:lang w:val="en-GB" w:eastAsia="en-GB"/>
              </w:rPr>
            </w:pPr>
            <w:r w:rsidRPr="00000E24">
              <w:rPr>
                <w:rFonts w:eastAsia="Times New Roman" w:cs="Calibri"/>
                <w:color w:val="000000"/>
                <w:sz w:val="16"/>
                <w:szCs w:val="16"/>
                <w:lang w:val="en-GB" w:eastAsia="en-GB"/>
              </w:rPr>
              <w:t>0</w:t>
            </w:r>
          </w:p>
        </w:tc>
        <w:tc>
          <w:tcPr>
            <w:tcW w:w="1244" w:type="dxa"/>
            <w:tcBorders>
              <w:top w:val="nil"/>
              <w:left w:val="nil"/>
              <w:bottom w:val="nil"/>
              <w:right w:val="nil"/>
            </w:tcBorders>
            <w:shd w:val="clear" w:color="auto" w:fill="auto"/>
            <w:vAlign w:val="center"/>
            <w:hideMark/>
          </w:tcPr>
          <w:p w14:paraId="2572213E" w14:textId="77777777" w:rsidR="00000E24" w:rsidRPr="00000E24" w:rsidRDefault="00000E24" w:rsidP="00000E24">
            <w:pPr>
              <w:jc w:val="right"/>
              <w:rPr>
                <w:rFonts w:eastAsia="Times New Roman" w:cs="Calibri"/>
                <w:color w:val="000000"/>
                <w:sz w:val="16"/>
                <w:szCs w:val="16"/>
                <w:lang w:val="en-GB" w:eastAsia="en-GB"/>
              </w:rPr>
            </w:pPr>
            <w:r w:rsidRPr="00000E24">
              <w:rPr>
                <w:rFonts w:eastAsia="Times New Roman" w:cs="Calibri"/>
                <w:color w:val="000000"/>
                <w:sz w:val="16"/>
                <w:szCs w:val="16"/>
                <w:lang w:val="en-GB" w:eastAsia="en-GB"/>
              </w:rPr>
              <w:t>0</w:t>
            </w:r>
          </w:p>
        </w:tc>
        <w:tc>
          <w:tcPr>
            <w:tcW w:w="1297" w:type="dxa"/>
            <w:tcBorders>
              <w:top w:val="nil"/>
              <w:left w:val="single" w:sz="8" w:space="0" w:color="000000"/>
              <w:bottom w:val="nil"/>
              <w:right w:val="single" w:sz="8" w:space="0" w:color="000000"/>
            </w:tcBorders>
            <w:shd w:val="clear" w:color="auto" w:fill="auto"/>
            <w:vAlign w:val="center"/>
            <w:hideMark/>
          </w:tcPr>
          <w:p w14:paraId="26721AB2"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w:t>
            </w:r>
          </w:p>
        </w:tc>
        <w:tc>
          <w:tcPr>
            <w:tcW w:w="1418" w:type="dxa"/>
            <w:tcBorders>
              <w:top w:val="nil"/>
              <w:left w:val="nil"/>
              <w:bottom w:val="nil"/>
              <w:right w:val="single" w:sz="8" w:space="0" w:color="000000"/>
            </w:tcBorders>
            <w:shd w:val="clear" w:color="auto" w:fill="auto"/>
            <w:vAlign w:val="center"/>
            <w:hideMark/>
          </w:tcPr>
          <w:p w14:paraId="0276E9F9" w14:textId="77777777" w:rsidR="00000E24" w:rsidRPr="00000E24" w:rsidRDefault="00000E24" w:rsidP="00000E24">
            <w:pPr>
              <w:jc w:val="right"/>
              <w:rPr>
                <w:rFonts w:eastAsia="Times New Roman" w:cs="Calibri"/>
                <w:color w:val="000000"/>
                <w:sz w:val="16"/>
                <w:szCs w:val="16"/>
                <w:lang w:val="en-GB" w:eastAsia="en-GB"/>
              </w:rPr>
            </w:pPr>
            <w:r w:rsidRPr="00000E24">
              <w:rPr>
                <w:rFonts w:eastAsia="Times New Roman" w:cs="Calibri"/>
                <w:color w:val="000000"/>
                <w:sz w:val="16"/>
                <w:szCs w:val="16"/>
                <w:lang w:val="en-GB" w:eastAsia="en-GB"/>
              </w:rPr>
              <w:t>0</w:t>
            </w:r>
          </w:p>
        </w:tc>
        <w:tc>
          <w:tcPr>
            <w:tcW w:w="1339" w:type="dxa"/>
            <w:tcBorders>
              <w:top w:val="nil"/>
              <w:left w:val="nil"/>
              <w:bottom w:val="nil"/>
              <w:right w:val="nil"/>
            </w:tcBorders>
            <w:shd w:val="clear" w:color="auto" w:fill="auto"/>
            <w:vAlign w:val="center"/>
            <w:hideMark/>
          </w:tcPr>
          <w:p w14:paraId="26FA97A0"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w:t>
            </w:r>
          </w:p>
        </w:tc>
      </w:tr>
      <w:tr w:rsidR="00666FF4" w:rsidRPr="00000E24" w14:paraId="0EE31D5C" w14:textId="77777777" w:rsidTr="0041394A">
        <w:trPr>
          <w:trHeight w:val="645"/>
        </w:trPr>
        <w:tc>
          <w:tcPr>
            <w:tcW w:w="2803" w:type="dxa"/>
            <w:tcBorders>
              <w:top w:val="nil"/>
              <w:left w:val="nil"/>
              <w:bottom w:val="single" w:sz="8" w:space="0" w:color="auto"/>
              <w:right w:val="nil"/>
            </w:tcBorders>
            <w:shd w:val="clear" w:color="auto" w:fill="auto"/>
            <w:vAlign w:val="center"/>
            <w:hideMark/>
          </w:tcPr>
          <w:p w14:paraId="33232DC9" w14:textId="77777777" w:rsidR="00000E24" w:rsidRPr="00000E24" w:rsidRDefault="00491875" w:rsidP="00000E24">
            <w:pPr>
              <w:rPr>
                <w:rFonts w:eastAsia="Times New Roman" w:cs="Calibri"/>
                <w:color w:val="000000"/>
                <w:sz w:val="16"/>
                <w:szCs w:val="16"/>
                <w:lang w:val="en-GB" w:eastAsia="en-GB"/>
              </w:rPr>
            </w:pPr>
            <w:r>
              <w:rPr>
                <w:rFonts w:eastAsia="Times New Roman" w:cs="Calibri"/>
                <w:color w:val="000000"/>
                <w:sz w:val="16"/>
                <w:szCs w:val="16"/>
                <w:lang w:val="en-GB" w:eastAsia="en-GB"/>
              </w:rPr>
              <w:t xml:space="preserve">Transfer </w:t>
            </w:r>
            <w:r w:rsidR="00000E24" w:rsidRPr="00000E24">
              <w:rPr>
                <w:rFonts w:eastAsia="Times New Roman" w:cs="Calibri"/>
                <w:color w:val="000000"/>
                <w:sz w:val="16"/>
                <w:szCs w:val="16"/>
                <w:lang w:val="en-GB" w:eastAsia="en-GB"/>
              </w:rPr>
              <w:t>Chief Constable Reserve to General Fund Balance</w:t>
            </w:r>
          </w:p>
        </w:tc>
        <w:tc>
          <w:tcPr>
            <w:tcW w:w="1416" w:type="dxa"/>
            <w:tcBorders>
              <w:top w:val="nil"/>
              <w:left w:val="single" w:sz="8" w:space="0" w:color="000000"/>
              <w:bottom w:val="single" w:sz="8" w:space="0" w:color="auto"/>
              <w:right w:val="nil"/>
            </w:tcBorders>
            <w:shd w:val="clear" w:color="auto" w:fill="auto"/>
            <w:vAlign w:val="center"/>
            <w:hideMark/>
          </w:tcPr>
          <w:p w14:paraId="67A059CD" w14:textId="77777777" w:rsidR="00000E24" w:rsidRPr="00000E24" w:rsidRDefault="00000E24" w:rsidP="00000E24">
            <w:pPr>
              <w:jc w:val="right"/>
              <w:rPr>
                <w:rFonts w:eastAsia="Times New Roman" w:cs="Calibri"/>
                <w:color w:val="000000"/>
                <w:sz w:val="16"/>
                <w:szCs w:val="16"/>
                <w:lang w:val="en-GB" w:eastAsia="en-GB"/>
              </w:rPr>
            </w:pPr>
            <w:r w:rsidRPr="00000E24">
              <w:rPr>
                <w:rFonts w:eastAsia="Times New Roman" w:cs="Calibri"/>
                <w:color w:val="000000"/>
                <w:sz w:val="16"/>
                <w:szCs w:val="16"/>
                <w:lang w:val="en-GB" w:eastAsia="en-GB"/>
              </w:rPr>
              <w:t>0</w:t>
            </w:r>
          </w:p>
        </w:tc>
        <w:tc>
          <w:tcPr>
            <w:tcW w:w="1193" w:type="dxa"/>
            <w:tcBorders>
              <w:top w:val="nil"/>
              <w:left w:val="nil"/>
              <w:bottom w:val="single" w:sz="8" w:space="0" w:color="auto"/>
              <w:right w:val="nil"/>
            </w:tcBorders>
            <w:shd w:val="clear" w:color="auto" w:fill="auto"/>
            <w:vAlign w:val="center"/>
            <w:hideMark/>
          </w:tcPr>
          <w:p w14:paraId="0DA1E8E3" w14:textId="77777777" w:rsidR="00000E24" w:rsidRPr="00000E24" w:rsidRDefault="00000E24" w:rsidP="00000E24">
            <w:pPr>
              <w:jc w:val="right"/>
              <w:rPr>
                <w:rFonts w:eastAsia="Times New Roman" w:cs="Calibri"/>
                <w:color w:val="000000"/>
                <w:sz w:val="16"/>
                <w:szCs w:val="16"/>
                <w:lang w:val="en-GB" w:eastAsia="en-GB"/>
              </w:rPr>
            </w:pPr>
            <w:r w:rsidRPr="00000E24">
              <w:rPr>
                <w:rFonts w:eastAsia="Times New Roman" w:cs="Calibri"/>
                <w:color w:val="000000"/>
                <w:sz w:val="16"/>
                <w:szCs w:val="16"/>
                <w:lang w:val="en-GB" w:eastAsia="en-GB"/>
              </w:rPr>
              <w:t>0</w:t>
            </w:r>
          </w:p>
        </w:tc>
        <w:tc>
          <w:tcPr>
            <w:tcW w:w="1530" w:type="dxa"/>
            <w:tcBorders>
              <w:top w:val="nil"/>
              <w:left w:val="nil"/>
              <w:bottom w:val="single" w:sz="8" w:space="0" w:color="auto"/>
              <w:right w:val="nil"/>
            </w:tcBorders>
            <w:shd w:val="clear" w:color="auto" w:fill="auto"/>
            <w:vAlign w:val="center"/>
            <w:hideMark/>
          </w:tcPr>
          <w:p w14:paraId="17701705" w14:textId="77777777" w:rsidR="00000E24" w:rsidRPr="00000E24" w:rsidRDefault="00000E24" w:rsidP="00000E24">
            <w:pPr>
              <w:rPr>
                <w:rFonts w:eastAsia="Times New Roman" w:cs="Calibri"/>
                <w:color w:val="000000"/>
                <w:sz w:val="16"/>
                <w:szCs w:val="16"/>
                <w:lang w:val="en-GB" w:eastAsia="en-GB"/>
              </w:rPr>
            </w:pPr>
            <w:r w:rsidRPr="00000E24">
              <w:rPr>
                <w:rFonts w:eastAsia="Times New Roman" w:cs="Calibri"/>
                <w:color w:val="000000"/>
                <w:sz w:val="16"/>
                <w:szCs w:val="16"/>
                <w:lang w:val="en-GB" w:eastAsia="en-GB"/>
              </w:rPr>
              <w:t> </w:t>
            </w:r>
          </w:p>
        </w:tc>
        <w:tc>
          <w:tcPr>
            <w:tcW w:w="1399" w:type="dxa"/>
            <w:tcBorders>
              <w:top w:val="nil"/>
              <w:left w:val="nil"/>
              <w:bottom w:val="single" w:sz="8" w:space="0" w:color="auto"/>
              <w:right w:val="nil"/>
            </w:tcBorders>
            <w:shd w:val="clear" w:color="auto" w:fill="auto"/>
            <w:vAlign w:val="center"/>
            <w:hideMark/>
          </w:tcPr>
          <w:p w14:paraId="422FEA64" w14:textId="77777777" w:rsidR="00000E24" w:rsidRPr="00000E24" w:rsidRDefault="00000E24" w:rsidP="00000E24">
            <w:pPr>
              <w:rPr>
                <w:rFonts w:eastAsia="Times New Roman" w:cs="Calibri"/>
                <w:color w:val="000000"/>
                <w:sz w:val="2"/>
                <w:szCs w:val="2"/>
                <w:lang w:val="en-GB" w:eastAsia="en-GB"/>
              </w:rPr>
            </w:pPr>
            <w:r w:rsidRPr="00000E24">
              <w:rPr>
                <w:rFonts w:eastAsia="Times New Roman" w:cs="Calibri"/>
                <w:color w:val="000000"/>
                <w:sz w:val="2"/>
                <w:szCs w:val="2"/>
                <w:lang w:val="en-GB" w:eastAsia="en-GB"/>
              </w:rPr>
              <w:t> </w:t>
            </w:r>
          </w:p>
        </w:tc>
        <w:tc>
          <w:tcPr>
            <w:tcW w:w="1244" w:type="dxa"/>
            <w:tcBorders>
              <w:top w:val="nil"/>
              <w:left w:val="nil"/>
              <w:bottom w:val="single" w:sz="8" w:space="0" w:color="auto"/>
              <w:right w:val="single" w:sz="8" w:space="0" w:color="000000"/>
            </w:tcBorders>
            <w:shd w:val="clear" w:color="auto" w:fill="auto"/>
            <w:vAlign w:val="center"/>
            <w:hideMark/>
          </w:tcPr>
          <w:p w14:paraId="433FD46C" w14:textId="77777777" w:rsidR="00000E24" w:rsidRPr="00000E24" w:rsidRDefault="00000E24" w:rsidP="00000E24">
            <w:pPr>
              <w:rPr>
                <w:rFonts w:eastAsia="Times New Roman" w:cs="Calibri"/>
                <w:color w:val="000000"/>
                <w:sz w:val="2"/>
                <w:szCs w:val="2"/>
                <w:lang w:val="en-GB" w:eastAsia="en-GB"/>
              </w:rPr>
            </w:pPr>
            <w:r w:rsidRPr="00000E24">
              <w:rPr>
                <w:rFonts w:eastAsia="Times New Roman" w:cs="Calibri"/>
                <w:color w:val="000000"/>
                <w:sz w:val="2"/>
                <w:szCs w:val="2"/>
                <w:lang w:val="en-GB" w:eastAsia="en-GB"/>
              </w:rPr>
              <w:t> </w:t>
            </w:r>
          </w:p>
        </w:tc>
        <w:tc>
          <w:tcPr>
            <w:tcW w:w="1297" w:type="dxa"/>
            <w:tcBorders>
              <w:top w:val="nil"/>
              <w:left w:val="nil"/>
              <w:bottom w:val="single" w:sz="8" w:space="0" w:color="auto"/>
              <w:right w:val="single" w:sz="8" w:space="0" w:color="000000"/>
            </w:tcBorders>
            <w:shd w:val="clear" w:color="auto" w:fill="auto"/>
            <w:vAlign w:val="center"/>
            <w:hideMark/>
          </w:tcPr>
          <w:p w14:paraId="02C501C3"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w:t>
            </w:r>
          </w:p>
        </w:tc>
        <w:tc>
          <w:tcPr>
            <w:tcW w:w="1418" w:type="dxa"/>
            <w:tcBorders>
              <w:top w:val="nil"/>
              <w:left w:val="nil"/>
              <w:bottom w:val="single" w:sz="8" w:space="0" w:color="auto"/>
              <w:right w:val="single" w:sz="8" w:space="0" w:color="000000"/>
            </w:tcBorders>
            <w:shd w:val="clear" w:color="auto" w:fill="auto"/>
            <w:vAlign w:val="center"/>
            <w:hideMark/>
          </w:tcPr>
          <w:p w14:paraId="5AE1571A" w14:textId="77777777" w:rsidR="00000E24" w:rsidRPr="00000E24" w:rsidRDefault="00000E24" w:rsidP="00000E24">
            <w:pPr>
              <w:jc w:val="right"/>
              <w:rPr>
                <w:rFonts w:eastAsia="Times New Roman" w:cs="Calibri"/>
                <w:color w:val="000000"/>
                <w:sz w:val="16"/>
                <w:szCs w:val="16"/>
                <w:lang w:val="en-GB" w:eastAsia="en-GB"/>
              </w:rPr>
            </w:pPr>
            <w:r w:rsidRPr="00000E24">
              <w:rPr>
                <w:rFonts w:eastAsia="Times New Roman" w:cs="Calibri"/>
                <w:color w:val="000000"/>
                <w:sz w:val="16"/>
                <w:szCs w:val="16"/>
                <w:lang w:val="en-GB" w:eastAsia="en-GB"/>
              </w:rPr>
              <w:t>0</w:t>
            </w:r>
          </w:p>
        </w:tc>
        <w:tc>
          <w:tcPr>
            <w:tcW w:w="1339" w:type="dxa"/>
            <w:tcBorders>
              <w:top w:val="nil"/>
              <w:left w:val="nil"/>
              <w:bottom w:val="single" w:sz="8" w:space="0" w:color="auto"/>
              <w:right w:val="nil"/>
            </w:tcBorders>
            <w:shd w:val="clear" w:color="auto" w:fill="auto"/>
            <w:vAlign w:val="center"/>
            <w:hideMark/>
          </w:tcPr>
          <w:p w14:paraId="11D7624F"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w:t>
            </w:r>
          </w:p>
        </w:tc>
      </w:tr>
      <w:tr w:rsidR="00666FF4" w:rsidRPr="00000E24" w14:paraId="499B34BC" w14:textId="77777777" w:rsidTr="0041394A">
        <w:trPr>
          <w:trHeight w:val="435"/>
        </w:trPr>
        <w:tc>
          <w:tcPr>
            <w:tcW w:w="2803" w:type="dxa"/>
            <w:tcBorders>
              <w:top w:val="nil"/>
              <w:left w:val="nil"/>
              <w:bottom w:val="single" w:sz="8" w:space="0" w:color="000000"/>
              <w:right w:val="nil"/>
            </w:tcBorders>
            <w:shd w:val="clear" w:color="auto" w:fill="auto"/>
            <w:vAlign w:val="center"/>
            <w:hideMark/>
          </w:tcPr>
          <w:p w14:paraId="39EA0FCA" w14:textId="77777777" w:rsidR="00000E24" w:rsidRPr="00000E24" w:rsidRDefault="00000E24" w:rsidP="00000E24">
            <w:pPr>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Increase or Decrease in 2020/21</w:t>
            </w:r>
          </w:p>
        </w:tc>
        <w:tc>
          <w:tcPr>
            <w:tcW w:w="1416" w:type="dxa"/>
            <w:tcBorders>
              <w:top w:val="nil"/>
              <w:left w:val="single" w:sz="8" w:space="0" w:color="000000"/>
              <w:bottom w:val="single" w:sz="8" w:space="0" w:color="000000"/>
              <w:right w:val="nil"/>
            </w:tcBorders>
            <w:shd w:val="clear" w:color="auto" w:fill="auto"/>
            <w:vAlign w:val="center"/>
            <w:hideMark/>
          </w:tcPr>
          <w:p w14:paraId="636C8927" w14:textId="414C5BBA" w:rsidR="00000E24" w:rsidRPr="00000E24" w:rsidRDefault="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w:t>
            </w:r>
            <w:r w:rsidR="00A85C83">
              <w:rPr>
                <w:rFonts w:eastAsia="Times New Roman" w:cs="Calibri"/>
                <w:b/>
                <w:bCs/>
                <w:color w:val="000000"/>
                <w:sz w:val="16"/>
                <w:szCs w:val="16"/>
                <w:lang w:val="en-GB" w:eastAsia="en-GB"/>
              </w:rPr>
              <w:t>207</w:t>
            </w:r>
            <w:r w:rsidRPr="00000E24">
              <w:rPr>
                <w:rFonts w:eastAsia="Times New Roman" w:cs="Calibri"/>
                <w:b/>
                <w:bCs/>
                <w:color w:val="000000"/>
                <w:sz w:val="16"/>
                <w:szCs w:val="16"/>
                <w:lang w:val="en-GB" w:eastAsia="en-GB"/>
              </w:rPr>
              <w:t>)</w:t>
            </w:r>
          </w:p>
        </w:tc>
        <w:tc>
          <w:tcPr>
            <w:tcW w:w="1193" w:type="dxa"/>
            <w:tcBorders>
              <w:top w:val="nil"/>
              <w:left w:val="nil"/>
              <w:bottom w:val="single" w:sz="8" w:space="0" w:color="000000"/>
              <w:right w:val="nil"/>
            </w:tcBorders>
            <w:shd w:val="clear" w:color="auto" w:fill="auto"/>
            <w:vAlign w:val="center"/>
            <w:hideMark/>
          </w:tcPr>
          <w:p w14:paraId="55D69607" w14:textId="0BF6678A" w:rsidR="00000E24" w:rsidRPr="00000E24" w:rsidRDefault="003C732D">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(5</w:t>
            </w:r>
            <w:r w:rsidR="00D87588">
              <w:rPr>
                <w:rFonts w:eastAsia="Times New Roman" w:cs="Calibri"/>
                <w:b/>
                <w:bCs/>
                <w:color w:val="000000"/>
                <w:sz w:val="16"/>
                <w:szCs w:val="16"/>
                <w:lang w:val="en-GB" w:eastAsia="en-GB"/>
              </w:rPr>
              <w:t>6</w:t>
            </w:r>
            <w:r>
              <w:rPr>
                <w:rFonts w:eastAsia="Times New Roman" w:cs="Calibri"/>
                <w:b/>
                <w:bCs/>
                <w:color w:val="000000"/>
                <w:sz w:val="16"/>
                <w:szCs w:val="16"/>
                <w:lang w:val="en-GB" w:eastAsia="en-GB"/>
              </w:rPr>
              <w:t>)</w:t>
            </w:r>
          </w:p>
        </w:tc>
        <w:tc>
          <w:tcPr>
            <w:tcW w:w="1530" w:type="dxa"/>
            <w:tcBorders>
              <w:top w:val="nil"/>
              <w:left w:val="nil"/>
              <w:bottom w:val="single" w:sz="8" w:space="0" w:color="000000"/>
              <w:right w:val="nil"/>
            </w:tcBorders>
            <w:shd w:val="clear" w:color="auto" w:fill="auto"/>
            <w:vAlign w:val="center"/>
            <w:hideMark/>
          </w:tcPr>
          <w:p w14:paraId="244663DC" w14:textId="3D3DE9DE" w:rsidR="00000E24" w:rsidRPr="00000E24" w:rsidRDefault="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w:t>
            </w:r>
            <w:r w:rsidR="00A85C83">
              <w:rPr>
                <w:rFonts w:eastAsia="Times New Roman" w:cs="Calibri"/>
                <w:b/>
                <w:bCs/>
                <w:color w:val="000000"/>
                <w:sz w:val="16"/>
                <w:szCs w:val="16"/>
                <w:lang w:val="en-GB" w:eastAsia="en-GB"/>
              </w:rPr>
              <w:t>263</w:t>
            </w:r>
            <w:r w:rsidRPr="00000E24">
              <w:rPr>
                <w:rFonts w:eastAsia="Times New Roman" w:cs="Calibri"/>
                <w:b/>
                <w:bCs/>
                <w:color w:val="000000"/>
                <w:sz w:val="16"/>
                <w:szCs w:val="16"/>
                <w:lang w:val="en-GB" w:eastAsia="en-GB"/>
              </w:rPr>
              <w:t>)</w:t>
            </w:r>
          </w:p>
        </w:tc>
        <w:tc>
          <w:tcPr>
            <w:tcW w:w="1399" w:type="dxa"/>
            <w:tcBorders>
              <w:top w:val="nil"/>
              <w:left w:val="nil"/>
              <w:bottom w:val="single" w:sz="8" w:space="0" w:color="000000"/>
              <w:right w:val="nil"/>
            </w:tcBorders>
            <w:shd w:val="clear" w:color="auto" w:fill="auto"/>
            <w:vAlign w:val="center"/>
            <w:hideMark/>
          </w:tcPr>
          <w:p w14:paraId="3B71B62E"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197</w:t>
            </w:r>
          </w:p>
        </w:tc>
        <w:tc>
          <w:tcPr>
            <w:tcW w:w="1244" w:type="dxa"/>
            <w:tcBorders>
              <w:top w:val="nil"/>
              <w:left w:val="nil"/>
              <w:bottom w:val="single" w:sz="8" w:space="0" w:color="000000"/>
              <w:right w:val="nil"/>
            </w:tcBorders>
            <w:shd w:val="clear" w:color="auto" w:fill="auto"/>
            <w:vAlign w:val="center"/>
            <w:hideMark/>
          </w:tcPr>
          <w:p w14:paraId="1466D296" w14:textId="0B41CC08"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1,</w:t>
            </w:r>
            <w:r w:rsidR="00666FF4">
              <w:rPr>
                <w:rFonts w:eastAsia="Times New Roman" w:cs="Calibri"/>
                <w:b/>
                <w:bCs/>
                <w:color w:val="000000"/>
                <w:sz w:val="16"/>
                <w:szCs w:val="16"/>
                <w:lang w:val="en-GB" w:eastAsia="en-GB"/>
              </w:rPr>
              <w:t>083</w:t>
            </w:r>
          </w:p>
        </w:tc>
        <w:tc>
          <w:tcPr>
            <w:tcW w:w="1297" w:type="dxa"/>
            <w:tcBorders>
              <w:top w:val="nil"/>
              <w:left w:val="single" w:sz="8" w:space="0" w:color="000000"/>
              <w:bottom w:val="single" w:sz="8" w:space="0" w:color="000000"/>
              <w:right w:val="single" w:sz="8" w:space="0" w:color="000000"/>
            </w:tcBorders>
            <w:shd w:val="clear" w:color="auto" w:fill="auto"/>
            <w:vAlign w:val="center"/>
            <w:hideMark/>
          </w:tcPr>
          <w:p w14:paraId="47A99018" w14:textId="20687A8E" w:rsidR="00000E24" w:rsidRPr="00000E24" w:rsidRDefault="00A85C83" w:rsidP="00000E24">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1,017</w:t>
            </w:r>
          </w:p>
        </w:tc>
        <w:tc>
          <w:tcPr>
            <w:tcW w:w="1418" w:type="dxa"/>
            <w:tcBorders>
              <w:top w:val="nil"/>
              <w:left w:val="nil"/>
              <w:bottom w:val="single" w:sz="8" w:space="0" w:color="000000"/>
              <w:right w:val="nil"/>
            </w:tcBorders>
            <w:shd w:val="clear" w:color="auto" w:fill="auto"/>
            <w:vAlign w:val="center"/>
            <w:hideMark/>
          </w:tcPr>
          <w:p w14:paraId="4F09CD1F" w14:textId="63326C3B"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w:t>
            </w:r>
            <w:r w:rsidR="00666FF4">
              <w:rPr>
                <w:rFonts w:eastAsia="Times New Roman" w:cs="Calibri"/>
                <w:b/>
                <w:bCs/>
                <w:color w:val="000000"/>
                <w:sz w:val="16"/>
                <w:szCs w:val="16"/>
                <w:lang w:val="en-GB" w:eastAsia="en-GB"/>
              </w:rPr>
              <w:t>1,621</w:t>
            </w:r>
            <w:r w:rsidRPr="00000E24">
              <w:rPr>
                <w:rFonts w:eastAsia="Times New Roman" w:cs="Calibri"/>
                <w:b/>
                <w:bCs/>
                <w:color w:val="000000"/>
                <w:sz w:val="16"/>
                <w:szCs w:val="16"/>
                <w:lang w:val="en-GB" w:eastAsia="en-GB"/>
              </w:rPr>
              <w:t>)</w:t>
            </w:r>
          </w:p>
        </w:tc>
        <w:tc>
          <w:tcPr>
            <w:tcW w:w="1339" w:type="dxa"/>
            <w:tcBorders>
              <w:top w:val="nil"/>
              <w:left w:val="single" w:sz="8" w:space="0" w:color="000000"/>
              <w:bottom w:val="single" w:sz="8" w:space="0" w:color="000000"/>
              <w:right w:val="nil"/>
            </w:tcBorders>
            <w:shd w:val="clear" w:color="auto" w:fill="auto"/>
            <w:vAlign w:val="center"/>
            <w:hideMark/>
          </w:tcPr>
          <w:p w14:paraId="460F0763" w14:textId="5C93F0F3" w:rsidR="00000E24" w:rsidRPr="00000E24" w:rsidRDefault="00A85C83" w:rsidP="00000E24">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2,638</w:t>
            </w:r>
          </w:p>
        </w:tc>
      </w:tr>
      <w:tr w:rsidR="00666FF4" w:rsidRPr="00000E24" w14:paraId="2B368993" w14:textId="77777777" w:rsidTr="0041394A">
        <w:trPr>
          <w:trHeight w:val="315"/>
        </w:trPr>
        <w:tc>
          <w:tcPr>
            <w:tcW w:w="2803" w:type="dxa"/>
            <w:tcBorders>
              <w:top w:val="nil"/>
              <w:left w:val="nil"/>
              <w:bottom w:val="single" w:sz="12" w:space="0" w:color="000000"/>
              <w:right w:val="nil"/>
            </w:tcBorders>
            <w:shd w:val="clear" w:color="auto" w:fill="auto"/>
            <w:vAlign w:val="center"/>
            <w:hideMark/>
          </w:tcPr>
          <w:p w14:paraId="6242ECFB" w14:textId="77777777" w:rsidR="00000E24" w:rsidRPr="00000E24" w:rsidRDefault="00000E24" w:rsidP="00000E24">
            <w:pPr>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Balance at 31 March 2021</w:t>
            </w:r>
          </w:p>
        </w:tc>
        <w:tc>
          <w:tcPr>
            <w:tcW w:w="1416" w:type="dxa"/>
            <w:tcBorders>
              <w:top w:val="nil"/>
              <w:left w:val="single" w:sz="8" w:space="0" w:color="000000"/>
              <w:bottom w:val="single" w:sz="12" w:space="0" w:color="000000"/>
              <w:right w:val="nil"/>
            </w:tcBorders>
            <w:shd w:val="clear" w:color="auto" w:fill="auto"/>
            <w:vAlign w:val="center"/>
            <w:hideMark/>
          </w:tcPr>
          <w:p w14:paraId="3C8A4D79" w14:textId="3A91C5E6" w:rsidR="00000E24" w:rsidRPr="00000E24" w:rsidRDefault="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w:t>
            </w:r>
            <w:r w:rsidR="00A85C83">
              <w:rPr>
                <w:rFonts w:eastAsia="Times New Roman" w:cs="Calibri"/>
                <w:b/>
                <w:bCs/>
                <w:color w:val="000000"/>
                <w:sz w:val="16"/>
                <w:szCs w:val="16"/>
                <w:lang w:val="en-GB" w:eastAsia="en-GB"/>
              </w:rPr>
              <w:t>8,327</w:t>
            </w:r>
            <w:r w:rsidRPr="00000E24">
              <w:rPr>
                <w:rFonts w:eastAsia="Times New Roman" w:cs="Calibri"/>
                <w:b/>
                <w:bCs/>
                <w:color w:val="000000"/>
                <w:sz w:val="16"/>
                <w:szCs w:val="16"/>
                <w:lang w:val="en-GB" w:eastAsia="en-GB"/>
              </w:rPr>
              <w:t>)</w:t>
            </w:r>
          </w:p>
        </w:tc>
        <w:tc>
          <w:tcPr>
            <w:tcW w:w="1193" w:type="dxa"/>
            <w:tcBorders>
              <w:top w:val="nil"/>
              <w:left w:val="nil"/>
              <w:bottom w:val="single" w:sz="12" w:space="0" w:color="000000"/>
              <w:right w:val="nil"/>
            </w:tcBorders>
            <w:shd w:val="clear" w:color="auto" w:fill="auto"/>
            <w:vAlign w:val="center"/>
            <w:hideMark/>
          </w:tcPr>
          <w:p w14:paraId="20CAF134" w14:textId="14516FBB" w:rsidR="00000E24" w:rsidRPr="00000E24" w:rsidRDefault="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w:t>
            </w:r>
            <w:r w:rsidR="003C732D">
              <w:rPr>
                <w:rFonts w:eastAsia="Times New Roman" w:cs="Calibri"/>
                <w:b/>
                <w:bCs/>
                <w:color w:val="000000"/>
                <w:sz w:val="16"/>
                <w:szCs w:val="16"/>
                <w:lang w:val="en-GB" w:eastAsia="en-GB"/>
              </w:rPr>
              <w:t>11,43</w:t>
            </w:r>
            <w:r w:rsidR="00D87588">
              <w:rPr>
                <w:rFonts w:eastAsia="Times New Roman" w:cs="Calibri"/>
                <w:b/>
                <w:bCs/>
                <w:color w:val="000000"/>
                <w:sz w:val="16"/>
                <w:szCs w:val="16"/>
                <w:lang w:val="en-GB" w:eastAsia="en-GB"/>
              </w:rPr>
              <w:t>7</w:t>
            </w:r>
            <w:r w:rsidRPr="00000E24">
              <w:rPr>
                <w:rFonts w:eastAsia="Times New Roman" w:cs="Calibri"/>
                <w:b/>
                <w:bCs/>
                <w:color w:val="000000"/>
                <w:sz w:val="16"/>
                <w:szCs w:val="16"/>
                <w:lang w:val="en-GB" w:eastAsia="en-GB"/>
              </w:rPr>
              <w:t>)</w:t>
            </w:r>
          </w:p>
        </w:tc>
        <w:tc>
          <w:tcPr>
            <w:tcW w:w="1530" w:type="dxa"/>
            <w:tcBorders>
              <w:top w:val="nil"/>
              <w:left w:val="nil"/>
              <w:bottom w:val="single" w:sz="12" w:space="0" w:color="000000"/>
              <w:right w:val="nil"/>
            </w:tcBorders>
            <w:shd w:val="clear" w:color="auto" w:fill="auto"/>
            <w:vAlign w:val="center"/>
            <w:hideMark/>
          </w:tcPr>
          <w:p w14:paraId="24940DFE" w14:textId="305BB8F5" w:rsidR="00000E24" w:rsidRPr="00000E24" w:rsidRDefault="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w:t>
            </w:r>
            <w:r w:rsidR="00A85C83">
              <w:rPr>
                <w:rFonts w:eastAsia="Times New Roman" w:cs="Calibri"/>
                <w:b/>
                <w:bCs/>
                <w:color w:val="000000"/>
                <w:sz w:val="16"/>
                <w:szCs w:val="16"/>
                <w:lang w:val="en-GB" w:eastAsia="en-GB"/>
              </w:rPr>
              <w:t>19,764</w:t>
            </w:r>
            <w:r w:rsidRPr="00000E24">
              <w:rPr>
                <w:rFonts w:eastAsia="Times New Roman" w:cs="Calibri"/>
                <w:b/>
                <w:bCs/>
                <w:color w:val="000000"/>
                <w:sz w:val="16"/>
                <w:szCs w:val="16"/>
                <w:lang w:val="en-GB" w:eastAsia="en-GB"/>
              </w:rPr>
              <w:t>)</w:t>
            </w:r>
          </w:p>
        </w:tc>
        <w:tc>
          <w:tcPr>
            <w:tcW w:w="1399" w:type="dxa"/>
            <w:tcBorders>
              <w:top w:val="nil"/>
              <w:left w:val="nil"/>
              <w:bottom w:val="single" w:sz="12" w:space="0" w:color="000000"/>
              <w:right w:val="nil"/>
            </w:tcBorders>
            <w:shd w:val="clear" w:color="auto" w:fill="auto"/>
            <w:vAlign w:val="center"/>
            <w:hideMark/>
          </w:tcPr>
          <w:p w14:paraId="5EE9824B" w14:textId="77777777"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0</w:t>
            </w:r>
          </w:p>
        </w:tc>
        <w:tc>
          <w:tcPr>
            <w:tcW w:w="1244" w:type="dxa"/>
            <w:tcBorders>
              <w:top w:val="nil"/>
              <w:left w:val="nil"/>
              <w:bottom w:val="single" w:sz="12" w:space="0" w:color="000000"/>
              <w:right w:val="nil"/>
            </w:tcBorders>
            <w:shd w:val="clear" w:color="auto" w:fill="auto"/>
            <w:vAlign w:val="center"/>
            <w:hideMark/>
          </w:tcPr>
          <w:p w14:paraId="3F3859DA" w14:textId="49D34AB9"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(1,</w:t>
            </w:r>
            <w:r w:rsidR="00666FF4">
              <w:rPr>
                <w:rFonts w:eastAsia="Times New Roman" w:cs="Calibri"/>
                <w:b/>
                <w:bCs/>
                <w:color w:val="000000"/>
                <w:sz w:val="16"/>
                <w:szCs w:val="16"/>
                <w:lang w:val="en-GB" w:eastAsia="en-GB"/>
              </w:rPr>
              <w:t>863</w:t>
            </w:r>
            <w:r w:rsidRPr="00000E24">
              <w:rPr>
                <w:rFonts w:eastAsia="Times New Roman" w:cs="Calibri"/>
                <w:b/>
                <w:bCs/>
                <w:color w:val="000000"/>
                <w:sz w:val="16"/>
                <w:szCs w:val="16"/>
                <w:lang w:val="en-GB" w:eastAsia="en-GB"/>
              </w:rPr>
              <w:t>)</w:t>
            </w:r>
          </w:p>
        </w:tc>
        <w:tc>
          <w:tcPr>
            <w:tcW w:w="1297" w:type="dxa"/>
            <w:tcBorders>
              <w:top w:val="nil"/>
              <w:left w:val="single" w:sz="8" w:space="0" w:color="000000"/>
              <w:bottom w:val="single" w:sz="12" w:space="0" w:color="000000"/>
              <w:right w:val="single" w:sz="8" w:space="0" w:color="000000"/>
            </w:tcBorders>
            <w:shd w:val="clear" w:color="auto" w:fill="auto"/>
            <w:vAlign w:val="center"/>
            <w:hideMark/>
          </w:tcPr>
          <w:p w14:paraId="6FDBDB88" w14:textId="27CF0E6C" w:rsidR="00000E24" w:rsidRPr="00000E24" w:rsidRDefault="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w:t>
            </w:r>
            <w:r w:rsidR="00A85C83">
              <w:rPr>
                <w:rFonts w:eastAsia="Times New Roman" w:cs="Calibri"/>
                <w:b/>
                <w:bCs/>
                <w:color w:val="000000"/>
                <w:sz w:val="16"/>
                <w:szCs w:val="16"/>
                <w:lang w:val="en-GB" w:eastAsia="en-GB"/>
              </w:rPr>
              <w:t>21,627</w:t>
            </w:r>
            <w:r w:rsidRPr="00000E24">
              <w:rPr>
                <w:rFonts w:eastAsia="Times New Roman" w:cs="Calibri"/>
                <w:b/>
                <w:bCs/>
                <w:color w:val="000000"/>
                <w:sz w:val="16"/>
                <w:szCs w:val="16"/>
                <w:lang w:val="en-GB" w:eastAsia="en-GB"/>
              </w:rPr>
              <w:t>)</w:t>
            </w:r>
          </w:p>
        </w:tc>
        <w:tc>
          <w:tcPr>
            <w:tcW w:w="1418" w:type="dxa"/>
            <w:tcBorders>
              <w:top w:val="nil"/>
              <w:left w:val="nil"/>
              <w:bottom w:val="single" w:sz="12" w:space="0" w:color="000000"/>
              <w:right w:val="nil"/>
            </w:tcBorders>
            <w:shd w:val="clear" w:color="auto" w:fill="auto"/>
            <w:vAlign w:val="center"/>
            <w:hideMark/>
          </w:tcPr>
          <w:p w14:paraId="6081DA5A" w14:textId="4D69164E" w:rsidR="00000E24" w:rsidRPr="00000E24" w:rsidRDefault="00000E24" w:rsidP="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(10</w:t>
            </w:r>
            <w:r w:rsidR="00666FF4">
              <w:rPr>
                <w:rFonts w:eastAsia="Times New Roman" w:cs="Calibri"/>
                <w:b/>
                <w:bCs/>
                <w:color w:val="000000"/>
                <w:sz w:val="16"/>
                <w:szCs w:val="16"/>
                <w:lang w:val="en-GB" w:eastAsia="en-GB"/>
              </w:rPr>
              <w:t>6,555</w:t>
            </w:r>
            <w:r w:rsidRPr="00000E24">
              <w:rPr>
                <w:rFonts w:eastAsia="Times New Roman" w:cs="Calibri"/>
                <w:b/>
                <w:bCs/>
                <w:color w:val="000000"/>
                <w:sz w:val="16"/>
                <w:szCs w:val="16"/>
                <w:lang w:val="en-GB" w:eastAsia="en-GB"/>
              </w:rPr>
              <w:t>)</w:t>
            </w:r>
          </w:p>
        </w:tc>
        <w:tc>
          <w:tcPr>
            <w:tcW w:w="1339" w:type="dxa"/>
            <w:tcBorders>
              <w:top w:val="nil"/>
              <w:left w:val="single" w:sz="8" w:space="0" w:color="000000"/>
              <w:bottom w:val="single" w:sz="12" w:space="0" w:color="000000"/>
              <w:right w:val="nil"/>
            </w:tcBorders>
            <w:shd w:val="clear" w:color="auto" w:fill="auto"/>
            <w:vAlign w:val="center"/>
            <w:hideMark/>
          </w:tcPr>
          <w:p w14:paraId="70A2A8E7" w14:textId="784A073F" w:rsidR="00000E24" w:rsidRPr="00000E24" w:rsidRDefault="00000E24">
            <w:pPr>
              <w:jc w:val="right"/>
              <w:rPr>
                <w:rFonts w:eastAsia="Times New Roman" w:cs="Calibri"/>
                <w:b/>
                <w:bCs/>
                <w:color w:val="000000"/>
                <w:sz w:val="16"/>
                <w:szCs w:val="16"/>
                <w:lang w:val="en-GB" w:eastAsia="en-GB"/>
              </w:rPr>
            </w:pPr>
            <w:r w:rsidRPr="00000E24">
              <w:rPr>
                <w:rFonts w:eastAsia="Times New Roman" w:cs="Calibri"/>
                <w:b/>
                <w:bCs/>
                <w:color w:val="000000"/>
                <w:sz w:val="16"/>
                <w:szCs w:val="16"/>
                <w:lang w:val="en-GB" w:eastAsia="en-GB"/>
              </w:rPr>
              <w:t>(</w:t>
            </w:r>
            <w:r w:rsidR="00A85C83">
              <w:rPr>
                <w:rFonts w:eastAsia="Times New Roman" w:cs="Calibri"/>
                <w:b/>
                <w:bCs/>
                <w:color w:val="000000"/>
                <w:sz w:val="16"/>
                <w:szCs w:val="16"/>
                <w:lang w:val="en-GB" w:eastAsia="en-GB"/>
              </w:rPr>
              <w:t>128,182</w:t>
            </w:r>
            <w:r w:rsidRPr="00000E24">
              <w:rPr>
                <w:rFonts w:eastAsia="Times New Roman" w:cs="Calibri"/>
                <w:b/>
                <w:bCs/>
                <w:color w:val="000000"/>
                <w:sz w:val="16"/>
                <w:szCs w:val="16"/>
                <w:lang w:val="en-GB" w:eastAsia="en-GB"/>
              </w:rPr>
              <w:t>)</w:t>
            </w:r>
          </w:p>
        </w:tc>
      </w:tr>
    </w:tbl>
    <w:p w14:paraId="6648965B" w14:textId="77777777" w:rsidR="00037881" w:rsidRDefault="00037881">
      <w:pPr>
        <w:pStyle w:val="Normal0"/>
        <w:spacing w:after="160" w:line="259" w:lineRule="auto"/>
        <w:rPr>
          <w:rFonts w:ascii="Verdana" w:eastAsia="Verdana" w:hAnsi="Verdana" w:cs="Verdana"/>
          <w:b/>
          <w:szCs w:val="22"/>
          <w:lang w:val="en-GB"/>
        </w:rPr>
      </w:pPr>
    </w:p>
    <w:p w14:paraId="09BD059E" w14:textId="77777777" w:rsidR="00037881" w:rsidRDefault="00037881">
      <w:pPr>
        <w:pStyle w:val="Normal0"/>
        <w:spacing w:after="160" w:line="259" w:lineRule="auto"/>
        <w:rPr>
          <w:rFonts w:ascii="Verdana" w:eastAsia="Verdana" w:hAnsi="Verdana" w:cs="Verdana"/>
          <w:b/>
          <w:szCs w:val="22"/>
          <w:lang w:val="en-GB"/>
        </w:rPr>
      </w:pPr>
    </w:p>
    <w:p w14:paraId="338D28BC" w14:textId="77777777" w:rsidR="00DF2050" w:rsidRPr="00037881" w:rsidRDefault="00DF2050">
      <w:pPr>
        <w:pStyle w:val="Normal0"/>
        <w:spacing w:after="160" w:line="259" w:lineRule="auto"/>
        <w:rPr>
          <w:rFonts w:ascii="Verdana" w:eastAsia="Verdana" w:hAnsi="Verdana" w:cs="Verdana"/>
          <w:b/>
          <w:szCs w:val="22"/>
          <w:lang w:val="en-GB"/>
        </w:rPr>
      </w:pPr>
      <w:r w:rsidRPr="00037881">
        <w:rPr>
          <w:rFonts w:ascii="Verdana" w:eastAsia="Verdana" w:hAnsi="Verdana" w:cs="Verdana"/>
          <w:b/>
          <w:szCs w:val="22"/>
          <w:lang w:val="en-GB"/>
        </w:rPr>
        <w:tab/>
      </w:r>
      <w:r w:rsidRPr="00037881">
        <w:rPr>
          <w:rFonts w:ascii="Verdana" w:eastAsia="Verdana" w:hAnsi="Verdana" w:cs="Verdana"/>
          <w:b/>
          <w:szCs w:val="22"/>
          <w:lang w:val="en-GB"/>
        </w:rPr>
        <w:tab/>
      </w:r>
      <w:r w:rsidRPr="00037881">
        <w:rPr>
          <w:rFonts w:ascii="Verdana" w:eastAsia="Verdana" w:hAnsi="Verdana" w:cs="Verdana"/>
          <w:b/>
          <w:szCs w:val="22"/>
          <w:lang w:val="en-GB"/>
        </w:rPr>
        <w:tab/>
      </w:r>
    </w:p>
    <w:p w14:paraId="49607FD3" w14:textId="77777777" w:rsidR="00CA6653" w:rsidRPr="003516A4" w:rsidRDefault="00CA6653">
      <w:pPr>
        <w:pStyle w:val="T1TableStyle"/>
        <w:rPr>
          <w:highlight w:val="yellow"/>
          <w:lang w:val="en-GB"/>
        </w:rPr>
      </w:pPr>
    </w:p>
    <w:p w14:paraId="16149F17" w14:textId="77777777" w:rsidR="00CA6653" w:rsidRPr="003516A4" w:rsidRDefault="00CA6653">
      <w:pPr>
        <w:pStyle w:val="Normal0"/>
        <w:spacing w:after="160" w:line="259" w:lineRule="auto"/>
        <w:rPr>
          <w:rFonts w:ascii="Verdana" w:eastAsia="Verdana" w:hAnsi="Verdana" w:cs="Verdana"/>
          <w:b/>
          <w:szCs w:val="22"/>
          <w:highlight w:val="yellow"/>
          <w:lang w:val="en-GB"/>
        </w:rPr>
      </w:pPr>
    </w:p>
    <w:tbl>
      <w:tblPr>
        <w:tblW w:w="0" w:type="auto"/>
        <w:jc w:val="center"/>
        <w:tblLayout w:type="fixed"/>
        <w:tblLook w:val="04A0" w:firstRow="1" w:lastRow="0" w:firstColumn="1" w:lastColumn="0" w:noHBand="0" w:noVBand="1"/>
      </w:tblPr>
      <w:tblGrid>
        <w:gridCol w:w="2835"/>
        <w:gridCol w:w="1230"/>
        <w:gridCol w:w="1125"/>
        <w:gridCol w:w="1335"/>
        <w:gridCol w:w="1080"/>
        <w:gridCol w:w="1080"/>
        <w:gridCol w:w="1230"/>
        <w:gridCol w:w="1335"/>
        <w:gridCol w:w="1335"/>
      </w:tblGrid>
      <w:tr w:rsidR="004D417B" w:rsidRPr="00491875" w14:paraId="39205BD0" w14:textId="77777777" w:rsidTr="00F363FD">
        <w:trPr>
          <w:trHeight w:val="1290"/>
          <w:jc w:val="center"/>
        </w:trPr>
        <w:tc>
          <w:tcPr>
            <w:tcW w:w="2835" w:type="dxa"/>
            <w:shd w:val="clear" w:color="auto" w:fill="auto"/>
            <w:tcMar>
              <w:top w:w="20" w:type="dxa"/>
              <w:left w:w="20" w:type="dxa"/>
              <w:bottom w:w="20" w:type="dxa"/>
              <w:right w:w="20" w:type="dxa"/>
            </w:tcMar>
          </w:tcPr>
          <w:p w14:paraId="3027FC3D" w14:textId="38E570B5" w:rsidR="00CA6653" w:rsidRPr="00491875" w:rsidRDefault="00CA6653">
            <w:pPr>
              <w:pStyle w:val="T1TableStyle"/>
              <w:jc w:val="center"/>
              <w:rPr>
                <w:rFonts w:ascii="Verdana" w:eastAsia="Verdana" w:hAnsi="Verdana" w:cs="Verdana"/>
                <w:b/>
                <w:color w:val="000000"/>
                <w:sz w:val="2"/>
                <w:lang w:val="en-GB"/>
              </w:rPr>
            </w:pPr>
            <w:r w:rsidRPr="00491875">
              <w:rPr>
                <w:rFonts w:ascii="Verdana" w:eastAsia="Verdana" w:hAnsi="Verdana" w:cs="Verdana"/>
                <w:b/>
                <w:color w:val="000000"/>
                <w:sz w:val="2"/>
                <w:lang w:val="en-GB"/>
              </w:rPr>
              <w:t xml:space="preserve"> </w:t>
            </w:r>
            <w:r w:rsidR="005503D2">
              <w:rPr>
                <w:rFonts w:ascii="Verdana" w:eastAsia="Verdana" w:hAnsi="Verdana" w:cs="Verdana"/>
                <w:b/>
                <w:color w:val="000000"/>
                <w:sz w:val="2"/>
                <w:lang w:val="en-GB"/>
              </w:rPr>
              <w:t>PCC</w:t>
            </w:r>
          </w:p>
        </w:tc>
        <w:tc>
          <w:tcPr>
            <w:tcW w:w="1230" w:type="dxa"/>
            <w:shd w:val="clear" w:color="auto" w:fill="auto"/>
            <w:tcMar>
              <w:top w:w="20" w:type="dxa"/>
              <w:left w:w="20" w:type="dxa"/>
              <w:bottom w:w="20" w:type="dxa"/>
              <w:right w:w="20" w:type="dxa"/>
            </w:tcMar>
            <w:vAlign w:val="bottom"/>
          </w:tcPr>
          <w:p w14:paraId="0904838F" w14:textId="77777777" w:rsidR="00CA6653" w:rsidRPr="00491875" w:rsidRDefault="00CA6653">
            <w:pPr>
              <w:pStyle w:val="T1TableStyle"/>
              <w:jc w:val="center"/>
              <w:rPr>
                <w:rFonts w:ascii="Verdana" w:eastAsia="Verdana" w:hAnsi="Verdana" w:cs="Verdana"/>
                <w:b/>
                <w:color w:val="000000"/>
                <w:sz w:val="16"/>
                <w:lang w:val="en-GB"/>
              </w:rPr>
            </w:pPr>
            <w:r w:rsidRPr="00491875">
              <w:rPr>
                <w:rFonts w:ascii="Verdana" w:eastAsia="Verdana" w:hAnsi="Verdana" w:cs="Verdana"/>
                <w:b/>
                <w:color w:val="000000"/>
                <w:sz w:val="16"/>
                <w:lang w:val="en-GB"/>
              </w:rPr>
              <w:t>General Fund Balance</w:t>
            </w:r>
          </w:p>
        </w:tc>
        <w:tc>
          <w:tcPr>
            <w:tcW w:w="1125" w:type="dxa"/>
            <w:shd w:val="clear" w:color="auto" w:fill="auto"/>
            <w:tcMar>
              <w:top w:w="20" w:type="dxa"/>
              <w:left w:w="20" w:type="dxa"/>
              <w:bottom w:w="20" w:type="dxa"/>
              <w:right w:w="20" w:type="dxa"/>
            </w:tcMar>
            <w:vAlign w:val="bottom"/>
          </w:tcPr>
          <w:p w14:paraId="0D37BECC" w14:textId="77777777" w:rsidR="00CA6653" w:rsidRPr="00491875" w:rsidRDefault="00CA6653">
            <w:pPr>
              <w:pStyle w:val="T1TableStyle"/>
              <w:jc w:val="center"/>
              <w:rPr>
                <w:rFonts w:ascii="Verdana" w:eastAsia="Verdana" w:hAnsi="Verdana" w:cs="Verdana"/>
                <w:b/>
                <w:color w:val="000000"/>
                <w:sz w:val="16"/>
                <w:lang w:val="en-GB"/>
              </w:rPr>
            </w:pPr>
            <w:r w:rsidRPr="00491875">
              <w:rPr>
                <w:rFonts w:ascii="Verdana" w:eastAsia="Verdana" w:hAnsi="Verdana" w:cs="Verdana"/>
                <w:b/>
                <w:color w:val="000000"/>
                <w:sz w:val="16"/>
                <w:lang w:val="en-GB"/>
              </w:rPr>
              <w:t>Earmarked General Fund Reserves</w:t>
            </w:r>
          </w:p>
        </w:tc>
        <w:tc>
          <w:tcPr>
            <w:tcW w:w="1335" w:type="dxa"/>
            <w:shd w:val="clear" w:color="auto" w:fill="auto"/>
            <w:tcMar>
              <w:top w:w="20" w:type="dxa"/>
              <w:left w:w="20" w:type="dxa"/>
              <w:bottom w:w="20" w:type="dxa"/>
              <w:right w:w="20" w:type="dxa"/>
            </w:tcMar>
            <w:vAlign w:val="bottom"/>
          </w:tcPr>
          <w:p w14:paraId="2E9F5447" w14:textId="77777777" w:rsidR="00CA6653" w:rsidRPr="00491875" w:rsidRDefault="00CA6653">
            <w:pPr>
              <w:pStyle w:val="T1TableStyle"/>
              <w:jc w:val="center"/>
              <w:rPr>
                <w:rFonts w:ascii="Verdana" w:eastAsia="Verdana" w:hAnsi="Verdana" w:cs="Verdana"/>
                <w:b/>
                <w:color w:val="000000"/>
                <w:sz w:val="16"/>
                <w:lang w:val="en-GB"/>
              </w:rPr>
            </w:pPr>
            <w:r w:rsidRPr="00491875">
              <w:rPr>
                <w:rFonts w:ascii="Verdana" w:eastAsia="Verdana" w:hAnsi="Verdana" w:cs="Verdana"/>
                <w:b/>
                <w:color w:val="000000"/>
                <w:sz w:val="16"/>
                <w:lang w:val="en-GB"/>
              </w:rPr>
              <w:t>Total General Fund Balance</w:t>
            </w:r>
          </w:p>
        </w:tc>
        <w:tc>
          <w:tcPr>
            <w:tcW w:w="1080" w:type="dxa"/>
            <w:shd w:val="clear" w:color="auto" w:fill="auto"/>
            <w:tcMar>
              <w:top w:w="20" w:type="dxa"/>
              <w:left w:w="20" w:type="dxa"/>
              <w:bottom w:w="20" w:type="dxa"/>
              <w:right w:w="20" w:type="dxa"/>
            </w:tcMar>
            <w:vAlign w:val="bottom"/>
          </w:tcPr>
          <w:p w14:paraId="3170FC2A" w14:textId="77777777" w:rsidR="00CA6653" w:rsidRPr="00491875" w:rsidRDefault="00CA6653">
            <w:pPr>
              <w:pStyle w:val="T1TableStyle"/>
              <w:jc w:val="center"/>
              <w:rPr>
                <w:rFonts w:ascii="Verdana" w:eastAsia="Verdana" w:hAnsi="Verdana" w:cs="Verdana"/>
                <w:b/>
                <w:color w:val="000000"/>
                <w:sz w:val="16"/>
                <w:lang w:val="en-GB"/>
              </w:rPr>
            </w:pPr>
            <w:r w:rsidRPr="00491875">
              <w:rPr>
                <w:rFonts w:ascii="Verdana" w:eastAsia="Verdana" w:hAnsi="Verdana" w:cs="Verdana"/>
                <w:b/>
                <w:color w:val="000000"/>
                <w:sz w:val="16"/>
                <w:lang w:val="en-GB"/>
              </w:rPr>
              <w:t>Capital Receipts Reserve</w:t>
            </w:r>
          </w:p>
        </w:tc>
        <w:tc>
          <w:tcPr>
            <w:tcW w:w="1080" w:type="dxa"/>
            <w:shd w:val="clear" w:color="auto" w:fill="auto"/>
            <w:tcMar>
              <w:top w:w="20" w:type="dxa"/>
              <w:left w:w="20" w:type="dxa"/>
              <w:bottom w:w="20" w:type="dxa"/>
              <w:right w:w="20" w:type="dxa"/>
            </w:tcMar>
            <w:vAlign w:val="bottom"/>
          </w:tcPr>
          <w:p w14:paraId="56869EF7" w14:textId="77777777" w:rsidR="00CA6653" w:rsidRPr="00491875" w:rsidRDefault="00CA6653">
            <w:pPr>
              <w:pStyle w:val="T1TableStyle"/>
              <w:jc w:val="center"/>
              <w:rPr>
                <w:rFonts w:ascii="Verdana" w:eastAsia="Verdana" w:hAnsi="Verdana" w:cs="Verdana"/>
                <w:b/>
                <w:color w:val="000000"/>
                <w:sz w:val="16"/>
                <w:lang w:val="en-GB"/>
              </w:rPr>
            </w:pPr>
            <w:r w:rsidRPr="00491875">
              <w:rPr>
                <w:rFonts w:ascii="Verdana" w:eastAsia="Verdana" w:hAnsi="Verdana" w:cs="Verdana"/>
                <w:b/>
                <w:color w:val="000000"/>
                <w:sz w:val="16"/>
                <w:lang w:val="en-GB"/>
              </w:rPr>
              <w:t>Capital Grants Un-applied Account</w:t>
            </w:r>
          </w:p>
        </w:tc>
        <w:tc>
          <w:tcPr>
            <w:tcW w:w="1230" w:type="dxa"/>
            <w:shd w:val="clear" w:color="auto" w:fill="auto"/>
            <w:tcMar>
              <w:top w:w="20" w:type="dxa"/>
              <w:left w:w="20" w:type="dxa"/>
              <w:bottom w:w="20" w:type="dxa"/>
              <w:right w:w="20" w:type="dxa"/>
            </w:tcMar>
            <w:vAlign w:val="bottom"/>
          </w:tcPr>
          <w:p w14:paraId="058D3D0E" w14:textId="77777777" w:rsidR="00CA6653" w:rsidRPr="00491875" w:rsidRDefault="00CA6653">
            <w:pPr>
              <w:pStyle w:val="T1TableStyle"/>
              <w:jc w:val="center"/>
              <w:rPr>
                <w:rFonts w:ascii="Verdana" w:eastAsia="Verdana" w:hAnsi="Verdana" w:cs="Verdana"/>
                <w:b/>
                <w:color w:val="000000"/>
                <w:sz w:val="16"/>
                <w:lang w:val="en-GB"/>
              </w:rPr>
            </w:pPr>
            <w:r w:rsidRPr="00491875">
              <w:rPr>
                <w:rFonts w:ascii="Verdana" w:eastAsia="Verdana" w:hAnsi="Verdana" w:cs="Verdana"/>
                <w:b/>
                <w:color w:val="000000"/>
                <w:sz w:val="16"/>
                <w:lang w:val="en-GB"/>
              </w:rPr>
              <w:t>Total Usable Reserves</w:t>
            </w:r>
          </w:p>
        </w:tc>
        <w:tc>
          <w:tcPr>
            <w:tcW w:w="1335" w:type="dxa"/>
            <w:shd w:val="clear" w:color="auto" w:fill="auto"/>
            <w:tcMar>
              <w:top w:w="20" w:type="dxa"/>
              <w:left w:w="20" w:type="dxa"/>
              <w:bottom w:w="20" w:type="dxa"/>
              <w:right w:w="20" w:type="dxa"/>
            </w:tcMar>
            <w:vAlign w:val="bottom"/>
          </w:tcPr>
          <w:p w14:paraId="166BF4F7" w14:textId="77777777" w:rsidR="00CA6653" w:rsidRPr="00491875" w:rsidRDefault="00CA6653">
            <w:pPr>
              <w:pStyle w:val="T1TableStyle"/>
              <w:jc w:val="center"/>
              <w:rPr>
                <w:rFonts w:ascii="Verdana" w:eastAsia="Verdana" w:hAnsi="Verdana" w:cs="Verdana"/>
                <w:b/>
                <w:color w:val="000000"/>
                <w:sz w:val="16"/>
                <w:lang w:val="en-GB"/>
              </w:rPr>
            </w:pPr>
            <w:r w:rsidRPr="00491875">
              <w:rPr>
                <w:rFonts w:ascii="Verdana" w:eastAsia="Verdana" w:hAnsi="Verdana" w:cs="Verdana"/>
                <w:b/>
                <w:color w:val="000000"/>
                <w:sz w:val="16"/>
                <w:lang w:val="en-GB"/>
              </w:rPr>
              <w:t>Unusable Reserves</w:t>
            </w:r>
          </w:p>
        </w:tc>
        <w:tc>
          <w:tcPr>
            <w:tcW w:w="1335" w:type="dxa"/>
            <w:shd w:val="clear" w:color="auto" w:fill="auto"/>
            <w:tcMar>
              <w:top w:w="20" w:type="dxa"/>
              <w:left w:w="20" w:type="dxa"/>
              <w:bottom w:w="20" w:type="dxa"/>
              <w:right w:w="20" w:type="dxa"/>
            </w:tcMar>
            <w:vAlign w:val="bottom"/>
          </w:tcPr>
          <w:p w14:paraId="46A16805" w14:textId="77777777" w:rsidR="00CA6653" w:rsidRPr="00491875" w:rsidRDefault="00CA6653">
            <w:pPr>
              <w:pStyle w:val="T1TableStyle"/>
              <w:jc w:val="center"/>
              <w:rPr>
                <w:rFonts w:ascii="Verdana" w:eastAsia="Verdana" w:hAnsi="Verdana" w:cs="Verdana"/>
                <w:b/>
                <w:color w:val="000000"/>
                <w:sz w:val="16"/>
                <w:lang w:val="en-GB"/>
              </w:rPr>
            </w:pPr>
            <w:r w:rsidRPr="00491875">
              <w:rPr>
                <w:rFonts w:ascii="Verdana" w:eastAsia="Verdana" w:hAnsi="Verdana" w:cs="Verdana"/>
                <w:b/>
                <w:color w:val="000000"/>
                <w:sz w:val="16"/>
                <w:lang w:val="en-GB"/>
              </w:rPr>
              <w:t>Total Reserves</w:t>
            </w:r>
          </w:p>
        </w:tc>
      </w:tr>
      <w:tr w:rsidR="004D417B" w:rsidRPr="00491875" w14:paraId="48F2A06A" w14:textId="77777777" w:rsidTr="00F363FD">
        <w:trPr>
          <w:trHeight w:val="300"/>
          <w:jc w:val="center"/>
        </w:trPr>
        <w:tc>
          <w:tcPr>
            <w:tcW w:w="2835" w:type="dxa"/>
            <w:tcBorders>
              <w:bottom w:val="single" w:sz="2" w:space="0" w:color="000000"/>
            </w:tcBorders>
            <w:shd w:val="clear" w:color="auto" w:fill="auto"/>
            <w:tcMar>
              <w:top w:w="20" w:type="dxa"/>
              <w:left w:w="20" w:type="dxa"/>
              <w:bottom w:w="20" w:type="dxa"/>
              <w:right w:w="20" w:type="dxa"/>
            </w:tcMar>
          </w:tcPr>
          <w:p w14:paraId="296F05CB" w14:textId="77777777" w:rsidR="00CA6653" w:rsidRPr="00491875" w:rsidRDefault="00CA6653">
            <w:pPr>
              <w:pStyle w:val="T1TableStyle"/>
              <w:jc w:val="center"/>
              <w:rPr>
                <w:rFonts w:ascii="Verdana" w:eastAsia="Verdana" w:hAnsi="Verdana" w:cs="Verdana"/>
                <w:b/>
                <w:color w:val="000000"/>
                <w:sz w:val="2"/>
                <w:lang w:val="en-GB"/>
              </w:rPr>
            </w:pPr>
            <w:r w:rsidRPr="00491875">
              <w:rPr>
                <w:rFonts w:ascii="Verdana" w:eastAsia="Verdana" w:hAnsi="Verdana" w:cs="Verdana"/>
                <w:b/>
                <w:color w:val="000000"/>
                <w:sz w:val="2"/>
                <w:lang w:val="en-GB"/>
              </w:rPr>
              <w:t xml:space="preserve"> </w:t>
            </w:r>
          </w:p>
        </w:tc>
        <w:tc>
          <w:tcPr>
            <w:tcW w:w="1230" w:type="dxa"/>
            <w:tcBorders>
              <w:bottom w:val="single" w:sz="2" w:space="0" w:color="000000"/>
            </w:tcBorders>
            <w:shd w:val="clear" w:color="auto" w:fill="auto"/>
            <w:tcMar>
              <w:top w:w="20" w:type="dxa"/>
              <w:left w:w="20" w:type="dxa"/>
              <w:bottom w:w="20" w:type="dxa"/>
              <w:right w:w="20" w:type="dxa"/>
            </w:tcMar>
          </w:tcPr>
          <w:p w14:paraId="233DFE4F" w14:textId="77777777" w:rsidR="00CA6653" w:rsidRPr="00491875" w:rsidRDefault="00CA6653">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£000</w:t>
            </w:r>
          </w:p>
        </w:tc>
        <w:tc>
          <w:tcPr>
            <w:tcW w:w="1125" w:type="dxa"/>
            <w:tcBorders>
              <w:bottom w:val="single" w:sz="2" w:space="0" w:color="000000"/>
            </w:tcBorders>
            <w:shd w:val="clear" w:color="auto" w:fill="auto"/>
            <w:tcMar>
              <w:top w:w="20" w:type="dxa"/>
              <w:left w:w="20" w:type="dxa"/>
              <w:bottom w:w="20" w:type="dxa"/>
              <w:right w:w="20" w:type="dxa"/>
            </w:tcMar>
          </w:tcPr>
          <w:p w14:paraId="1C51F411" w14:textId="77777777" w:rsidR="00CA6653" w:rsidRPr="00491875" w:rsidRDefault="00CA6653">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tcPr>
          <w:p w14:paraId="0F0D0213" w14:textId="77777777" w:rsidR="00CA6653" w:rsidRPr="00491875" w:rsidRDefault="00CA6653">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£000</w:t>
            </w:r>
          </w:p>
        </w:tc>
        <w:tc>
          <w:tcPr>
            <w:tcW w:w="1080" w:type="dxa"/>
            <w:tcBorders>
              <w:bottom w:val="single" w:sz="2" w:space="0" w:color="000000"/>
            </w:tcBorders>
            <w:shd w:val="clear" w:color="auto" w:fill="auto"/>
            <w:tcMar>
              <w:top w:w="20" w:type="dxa"/>
              <w:left w:w="20" w:type="dxa"/>
              <w:bottom w:w="20" w:type="dxa"/>
              <w:right w:w="20" w:type="dxa"/>
            </w:tcMar>
          </w:tcPr>
          <w:p w14:paraId="01155AD6" w14:textId="77777777" w:rsidR="00CA6653" w:rsidRPr="00491875" w:rsidRDefault="00CA6653">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£000</w:t>
            </w:r>
          </w:p>
        </w:tc>
        <w:tc>
          <w:tcPr>
            <w:tcW w:w="1080" w:type="dxa"/>
            <w:tcBorders>
              <w:bottom w:val="single" w:sz="2" w:space="0" w:color="000000"/>
            </w:tcBorders>
            <w:shd w:val="clear" w:color="auto" w:fill="auto"/>
            <w:tcMar>
              <w:top w:w="20" w:type="dxa"/>
              <w:left w:w="20" w:type="dxa"/>
              <w:bottom w:w="20" w:type="dxa"/>
              <w:right w:w="20" w:type="dxa"/>
            </w:tcMar>
          </w:tcPr>
          <w:p w14:paraId="2B4A859B" w14:textId="77777777" w:rsidR="00CA6653" w:rsidRPr="00491875" w:rsidRDefault="00CA6653">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£000</w:t>
            </w:r>
          </w:p>
        </w:tc>
        <w:tc>
          <w:tcPr>
            <w:tcW w:w="1230" w:type="dxa"/>
            <w:tcBorders>
              <w:bottom w:val="single" w:sz="2" w:space="0" w:color="000000"/>
            </w:tcBorders>
            <w:shd w:val="clear" w:color="auto" w:fill="auto"/>
            <w:tcMar>
              <w:top w:w="20" w:type="dxa"/>
              <w:left w:w="20" w:type="dxa"/>
              <w:bottom w:w="20" w:type="dxa"/>
              <w:right w:w="20" w:type="dxa"/>
            </w:tcMar>
          </w:tcPr>
          <w:p w14:paraId="64F4582F" w14:textId="77777777" w:rsidR="00CA6653" w:rsidRPr="00491875" w:rsidRDefault="00CA6653">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tcPr>
          <w:p w14:paraId="0CE7F65B" w14:textId="77777777" w:rsidR="00CA6653" w:rsidRPr="00491875" w:rsidRDefault="00CA6653">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tcPr>
          <w:p w14:paraId="39E2B2D0" w14:textId="77777777" w:rsidR="00CA6653" w:rsidRPr="00491875" w:rsidRDefault="00CA6653">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£000</w:t>
            </w:r>
          </w:p>
        </w:tc>
      </w:tr>
      <w:tr w:rsidR="00D178FE" w:rsidRPr="00491875" w14:paraId="2745DBB5" w14:textId="77777777" w:rsidTr="00F363FD">
        <w:trPr>
          <w:trHeight w:val="300"/>
          <w:jc w:val="center"/>
        </w:trPr>
        <w:tc>
          <w:tcPr>
            <w:tcW w:w="2835" w:type="dxa"/>
            <w:tcBorders>
              <w:bottom w:val="single" w:sz="2" w:space="0" w:color="000000"/>
            </w:tcBorders>
            <w:shd w:val="clear" w:color="auto" w:fill="auto"/>
            <w:tcMar>
              <w:top w:w="20" w:type="dxa"/>
              <w:left w:w="20" w:type="dxa"/>
              <w:bottom w:w="20" w:type="dxa"/>
              <w:right w:w="20" w:type="dxa"/>
            </w:tcMar>
          </w:tcPr>
          <w:p w14:paraId="1F00EDF5" w14:textId="77777777" w:rsidR="00D178FE" w:rsidRPr="00491875" w:rsidRDefault="00D178FE" w:rsidP="00EE29FD">
            <w:pPr>
              <w:pStyle w:val="T1TableStyle"/>
              <w:rPr>
                <w:rFonts w:ascii="Verdana" w:eastAsia="Verdana" w:hAnsi="Verdana" w:cs="Verdana"/>
                <w:b/>
                <w:color w:val="000000"/>
                <w:sz w:val="16"/>
                <w:lang w:val="en-GB"/>
              </w:rPr>
            </w:pPr>
            <w:r w:rsidRPr="00491875">
              <w:rPr>
                <w:rFonts w:ascii="Verdana" w:eastAsia="Verdana" w:hAnsi="Verdana" w:cs="Verdana"/>
                <w:b/>
                <w:color w:val="000000"/>
                <w:sz w:val="16"/>
                <w:lang w:val="en-GB"/>
              </w:rPr>
              <w:t>Balance at 31 March 201</w:t>
            </w:r>
            <w:r w:rsidR="00EE29FD" w:rsidRPr="00491875">
              <w:rPr>
                <w:rFonts w:ascii="Verdana" w:eastAsia="Verdana" w:hAnsi="Verdana" w:cs="Verdana"/>
                <w:b/>
                <w:color w:val="000000"/>
                <w:sz w:val="16"/>
                <w:lang w:val="en-GB"/>
              </w:rPr>
              <w:t>9</w:t>
            </w:r>
          </w:p>
        </w:tc>
        <w:tc>
          <w:tcPr>
            <w:tcW w:w="1230"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14:paraId="01B5959E" w14:textId="77777777" w:rsidR="00D178FE" w:rsidRPr="00491875" w:rsidRDefault="00D178FE" w:rsidP="00D178FE">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(6,812)</w:t>
            </w:r>
          </w:p>
        </w:tc>
        <w:tc>
          <w:tcPr>
            <w:tcW w:w="1125" w:type="dxa"/>
            <w:tcBorders>
              <w:bottom w:val="single" w:sz="2" w:space="0" w:color="000000"/>
            </w:tcBorders>
            <w:shd w:val="clear" w:color="auto" w:fill="auto"/>
            <w:tcMar>
              <w:top w:w="20" w:type="dxa"/>
              <w:left w:w="20" w:type="dxa"/>
              <w:bottom w:w="20" w:type="dxa"/>
              <w:right w:w="20" w:type="dxa"/>
            </w:tcMar>
          </w:tcPr>
          <w:p w14:paraId="2E39780F" w14:textId="77777777" w:rsidR="00D178FE" w:rsidRPr="00491875" w:rsidRDefault="00D178FE" w:rsidP="00D178FE">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(10,441)</w:t>
            </w:r>
          </w:p>
        </w:tc>
        <w:tc>
          <w:tcPr>
            <w:tcW w:w="1335" w:type="dxa"/>
            <w:tcBorders>
              <w:bottom w:val="single" w:sz="2" w:space="0" w:color="000000"/>
            </w:tcBorders>
            <w:shd w:val="clear" w:color="auto" w:fill="auto"/>
            <w:tcMar>
              <w:top w:w="20" w:type="dxa"/>
              <w:left w:w="20" w:type="dxa"/>
              <w:bottom w:w="20" w:type="dxa"/>
              <w:right w:w="20" w:type="dxa"/>
            </w:tcMar>
          </w:tcPr>
          <w:p w14:paraId="6DBFB0FD" w14:textId="77777777" w:rsidR="00D178FE" w:rsidRPr="00491875" w:rsidRDefault="00D178FE" w:rsidP="00D178FE">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(17,253)</w:t>
            </w:r>
          </w:p>
        </w:tc>
        <w:tc>
          <w:tcPr>
            <w:tcW w:w="1080" w:type="dxa"/>
            <w:tcBorders>
              <w:bottom w:val="single" w:sz="2" w:space="0" w:color="000000"/>
            </w:tcBorders>
            <w:shd w:val="clear" w:color="auto" w:fill="auto"/>
            <w:tcMar>
              <w:top w:w="20" w:type="dxa"/>
              <w:left w:w="20" w:type="dxa"/>
              <w:bottom w:w="20" w:type="dxa"/>
              <w:right w:w="20" w:type="dxa"/>
            </w:tcMar>
          </w:tcPr>
          <w:p w14:paraId="6DF5CD13" w14:textId="77777777" w:rsidR="00D178FE" w:rsidRPr="00491875" w:rsidRDefault="00D178FE" w:rsidP="00D178FE">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(3,996)</w:t>
            </w:r>
          </w:p>
        </w:tc>
        <w:tc>
          <w:tcPr>
            <w:tcW w:w="1080" w:type="dxa"/>
            <w:tcBorders>
              <w:bottom w:val="single" w:sz="2" w:space="0" w:color="000000"/>
            </w:tcBorders>
            <w:shd w:val="clear" w:color="auto" w:fill="auto"/>
            <w:tcMar>
              <w:top w:w="20" w:type="dxa"/>
              <w:left w:w="20" w:type="dxa"/>
              <w:bottom w:w="20" w:type="dxa"/>
              <w:right w:w="20" w:type="dxa"/>
            </w:tcMar>
          </w:tcPr>
          <w:p w14:paraId="09C932CA" w14:textId="77777777" w:rsidR="00D178FE" w:rsidRPr="00491875" w:rsidRDefault="00D178FE" w:rsidP="00D178FE">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(1,317)</w:t>
            </w:r>
          </w:p>
        </w:tc>
        <w:tc>
          <w:tcPr>
            <w:tcW w:w="1230"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6AE1D9E" w14:textId="77777777" w:rsidR="00D178FE" w:rsidRPr="00491875" w:rsidRDefault="00D178FE" w:rsidP="00D178FE">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(22,566)</w:t>
            </w:r>
          </w:p>
        </w:tc>
        <w:tc>
          <w:tcPr>
            <w:tcW w:w="1335" w:type="dxa"/>
            <w:tcBorders>
              <w:bottom w:val="single" w:sz="2" w:space="0" w:color="000000"/>
            </w:tcBorders>
            <w:shd w:val="clear" w:color="auto" w:fill="auto"/>
            <w:tcMar>
              <w:top w:w="20" w:type="dxa"/>
              <w:left w:w="20" w:type="dxa"/>
              <w:bottom w:w="20" w:type="dxa"/>
              <w:right w:w="20" w:type="dxa"/>
            </w:tcMar>
          </w:tcPr>
          <w:p w14:paraId="60B2ECA5" w14:textId="77777777" w:rsidR="00D178FE" w:rsidRPr="00491875" w:rsidRDefault="00D178FE" w:rsidP="00D178FE">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(100,902)</w:t>
            </w:r>
          </w:p>
        </w:tc>
        <w:tc>
          <w:tcPr>
            <w:tcW w:w="1335" w:type="dxa"/>
            <w:tcBorders>
              <w:left w:val="single" w:sz="2" w:space="0" w:color="000000"/>
              <w:bottom w:val="single" w:sz="2" w:space="0" w:color="000000"/>
            </w:tcBorders>
            <w:shd w:val="clear" w:color="auto" w:fill="auto"/>
            <w:tcMar>
              <w:top w:w="20" w:type="dxa"/>
              <w:left w:w="20" w:type="dxa"/>
              <w:bottom w:w="20" w:type="dxa"/>
              <w:right w:w="20" w:type="dxa"/>
            </w:tcMar>
          </w:tcPr>
          <w:p w14:paraId="4B2D6343" w14:textId="77777777" w:rsidR="00D178FE" w:rsidRPr="00491875" w:rsidRDefault="00D178FE" w:rsidP="00D178FE">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(123,468)</w:t>
            </w:r>
          </w:p>
        </w:tc>
      </w:tr>
      <w:tr w:rsidR="00D178FE" w:rsidRPr="00491875" w14:paraId="69905AEF" w14:textId="77777777" w:rsidTr="00F363FD">
        <w:trPr>
          <w:trHeight w:val="300"/>
          <w:jc w:val="center"/>
        </w:trPr>
        <w:tc>
          <w:tcPr>
            <w:tcW w:w="2835" w:type="dxa"/>
            <w:shd w:val="clear" w:color="auto" w:fill="auto"/>
            <w:tcMar>
              <w:top w:w="20" w:type="dxa"/>
              <w:left w:w="20" w:type="dxa"/>
              <w:bottom w:w="20" w:type="dxa"/>
              <w:right w:w="20" w:type="dxa"/>
            </w:tcMar>
          </w:tcPr>
          <w:p w14:paraId="3E0A647A" w14:textId="77777777" w:rsidR="00D178FE" w:rsidRPr="00491875" w:rsidRDefault="00D178FE" w:rsidP="00D178FE">
            <w:pPr>
              <w:pStyle w:val="T1TableStyle"/>
              <w:rPr>
                <w:rFonts w:ascii="Verdana" w:eastAsia="Verdana" w:hAnsi="Verdana" w:cs="Verdana"/>
                <w:b/>
                <w:color w:val="000000"/>
                <w:sz w:val="16"/>
                <w:lang w:val="en-GB"/>
              </w:rPr>
            </w:pPr>
            <w:r w:rsidRPr="00491875">
              <w:rPr>
                <w:rFonts w:ascii="Verdana" w:eastAsia="Verdana" w:hAnsi="Verdana" w:cs="Verdana"/>
                <w:b/>
                <w:color w:val="000000"/>
                <w:sz w:val="16"/>
                <w:lang w:val="en-GB"/>
              </w:rPr>
              <w:t>Revised opening balance</w:t>
            </w:r>
          </w:p>
        </w:tc>
        <w:tc>
          <w:tcPr>
            <w:tcW w:w="1230" w:type="dxa"/>
            <w:tcBorders>
              <w:left w:val="single" w:sz="2" w:space="0" w:color="000000"/>
            </w:tcBorders>
            <w:shd w:val="clear" w:color="auto" w:fill="auto"/>
            <w:tcMar>
              <w:top w:w="20" w:type="dxa"/>
              <w:left w:w="20" w:type="dxa"/>
              <w:bottom w:w="20" w:type="dxa"/>
              <w:right w:w="20" w:type="dxa"/>
            </w:tcMar>
          </w:tcPr>
          <w:p w14:paraId="2FBD7F3A" w14:textId="77777777" w:rsidR="00D178FE" w:rsidRPr="00491875" w:rsidRDefault="00D178FE" w:rsidP="00D178FE">
            <w:pPr>
              <w:pStyle w:val="T1TableStyle"/>
              <w:jc w:val="right"/>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125" w:type="dxa"/>
            <w:shd w:val="clear" w:color="auto" w:fill="auto"/>
            <w:tcMar>
              <w:top w:w="20" w:type="dxa"/>
              <w:left w:w="20" w:type="dxa"/>
              <w:bottom w:w="20" w:type="dxa"/>
              <w:right w:w="20" w:type="dxa"/>
            </w:tcMar>
          </w:tcPr>
          <w:p w14:paraId="13C6A4EC" w14:textId="77777777" w:rsidR="00D178FE" w:rsidRPr="00491875" w:rsidRDefault="00D178FE" w:rsidP="00D178FE">
            <w:pPr>
              <w:pStyle w:val="T1TableStyle"/>
              <w:jc w:val="right"/>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14:paraId="46B1A4D6" w14:textId="77777777" w:rsidR="00D178FE" w:rsidRPr="00491875" w:rsidRDefault="00D178FE" w:rsidP="00D178FE">
            <w:pPr>
              <w:pStyle w:val="T1TableStyle"/>
              <w:jc w:val="right"/>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080" w:type="dxa"/>
            <w:shd w:val="clear" w:color="auto" w:fill="auto"/>
            <w:tcMar>
              <w:top w:w="20" w:type="dxa"/>
              <w:left w:w="20" w:type="dxa"/>
              <w:bottom w:w="20" w:type="dxa"/>
              <w:right w:w="20" w:type="dxa"/>
            </w:tcMar>
          </w:tcPr>
          <w:p w14:paraId="280D7AF0" w14:textId="77777777" w:rsidR="00D178FE" w:rsidRPr="00491875" w:rsidRDefault="00D178FE" w:rsidP="00D178FE">
            <w:pPr>
              <w:pStyle w:val="T1TableStyle"/>
              <w:jc w:val="right"/>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080" w:type="dxa"/>
            <w:shd w:val="clear" w:color="auto" w:fill="auto"/>
            <w:tcMar>
              <w:top w:w="20" w:type="dxa"/>
              <w:left w:w="20" w:type="dxa"/>
              <w:bottom w:w="20" w:type="dxa"/>
              <w:right w:w="20" w:type="dxa"/>
            </w:tcMar>
          </w:tcPr>
          <w:p w14:paraId="283210D2" w14:textId="77777777" w:rsidR="00D178FE" w:rsidRPr="00491875" w:rsidRDefault="00D178FE" w:rsidP="00D178FE">
            <w:pPr>
              <w:pStyle w:val="T1TableStyle"/>
              <w:jc w:val="right"/>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230" w:type="dxa"/>
            <w:tcBorders>
              <w:left w:val="single" w:sz="2" w:space="0" w:color="000000"/>
              <w:right w:val="single" w:sz="2" w:space="0" w:color="000000"/>
            </w:tcBorders>
            <w:shd w:val="clear" w:color="auto" w:fill="auto"/>
            <w:tcMar>
              <w:top w:w="20" w:type="dxa"/>
              <w:left w:w="20" w:type="dxa"/>
              <w:bottom w:w="20" w:type="dxa"/>
              <w:right w:w="20" w:type="dxa"/>
            </w:tcMar>
          </w:tcPr>
          <w:p w14:paraId="23BC14A5" w14:textId="77777777" w:rsidR="00D178FE" w:rsidRPr="00491875" w:rsidRDefault="00D178FE" w:rsidP="00D178FE">
            <w:pPr>
              <w:pStyle w:val="T1TableStyle"/>
              <w:jc w:val="right"/>
              <w:rPr>
                <w:rFonts w:ascii="Verdana" w:eastAsia="Verdana" w:hAnsi="Verdana" w:cs="Verdana"/>
                <w:b/>
                <w:color w:val="000000"/>
                <w:sz w:val="2"/>
                <w:lang w:val="en-GB"/>
              </w:rPr>
            </w:pPr>
            <w:r w:rsidRPr="00491875">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tcPr>
          <w:p w14:paraId="0170B4F1" w14:textId="77777777" w:rsidR="00D178FE" w:rsidRPr="00491875" w:rsidRDefault="00D178FE" w:rsidP="00D178FE">
            <w:pPr>
              <w:pStyle w:val="T1TableStyle"/>
              <w:jc w:val="right"/>
              <w:rPr>
                <w:rFonts w:ascii="Verdana" w:eastAsia="Verdana" w:hAnsi="Verdana" w:cs="Verdana"/>
                <w:color w:val="000000"/>
                <w:sz w:val="2"/>
                <w:lang w:val="en-GB"/>
              </w:rPr>
            </w:pPr>
            <w:r w:rsidRPr="00491875">
              <w:rPr>
                <w:rFonts w:ascii="Verdana" w:eastAsia="Verdana" w:hAnsi="Verdana" w:cs="Verdana"/>
                <w:color w:val="000000"/>
                <w:sz w:val="2"/>
                <w:lang w:val="en-GB"/>
              </w:rPr>
              <w:t>1,41</w:t>
            </w:r>
          </w:p>
          <w:p w14:paraId="5BDA4177" w14:textId="77777777" w:rsidR="00D178FE" w:rsidRPr="00491875" w:rsidRDefault="00D178FE" w:rsidP="00D178FE">
            <w:pPr>
              <w:jc w:val="right"/>
              <w:rPr>
                <w:sz w:val="16"/>
                <w:szCs w:val="16"/>
                <w:lang w:val="en-GB"/>
              </w:rPr>
            </w:pPr>
          </w:p>
          <w:p w14:paraId="5F0E49BF" w14:textId="77777777" w:rsidR="00D178FE" w:rsidRPr="00491875" w:rsidRDefault="00D178FE" w:rsidP="00D178FE">
            <w:pPr>
              <w:jc w:val="right"/>
              <w:rPr>
                <w:sz w:val="16"/>
                <w:szCs w:val="16"/>
                <w:lang w:val="en-GB"/>
              </w:rPr>
            </w:pPr>
          </w:p>
          <w:p w14:paraId="42300FAF" w14:textId="77777777" w:rsidR="00D178FE" w:rsidRPr="00491875" w:rsidRDefault="00D178FE" w:rsidP="00D178FE">
            <w:pPr>
              <w:jc w:val="right"/>
              <w:rPr>
                <w:sz w:val="16"/>
                <w:szCs w:val="16"/>
                <w:lang w:val="en-GB"/>
              </w:rPr>
            </w:pPr>
          </w:p>
        </w:tc>
        <w:tc>
          <w:tcPr>
            <w:tcW w:w="1335" w:type="dxa"/>
            <w:tcBorders>
              <w:left w:val="single" w:sz="2" w:space="0" w:color="000000"/>
            </w:tcBorders>
            <w:shd w:val="clear" w:color="auto" w:fill="auto"/>
            <w:tcMar>
              <w:top w:w="20" w:type="dxa"/>
              <w:left w:w="20" w:type="dxa"/>
              <w:bottom w:w="20" w:type="dxa"/>
              <w:right w:w="20" w:type="dxa"/>
            </w:tcMar>
          </w:tcPr>
          <w:p w14:paraId="48D68A9C" w14:textId="77777777" w:rsidR="00D178FE" w:rsidRPr="00491875" w:rsidRDefault="00D178FE" w:rsidP="00D178FE">
            <w:pPr>
              <w:pStyle w:val="T1TableStyle"/>
              <w:jc w:val="right"/>
              <w:rPr>
                <w:rFonts w:ascii="Verdana" w:eastAsia="Verdana" w:hAnsi="Verdana" w:cs="Verdana"/>
                <w:b/>
                <w:color w:val="000000"/>
                <w:sz w:val="2"/>
                <w:lang w:val="en-GB"/>
              </w:rPr>
            </w:pPr>
            <w:r w:rsidRPr="00491875">
              <w:rPr>
                <w:rFonts w:ascii="Verdana" w:eastAsia="Verdana" w:hAnsi="Verdana" w:cs="Verdana"/>
                <w:b/>
                <w:color w:val="000000"/>
                <w:sz w:val="2"/>
                <w:lang w:val="en-GB"/>
              </w:rPr>
              <w:t xml:space="preserve"> </w:t>
            </w:r>
          </w:p>
        </w:tc>
      </w:tr>
      <w:tr w:rsidR="00D178FE" w:rsidRPr="00491875" w14:paraId="12DC1FCF" w14:textId="77777777" w:rsidTr="00F363FD">
        <w:trPr>
          <w:trHeight w:val="420"/>
          <w:jc w:val="center"/>
        </w:trPr>
        <w:tc>
          <w:tcPr>
            <w:tcW w:w="2835" w:type="dxa"/>
            <w:shd w:val="clear" w:color="auto" w:fill="auto"/>
            <w:tcMar>
              <w:top w:w="20" w:type="dxa"/>
              <w:left w:w="20" w:type="dxa"/>
              <w:bottom w:w="20" w:type="dxa"/>
              <w:right w:w="20" w:type="dxa"/>
            </w:tcMar>
          </w:tcPr>
          <w:p w14:paraId="61FD81FA" w14:textId="77777777" w:rsidR="00D178FE" w:rsidRPr="00491875" w:rsidRDefault="00D178FE" w:rsidP="00EE29FD">
            <w:pPr>
              <w:pStyle w:val="T1TableStyle"/>
              <w:rPr>
                <w:rFonts w:ascii="Verdana" w:eastAsia="Verdana" w:hAnsi="Verdana" w:cs="Verdana"/>
                <w:b/>
                <w:color w:val="000000"/>
                <w:sz w:val="16"/>
                <w:lang w:val="en-GB"/>
              </w:rPr>
            </w:pPr>
            <w:r w:rsidRPr="00491875">
              <w:rPr>
                <w:rFonts w:ascii="Verdana" w:eastAsia="Verdana" w:hAnsi="Verdana" w:cs="Verdana"/>
                <w:b/>
                <w:color w:val="000000"/>
                <w:sz w:val="16"/>
                <w:lang w:val="en-GB"/>
              </w:rPr>
              <w:t>Movement in reserves during 201</w:t>
            </w:r>
            <w:r w:rsidR="00EE29FD" w:rsidRPr="00491875">
              <w:rPr>
                <w:rFonts w:ascii="Verdana" w:eastAsia="Verdana" w:hAnsi="Verdana" w:cs="Verdana"/>
                <w:b/>
                <w:color w:val="000000"/>
                <w:sz w:val="16"/>
                <w:lang w:val="en-GB"/>
              </w:rPr>
              <w:t>9</w:t>
            </w:r>
            <w:r w:rsidRPr="00491875">
              <w:rPr>
                <w:rFonts w:ascii="Verdana" w:eastAsia="Verdana" w:hAnsi="Verdana" w:cs="Verdana"/>
                <w:b/>
                <w:color w:val="000000"/>
                <w:sz w:val="16"/>
                <w:lang w:val="en-GB"/>
              </w:rPr>
              <w:t>/</w:t>
            </w:r>
            <w:r w:rsidR="00EE29FD" w:rsidRPr="00491875">
              <w:rPr>
                <w:rFonts w:ascii="Verdana" w:eastAsia="Verdana" w:hAnsi="Verdana" w:cs="Verdana"/>
                <w:b/>
                <w:color w:val="000000"/>
                <w:sz w:val="16"/>
                <w:lang w:val="en-GB"/>
              </w:rPr>
              <w:t>20</w:t>
            </w:r>
          </w:p>
        </w:tc>
        <w:tc>
          <w:tcPr>
            <w:tcW w:w="1230" w:type="dxa"/>
            <w:tcBorders>
              <w:left w:val="single" w:sz="2" w:space="0" w:color="000000"/>
            </w:tcBorders>
            <w:shd w:val="clear" w:color="auto" w:fill="auto"/>
            <w:tcMar>
              <w:top w:w="20" w:type="dxa"/>
              <w:left w:w="20" w:type="dxa"/>
              <w:bottom w:w="20" w:type="dxa"/>
              <w:right w:w="20" w:type="dxa"/>
            </w:tcMar>
          </w:tcPr>
          <w:p w14:paraId="55703706" w14:textId="77777777" w:rsidR="00D178FE" w:rsidRPr="00491875" w:rsidRDefault="00D178FE" w:rsidP="00D178FE">
            <w:pPr>
              <w:pStyle w:val="T1TableStyle"/>
              <w:jc w:val="right"/>
              <w:rPr>
                <w:rFonts w:ascii="Verdana" w:eastAsia="Verdana" w:hAnsi="Verdana" w:cs="Verdana"/>
                <w:color w:val="000000"/>
                <w:sz w:val="16"/>
                <w:lang w:val="en-GB"/>
              </w:rPr>
            </w:pPr>
          </w:p>
        </w:tc>
        <w:tc>
          <w:tcPr>
            <w:tcW w:w="1125" w:type="dxa"/>
            <w:shd w:val="clear" w:color="auto" w:fill="auto"/>
            <w:tcMar>
              <w:top w:w="20" w:type="dxa"/>
              <w:left w:w="20" w:type="dxa"/>
              <w:bottom w:w="20" w:type="dxa"/>
              <w:right w:w="20" w:type="dxa"/>
            </w:tcMar>
          </w:tcPr>
          <w:p w14:paraId="4CFBCDE6" w14:textId="77777777" w:rsidR="00D178FE" w:rsidRPr="00491875" w:rsidRDefault="00D178FE" w:rsidP="00D178FE">
            <w:pPr>
              <w:pStyle w:val="T1TableStyle"/>
              <w:jc w:val="right"/>
              <w:rPr>
                <w:rFonts w:ascii="Verdana" w:eastAsia="Verdana" w:hAnsi="Verdana" w:cs="Verdana"/>
                <w:color w:val="000000"/>
                <w:sz w:val="2"/>
                <w:lang w:val="en-GB"/>
              </w:rPr>
            </w:pPr>
          </w:p>
        </w:tc>
        <w:tc>
          <w:tcPr>
            <w:tcW w:w="1335" w:type="dxa"/>
            <w:shd w:val="clear" w:color="auto" w:fill="auto"/>
            <w:tcMar>
              <w:top w:w="20" w:type="dxa"/>
              <w:left w:w="20" w:type="dxa"/>
              <w:bottom w:w="20" w:type="dxa"/>
              <w:right w:w="20" w:type="dxa"/>
            </w:tcMar>
          </w:tcPr>
          <w:p w14:paraId="7316DFE5" w14:textId="77777777" w:rsidR="00D178FE" w:rsidRPr="00491875" w:rsidRDefault="00D178FE" w:rsidP="00D178FE">
            <w:pPr>
              <w:pStyle w:val="T1TableStyle"/>
              <w:jc w:val="right"/>
              <w:rPr>
                <w:rFonts w:ascii="Verdana" w:eastAsia="Verdana" w:hAnsi="Verdana" w:cs="Verdana"/>
                <w:color w:val="000000"/>
                <w:sz w:val="16"/>
                <w:lang w:val="en-GB"/>
              </w:rPr>
            </w:pPr>
          </w:p>
        </w:tc>
        <w:tc>
          <w:tcPr>
            <w:tcW w:w="1080" w:type="dxa"/>
            <w:shd w:val="clear" w:color="auto" w:fill="auto"/>
            <w:tcMar>
              <w:top w:w="20" w:type="dxa"/>
              <w:left w:w="20" w:type="dxa"/>
              <w:bottom w:w="20" w:type="dxa"/>
              <w:right w:w="20" w:type="dxa"/>
            </w:tcMar>
          </w:tcPr>
          <w:p w14:paraId="4F98513F" w14:textId="77777777" w:rsidR="00D178FE" w:rsidRPr="00491875" w:rsidRDefault="00D178FE" w:rsidP="00D178FE">
            <w:pPr>
              <w:pStyle w:val="T1TableStyle"/>
              <w:jc w:val="right"/>
              <w:rPr>
                <w:rFonts w:ascii="Verdana" w:eastAsia="Verdana" w:hAnsi="Verdana" w:cs="Verdana"/>
                <w:color w:val="000000"/>
                <w:sz w:val="2"/>
                <w:lang w:val="en-GB"/>
              </w:rPr>
            </w:pPr>
          </w:p>
        </w:tc>
        <w:tc>
          <w:tcPr>
            <w:tcW w:w="1080" w:type="dxa"/>
            <w:shd w:val="clear" w:color="auto" w:fill="auto"/>
            <w:tcMar>
              <w:top w:w="20" w:type="dxa"/>
              <w:left w:w="20" w:type="dxa"/>
              <w:bottom w:w="20" w:type="dxa"/>
              <w:right w:w="20" w:type="dxa"/>
            </w:tcMar>
          </w:tcPr>
          <w:p w14:paraId="2171BDDF" w14:textId="77777777" w:rsidR="00D178FE" w:rsidRPr="00491875" w:rsidRDefault="00D178FE" w:rsidP="00D178FE">
            <w:pPr>
              <w:pStyle w:val="T1TableStyle"/>
              <w:jc w:val="right"/>
              <w:rPr>
                <w:rFonts w:ascii="Verdana" w:eastAsia="Verdana" w:hAnsi="Verdana" w:cs="Verdana"/>
                <w:color w:val="000000"/>
                <w:sz w:val="2"/>
                <w:lang w:val="en-GB"/>
              </w:rPr>
            </w:pPr>
          </w:p>
        </w:tc>
        <w:tc>
          <w:tcPr>
            <w:tcW w:w="1230" w:type="dxa"/>
            <w:tcBorders>
              <w:left w:val="single" w:sz="2" w:space="0" w:color="000000"/>
              <w:right w:val="single" w:sz="2" w:space="0" w:color="000000"/>
            </w:tcBorders>
            <w:shd w:val="clear" w:color="auto" w:fill="auto"/>
            <w:tcMar>
              <w:top w:w="20" w:type="dxa"/>
              <w:left w:w="20" w:type="dxa"/>
              <w:bottom w:w="20" w:type="dxa"/>
              <w:right w:w="20" w:type="dxa"/>
            </w:tcMar>
          </w:tcPr>
          <w:p w14:paraId="238DE1A4" w14:textId="77777777" w:rsidR="00D178FE" w:rsidRPr="00491875" w:rsidRDefault="00D178FE" w:rsidP="00D178FE">
            <w:pPr>
              <w:pStyle w:val="T1TableStyle"/>
              <w:jc w:val="right"/>
              <w:rPr>
                <w:rFonts w:ascii="Verdana" w:eastAsia="Verdana" w:hAnsi="Verdana" w:cs="Verdana"/>
                <w:b/>
                <w:color w:val="000000"/>
                <w:sz w:val="16"/>
                <w:lang w:val="en-GB"/>
              </w:rPr>
            </w:pPr>
          </w:p>
        </w:tc>
        <w:tc>
          <w:tcPr>
            <w:tcW w:w="1335" w:type="dxa"/>
            <w:shd w:val="clear" w:color="auto" w:fill="auto"/>
            <w:tcMar>
              <w:top w:w="20" w:type="dxa"/>
              <w:left w:w="20" w:type="dxa"/>
              <w:bottom w:w="20" w:type="dxa"/>
              <w:right w:w="20" w:type="dxa"/>
            </w:tcMar>
          </w:tcPr>
          <w:p w14:paraId="15160AF3" w14:textId="77777777" w:rsidR="00D178FE" w:rsidRPr="00491875" w:rsidRDefault="00D178FE" w:rsidP="00D178FE">
            <w:pPr>
              <w:pStyle w:val="T1TableStyle"/>
              <w:jc w:val="right"/>
              <w:rPr>
                <w:sz w:val="16"/>
                <w:szCs w:val="16"/>
                <w:lang w:val="en-GB"/>
              </w:rPr>
            </w:pPr>
          </w:p>
        </w:tc>
        <w:tc>
          <w:tcPr>
            <w:tcW w:w="1335" w:type="dxa"/>
            <w:tcBorders>
              <w:left w:val="single" w:sz="2" w:space="0" w:color="000000"/>
            </w:tcBorders>
            <w:shd w:val="clear" w:color="auto" w:fill="auto"/>
            <w:tcMar>
              <w:top w:w="20" w:type="dxa"/>
              <w:left w:w="20" w:type="dxa"/>
              <w:bottom w:w="20" w:type="dxa"/>
              <w:right w:w="20" w:type="dxa"/>
            </w:tcMar>
          </w:tcPr>
          <w:p w14:paraId="09AED2DD" w14:textId="77777777" w:rsidR="00D178FE" w:rsidRPr="00491875" w:rsidRDefault="00D178FE" w:rsidP="00D178FE">
            <w:pPr>
              <w:pStyle w:val="T1TableStyle"/>
              <w:jc w:val="right"/>
              <w:rPr>
                <w:rFonts w:ascii="Verdana" w:eastAsia="Verdana" w:hAnsi="Verdana" w:cs="Verdana"/>
                <w:b/>
                <w:color w:val="000000"/>
                <w:sz w:val="16"/>
                <w:szCs w:val="16"/>
                <w:lang w:val="en-GB"/>
              </w:rPr>
            </w:pPr>
          </w:p>
        </w:tc>
      </w:tr>
      <w:tr w:rsidR="00964A9A" w:rsidRPr="00491875" w14:paraId="230B0D9C" w14:textId="77777777" w:rsidTr="00F363FD">
        <w:trPr>
          <w:trHeight w:val="420"/>
          <w:jc w:val="center"/>
        </w:trPr>
        <w:tc>
          <w:tcPr>
            <w:tcW w:w="2835" w:type="dxa"/>
            <w:shd w:val="clear" w:color="auto" w:fill="auto"/>
            <w:tcMar>
              <w:top w:w="20" w:type="dxa"/>
              <w:left w:w="20" w:type="dxa"/>
              <w:bottom w:w="20" w:type="dxa"/>
              <w:right w:w="20" w:type="dxa"/>
            </w:tcMar>
          </w:tcPr>
          <w:p w14:paraId="21BD1288" w14:textId="77777777" w:rsidR="00964A9A" w:rsidRPr="00491875" w:rsidRDefault="00964A9A" w:rsidP="00964A9A">
            <w:pPr>
              <w:pStyle w:val="T1TableStyle"/>
              <w:rPr>
                <w:rFonts w:ascii="Verdana" w:eastAsia="Verdana" w:hAnsi="Verdana" w:cs="Verdana"/>
                <w:color w:val="000000"/>
                <w:sz w:val="16"/>
                <w:lang w:val="en-GB"/>
              </w:rPr>
            </w:pPr>
            <w:r w:rsidRPr="00491875">
              <w:rPr>
                <w:rFonts w:ascii="Verdana" w:eastAsia="Verdana" w:hAnsi="Verdana" w:cs="Verdana"/>
                <w:color w:val="000000"/>
                <w:sz w:val="16"/>
                <w:lang w:val="en-GB"/>
              </w:rPr>
              <w:t>Surplus or deficit on the provision of services</w:t>
            </w:r>
          </w:p>
        </w:tc>
        <w:tc>
          <w:tcPr>
            <w:tcW w:w="1230" w:type="dxa"/>
            <w:tcBorders>
              <w:left w:val="single" w:sz="2" w:space="0" w:color="000000"/>
            </w:tcBorders>
            <w:shd w:val="clear" w:color="auto" w:fill="auto"/>
            <w:tcMar>
              <w:top w:w="20" w:type="dxa"/>
              <w:left w:w="20" w:type="dxa"/>
              <w:bottom w:w="20" w:type="dxa"/>
              <w:right w:w="20" w:type="dxa"/>
            </w:tcMar>
          </w:tcPr>
          <w:p w14:paraId="6D7CA613" w14:textId="77777777" w:rsidR="00964A9A" w:rsidRPr="00491875" w:rsidRDefault="00964A9A" w:rsidP="00964A9A">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844</w:t>
            </w:r>
          </w:p>
        </w:tc>
        <w:tc>
          <w:tcPr>
            <w:tcW w:w="1125" w:type="dxa"/>
            <w:shd w:val="clear" w:color="auto" w:fill="auto"/>
            <w:tcMar>
              <w:top w:w="20" w:type="dxa"/>
              <w:left w:w="20" w:type="dxa"/>
              <w:bottom w:w="20" w:type="dxa"/>
              <w:right w:w="20" w:type="dxa"/>
            </w:tcMar>
          </w:tcPr>
          <w:p w14:paraId="61FC095B" w14:textId="77777777" w:rsidR="00964A9A" w:rsidRPr="00491875" w:rsidRDefault="00964A9A" w:rsidP="00964A9A">
            <w:pPr>
              <w:pStyle w:val="T1TableStyle"/>
              <w:jc w:val="right"/>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14:paraId="1CFFDBFA" w14:textId="77777777" w:rsidR="00964A9A" w:rsidRPr="00491875" w:rsidRDefault="00964A9A" w:rsidP="00964A9A">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844</w:t>
            </w:r>
          </w:p>
        </w:tc>
        <w:tc>
          <w:tcPr>
            <w:tcW w:w="1080" w:type="dxa"/>
            <w:shd w:val="clear" w:color="auto" w:fill="auto"/>
            <w:tcMar>
              <w:top w:w="20" w:type="dxa"/>
              <w:left w:w="20" w:type="dxa"/>
              <w:bottom w:w="20" w:type="dxa"/>
              <w:right w:w="20" w:type="dxa"/>
            </w:tcMar>
          </w:tcPr>
          <w:p w14:paraId="1EA6B939" w14:textId="77777777" w:rsidR="00964A9A" w:rsidRPr="00491875" w:rsidRDefault="00964A9A" w:rsidP="00964A9A">
            <w:pPr>
              <w:pStyle w:val="T1TableStyle"/>
              <w:jc w:val="right"/>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080" w:type="dxa"/>
            <w:shd w:val="clear" w:color="auto" w:fill="auto"/>
            <w:tcMar>
              <w:top w:w="20" w:type="dxa"/>
              <w:left w:w="20" w:type="dxa"/>
              <w:bottom w:w="20" w:type="dxa"/>
              <w:right w:w="20" w:type="dxa"/>
            </w:tcMar>
          </w:tcPr>
          <w:p w14:paraId="7D1C8A68" w14:textId="77777777" w:rsidR="00964A9A" w:rsidRPr="00491875" w:rsidRDefault="00964A9A" w:rsidP="00964A9A">
            <w:pPr>
              <w:pStyle w:val="T1TableStyle"/>
              <w:jc w:val="right"/>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230" w:type="dxa"/>
            <w:tcBorders>
              <w:left w:val="single" w:sz="2" w:space="0" w:color="000000"/>
              <w:right w:val="single" w:sz="2" w:space="0" w:color="000000"/>
            </w:tcBorders>
            <w:shd w:val="clear" w:color="auto" w:fill="auto"/>
            <w:tcMar>
              <w:top w:w="20" w:type="dxa"/>
              <w:left w:w="20" w:type="dxa"/>
              <w:bottom w:w="20" w:type="dxa"/>
              <w:right w:w="20" w:type="dxa"/>
            </w:tcMar>
          </w:tcPr>
          <w:p w14:paraId="4AF6BBA8"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844</w:t>
            </w:r>
          </w:p>
        </w:tc>
        <w:tc>
          <w:tcPr>
            <w:tcW w:w="1335" w:type="dxa"/>
            <w:shd w:val="clear" w:color="auto" w:fill="auto"/>
            <w:tcMar>
              <w:top w:w="20" w:type="dxa"/>
              <w:left w:w="20" w:type="dxa"/>
              <w:bottom w:w="20" w:type="dxa"/>
              <w:right w:w="20" w:type="dxa"/>
            </w:tcMar>
          </w:tcPr>
          <w:p w14:paraId="7689E9E1" w14:textId="77777777" w:rsidR="00964A9A" w:rsidRPr="00491875" w:rsidRDefault="00964A9A" w:rsidP="00964A9A">
            <w:pPr>
              <w:pStyle w:val="T1TableStyle"/>
              <w:jc w:val="right"/>
              <w:rPr>
                <w:sz w:val="16"/>
                <w:szCs w:val="16"/>
                <w:lang w:val="en-GB"/>
              </w:rPr>
            </w:pPr>
          </w:p>
        </w:tc>
        <w:tc>
          <w:tcPr>
            <w:tcW w:w="1335" w:type="dxa"/>
            <w:tcBorders>
              <w:left w:val="single" w:sz="2" w:space="0" w:color="000000"/>
            </w:tcBorders>
            <w:shd w:val="clear" w:color="auto" w:fill="auto"/>
            <w:tcMar>
              <w:top w:w="20" w:type="dxa"/>
              <w:left w:w="20" w:type="dxa"/>
              <w:bottom w:w="20" w:type="dxa"/>
              <w:right w:w="20" w:type="dxa"/>
            </w:tcMar>
          </w:tcPr>
          <w:p w14:paraId="23DE5261" w14:textId="77777777" w:rsidR="00964A9A" w:rsidRPr="00491875" w:rsidRDefault="00964A9A" w:rsidP="00964A9A">
            <w:pPr>
              <w:pStyle w:val="T1TableStyle"/>
              <w:jc w:val="right"/>
              <w:rPr>
                <w:rFonts w:ascii="Verdana" w:eastAsia="Verdana" w:hAnsi="Verdana" w:cs="Verdana"/>
                <w:b/>
                <w:color w:val="000000"/>
                <w:sz w:val="16"/>
                <w:szCs w:val="16"/>
                <w:lang w:val="en-GB"/>
              </w:rPr>
            </w:pPr>
            <w:r w:rsidRPr="00491875">
              <w:rPr>
                <w:rFonts w:ascii="Verdana" w:eastAsia="Verdana" w:hAnsi="Verdana" w:cs="Verdana"/>
                <w:b/>
                <w:color w:val="000000"/>
                <w:sz w:val="16"/>
                <w:szCs w:val="16"/>
                <w:lang w:val="en-GB"/>
              </w:rPr>
              <w:t>844</w:t>
            </w:r>
          </w:p>
        </w:tc>
      </w:tr>
      <w:tr w:rsidR="00964A9A" w:rsidRPr="00491875" w14:paraId="62B46A62" w14:textId="77777777" w:rsidTr="00F363FD">
        <w:trPr>
          <w:trHeight w:val="420"/>
          <w:jc w:val="center"/>
        </w:trPr>
        <w:tc>
          <w:tcPr>
            <w:tcW w:w="2835" w:type="dxa"/>
            <w:tcBorders>
              <w:bottom w:val="single" w:sz="2" w:space="0" w:color="000000"/>
            </w:tcBorders>
            <w:shd w:val="clear" w:color="auto" w:fill="auto"/>
            <w:tcMar>
              <w:top w:w="20" w:type="dxa"/>
              <w:left w:w="20" w:type="dxa"/>
              <w:bottom w:w="20" w:type="dxa"/>
              <w:right w:w="20" w:type="dxa"/>
            </w:tcMar>
          </w:tcPr>
          <w:p w14:paraId="7A15E040" w14:textId="77777777" w:rsidR="00964A9A" w:rsidRPr="00491875" w:rsidRDefault="00964A9A" w:rsidP="00964A9A">
            <w:pPr>
              <w:pStyle w:val="T1TableStyle"/>
              <w:rPr>
                <w:rFonts w:ascii="Verdana" w:eastAsia="Verdana" w:hAnsi="Verdana" w:cs="Verdana"/>
                <w:color w:val="000000"/>
                <w:sz w:val="16"/>
                <w:lang w:val="en-GB"/>
              </w:rPr>
            </w:pPr>
            <w:r w:rsidRPr="00491875">
              <w:rPr>
                <w:rFonts w:ascii="Verdana" w:eastAsia="Verdana" w:hAnsi="Verdana" w:cs="Verdana"/>
                <w:color w:val="000000"/>
                <w:sz w:val="16"/>
                <w:lang w:val="en-GB"/>
              </w:rPr>
              <w:t>Other Comprehensive Income / Expenditure</w:t>
            </w:r>
          </w:p>
        </w:tc>
        <w:tc>
          <w:tcPr>
            <w:tcW w:w="1230" w:type="dxa"/>
            <w:tcBorders>
              <w:left w:val="single" w:sz="2" w:space="0" w:color="000000"/>
              <w:bottom w:val="single" w:sz="2" w:space="0" w:color="000000"/>
            </w:tcBorders>
            <w:shd w:val="clear" w:color="auto" w:fill="auto"/>
            <w:tcMar>
              <w:top w:w="20" w:type="dxa"/>
              <w:left w:w="20" w:type="dxa"/>
              <w:bottom w:w="20" w:type="dxa"/>
              <w:right w:w="20" w:type="dxa"/>
            </w:tcMar>
          </w:tcPr>
          <w:p w14:paraId="3448FB80" w14:textId="77777777" w:rsidR="00964A9A" w:rsidRPr="00491875" w:rsidRDefault="00964A9A" w:rsidP="00964A9A">
            <w:pPr>
              <w:pStyle w:val="T1TableStyle"/>
              <w:jc w:val="right"/>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125" w:type="dxa"/>
            <w:tcBorders>
              <w:bottom w:val="single" w:sz="2" w:space="0" w:color="000000"/>
            </w:tcBorders>
            <w:shd w:val="clear" w:color="auto" w:fill="auto"/>
            <w:tcMar>
              <w:top w:w="20" w:type="dxa"/>
              <w:left w:w="20" w:type="dxa"/>
              <w:bottom w:w="20" w:type="dxa"/>
              <w:right w:w="20" w:type="dxa"/>
            </w:tcMar>
          </w:tcPr>
          <w:p w14:paraId="6EE527E7" w14:textId="77777777" w:rsidR="00964A9A" w:rsidRPr="00491875" w:rsidRDefault="00964A9A" w:rsidP="00964A9A">
            <w:pPr>
              <w:pStyle w:val="T1TableStyle"/>
              <w:jc w:val="right"/>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14:paraId="6838B0EB" w14:textId="77777777" w:rsidR="00964A9A" w:rsidRPr="00491875" w:rsidRDefault="00964A9A" w:rsidP="00964A9A">
            <w:pPr>
              <w:pStyle w:val="T1TableStyle"/>
              <w:jc w:val="right"/>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080" w:type="dxa"/>
            <w:tcBorders>
              <w:bottom w:val="single" w:sz="2" w:space="0" w:color="000000"/>
            </w:tcBorders>
            <w:shd w:val="clear" w:color="auto" w:fill="auto"/>
            <w:tcMar>
              <w:top w:w="20" w:type="dxa"/>
              <w:left w:w="20" w:type="dxa"/>
              <w:bottom w:w="20" w:type="dxa"/>
              <w:right w:w="20" w:type="dxa"/>
            </w:tcMar>
          </w:tcPr>
          <w:p w14:paraId="61E805B4" w14:textId="77777777" w:rsidR="00964A9A" w:rsidRPr="00491875" w:rsidRDefault="00964A9A" w:rsidP="00964A9A">
            <w:pPr>
              <w:pStyle w:val="T1TableStyle"/>
              <w:jc w:val="right"/>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080" w:type="dxa"/>
            <w:tcBorders>
              <w:bottom w:val="single" w:sz="2" w:space="0" w:color="000000"/>
            </w:tcBorders>
            <w:shd w:val="clear" w:color="auto" w:fill="auto"/>
            <w:tcMar>
              <w:top w:w="20" w:type="dxa"/>
              <w:left w:w="20" w:type="dxa"/>
              <w:bottom w:w="20" w:type="dxa"/>
              <w:right w:w="20" w:type="dxa"/>
            </w:tcMar>
          </w:tcPr>
          <w:p w14:paraId="1D2FBE88" w14:textId="77777777" w:rsidR="00964A9A" w:rsidRPr="00491875" w:rsidRDefault="00964A9A" w:rsidP="00964A9A">
            <w:pPr>
              <w:pStyle w:val="T1TableStyle"/>
              <w:jc w:val="right"/>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230"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BAD2FB6" w14:textId="77777777" w:rsidR="00964A9A" w:rsidRPr="00491875" w:rsidRDefault="00964A9A" w:rsidP="00964A9A">
            <w:pPr>
              <w:pStyle w:val="T1TableStyle"/>
              <w:jc w:val="right"/>
              <w:rPr>
                <w:rFonts w:ascii="Verdana" w:eastAsia="Verdana" w:hAnsi="Verdana" w:cs="Verdana"/>
                <w:b/>
                <w:color w:val="000000"/>
                <w:sz w:val="2"/>
                <w:lang w:val="en-GB"/>
              </w:rPr>
            </w:pPr>
            <w:r w:rsidRPr="00491875">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14:paraId="4E0C3DD2" w14:textId="77777777" w:rsidR="00964A9A" w:rsidRPr="00491875" w:rsidRDefault="00964A9A" w:rsidP="00964A9A">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(8,196)</w:t>
            </w:r>
          </w:p>
        </w:tc>
        <w:tc>
          <w:tcPr>
            <w:tcW w:w="1335" w:type="dxa"/>
            <w:tcBorders>
              <w:left w:val="single" w:sz="2" w:space="0" w:color="000000"/>
              <w:bottom w:val="single" w:sz="2" w:space="0" w:color="000000"/>
            </w:tcBorders>
            <w:shd w:val="clear" w:color="auto" w:fill="auto"/>
            <w:tcMar>
              <w:top w:w="20" w:type="dxa"/>
              <w:left w:w="20" w:type="dxa"/>
              <w:bottom w:w="20" w:type="dxa"/>
              <w:right w:w="20" w:type="dxa"/>
            </w:tcMar>
          </w:tcPr>
          <w:p w14:paraId="46AC7FEC"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(8,196)</w:t>
            </w:r>
          </w:p>
        </w:tc>
      </w:tr>
      <w:tr w:rsidR="00964A9A" w:rsidRPr="00491875" w14:paraId="70E63A0D" w14:textId="77777777" w:rsidTr="00F363FD">
        <w:trPr>
          <w:trHeight w:val="420"/>
          <w:jc w:val="center"/>
        </w:trPr>
        <w:tc>
          <w:tcPr>
            <w:tcW w:w="2835" w:type="dxa"/>
            <w:shd w:val="clear" w:color="auto" w:fill="auto"/>
            <w:tcMar>
              <w:top w:w="20" w:type="dxa"/>
              <w:left w:w="20" w:type="dxa"/>
              <w:bottom w:w="20" w:type="dxa"/>
              <w:right w:w="20" w:type="dxa"/>
            </w:tcMar>
          </w:tcPr>
          <w:p w14:paraId="3E620FC9" w14:textId="77777777" w:rsidR="00964A9A" w:rsidRPr="00491875" w:rsidRDefault="00964A9A" w:rsidP="00964A9A">
            <w:pPr>
              <w:pStyle w:val="T1TableStyle"/>
              <w:rPr>
                <w:rFonts w:ascii="Verdana" w:eastAsia="Verdana" w:hAnsi="Verdana" w:cs="Verdana"/>
                <w:b/>
                <w:color w:val="000000"/>
                <w:sz w:val="16"/>
                <w:lang w:val="en-GB"/>
              </w:rPr>
            </w:pPr>
            <w:r w:rsidRPr="00491875">
              <w:rPr>
                <w:rFonts w:ascii="Verdana" w:eastAsia="Verdana" w:hAnsi="Verdana" w:cs="Verdana"/>
                <w:b/>
                <w:color w:val="000000"/>
                <w:sz w:val="16"/>
                <w:lang w:val="en-GB"/>
              </w:rPr>
              <w:t>Total Comprehensive Income and Expenditure</w:t>
            </w:r>
          </w:p>
        </w:tc>
        <w:tc>
          <w:tcPr>
            <w:tcW w:w="1230" w:type="dxa"/>
            <w:tcBorders>
              <w:left w:val="single" w:sz="2" w:space="0" w:color="000000"/>
            </w:tcBorders>
            <w:shd w:val="clear" w:color="auto" w:fill="auto"/>
            <w:tcMar>
              <w:top w:w="20" w:type="dxa"/>
              <w:left w:w="20" w:type="dxa"/>
              <w:bottom w:w="20" w:type="dxa"/>
              <w:right w:w="20" w:type="dxa"/>
            </w:tcMar>
          </w:tcPr>
          <w:p w14:paraId="53047839"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844</w:t>
            </w:r>
          </w:p>
        </w:tc>
        <w:tc>
          <w:tcPr>
            <w:tcW w:w="1125" w:type="dxa"/>
            <w:shd w:val="clear" w:color="auto" w:fill="auto"/>
            <w:tcMar>
              <w:top w:w="20" w:type="dxa"/>
              <w:left w:w="20" w:type="dxa"/>
              <w:bottom w:w="20" w:type="dxa"/>
              <w:right w:w="20" w:type="dxa"/>
            </w:tcMar>
          </w:tcPr>
          <w:p w14:paraId="6D84F341"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0</w:t>
            </w:r>
          </w:p>
        </w:tc>
        <w:tc>
          <w:tcPr>
            <w:tcW w:w="1335" w:type="dxa"/>
            <w:shd w:val="clear" w:color="auto" w:fill="auto"/>
            <w:tcMar>
              <w:top w:w="20" w:type="dxa"/>
              <w:left w:w="20" w:type="dxa"/>
              <w:bottom w:w="20" w:type="dxa"/>
              <w:right w:w="20" w:type="dxa"/>
            </w:tcMar>
          </w:tcPr>
          <w:p w14:paraId="2074E892"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844</w:t>
            </w:r>
          </w:p>
        </w:tc>
        <w:tc>
          <w:tcPr>
            <w:tcW w:w="1080" w:type="dxa"/>
            <w:shd w:val="clear" w:color="auto" w:fill="auto"/>
            <w:tcMar>
              <w:top w:w="20" w:type="dxa"/>
              <w:left w:w="20" w:type="dxa"/>
              <w:bottom w:w="20" w:type="dxa"/>
              <w:right w:w="20" w:type="dxa"/>
            </w:tcMar>
          </w:tcPr>
          <w:p w14:paraId="400AE881" w14:textId="77777777" w:rsidR="00964A9A" w:rsidRPr="00491875" w:rsidRDefault="00964A9A" w:rsidP="00964A9A">
            <w:pPr>
              <w:pStyle w:val="T1TableStyle"/>
              <w:jc w:val="right"/>
              <w:rPr>
                <w:rFonts w:ascii="Verdana" w:eastAsia="Verdana" w:hAnsi="Verdana" w:cs="Verdana"/>
                <w:b/>
                <w:color w:val="000000"/>
                <w:sz w:val="2"/>
                <w:lang w:val="en-GB"/>
              </w:rPr>
            </w:pPr>
            <w:r w:rsidRPr="00491875">
              <w:rPr>
                <w:rFonts w:ascii="Verdana" w:eastAsia="Verdana" w:hAnsi="Verdana" w:cs="Verdana"/>
                <w:b/>
                <w:color w:val="000000"/>
                <w:sz w:val="2"/>
                <w:lang w:val="en-GB"/>
              </w:rPr>
              <w:t xml:space="preserve"> </w:t>
            </w:r>
          </w:p>
        </w:tc>
        <w:tc>
          <w:tcPr>
            <w:tcW w:w="1080" w:type="dxa"/>
            <w:shd w:val="clear" w:color="auto" w:fill="auto"/>
            <w:tcMar>
              <w:top w:w="20" w:type="dxa"/>
              <w:left w:w="20" w:type="dxa"/>
              <w:bottom w:w="20" w:type="dxa"/>
              <w:right w:w="20" w:type="dxa"/>
            </w:tcMar>
          </w:tcPr>
          <w:p w14:paraId="7D8670EE" w14:textId="77777777" w:rsidR="00964A9A" w:rsidRPr="00491875" w:rsidRDefault="00964A9A" w:rsidP="00964A9A">
            <w:pPr>
              <w:pStyle w:val="T1TableStyle"/>
              <w:jc w:val="right"/>
              <w:rPr>
                <w:rFonts w:ascii="Verdana" w:eastAsia="Verdana" w:hAnsi="Verdana" w:cs="Verdana"/>
                <w:b/>
                <w:color w:val="000000"/>
                <w:sz w:val="2"/>
                <w:lang w:val="en-GB"/>
              </w:rPr>
            </w:pPr>
            <w:r w:rsidRPr="00491875">
              <w:rPr>
                <w:rFonts w:ascii="Verdana" w:eastAsia="Verdana" w:hAnsi="Verdana" w:cs="Verdana"/>
                <w:b/>
                <w:color w:val="000000"/>
                <w:sz w:val="2"/>
                <w:lang w:val="en-GB"/>
              </w:rPr>
              <w:t xml:space="preserve"> </w:t>
            </w:r>
          </w:p>
        </w:tc>
        <w:tc>
          <w:tcPr>
            <w:tcW w:w="1230" w:type="dxa"/>
            <w:tcBorders>
              <w:left w:val="single" w:sz="2" w:space="0" w:color="000000"/>
              <w:right w:val="single" w:sz="2" w:space="0" w:color="000000"/>
            </w:tcBorders>
            <w:shd w:val="clear" w:color="auto" w:fill="auto"/>
            <w:tcMar>
              <w:top w:w="20" w:type="dxa"/>
              <w:left w:w="20" w:type="dxa"/>
              <w:bottom w:w="20" w:type="dxa"/>
              <w:right w:w="20" w:type="dxa"/>
            </w:tcMar>
          </w:tcPr>
          <w:p w14:paraId="29A75306"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844</w:t>
            </w:r>
          </w:p>
        </w:tc>
        <w:tc>
          <w:tcPr>
            <w:tcW w:w="1335" w:type="dxa"/>
            <w:shd w:val="clear" w:color="auto" w:fill="auto"/>
            <w:tcMar>
              <w:top w:w="20" w:type="dxa"/>
              <w:left w:w="20" w:type="dxa"/>
              <w:bottom w:w="20" w:type="dxa"/>
              <w:right w:w="20" w:type="dxa"/>
            </w:tcMar>
          </w:tcPr>
          <w:p w14:paraId="1328CAB3"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(8,196)</w:t>
            </w:r>
          </w:p>
          <w:p w14:paraId="1EF4ED60" w14:textId="77777777" w:rsidR="00964A9A" w:rsidRPr="00491875" w:rsidRDefault="00964A9A" w:rsidP="00964A9A">
            <w:pPr>
              <w:pStyle w:val="T1TableStyle"/>
              <w:jc w:val="right"/>
              <w:rPr>
                <w:rFonts w:ascii="Verdana" w:eastAsia="Verdana" w:hAnsi="Verdana" w:cs="Verdana"/>
                <w:b/>
                <w:color w:val="000000"/>
                <w:sz w:val="16"/>
                <w:lang w:val="en-GB"/>
              </w:rPr>
            </w:pPr>
          </w:p>
        </w:tc>
        <w:tc>
          <w:tcPr>
            <w:tcW w:w="1335" w:type="dxa"/>
            <w:tcBorders>
              <w:left w:val="single" w:sz="2" w:space="0" w:color="000000"/>
            </w:tcBorders>
            <w:shd w:val="clear" w:color="auto" w:fill="auto"/>
            <w:tcMar>
              <w:top w:w="20" w:type="dxa"/>
              <w:left w:w="20" w:type="dxa"/>
              <w:bottom w:w="20" w:type="dxa"/>
              <w:right w:w="20" w:type="dxa"/>
            </w:tcMar>
          </w:tcPr>
          <w:p w14:paraId="35434621"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(7,352)</w:t>
            </w:r>
          </w:p>
        </w:tc>
      </w:tr>
      <w:tr w:rsidR="00964A9A" w:rsidRPr="00491875" w14:paraId="345A2E8C" w14:textId="77777777" w:rsidTr="00F363FD">
        <w:trPr>
          <w:trHeight w:val="840"/>
          <w:jc w:val="center"/>
        </w:trPr>
        <w:tc>
          <w:tcPr>
            <w:tcW w:w="2835" w:type="dxa"/>
            <w:tcBorders>
              <w:bottom w:val="single" w:sz="4" w:space="0" w:color="auto"/>
            </w:tcBorders>
            <w:shd w:val="clear" w:color="auto" w:fill="auto"/>
            <w:tcMar>
              <w:top w:w="20" w:type="dxa"/>
              <w:left w:w="20" w:type="dxa"/>
              <w:bottom w:w="20" w:type="dxa"/>
              <w:right w:w="20" w:type="dxa"/>
            </w:tcMar>
          </w:tcPr>
          <w:p w14:paraId="4B4DEB4D" w14:textId="77777777" w:rsidR="00964A9A" w:rsidRPr="00491875" w:rsidRDefault="00964A9A" w:rsidP="00964A9A">
            <w:pPr>
              <w:pStyle w:val="T1TableStyle"/>
              <w:rPr>
                <w:rFonts w:ascii="Verdana" w:eastAsia="Verdana" w:hAnsi="Verdana" w:cs="Verdana"/>
                <w:color w:val="000000"/>
                <w:sz w:val="16"/>
                <w:lang w:val="en-GB"/>
              </w:rPr>
            </w:pPr>
            <w:r w:rsidRPr="00491875">
              <w:rPr>
                <w:rFonts w:ascii="Verdana" w:eastAsia="Verdana" w:hAnsi="Verdana" w:cs="Verdana"/>
                <w:color w:val="000000"/>
                <w:sz w:val="16"/>
                <w:lang w:val="en-GB"/>
              </w:rPr>
              <w:t>Adjustments between accounting basis and funding basis under regulations</w:t>
            </w:r>
          </w:p>
        </w:tc>
        <w:tc>
          <w:tcPr>
            <w:tcW w:w="1230" w:type="dxa"/>
            <w:tcBorders>
              <w:left w:val="single" w:sz="2" w:space="0" w:color="000000"/>
              <w:bottom w:val="single" w:sz="4" w:space="0" w:color="auto"/>
            </w:tcBorders>
            <w:shd w:val="clear" w:color="auto" w:fill="auto"/>
            <w:tcMar>
              <w:top w:w="20" w:type="dxa"/>
              <w:left w:w="20" w:type="dxa"/>
              <w:bottom w:w="20" w:type="dxa"/>
              <w:right w:w="20" w:type="dxa"/>
            </w:tcMar>
          </w:tcPr>
          <w:p w14:paraId="0748B614" w14:textId="77777777" w:rsidR="00964A9A" w:rsidRPr="00491875" w:rsidRDefault="00964A9A" w:rsidP="00964A9A">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(3,092)</w:t>
            </w:r>
          </w:p>
        </w:tc>
        <w:tc>
          <w:tcPr>
            <w:tcW w:w="1125" w:type="dxa"/>
            <w:tcBorders>
              <w:bottom w:val="single" w:sz="4" w:space="0" w:color="auto"/>
            </w:tcBorders>
            <w:shd w:val="clear" w:color="auto" w:fill="auto"/>
            <w:tcMar>
              <w:top w:w="20" w:type="dxa"/>
              <w:left w:w="20" w:type="dxa"/>
              <w:bottom w:w="20" w:type="dxa"/>
              <w:right w:w="20" w:type="dxa"/>
            </w:tcMar>
          </w:tcPr>
          <w:p w14:paraId="0B7DCD39" w14:textId="77777777" w:rsidR="00964A9A" w:rsidRPr="00491875" w:rsidRDefault="00964A9A" w:rsidP="00964A9A">
            <w:pPr>
              <w:pStyle w:val="T1TableStyle"/>
              <w:jc w:val="right"/>
              <w:rPr>
                <w:rFonts w:ascii="Verdana" w:eastAsia="Verdana" w:hAnsi="Verdana" w:cs="Verdana"/>
                <w:color w:val="000000"/>
                <w:sz w:val="2"/>
                <w:lang w:val="en-GB"/>
              </w:rPr>
            </w:pPr>
          </w:p>
        </w:tc>
        <w:tc>
          <w:tcPr>
            <w:tcW w:w="1335" w:type="dxa"/>
            <w:tcBorders>
              <w:bottom w:val="single" w:sz="4" w:space="0" w:color="auto"/>
            </w:tcBorders>
            <w:shd w:val="clear" w:color="auto" w:fill="auto"/>
            <w:tcMar>
              <w:top w:w="20" w:type="dxa"/>
              <w:left w:w="20" w:type="dxa"/>
              <w:bottom w:w="20" w:type="dxa"/>
              <w:right w:w="20" w:type="dxa"/>
            </w:tcMar>
          </w:tcPr>
          <w:p w14:paraId="7436C0C5" w14:textId="77777777" w:rsidR="00964A9A" w:rsidRPr="00491875" w:rsidRDefault="00964A9A" w:rsidP="00964A9A">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(3,092)</w:t>
            </w:r>
          </w:p>
        </w:tc>
        <w:tc>
          <w:tcPr>
            <w:tcW w:w="1080" w:type="dxa"/>
            <w:tcBorders>
              <w:bottom w:val="single" w:sz="4" w:space="0" w:color="auto"/>
            </w:tcBorders>
            <w:shd w:val="clear" w:color="auto" w:fill="auto"/>
            <w:tcMar>
              <w:top w:w="20" w:type="dxa"/>
              <w:left w:w="20" w:type="dxa"/>
              <w:bottom w:w="20" w:type="dxa"/>
              <w:right w:w="20" w:type="dxa"/>
            </w:tcMar>
          </w:tcPr>
          <w:p w14:paraId="738E4731" w14:textId="77777777" w:rsidR="00964A9A" w:rsidRPr="00491875" w:rsidRDefault="00964A9A" w:rsidP="00964A9A">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3,799</w:t>
            </w:r>
          </w:p>
        </w:tc>
        <w:tc>
          <w:tcPr>
            <w:tcW w:w="1080" w:type="dxa"/>
            <w:tcBorders>
              <w:bottom w:val="single" w:sz="4" w:space="0" w:color="auto"/>
            </w:tcBorders>
            <w:shd w:val="clear" w:color="auto" w:fill="auto"/>
            <w:tcMar>
              <w:top w:w="20" w:type="dxa"/>
              <w:left w:w="20" w:type="dxa"/>
              <w:bottom w:w="20" w:type="dxa"/>
              <w:right w:w="20" w:type="dxa"/>
            </w:tcMar>
          </w:tcPr>
          <w:p w14:paraId="344E05EF" w14:textId="77777777" w:rsidR="00964A9A" w:rsidRPr="00491875" w:rsidRDefault="00964A9A" w:rsidP="00964A9A">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(1,629)</w:t>
            </w:r>
          </w:p>
        </w:tc>
        <w:tc>
          <w:tcPr>
            <w:tcW w:w="1230" w:type="dxa"/>
            <w:tcBorders>
              <w:left w:val="single" w:sz="2" w:space="0" w:color="000000"/>
              <w:bottom w:val="single" w:sz="4" w:space="0" w:color="auto"/>
              <w:right w:val="single" w:sz="2" w:space="0" w:color="000000"/>
            </w:tcBorders>
            <w:shd w:val="clear" w:color="auto" w:fill="auto"/>
            <w:tcMar>
              <w:top w:w="20" w:type="dxa"/>
              <w:left w:w="20" w:type="dxa"/>
              <w:bottom w:w="20" w:type="dxa"/>
              <w:right w:w="20" w:type="dxa"/>
            </w:tcMar>
          </w:tcPr>
          <w:p w14:paraId="3046614A"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(922)</w:t>
            </w:r>
          </w:p>
        </w:tc>
        <w:tc>
          <w:tcPr>
            <w:tcW w:w="1335" w:type="dxa"/>
            <w:tcBorders>
              <w:bottom w:val="single" w:sz="4" w:space="0" w:color="auto"/>
            </w:tcBorders>
            <w:shd w:val="clear" w:color="auto" w:fill="auto"/>
            <w:tcMar>
              <w:top w:w="20" w:type="dxa"/>
              <w:left w:w="20" w:type="dxa"/>
              <w:bottom w:w="20" w:type="dxa"/>
              <w:right w:w="20" w:type="dxa"/>
            </w:tcMar>
          </w:tcPr>
          <w:p w14:paraId="170F27F5" w14:textId="77777777" w:rsidR="00964A9A" w:rsidRPr="00491875" w:rsidRDefault="00964A9A" w:rsidP="00964A9A">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922</w:t>
            </w:r>
          </w:p>
        </w:tc>
        <w:tc>
          <w:tcPr>
            <w:tcW w:w="1335" w:type="dxa"/>
            <w:tcBorders>
              <w:left w:val="single" w:sz="2" w:space="0" w:color="000000"/>
              <w:bottom w:val="single" w:sz="4" w:space="0" w:color="auto"/>
            </w:tcBorders>
            <w:shd w:val="clear" w:color="auto" w:fill="auto"/>
            <w:tcMar>
              <w:top w:w="20" w:type="dxa"/>
              <w:left w:w="20" w:type="dxa"/>
              <w:bottom w:w="20" w:type="dxa"/>
              <w:right w:w="20" w:type="dxa"/>
            </w:tcMar>
          </w:tcPr>
          <w:p w14:paraId="3B7C8DD6"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0</w:t>
            </w:r>
          </w:p>
        </w:tc>
      </w:tr>
      <w:tr w:rsidR="00964A9A" w:rsidRPr="00491875" w14:paraId="195D6830" w14:textId="77777777" w:rsidTr="00F363FD">
        <w:trPr>
          <w:trHeight w:val="660"/>
          <w:jc w:val="center"/>
        </w:trPr>
        <w:tc>
          <w:tcPr>
            <w:tcW w:w="2835" w:type="dxa"/>
            <w:tcBorders>
              <w:top w:val="single" w:sz="4" w:space="0" w:color="auto"/>
            </w:tcBorders>
            <w:shd w:val="clear" w:color="auto" w:fill="auto"/>
            <w:tcMar>
              <w:top w:w="20" w:type="dxa"/>
              <w:left w:w="20" w:type="dxa"/>
              <w:bottom w:w="20" w:type="dxa"/>
              <w:right w:w="20" w:type="dxa"/>
            </w:tcMar>
          </w:tcPr>
          <w:p w14:paraId="02B8889B" w14:textId="77777777" w:rsidR="00964A9A" w:rsidRPr="00491875" w:rsidRDefault="00964A9A" w:rsidP="00964A9A">
            <w:pPr>
              <w:pStyle w:val="T1TableStyle"/>
              <w:rPr>
                <w:rFonts w:ascii="Verdana" w:eastAsia="Verdana" w:hAnsi="Verdana" w:cs="Verdana"/>
                <w:b/>
                <w:color w:val="000000"/>
                <w:sz w:val="16"/>
                <w:lang w:val="en-GB"/>
              </w:rPr>
            </w:pPr>
            <w:r w:rsidRPr="00491875">
              <w:rPr>
                <w:rFonts w:ascii="Verdana" w:eastAsia="Verdana" w:hAnsi="Verdana" w:cs="Verdana"/>
                <w:b/>
                <w:color w:val="000000"/>
                <w:sz w:val="16"/>
                <w:lang w:val="en-GB"/>
              </w:rPr>
              <w:t>Net Increase or Decrease before Transfers to Earmarked Reserves</w:t>
            </w:r>
          </w:p>
        </w:tc>
        <w:tc>
          <w:tcPr>
            <w:tcW w:w="1230" w:type="dxa"/>
            <w:tcBorders>
              <w:top w:val="single" w:sz="4" w:space="0" w:color="auto"/>
              <w:left w:val="single" w:sz="2" w:space="0" w:color="000000"/>
            </w:tcBorders>
            <w:shd w:val="clear" w:color="auto" w:fill="auto"/>
            <w:tcMar>
              <w:top w:w="20" w:type="dxa"/>
              <w:left w:w="20" w:type="dxa"/>
              <w:bottom w:w="20" w:type="dxa"/>
              <w:right w:w="20" w:type="dxa"/>
            </w:tcMar>
          </w:tcPr>
          <w:p w14:paraId="7C5D4A51"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(2,248)</w:t>
            </w:r>
          </w:p>
        </w:tc>
        <w:tc>
          <w:tcPr>
            <w:tcW w:w="1125" w:type="dxa"/>
            <w:tcBorders>
              <w:top w:val="single" w:sz="4" w:space="0" w:color="auto"/>
            </w:tcBorders>
            <w:shd w:val="clear" w:color="auto" w:fill="auto"/>
            <w:tcMar>
              <w:top w:w="20" w:type="dxa"/>
              <w:left w:w="20" w:type="dxa"/>
              <w:bottom w:w="20" w:type="dxa"/>
              <w:right w:w="20" w:type="dxa"/>
            </w:tcMar>
          </w:tcPr>
          <w:p w14:paraId="21F9057C"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0</w:t>
            </w:r>
          </w:p>
        </w:tc>
        <w:tc>
          <w:tcPr>
            <w:tcW w:w="1335" w:type="dxa"/>
            <w:tcBorders>
              <w:top w:val="single" w:sz="4" w:space="0" w:color="auto"/>
            </w:tcBorders>
            <w:shd w:val="clear" w:color="auto" w:fill="auto"/>
            <w:tcMar>
              <w:top w:w="20" w:type="dxa"/>
              <w:left w:w="20" w:type="dxa"/>
              <w:bottom w:w="20" w:type="dxa"/>
              <w:right w:w="20" w:type="dxa"/>
            </w:tcMar>
          </w:tcPr>
          <w:p w14:paraId="69541A6B"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(2,248)</w:t>
            </w:r>
          </w:p>
        </w:tc>
        <w:tc>
          <w:tcPr>
            <w:tcW w:w="1080" w:type="dxa"/>
            <w:tcBorders>
              <w:top w:val="single" w:sz="4" w:space="0" w:color="auto"/>
            </w:tcBorders>
            <w:shd w:val="clear" w:color="auto" w:fill="auto"/>
            <w:tcMar>
              <w:top w:w="20" w:type="dxa"/>
              <w:left w:w="20" w:type="dxa"/>
              <w:bottom w:w="20" w:type="dxa"/>
              <w:right w:w="20" w:type="dxa"/>
            </w:tcMar>
          </w:tcPr>
          <w:p w14:paraId="5A8679CC"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3,799</w:t>
            </w:r>
          </w:p>
        </w:tc>
        <w:tc>
          <w:tcPr>
            <w:tcW w:w="1080" w:type="dxa"/>
            <w:tcBorders>
              <w:top w:val="single" w:sz="4" w:space="0" w:color="auto"/>
            </w:tcBorders>
            <w:shd w:val="clear" w:color="auto" w:fill="auto"/>
            <w:tcMar>
              <w:top w:w="20" w:type="dxa"/>
              <w:left w:w="20" w:type="dxa"/>
              <w:bottom w:w="20" w:type="dxa"/>
              <w:right w:w="20" w:type="dxa"/>
            </w:tcMar>
          </w:tcPr>
          <w:p w14:paraId="73FB7BC5"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(1,629)</w:t>
            </w:r>
          </w:p>
        </w:tc>
        <w:tc>
          <w:tcPr>
            <w:tcW w:w="1230" w:type="dxa"/>
            <w:tcBorders>
              <w:top w:val="single" w:sz="4" w:space="0" w:color="auto"/>
              <w:left w:val="single" w:sz="2" w:space="0" w:color="000000"/>
              <w:right w:val="single" w:sz="2" w:space="0" w:color="000000"/>
            </w:tcBorders>
            <w:shd w:val="clear" w:color="auto" w:fill="auto"/>
            <w:tcMar>
              <w:top w:w="20" w:type="dxa"/>
              <w:left w:w="20" w:type="dxa"/>
              <w:bottom w:w="20" w:type="dxa"/>
              <w:right w:w="20" w:type="dxa"/>
            </w:tcMar>
          </w:tcPr>
          <w:p w14:paraId="11C82DA7"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(78)</w:t>
            </w:r>
          </w:p>
        </w:tc>
        <w:tc>
          <w:tcPr>
            <w:tcW w:w="1335" w:type="dxa"/>
            <w:tcBorders>
              <w:top w:val="single" w:sz="4" w:space="0" w:color="auto"/>
            </w:tcBorders>
            <w:shd w:val="clear" w:color="auto" w:fill="auto"/>
            <w:tcMar>
              <w:top w:w="20" w:type="dxa"/>
              <w:left w:w="20" w:type="dxa"/>
              <w:bottom w:w="20" w:type="dxa"/>
              <w:right w:w="20" w:type="dxa"/>
            </w:tcMar>
          </w:tcPr>
          <w:p w14:paraId="478C2786"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(7,274)</w:t>
            </w:r>
          </w:p>
        </w:tc>
        <w:tc>
          <w:tcPr>
            <w:tcW w:w="1335" w:type="dxa"/>
            <w:tcBorders>
              <w:top w:val="single" w:sz="4" w:space="0" w:color="auto"/>
              <w:left w:val="single" w:sz="2" w:space="0" w:color="000000"/>
            </w:tcBorders>
            <w:shd w:val="clear" w:color="auto" w:fill="auto"/>
            <w:tcMar>
              <w:top w:w="20" w:type="dxa"/>
              <w:left w:w="20" w:type="dxa"/>
              <w:bottom w:w="20" w:type="dxa"/>
              <w:right w:w="20" w:type="dxa"/>
            </w:tcMar>
          </w:tcPr>
          <w:p w14:paraId="66D520EF"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(7,352)</w:t>
            </w:r>
          </w:p>
        </w:tc>
      </w:tr>
      <w:tr w:rsidR="00964A9A" w:rsidRPr="00491875" w14:paraId="3204E9A8" w14:textId="77777777" w:rsidTr="00F363FD">
        <w:trPr>
          <w:trHeight w:val="420"/>
          <w:jc w:val="center"/>
        </w:trPr>
        <w:tc>
          <w:tcPr>
            <w:tcW w:w="2835" w:type="dxa"/>
            <w:tcBorders>
              <w:bottom w:val="single" w:sz="2" w:space="0" w:color="000000"/>
            </w:tcBorders>
            <w:shd w:val="clear" w:color="auto" w:fill="auto"/>
            <w:tcMar>
              <w:top w:w="20" w:type="dxa"/>
              <w:left w:w="20" w:type="dxa"/>
              <w:bottom w:w="20" w:type="dxa"/>
              <w:right w:w="20" w:type="dxa"/>
            </w:tcMar>
          </w:tcPr>
          <w:p w14:paraId="2F72BA7A" w14:textId="77777777" w:rsidR="00964A9A" w:rsidRPr="00491875" w:rsidRDefault="00964A9A" w:rsidP="00964A9A">
            <w:pPr>
              <w:pStyle w:val="T1TableStyle"/>
              <w:rPr>
                <w:rFonts w:ascii="Verdana" w:eastAsia="Verdana" w:hAnsi="Verdana" w:cs="Verdana"/>
                <w:color w:val="000000"/>
                <w:sz w:val="16"/>
                <w:lang w:val="en-GB"/>
              </w:rPr>
            </w:pPr>
            <w:r w:rsidRPr="00491875">
              <w:rPr>
                <w:rFonts w:ascii="Verdana" w:eastAsia="Verdana" w:hAnsi="Verdana" w:cs="Verdana"/>
                <w:color w:val="000000"/>
                <w:sz w:val="16"/>
                <w:lang w:val="en-GB"/>
              </w:rPr>
              <w:t>Transfers to / from Earmarked Reserves</w:t>
            </w:r>
          </w:p>
          <w:p w14:paraId="5F68A745" w14:textId="77777777" w:rsidR="00964A9A" w:rsidRPr="00491875" w:rsidRDefault="00964A9A" w:rsidP="00964A9A">
            <w:pPr>
              <w:pStyle w:val="T1TableStyle"/>
              <w:rPr>
                <w:rFonts w:ascii="Verdana" w:eastAsia="Verdana" w:hAnsi="Verdana" w:cs="Verdana"/>
                <w:color w:val="000000"/>
                <w:sz w:val="16"/>
                <w:lang w:val="en-GB"/>
              </w:rPr>
            </w:pPr>
          </w:p>
          <w:p w14:paraId="4CE5F0CF" w14:textId="77777777" w:rsidR="00964A9A" w:rsidRPr="00491875" w:rsidRDefault="00964A9A" w:rsidP="00964A9A">
            <w:pPr>
              <w:pStyle w:val="T1TableStyle"/>
              <w:rPr>
                <w:rFonts w:ascii="Verdana" w:eastAsia="Verdana" w:hAnsi="Verdana" w:cs="Verdana"/>
                <w:color w:val="000000"/>
                <w:sz w:val="16"/>
                <w:lang w:val="en-GB"/>
              </w:rPr>
            </w:pPr>
            <w:r w:rsidRPr="00491875">
              <w:rPr>
                <w:rFonts w:ascii="Verdana" w:eastAsia="Verdana" w:hAnsi="Verdana" w:cs="Verdana"/>
                <w:color w:val="000000"/>
                <w:sz w:val="16"/>
                <w:lang w:val="en-GB"/>
              </w:rPr>
              <w:t>Transfer  Chief Constable Reserve to General Fund Balance</w:t>
            </w:r>
          </w:p>
          <w:p w14:paraId="2C5420DF" w14:textId="77777777" w:rsidR="00964A9A" w:rsidRPr="00491875" w:rsidRDefault="00964A9A" w:rsidP="00964A9A">
            <w:pPr>
              <w:pStyle w:val="T1TableStyle"/>
              <w:rPr>
                <w:rFonts w:ascii="Verdana" w:eastAsia="Verdana" w:hAnsi="Verdana" w:cs="Verdana"/>
                <w:color w:val="000000"/>
                <w:sz w:val="16"/>
                <w:lang w:val="en-GB"/>
              </w:rPr>
            </w:pPr>
          </w:p>
        </w:tc>
        <w:tc>
          <w:tcPr>
            <w:tcW w:w="1230" w:type="dxa"/>
            <w:tcBorders>
              <w:left w:val="single" w:sz="2" w:space="0" w:color="000000"/>
              <w:bottom w:val="single" w:sz="2" w:space="0" w:color="000000"/>
            </w:tcBorders>
            <w:shd w:val="clear" w:color="auto" w:fill="auto"/>
            <w:tcMar>
              <w:top w:w="20" w:type="dxa"/>
              <w:left w:w="20" w:type="dxa"/>
              <w:bottom w:w="20" w:type="dxa"/>
              <w:right w:w="20" w:type="dxa"/>
            </w:tcMar>
          </w:tcPr>
          <w:p w14:paraId="327DE587" w14:textId="77777777" w:rsidR="00964A9A" w:rsidRPr="00491875" w:rsidRDefault="00964A9A" w:rsidP="00964A9A">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2,011</w:t>
            </w:r>
          </w:p>
          <w:p w14:paraId="22DB2FB5" w14:textId="77777777" w:rsidR="00964A9A" w:rsidRPr="00491875" w:rsidRDefault="00964A9A" w:rsidP="00964A9A">
            <w:pPr>
              <w:pStyle w:val="T1TableStyle"/>
              <w:jc w:val="right"/>
              <w:rPr>
                <w:rFonts w:ascii="Verdana" w:eastAsia="Verdana" w:hAnsi="Verdana" w:cs="Verdana"/>
                <w:color w:val="000000"/>
                <w:sz w:val="16"/>
                <w:lang w:val="en-GB"/>
              </w:rPr>
            </w:pPr>
          </w:p>
          <w:p w14:paraId="4DC1E70E" w14:textId="77777777" w:rsidR="00964A9A" w:rsidRPr="00491875" w:rsidRDefault="00964A9A" w:rsidP="00964A9A">
            <w:pPr>
              <w:pStyle w:val="T1TableStyle"/>
              <w:jc w:val="right"/>
              <w:rPr>
                <w:rFonts w:ascii="Verdana" w:eastAsia="Verdana" w:hAnsi="Verdana" w:cs="Verdana"/>
                <w:color w:val="000000"/>
                <w:sz w:val="16"/>
                <w:lang w:val="en-GB"/>
              </w:rPr>
            </w:pPr>
          </w:p>
          <w:p w14:paraId="22C9D5AF" w14:textId="77777777" w:rsidR="00964A9A" w:rsidRPr="00491875" w:rsidRDefault="00964A9A" w:rsidP="00964A9A">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(1,071)</w:t>
            </w:r>
          </w:p>
          <w:p w14:paraId="34176CFF" w14:textId="77777777" w:rsidR="00964A9A" w:rsidRPr="00491875" w:rsidRDefault="00964A9A" w:rsidP="00964A9A">
            <w:pPr>
              <w:pStyle w:val="T1TableStyle"/>
              <w:jc w:val="right"/>
              <w:rPr>
                <w:rFonts w:ascii="Verdana" w:eastAsia="Verdana" w:hAnsi="Verdana" w:cs="Verdana"/>
                <w:color w:val="000000"/>
                <w:sz w:val="16"/>
                <w:lang w:val="en-GB"/>
              </w:rPr>
            </w:pPr>
          </w:p>
        </w:tc>
        <w:tc>
          <w:tcPr>
            <w:tcW w:w="1125" w:type="dxa"/>
            <w:tcBorders>
              <w:bottom w:val="single" w:sz="2" w:space="0" w:color="000000"/>
            </w:tcBorders>
            <w:shd w:val="clear" w:color="auto" w:fill="auto"/>
            <w:tcMar>
              <w:top w:w="20" w:type="dxa"/>
              <w:left w:w="20" w:type="dxa"/>
              <w:bottom w:w="20" w:type="dxa"/>
              <w:right w:w="20" w:type="dxa"/>
            </w:tcMar>
          </w:tcPr>
          <w:p w14:paraId="01BD44FD" w14:textId="77777777" w:rsidR="00964A9A" w:rsidRPr="00491875" w:rsidRDefault="00964A9A" w:rsidP="00964A9A">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(2,011)</w:t>
            </w:r>
          </w:p>
          <w:p w14:paraId="550C42EC" w14:textId="77777777" w:rsidR="00964A9A" w:rsidRPr="00491875" w:rsidRDefault="00964A9A" w:rsidP="00964A9A">
            <w:pPr>
              <w:pStyle w:val="T1TableStyle"/>
              <w:jc w:val="right"/>
              <w:rPr>
                <w:rFonts w:ascii="Verdana" w:eastAsia="Verdana" w:hAnsi="Verdana" w:cs="Verdana"/>
                <w:color w:val="000000"/>
                <w:sz w:val="16"/>
                <w:lang w:val="en-GB"/>
              </w:rPr>
            </w:pPr>
          </w:p>
          <w:p w14:paraId="52704D99" w14:textId="77777777" w:rsidR="00964A9A" w:rsidRPr="00491875" w:rsidRDefault="00964A9A" w:rsidP="00964A9A">
            <w:pPr>
              <w:pStyle w:val="T1TableStyle"/>
              <w:jc w:val="right"/>
              <w:rPr>
                <w:rFonts w:ascii="Verdana" w:eastAsia="Verdana" w:hAnsi="Verdana" w:cs="Verdana"/>
                <w:color w:val="000000"/>
                <w:sz w:val="16"/>
                <w:lang w:val="en-GB"/>
              </w:rPr>
            </w:pPr>
          </w:p>
          <w:p w14:paraId="395DCCB6" w14:textId="77777777" w:rsidR="00964A9A" w:rsidRPr="00491875" w:rsidRDefault="00964A9A" w:rsidP="00964A9A">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1,071</w:t>
            </w:r>
          </w:p>
        </w:tc>
        <w:tc>
          <w:tcPr>
            <w:tcW w:w="1335" w:type="dxa"/>
            <w:tcBorders>
              <w:bottom w:val="single" w:sz="2" w:space="0" w:color="000000"/>
            </w:tcBorders>
            <w:shd w:val="clear" w:color="auto" w:fill="auto"/>
            <w:tcMar>
              <w:top w:w="20" w:type="dxa"/>
              <w:left w:w="20" w:type="dxa"/>
              <w:bottom w:w="20" w:type="dxa"/>
              <w:right w:w="20" w:type="dxa"/>
            </w:tcMar>
          </w:tcPr>
          <w:p w14:paraId="5E832BB2" w14:textId="77777777" w:rsidR="00964A9A" w:rsidRPr="00491875" w:rsidRDefault="00964A9A" w:rsidP="00964A9A">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0</w:t>
            </w:r>
          </w:p>
          <w:p w14:paraId="693033BD" w14:textId="77777777" w:rsidR="00964A9A" w:rsidRPr="00491875" w:rsidRDefault="00964A9A" w:rsidP="00964A9A">
            <w:pPr>
              <w:pStyle w:val="T1TableStyle"/>
              <w:jc w:val="right"/>
              <w:rPr>
                <w:rFonts w:ascii="Verdana" w:eastAsia="Verdana" w:hAnsi="Verdana" w:cs="Verdana"/>
                <w:color w:val="000000"/>
                <w:sz w:val="16"/>
                <w:lang w:val="en-GB"/>
              </w:rPr>
            </w:pPr>
          </w:p>
          <w:p w14:paraId="793DBEF6" w14:textId="77777777" w:rsidR="00964A9A" w:rsidRPr="00491875" w:rsidRDefault="00964A9A" w:rsidP="00964A9A">
            <w:pPr>
              <w:pStyle w:val="T1TableStyle"/>
              <w:jc w:val="right"/>
              <w:rPr>
                <w:rFonts w:ascii="Verdana" w:eastAsia="Verdana" w:hAnsi="Verdana" w:cs="Verdana"/>
                <w:color w:val="000000"/>
                <w:sz w:val="16"/>
                <w:lang w:val="en-GB"/>
              </w:rPr>
            </w:pPr>
          </w:p>
          <w:p w14:paraId="50D3D362" w14:textId="77777777" w:rsidR="00964A9A" w:rsidRPr="00491875" w:rsidRDefault="00964A9A" w:rsidP="00964A9A">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0</w:t>
            </w:r>
          </w:p>
        </w:tc>
        <w:tc>
          <w:tcPr>
            <w:tcW w:w="1080" w:type="dxa"/>
            <w:tcBorders>
              <w:bottom w:val="single" w:sz="2" w:space="0" w:color="000000"/>
            </w:tcBorders>
            <w:shd w:val="clear" w:color="auto" w:fill="auto"/>
            <w:tcMar>
              <w:top w:w="20" w:type="dxa"/>
              <w:left w:w="20" w:type="dxa"/>
              <w:bottom w:w="20" w:type="dxa"/>
              <w:right w:w="20" w:type="dxa"/>
            </w:tcMar>
          </w:tcPr>
          <w:p w14:paraId="696145B8" w14:textId="77777777" w:rsidR="00964A9A" w:rsidRPr="00491875" w:rsidRDefault="00964A9A" w:rsidP="00964A9A">
            <w:pPr>
              <w:pStyle w:val="T1TableStyle"/>
              <w:jc w:val="right"/>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080" w:type="dxa"/>
            <w:tcBorders>
              <w:bottom w:val="single" w:sz="2" w:space="0" w:color="000000"/>
            </w:tcBorders>
            <w:shd w:val="clear" w:color="auto" w:fill="auto"/>
            <w:tcMar>
              <w:top w:w="20" w:type="dxa"/>
              <w:left w:w="20" w:type="dxa"/>
              <w:bottom w:w="20" w:type="dxa"/>
              <w:right w:w="20" w:type="dxa"/>
            </w:tcMar>
          </w:tcPr>
          <w:p w14:paraId="53BC8BFE" w14:textId="77777777" w:rsidR="00964A9A" w:rsidRPr="00491875" w:rsidRDefault="00964A9A" w:rsidP="00964A9A">
            <w:pPr>
              <w:pStyle w:val="T1TableStyle"/>
              <w:jc w:val="right"/>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230"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3537B8D"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0</w:t>
            </w:r>
          </w:p>
          <w:p w14:paraId="34B76F65" w14:textId="77777777" w:rsidR="00964A9A" w:rsidRPr="00491875" w:rsidRDefault="00964A9A" w:rsidP="00964A9A">
            <w:pPr>
              <w:pStyle w:val="T1TableStyle"/>
              <w:jc w:val="right"/>
              <w:rPr>
                <w:rFonts w:ascii="Verdana" w:eastAsia="Verdana" w:hAnsi="Verdana" w:cs="Verdana"/>
                <w:b/>
                <w:color w:val="000000"/>
                <w:sz w:val="16"/>
                <w:lang w:val="en-GB"/>
              </w:rPr>
            </w:pPr>
          </w:p>
          <w:p w14:paraId="7C393EBF" w14:textId="77777777" w:rsidR="00964A9A" w:rsidRPr="00491875" w:rsidRDefault="00964A9A" w:rsidP="00964A9A">
            <w:pPr>
              <w:pStyle w:val="T1TableStyle"/>
              <w:jc w:val="right"/>
              <w:rPr>
                <w:rFonts w:ascii="Verdana" w:eastAsia="Verdana" w:hAnsi="Verdana" w:cs="Verdana"/>
                <w:b/>
                <w:color w:val="000000"/>
                <w:sz w:val="16"/>
                <w:lang w:val="en-GB"/>
              </w:rPr>
            </w:pPr>
          </w:p>
          <w:p w14:paraId="3B291A0D"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0</w:t>
            </w:r>
          </w:p>
        </w:tc>
        <w:tc>
          <w:tcPr>
            <w:tcW w:w="1335" w:type="dxa"/>
            <w:tcBorders>
              <w:bottom w:val="single" w:sz="2" w:space="0" w:color="000000"/>
            </w:tcBorders>
            <w:shd w:val="clear" w:color="auto" w:fill="auto"/>
            <w:tcMar>
              <w:top w:w="20" w:type="dxa"/>
              <w:left w:w="20" w:type="dxa"/>
              <w:bottom w:w="20" w:type="dxa"/>
              <w:right w:w="20" w:type="dxa"/>
            </w:tcMar>
          </w:tcPr>
          <w:p w14:paraId="32D93785" w14:textId="77777777" w:rsidR="00964A9A" w:rsidRPr="00491875" w:rsidRDefault="00964A9A" w:rsidP="00964A9A">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0</w:t>
            </w:r>
          </w:p>
          <w:p w14:paraId="5233B824" w14:textId="77777777" w:rsidR="00964A9A" w:rsidRPr="00491875" w:rsidRDefault="00964A9A" w:rsidP="00964A9A">
            <w:pPr>
              <w:pStyle w:val="T1TableStyle"/>
              <w:jc w:val="right"/>
              <w:rPr>
                <w:rFonts w:ascii="Verdana" w:eastAsia="Verdana" w:hAnsi="Verdana" w:cs="Verdana"/>
                <w:color w:val="000000"/>
                <w:sz w:val="16"/>
                <w:lang w:val="en-GB"/>
              </w:rPr>
            </w:pPr>
          </w:p>
          <w:p w14:paraId="252C1A37" w14:textId="77777777" w:rsidR="00964A9A" w:rsidRPr="00491875" w:rsidRDefault="00964A9A" w:rsidP="00964A9A">
            <w:pPr>
              <w:pStyle w:val="T1TableStyle"/>
              <w:jc w:val="right"/>
              <w:rPr>
                <w:rFonts w:ascii="Verdana" w:eastAsia="Verdana" w:hAnsi="Verdana" w:cs="Verdana"/>
                <w:color w:val="000000"/>
                <w:sz w:val="16"/>
                <w:lang w:val="en-GB"/>
              </w:rPr>
            </w:pPr>
          </w:p>
          <w:p w14:paraId="27F6815B" w14:textId="77777777" w:rsidR="00964A9A" w:rsidRPr="00491875" w:rsidRDefault="00964A9A" w:rsidP="00964A9A">
            <w:pPr>
              <w:pStyle w:val="T1TableStyle"/>
              <w:jc w:val="right"/>
              <w:rPr>
                <w:rFonts w:ascii="Verdana" w:eastAsia="Verdana" w:hAnsi="Verdana" w:cs="Verdana"/>
                <w:color w:val="000000"/>
                <w:sz w:val="16"/>
                <w:lang w:val="en-GB"/>
              </w:rPr>
            </w:pPr>
            <w:r w:rsidRPr="00491875">
              <w:rPr>
                <w:rFonts w:ascii="Verdana" w:eastAsia="Verdana" w:hAnsi="Verdana" w:cs="Verdana"/>
                <w:color w:val="000000"/>
                <w:sz w:val="16"/>
                <w:lang w:val="en-GB"/>
              </w:rPr>
              <w:t>0</w:t>
            </w:r>
          </w:p>
          <w:p w14:paraId="36CD3D93" w14:textId="77777777" w:rsidR="00964A9A" w:rsidRPr="00491875" w:rsidRDefault="00964A9A" w:rsidP="00964A9A">
            <w:pPr>
              <w:pStyle w:val="T1TableStyle"/>
              <w:jc w:val="center"/>
              <w:rPr>
                <w:rFonts w:ascii="Verdana" w:eastAsia="Verdana" w:hAnsi="Verdana" w:cs="Verdana"/>
                <w:color w:val="000000"/>
                <w:sz w:val="16"/>
                <w:lang w:val="en-GB"/>
              </w:rPr>
            </w:pPr>
          </w:p>
          <w:p w14:paraId="7AC00F1C" w14:textId="77777777" w:rsidR="00964A9A" w:rsidRPr="00491875" w:rsidRDefault="00964A9A" w:rsidP="00964A9A">
            <w:pPr>
              <w:pStyle w:val="T1TableStyle"/>
              <w:jc w:val="right"/>
              <w:rPr>
                <w:rFonts w:ascii="Verdana" w:eastAsia="Verdana" w:hAnsi="Verdana" w:cs="Verdana"/>
                <w:color w:val="000000"/>
                <w:sz w:val="16"/>
                <w:lang w:val="en-GB"/>
              </w:rPr>
            </w:pPr>
          </w:p>
        </w:tc>
        <w:tc>
          <w:tcPr>
            <w:tcW w:w="1335" w:type="dxa"/>
            <w:tcBorders>
              <w:left w:val="single" w:sz="2" w:space="0" w:color="000000"/>
              <w:bottom w:val="single" w:sz="2" w:space="0" w:color="000000"/>
            </w:tcBorders>
            <w:shd w:val="clear" w:color="auto" w:fill="auto"/>
            <w:tcMar>
              <w:top w:w="20" w:type="dxa"/>
              <w:left w:w="20" w:type="dxa"/>
              <w:bottom w:w="20" w:type="dxa"/>
              <w:right w:w="20" w:type="dxa"/>
            </w:tcMar>
          </w:tcPr>
          <w:p w14:paraId="351095CA"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0</w:t>
            </w:r>
          </w:p>
          <w:p w14:paraId="584F4085" w14:textId="77777777" w:rsidR="00964A9A" w:rsidRPr="00491875" w:rsidRDefault="00964A9A" w:rsidP="00964A9A">
            <w:pPr>
              <w:pStyle w:val="T1TableStyle"/>
              <w:jc w:val="right"/>
              <w:rPr>
                <w:rFonts w:ascii="Verdana" w:eastAsia="Verdana" w:hAnsi="Verdana" w:cs="Verdana"/>
                <w:b/>
                <w:color w:val="000000"/>
                <w:sz w:val="16"/>
                <w:lang w:val="en-GB"/>
              </w:rPr>
            </w:pPr>
          </w:p>
          <w:p w14:paraId="736B1BDC" w14:textId="77777777" w:rsidR="00964A9A" w:rsidRPr="00491875" w:rsidRDefault="00964A9A" w:rsidP="00964A9A">
            <w:pPr>
              <w:pStyle w:val="T1TableStyle"/>
              <w:jc w:val="right"/>
              <w:rPr>
                <w:rFonts w:ascii="Verdana" w:eastAsia="Verdana" w:hAnsi="Verdana" w:cs="Verdana"/>
                <w:b/>
                <w:color w:val="000000"/>
                <w:sz w:val="16"/>
                <w:lang w:val="en-GB"/>
              </w:rPr>
            </w:pPr>
          </w:p>
          <w:p w14:paraId="6F18B630"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0</w:t>
            </w:r>
          </w:p>
          <w:p w14:paraId="2212459A" w14:textId="77777777" w:rsidR="00964A9A" w:rsidRPr="00491875" w:rsidRDefault="00964A9A" w:rsidP="00964A9A">
            <w:pPr>
              <w:pStyle w:val="T1TableStyle"/>
              <w:jc w:val="right"/>
              <w:rPr>
                <w:rFonts w:ascii="Verdana" w:eastAsia="Verdana" w:hAnsi="Verdana" w:cs="Verdana"/>
                <w:b/>
                <w:color w:val="000000"/>
                <w:sz w:val="16"/>
                <w:lang w:val="en-GB"/>
              </w:rPr>
            </w:pPr>
          </w:p>
        </w:tc>
      </w:tr>
      <w:tr w:rsidR="00964A9A" w:rsidRPr="00491875" w14:paraId="6BD819A2" w14:textId="77777777" w:rsidTr="00F363FD">
        <w:trPr>
          <w:trHeight w:val="420"/>
          <w:jc w:val="center"/>
        </w:trPr>
        <w:tc>
          <w:tcPr>
            <w:tcW w:w="2835" w:type="dxa"/>
            <w:tcBorders>
              <w:top w:val="single" w:sz="2" w:space="0" w:color="000000"/>
              <w:bottom w:val="single" w:sz="2" w:space="0" w:color="000000"/>
            </w:tcBorders>
            <w:shd w:val="clear" w:color="auto" w:fill="auto"/>
            <w:tcMar>
              <w:top w:w="20" w:type="dxa"/>
              <w:left w:w="20" w:type="dxa"/>
              <w:bottom w:w="20" w:type="dxa"/>
              <w:right w:w="20" w:type="dxa"/>
            </w:tcMar>
          </w:tcPr>
          <w:p w14:paraId="01849B2A" w14:textId="77777777" w:rsidR="00964A9A" w:rsidRPr="00491875" w:rsidRDefault="00964A9A" w:rsidP="006E66DD">
            <w:pPr>
              <w:pStyle w:val="T1TableStyle"/>
              <w:rPr>
                <w:rFonts w:ascii="Verdana" w:eastAsia="Verdana" w:hAnsi="Verdana" w:cs="Verdana"/>
                <w:b/>
                <w:color w:val="000000"/>
                <w:sz w:val="16"/>
                <w:lang w:val="en-GB"/>
              </w:rPr>
            </w:pPr>
            <w:r w:rsidRPr="00491875">
              <w:rPr>
                <w:rFonts w:ascii="Verdana" w:eastAsia="Verdana" w:hAnsi="Verdana" w:cs="Verdana"/>
                <w:b/>
                <w:color w:val="000000"/>
                <w:sz w:val="16"/>
                <w:lang w:val="en-GB"/>
              </w:rPr>
              <w:t>Increase or Decrease in 201</w:t>
            </w:r>
            <w:r w:rsidR="006E66DD" w:rsidRPr="00491875">
              <w:rPr>
                <w:rFonts w:ascii="Verdana" w:eastAsia="Verdana" w:hAnsi="Verdana" w:cs="Verdana"/>
                <w:b/>
                <w:color w:val="000000"/>
                <w:sz w:val="16"/>
                <w:lang w:val="en-GB"/>
              </w:rPr>
              <w:t>9</w:t>
            </w:r>
            <w:r w:rsidRPr="00491875">
              <w:rPr>
                <w:rFonts w:ascii="Verdana" w:eastAsia="Verdana" w:hAnsi="Verdana" w:cs="Verdana"/>
                <w:b/>
                <w:color w:val="000000"/>
                <w:sz w:val="16"/>
                <w:lang w:val="en-GB"/>
              </w:rPr>
              <w:t>/</w:t>
            </w:r>
            <w:r w:rsidR="006E66DD" w:rsidRPr="00491875">
              <w:rPr>
                <w:rFonts w:ascii="Verdana" w:eastAsia="Verdana" w:hAnsi="Verdana" w:cs="Verdana"/>
                <w:b/>
                <w:color w:val="000000"/>
                <w:sz w:val="16"/>
                <w:lang w:val="en-GB"/>
              </w:rPr>
              <w:t>20</w:t>
            </w:r>
          </w:p>
        </w:tc>
        <w:tc>
          <w:tcPr>
            <w:tcW w:w="1230"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14:paraId="57415886"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(1,308)</w:t>
            </w:r>
          </w:p>
        </w:tc>
        <w:tc>
          <w:tcPr>
            <w:tcW w:w="1125" w:type="dxa"/>
            <w:tcBorders>
              <w:top w:val="single" w:sz="2" w:space="0" w:color="000000"/>
              <w:bottom w:val="single" w:sz="2" w:space="0" w:color="000000"/>
            </w:tcBorders>
            <w:shd w:val="clear" w:color="auto" w:fill="auto"/>
            <w:tcMar>
              <w:top w:w="20" w:type="dxa"/>
              <w:left w:w="20" w:type="dxa"/>
              <w:bottom w:w="20" w:type="dxa"/>
              <w:right w:w="20" w:type="dxa"/>
            </w:tcMar>
          </w:tcPr>
          <w:p w14:paraId="00EDE45A"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(940)</w:t>
            </w:r>
          </w:p>
        </w:tc>
        <w:tc>
          <w:tcPr>
            <w:tcW w:w="1335" w:type="dxa"/>
            <w:tcBorders>
              <w:top w:val="single" w:sz="2" w:space="0" w:color="000000"/>
              <w:bottom w:val="single" w:sz="2" w:space="0" w:color="000000"/>
            </w:tcBorders>
            <w:shd w:val="clear" w:color="auto" w:fill="auto"/>
            <w:tcMar>
              <w:top w:w="20" w:type="dxa"/>
              <w:left w:w="20" w:type="dxa"/>
              <w:bottom w:w="20" w:type="dxa"/>
              <w:right w:w="20" w:type="dxa"/>
            </w:tcMar>
          </w:tcPr>
          <w:p w14:paraId="415DFD34"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(2,248)</w:t>
            </w:r>
          </w:p>
        </w:tc>
        <w:tc>
          <w:tcPr>
            <w:tcW w:w="1080" w:type="dxa"/>
            <w:tcBorders>
              <w:top w:val="single" w:sz="2" w:space="0" w:color="000000"/>
              <w:bottom w:val="single" w:sz="2" w:space="0" w:color="000000"/>
            </w:tcBorders>
            <w:shd w:val="clear" w:color="auto" w:fill="auto"/>
            <w:tcMar>
              <w:top w:w="20" w:type="dxa"/>
              <w:left w:w="20" w:type="dxa"/>
              <w:bottom w:w="20" w:type="dxa"/>
              <w:right w:w="20" w:type="dxa"/>
            </w:tcMar>
          </w:tcPr>
          <w:p w14:paraId="4DC789AF"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3,799</w:t>
            </w:r>
          </w:p>
        </w:tc>
        <w:tc>
          <w:tcPr>
            <w:tcW w:w="1080" w:type="dxa"/>
            <w:tcBorders>
              <w:top w:val="single" w:sz="2" w:space="0" w:color="000000"/>
              <w:bottom w:val="single" w:sz="2" w:space="0" w:color="000000"/>
            </w:tcBorders>
            <w:shd w:val="clear" w:color="auto" w:fill="auto"/>
            <w:tcMar>
              <w:top w:w="20" w:type="dxa"/>
              <w:left w:w="20" w:type="dxa"/>
              <w:bottom w:w="20" w:type="dxa"/>
              <w:right w:w="20" w:type="dxa"/>
            </w:tcMar>
          </w:tcPr>
          <w:p w14:paraId="7AF9E30D"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(1,629)</w:t>
            </w:r>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F8859D0"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(78)</w:t>
            </w:r>
          </w:p>
        </w:tc>
        <w:tc>
          <w:tcPr>
            <w:tcW w:w="1335" w:type="dxa"/>
            <w:tcBorders>
              <w:top w:val="single" w:sz="2" w:space="0" w:color="000000"/>
              <w:bottom w:val="single" w:sz="2" w:space="0" w:color="000000"/>
            </w:tcBorders>
            <w:shd w:val="clear" w:color="auto" w:fill="auto"/>
            <w:tcMar>
              <w:top w:w="20" w:type="dxa"/>
              <w:left w:w="20" w:type="dxa"/>
              <w:bottom w:w="20" w:type="dxa"/>
              <w:right w:w="20" w:type="dxa"/>
            </w:tcMar>
          </w:tcPr>
          <w:p w14:paraId="0CEA7694"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(7,274)</w:t>
            </w:r>
          </w:p>
        </w:tc>
        <w:tc>
          <w:tcPr>
            <w:tcW w:w="1335"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14:paraId="19D3C277"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(7,352)</w:t>
            </w:r>
          </w:p>
        </w:tc>
      </w:tr>
      <w:tr w:rsidR="00964A9A" w:rsidRPr="00491875" w14:paraId="59364DAE" w14:textId="77777777" w:rsidTr="00F363FD">
        <w:trPr>
          <w:trHeight w:val="300"/>
          <w:jc w:val="center"/>
        </w:trPr>
        <w:tc>
          <w:tcPr>
            <w:tcW w:w="2835" w:type="dxa"/>
            <w:tcBorders>
              <w:top w:val="single" w:sz="2" w:space="0" w:color="000000"/>
              <w:bottom w:val="single" w:sz="12" w:space="0" w:color="000000"/>
            </w:tcBorders>
            <w:shd w:val="clear" w:color="auto" w:fill="auto"/>
            <w:tcMar>
              <w:top w:w="20" w:type="dxa"/>
              <w:left w:w="20" w:type="dxa"/>
              <w:bottom w:w="20" w:type="dxa"/>
              <w:right w:w="20" w:type="dxa"/>
            </w:tcMar>
          </w:tcPr>
          <w:p w14:paraId="5C5C43DA" w14:textId="77777777" w:rsidR="00964A9A" w:rsidRPr="00491875" w:rsidRDefault="00964A9A" w:rsidP="006E66DD">
            <w:pPr>
              <w:pStyle w:val="T1TableStyle"/>
              <w:rPr>
                <w:rFonts w:ascii="Verdana" w:eastAsia="Verdana" w:hAnsi="Verdana" w:cs="Verdana"/>
                <w:b/>
                <w:color w:val="000000"/>
                <w:sz w:val="16"/>
                <w:lang w:val="en-GB"/>
              </w:rPr>
            </w:pPr>
            <w:r w:rsidRPr="00491875">
              <w:rPr>
                <w:rFonts w:ascii="Verdana" w:eastAsia="Verdana" w:hAnsi="Verdana" w:cs="Verdana"/>
                <w:b/>
                <w:color w:val="000000"/>
                <w:sz w:val="16"/>
                <w:lang w:val="en-GB"/>
              </w:rPr>
              <w:t>Balance at 31 March 20</w:t>
            </w:r>
            <w:r w:rsidR="006E66DD" w:rsidRPr="00491875">
              <w:rPr>
                <w:rFonts w:ascii="Verdana" w:eastAsia="Verdana" w:hAnsi="Verdana" w:cs="Verdana"/>
                <w:b/>
                <w:color w:val="000000"/>
                <w:sz w:val="16"/>
                <w:lang w:val="en-GB"/>
              </w:rPr>
              <w:t>20</w:t>
            </w:r>
          </w:p>
        </w:tc>
        <w:tc>
          <w:tcPr>
            <w:tcW w:w="1230" w:type="dxa"/>
            <w:tcBorders>
              <w:top w:val="single" w:sz="2" w:space="0" w:color="000000"/>
              <w:left w:val="single" w:sz="2" w:space="0" w:color="000000"/>
              <w:bottom w:val="single" w:sz="12" w:space="0" w:color="000000"/>
            </w:tcBorders>
            <w:shd w:val="clear" w:color="auto" w:fill="auto"/>
            <w:tcMar>
              <w:top w:w="20" w:type="dxa"/>
              <w:left w:w="20" w:type="dxa"/>
              <w:bottom w:w="20" w:type="dxa"/>
              <w:right w:w="20" w:type="dxa"/>
            </w:tcMar>
          </w:tcPr>
          <w:p w14:paraId="5AA3E087"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(8,120)</w:t>
            </w:r>
          </w:p>
        </w:tc>
        <w:tc>
          <w:tcPr>
            <w:tcW w:w="1125" w:type="dxa"/>
            <w:tcBorders>
              <w:top w:val="single" w:sz="2" w:space="0" w:color="000000"/>
              <w:bottom w:val="single" w:sz="12" w:space="0" w:color="000000"/>
            </w:tcBorders>
            <w:shd w:val="clear" w:color="auto" w:fill="auto"/>
            <w:tcMar>
              <w:top w:w="20" w:type="dxa"/>
              <w:left w:w="20" w:type="dxa"/>
              <w:bottom w:w="20" w:type="dxa"/>
              <w:right w:w="20" w:type="dxa"/>
            </w:tcMar>
          </w:tcPr>
          <w:p w14:paraId="5BE98F2E"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(11,381)</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14:paraId="2A26C662"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(19,501)</w:t>
            </w:r>
          </w:p>
        </w:tc>
        <w:tc>
          <w:tcPr>
            <w:tcW w:w="1080" w:type="dxa"/>
            <w:tcBorders>
              <w:top w:val="single" w:sz="2" w:space="0" w:color="000000"/>
              <w:bottom w:val="single" w:sz="12" w:space="0" w:color="000000"/>
            </w:tcBorders>
            <w:shd w:val="clear" w:color="auto" w:fill="auto"/>
            <w:tcMar>
              <w:top w:w="20" w:type="dxa"/>
              <w:left w:w="20" w:type="dxa"/>
              <w:bottom w:w="20" w:type="dxa"/>
              <w:right w:w="20" w:type="dxa"/>
            </w:tcMar>
          </w:tcPr>
          <w:p w14:paraId="2C955BF2"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(197)</w:t>
            </w:r>
          </w:p>
        </w:tc>
        <w:tc>
          <w:tcPr>
            <w:tcW w:w="1080" w:type="dxa"/>
            <w:tcBorders>
              <w:top w:val="single" w:sz="2" w:space="0" w:color="000000"/>
              <w:bottom w:val="single" w:sz="12" w:space="0" w:color="000000"/>
            </w:tcBorders>
            <w:shd w:val="clear" w:color="auto" w:fill="auto"/>
            <w:tcMar>
              <w:top w:w="20" w:type="dxa"/>
              <w:left w:w="20" w:type="dxa"/>
              <w:bottom w:w="20" w:type="dxa"/>
              <w:right w:w="20" w:type="dxa"/>
            </w:tcMar>
          </w:tcPr>
          <w:p w14:paraId="78F50B2F"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(2,946)</w:t>
            </w:r>
          </w:p>
        </w:tc>
        <w:tc>
          <w:tcPr>
            <w:tcW w:w="1230" w:type="dxa"/>
            <w:tcBorders>
              <w:top w:val="single" w:sz="2" w:space="0" w:color="000000"/>
              <w:left w:val="single" w:sz="2" w:space="0" w:color="000000"/>
              <w:bottom w:val="single" w:sz="12" w:space="0" w:color="000000"/>
              <w:right w:val="single" w:sz="2" w:space="0" w:color="000000"/>
            </w:tcBorders>
            <w:shd w:val="clear" w:color="auto" w:fill="auto"/>
            <w:tcMar>
              <w:top w:w="20" w:type="dxa"/>
              <w:left w:w="20" w:type="dxa"/>
              <w:bottom w:w="20" w:type="dxa"/>
              <w:right w:w="20" w:type="dxa"/>
            </w:tcMar>
          </w:tcPr>
          <w:p w14:paraId="6BBAF3B9"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(22,644)</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14:paraId="7E24DE8A"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(108,176)</w:t>
            </w:r>
          </w:p>
        </w:tc>
        <w:tc>
          <w:tcPr>
            <w:tcW w:w="1335" w:type="dxa"/>
            <w:tcBorders>
              <w:top w:val="single" w:sz="2" w:space="0" w:color="000000"/>
              <w:left w:val="single" w:sz="2" w:space="0" w:color="000000"/>
              <w:bottom w:val="single" w:sz="12" w:space="0" w:color="000000"/>
            </w:tcBorders>
            <w:shd w:val="clear" w:color="auto" w:fill="auto"/>
            <w:tcMar>
              <w:top w:w="20" w:type="dxa"/>
              <w:left w:w="20" w:type="dxa"/>
              <w:bottom w:w="20" w:type="dxa"/>
              <w:right w:w="20" w:type="dxa"/>
            </w:tcMar>
          </w:tcPr>
          <w:p w14:paraId="677A4858" w14:textId="77777777" w:rsidR="00964A9A" w:rsidRPr="00491875" w:rsidRDefault="00964A9A" w:rsidP="00964A9A">
            <w:pPr>
              <w:pStyle w:val="T1TableStyle"/>
              <w:jc w:val="right"/>
              <w:rPr>
                <w:rFonts w:ascii="Verdana" w:eastAsia="Verdana" w:hAnsi="Verdana" w:cs="Verdana"/>
                <w:b/>
                <w:color w:val="000000"/>
                <w:sz w:val="16"/>
                <w:lang w:val="en-GB"/>
              </w:rPr>
            </w:pPr>
            <w:r w:rsidRPr="00491875">
              <w:rPr>
                <w:rFonts w:ascii="Verdana" w:eastAsia="Verdana" w:hAnsi="Verdana" w:cs="Verdana"/>
                <w:b/>
                <w:color w:val="000000"/>
                <w:sz w:val="16"/>
                <w:lang w:val="en-GB"/>
              </w:rPr>
              <w:t>(130,820)</w:t>
            </w:r>
          </w:p>
        </w:tc>
      </w:tr>
      <w:tr w:rsidR="00964A9A" w:rsidRPr="00491875" w14:paraId="36B4863F" w14:textId="77777777" w:rsidTr="00F363FD">
        <w:trPr>
          <w:trHeight w:hRule="exact" w:val="135"/>
          <w:jc w:val="center"/>
        </w:trPr>
        <w:tc>
          <w:tcPr>
            <w:tcW w:w="2835" w:type="dxa"/>
            <w:shd w:val="clear" w:color="auto" w:fill="auto"/>
            <w:tcMar>
              <w:top w:w="20" w:type="dxa"/>
              <w:left w:w="20" w:type="dxa"/>
              <w:bottom w:w="20" w:type="dxa"/>
              <w:right w:w="20" w:type="dxa"/>
            </w:tcMar>
          </w:tcPr>
          <w:p w14:paraId="134EF3C4" w14:textId="77777777" w:rsidR="00964A9A" w:rsidRPr="00491875" w:rsidRDefault="00964A9A" w:rsidP="00964A9A">
            <w:pPr>
              <w:pStyle w:val="T1TableStyle"/>
              <w:jc w:val="center"/>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14:paraId="56EA5ABA" w14:textId="77777777" w:rsidR="00964A9A" w:rsidRPr="00491875" w:rsidRDefault="00964A9A" w:rsidP="00964A9A">
            <w:pPr>
              <w:pStyle w:val="T1TableStyle"/>
              <w:jc w:val="center"/>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125" w:type="dxa"/>
            <w:shd w:val="clear" w:color="auto" w:fill="auto"/>
            <w:tcMar>
              <w:top w:w="20" w:type="dxa"/>
              <w:left w:w="20" w:type="dxa"/>
              <w:bottom w:w="20" w:type="dxa"/>
              <w:right w:w="20" w:type="dxa"/>
            </w:tcMar>
          </w:tcPr>
          <w:p w14:paraId="77A77812" w14:textId="77777777" w:rsidR="00964A9A" w:rsidRPr="00491875" w:rsidRDefault="00964A9A" w:rsidP="00964A9A">
            <w:pPr>
              <w:pStyle w:val="T1TableStyle"/>
              <w:jc w:val="center"/>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14:paraId="6EB636F5" w14:textId="77777777" w:rsidR="00964A9A" w:rsidRPr="00491875" w:rsidRDefault="00964A9A" w:rsidP="00964A9A">
            <w:pPr>
              <w:pStyle w:val="T1TableStyle"/>
              <w:jc w:val="center"/>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080" w:type="dxa"/>
            <w:shd w:val="clear" w:color="auto" w:fill="auto"/>
            <w:tcMar>
              <w:top w:w="20" w:type="dxa"/>
              <w:left w:w="20" w:type="dxa"/>
              <w:bottom w:w="20" w:type="dxa"/>
              <w:right w:w="20" w:type="dxa"/>
            </w:tcMar>
          </w:tcPr>
          <w:p w14:paraId="5F674EE9" w14:textId="77777777" w:rsidR="00964A9A" w:rsidRPr="00491875" w:rsidRDefault="00964A9A" w:rsidP="00964A9A">
            <w:pPr>
              <w:pStyle w:val="T1TableStyle"/>
              <w:jc w:val="center"/>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080" w:type="dxa"/>
            <w:shd w:val="clear" w:color="auto" w:fill="auto"/>
            <w:tcMar>
              <w:top w:w="20" w:type="dxa"/>
              <w:left w:w="20" w:type="dxa"/>
              <w:bottom w:w="20" w:type="dxa"/>
              <w:right w:w="20" w:type="dxa"/>
            </w:tcMar>
          </w:tcPr>
          <w:p w14:paraId="194B2EDE" w14:textId="77777777" w:rsidR="00964A9A" w:rsidRPr="00491875" w:rsidRDefault="00964A9A" w:rsidP="00964A9A">
            <w:pPr>
              <w:pStyle w:val="T1TableStyle"/>
              <w:jc w:val="center"/>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14:paraId="7451B58A" w14:textId="77777777" w:rsidR="00964A9A" w:rsidRPr="00491875" w:rsidRDefault="00964A9A" w:rsidP="00964A9A">
            <w:pPr>
              <w:pStyle w:val="T1TableStyle"/>
              <w:jc w:val="center"/>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vAlign w:val="center"/>
          </w:tcPr>
          <w:p w14:paraId="7DAE667D" w14:textId="77777777" w:rsidR="00964A9A" w:rsidRPr="00491875" w:rsidRDefault="00964A9A" w:rsidP="00964A9A">
            <w:pPr>
              <w:pStyle w:val="T1TableStyle"/>
              <w:jc w:val="center"/>
              <w:rPr>
                <w:rFonts w:ascii="Calibri" w:eastAsia="Calibri" w:hAnsi="Calibri" w:cs="Calibri"/>
                <w:color w:val="000000"/>
                <w:sz w:val="2"/>
                <w:lang w:val="en-GB"/>
              </w:rPr>
            </w:pPr>
            <w:r w:rsidRPr="00491875">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14:paraId="269ED740" w14:textId="77777777" w:rsidR="00964A9A" w:rsidRPr="00491875" w:rsidRDefault="00964A9A" w:rsidP="00964A9A">
            <w:pPr>
              <w:pStyle w:val="T1TableStyle"/>
              <w:jc w:val="center"/>
              <w:rPr>
                <w:rFonts w:ascii="Verdana" w:eastAsia="Verdana" w:hAnsi="Verdana" w:cs="Verdana"/>
                <w:color w:val="000000"/>
                <w:sz w:val="2"/>
                <w:lang w:val="en-GB"/>
              </w:rPr>
            </w:pPr>
            <w:r w:rsidRPr="00491875">
              <w:rPr>
                <w:rFonts w:ascii="Verdana" w:eastAsia="Verdana" w:hAnsi="Verdana" w:cs="Verdana"/>
                <w:color w:val="000000"/>
                <w:sz w:val="2"/>
                <w:lang w:val="en-GB"/>
              </w:rPr>
              <w:t xml:space="preserve"> </w:t>
            </w:r>
          </w:p>
        </w:tc>
      </w:tr>
    </w:tbl>
    <w:p w14:paraId="468EEA1D" w14:textId="77777777" w:rsidR="00CA6653" w:rsidRPr="003516A4" w:rsidRDefault="00CA6653">
      <w:pPr>
        <w:pStyle w:val="T1TableStyle"/>
        <w:rPr>
          <w:highlight w:val="yellow"/>
          <w:lang w:val="en-GB"/>
        </w:rPr>
      </w:pPr>
    </w:p>
    <w:p w14:paraId="73B84275" w14:textId="77777777" w:rsidR="00CA6653" w:rsidRPr="003516A4" w:rsidRDefault="00CA6653" w:rsidP="00CA6653">
      <w:pPr>
        <w:pStyle w:val="Normal0"/>
        <w:spacing w:after="160" w:line="259" w:lineRule="auto"/>
        <w:rPr>
          <w:rFonts w:ascii="Verdana" w:hAnsi="Verdana"/>
          <w:sz w:val="22"/>
          <w:szCs w:val="22"/>
          <w:highlight w:val="yellow"/>
          <w:lang w:val="pt-BR"/>
        </w:rPr>
        <w:sectPr w:rsidR="00CA6653" w:rsidRPr="003516A4" w:rsidSect="00EB0E41">
          <w:pgSz w:w="16840" w:h="11900" w:orient="landscape"/>
          <w:pgMar w:top="1440" w:right="1440" w:bottom="1440" w:left="1440" w:header="708" w:footer="708" w:gutter="0"/>
          <w:cols w:space="708"/>
          <w:docGrid w:linePitch="360"/>
        </w:sectPr>
      </w:pPr>
    </w:p>
    <w:p w14:paraId="7EDA803B" w14:textId="77777777" w:rsidR="00CA6653" w:rsidRPr="00002748" w:rsidRDefault="00CA6653" w:rsidP="00A31A9E">
      <w:pPr>
        <w:pStyle w:val="Heading1"/>
      </w:pPr>
      <w:bookmarkStart w:id="12" w:name="_Toc75122766"/>
      <w:r w:rsidRPr="00002748">
        <w:t>Comprehensive Income and Expenditure Statement</w:t>
      </w:r>
      <w:bookmarkEnd w:id="12"/>
      <w:r w:rsidRPr="00002748">
        <w:t xml:space="preserve"> </w:t>
      </w:r>
    </w:p>
    <w:p w14:paraId="1F764FD8" w14:textId="77777777" w:rsidR="0019417B" w:rsidRDefault="0019417B" w:rsidP="0019417B">
      <w:pPr>
        <w:pStyle w:val="T1TableStyle"/>
        <w:jc w:val="both"/>
        <w:rPr>
          <w:rFonts w:ascii="Verdana" w:eastAsia="Verdana" w:hAnsi="Verdana" w:cs="Verdana"/>
          <w:sz w:val="22"/>
          <w:szCs w:val="22"/>
          <w:lang w:val="en-GB"/>
        </w:rPr>
      </w:pPr>
      <w:r w:rsidRPr="00002748">
        <w:rPr>
          <w:rFonts w:ascii="Verdana" w:eastAsia="Verdana" w:hAnsi="Verdana" w:cs="Verdana"/>
          <w:sz w:val="22"/>
          <w:szCs w:val="22"/>
          <w:lang w:val="en-GB"/>
        </w:rPr>
        <w:t>This Comprehensive Income and Expenditure Statement (CIES) shows the consolidated accounting cost in the year of providing services in accordance with generally accepted accounting practices, rather than the amount to be funded from taxation. Police and Crime Commissioners raise taxation to cover expenditure in accordance with regulations; this is different from the accounting cost. The adjustments between accounting basis and funding basis under regulations are shown in the Movement in Reserves Statement.</w:t>
      </w:r>
    </w:p>
    <w:p w14:paraId="29054708" w14:textId="77777777" w:rsidR="00951A60" w:rsidRDefault="00951A60" w:rsidP="0019417B">
      <w:pPr>
        <w:pStyle w:val="T1TableStyle"/>
        <w:jc w:val="both"/>
        <w:rPr>
          <w:rFonts w:ascii="Verdana" w:eastAsia="Verdana" w:hAnsi="Verdana" w:cs="Verdana"/>
          <w:sz w:val="22"/>
          <w:szCs w:val="22"/>
          <w:lang w:val="en-GB"/>
        </w:rPr>
      </w:pPr>
    </w:p>
    <w:p w14:paraId="2D778E19" w14:textId="2CBF6EC6" w:rsidR="00CA6653" w:rsidRPr="00C66BEC" w:rsidRDefault="00951A60" w:rsidP="0041394A">
      <w:pPr>
        <w:pStyle w:val="T1TableStyle"/>
        <w:jc w:val="both"/>
        <w:rPr>
          <w:rFonts w:eastAsia="Verdana"/>
          <w:lang w:val="en-GB"/>
        </w:rPr>
      </w:pPr>
      <w:r w:rsidRPr="0041394A">
        <w:rPr>
          <w:rFonts w:eastAsia="Verdana" w:cs="Verdana"/>
          <w:b/>
          <w:lang w:val="en-GB"/>
        </w:rPr>
        <w:t>Group</w:t>
      </w:r>
    </w:p>
    <w:tbl>
      <w:tblPr>
        <w:tblW w:w="5014" w:type="pct"/>
        <w:jc w:val="center"/>
        <w:tblLayout w:type="fixed"/>
        <w:tblLook w:val="04A0" w:firstRow="1" w:lastRow="0" w:firstColumn="1" w:lastColumn="0" w:noHBand="0" w:noVBand="1"/>
      </w:tblPr>
      <w:tblGrid>
        <w:gridCol w:w="1573"/>
        <w:gridCol w:w="1716"/>
        <w:gridCol w:w="1576"/>
        <w:gridCol w:w="734"/>
        <w:gridCol w:w="2979"/>
        <w:gridCol w:w="636"/>
        <w:gridCol w:w="1162"/>
        <w:gridCol w:w="2047"/>
        <w:gridCol w:w="1576"/>
      </w:tblGrid>
      <w:tr w:rsidR="004D417B" w:rsidRPr="00C66BEC" w14:paraId="5CE72B14" w14:textId="77777777" w:rsidTr="0041394A">
        <w:trPr>
          <w:trHeight w:val="54"/>
          <w:jc w:val="center"/>
        </w:trPr>
        <w:tc>
          <w:tcPr>
            <w:tcW w:w="1738" w:type="pct"/>
            <w:gridSpan w:val="3"/>
            <w:shd w:val="clear" w:color="auto" w:fill="auto"/>
            <w:tcMar>
              <w:top w:w="20" w:type="dxa"/>
              <w:left w:w="20" w:type="dxa"/>
              <w:bottom w:w="20" w:type="dxa"/>
              <w:right w:w="20" w:type="dxa"/>
            </w:tcMar>
            <w:vAlign w:val="bottom"/>
          </w:tcPr>
          <w:p w14:paraId="5E931E96" w14:textId="77777777" w:rsidR="00CA6653" w:rsidRPr="00C66BEC" w:rsidRDefault="00CA6653" w:rsidP="001049C5">
            <w:pPr>
              <w:pStyle w:val="T1TableStyle"/>
              <w:jc w:val="center"/>
              <w:rPr>
                <w:rFonts w:ascii="Verdana" w:eastAsia="Verdana" w:hAnsi="Verdana" w:cs="Verdana"/>
                <w:b/>
                <w:color w:val="000000"/>
                <w:sz w:val="16"/>
                <w:lang w:val="en-GB"/>
              </w:rPr>
            </w:pPr>
            <w:r w:rsidRPr="00C66BEC">
              <w:rPr>
                <w:rFonts w:ascii="Verdana" w:eastAsia="Verdana" w:hAnsi="Verdana" w:cs="Verdana"/>
                <w:b/>
                <w:color w:val="000000"/>
                <w:sz w:val="16"/>
                <w:lang w:val="en-GB"/>
              </w:rPr>
              <w:t>201</w:t>
            </w:r>
            <w:r w:rsidR="001049C5" w:rsidRPr="00C66BEC">
              <w:rPr>
                <w:rFonts w:ascii="Verdana" w:eastAsia="Verdana" w:hAnsi="Verdana" w:cs="Verdana"/>
                <w:b/>
                <w:color w:val="000000"/>
                <w:sz w:val="16"/>
                <w:lang w:val="en-GB"/>
              </w:rPr>
              <w:t>9</w:t>
            </w:r>
            <w:r w:rsidRPr="00C66BEC">
              <w:rPr>
                <w:rFonts w:ascii="Verdana" w:eastAsia="Verdana" w:hAnsi="Verdana" w:cs="Verdana"/>
                <w:b/>
                <w:color w:val="000000"/>
                <w:sz w:val="16"/>
                <w:lang w:val="en-GB"/>
              </w:rPr>
              <w:t>/</w:t>
            </w:r>
            <w:r w:rsidR="001049C5" w:rsidRPr="00C66BEC">
              <w:rPr>
                <w:rFonts w:ascii="Verdana" w:eastAsia="Verdana" w:hAnsi="Verdana" w:cs="Verdana"/>
                <w:b/>
                <w:color w:val="000000"/>
                <w:sz w:val="16"/>
                <w:lang w:val="en-GB"/>
              </w:rPr>
              <w:t>20</w:t>
            </w:r>
          </w:p>
        </w:tc>
        <w:tc>
          <w:tcPr>
            <w:tcW w:w="262" w:type="pct"/>
            <w:shd w:val="clear" w:color="auto" w:fill="auto"/>
            <w:tcMar>
              <w:top w:w="20" w:type="dxa"/>
              <w:left w:w="20" w:type="dxa"/>
              <w:bottom w:w="20" w:type="dxa"/>
              <w:right w:w="20" w:type="dxa"/>
            </w:tcMar>
            <w:vAlign w:val="bottom"/>
          </w:tcPr>
          <w:p w14:paraId="4D094199" w14:textId="77777777" w:rsidR="00CA6653" w:rsidRPr="00C66BEC" w:rsidRDefault="00CA6653">
            <w:pPr>
              <w:pStyle w:val="T1TableStyle"/>
              <w:jc w:val="center"/>
              <w:rPr>
                <w:rFonts w:ascii="Calibri" w:eastAsia="Calibri" w:hAnsi="Calibri" w:cs="Calibri"/>
                <w:b/>
                <w:color w:val="000000"/>
                <w:sz w:val="2"/>
                <w:lang w:val="en-GB"/>
              </w:rPr>
            </w:pPr>
            <w:r w:rsidRPr="00C66BEC">
              <w:rPr>
                <w:rFonts w:ascii="Calibri" w:eastAsia="Calibri" w:hAnsi="Calibri" w:cs="Calibri"/>
                <w:b/>
                <w:color w:val="000000"/>
                <w:sz w:val="2"/>
                <w:lang w:val="en-GB"/>
              </w:rPr>
              <w:t xml:space="preserve"> </w:t>
            </w:r>
          </w:p>
        </w:tc>
        <w:tc>
          <w:tcPr>
            <w:tcW w:w="1064" w:type="pct"/>
            <w:shd w:val="clear" w:color="auto" w:fill="auto"/>
            <w:tcMar>
              <w:top w:w="20" w:type="dxa"/>
              <w:left w:w="20" w:type="dxa"/>
              <w:bottom w:w="20" w:type="dxa"/>
              <w:right w:w="20" w:type="dxa"/>
            </w:tcMar>
            <w:vAlign w:val="bottom"/>
          </w:tcPr>
          <w:p w14:paraId="77267401" w14:textId="77777777" w:rsidR="00CA6653" w:rsidRPr="00C66BEC" w:rsidRDefault="00CA6653">
            <w:pPr>
              <w:pStyle w:val="T1TableStyle"/>
              <w:jc w:val="center"/>
              <w:rPr>
                <w:rFonts w:ascii="Verdana" w:eastAsia="Verdana" w:hAnsi="Verdana" w:cs="Verdana"/>
                <w:b/>
                <w:color w:val="000000"/>
                <w:sz w:val="2"/>
                <w:lang w:val="en-GB"/>
              </w:rPr>
            </w:pPr>
            <w:r w:rsidRPr="00C66BEC">
              <w:rPr>
                <w:rFonts w:ascii="Verdana" w:eastAsia="Verdana" w:hAnsi="Verdana" w:cs="Verdana"/>
                <w:b/>
                <w:color w:val="000000"/>
                <w:sz w:val="2"/>
                <w:lang w:val="en-GB"/>
              </w:rPr>
              <w:t xml:space="preserve"> </w:t>
            </w:r>
          </w:p>
        </w:tc>
        <w:tc>
          <w:tcPr>
            <w:tcW w:w="1936" w:type="pct"/>
            <w:gridSpan w:val="4"/>
            <w:shd w:val="clear" w:color="auto" w:fill="auto"/>
            <w:tcMar>
              <w:top w:w="20" w:type="dxa"/>
              <w:left w:w="20" w:type="dxa"/>
              <w:bottom w:w="20" w:type="dxa"/>
              <w:right w:w="20" w:type="dxa"/>
            </w:tcMar>
            <w:vAlign w:val="bottom"/>
          </w:tcPr>
          <w:p w14:paraId="193D3A02" w14:textId="77777777" w:rsidR="00CA6653" w:rsidRPr="00C66BEC" w:rsidRDefault="00CA6653" w:rsidP="001049C5">
            <w:pPr>
              <w:pStyle w:val="T1TableStyle"/>
              <w:jc w:val="center"/>
              <w:rPr>
                <w:rFonts w:ascii="Verdana" w:eastAsia="Verdana" w:hAnsi="Verdana" w:cs="Verdana"/>
                <w:b/>
                <w:color w:val="000000"/>
                <w:sz w:val="16"/>
                <w:lang w:val="en-GB"/>
              </w:rPr>
            </w:pPr>
            <w:r w:rsidRPr="00C66BEC">
              <w:rPr>
                <w:rFonts w:ascii="Verdana" w:eastAsia="Verdana" w:hAnsi="Verdana" w:cs="Verdana"/>
                <w:b/>
                <w:color w:val="000000"/>
                <w:sz w:val="16"/>
                <w:lang w:val="en-GB"/>
              </w:rPr>
              <w:t>20</w:t>
            </w:r>
            <w:r w:rsidR="001049C5" w:rsidRPr="00C66BEC">
              <w:rPr>
                <w:rFonts w:ascii="Verdana" w:eastAsia="Verdana" w:hAnsi="Verdana" w:cs="Verdana"/>
                <w:b/>
                <w:color w:val="000000"/>
                <w:sz w:val="16"/>
                <w:lang w:val="en-GB"/>
              </w:rPr>
              <w:t>20</w:t>
            </w:r>
            <w:r w:rsidRPr="00C66BEC">
              <w:rPr>
                <w:rFonts w:ascii="Verdana" w:eastAsia="Verdana" w:hAnsi="Verdana" w:cs="Verdana"/>
                <w:b/>
                <w:color w:val="000000"/>
                <w:sz w:val="16"/>
                <w:lang w:val="en-GB"/>
              </w:rPr>
              <w:t>/2</w:t>
            </w:r>
            <w:r w:rsidR="001049C5" w:rsidRPr="00C66BEC">
              <w:rPr>
                <w:rFonts w:ascii="Verdana" w:eastAsia="Verdana" w:hAnsi="Verdana" w:cs="Verdana"/>
                <w:b/>
                <w:color w:val="000000"/>
                <w:sz w:val="16"/>
                <w:lang w:val="en-GB"/>
              </w:rPr>
              <w:t>1</w:t>
            </w:r>
          </w:p>
        </w:tc>
      </w:tr>
      <w:tr w:rsidR="004D417B" w:rsidRPr="00C66BEC" w14:paraId="420A5168" w14:textId="77777777" w:rsidTr="0041394A">
        <w:trPr>
          <w:trHeight w:val="152"/>
          <w:jc w:val="center"/>
        </w:trPr>
        <w:tc>
          <w:tcPr>
            <w:tcW w:w="562" w:type="pct"/>
            <w:shd w:val="clear" w:color="auto" w:fill="auto"/>
            <w:tcMar>
              <w:top w:w="20" w:type="dxa"/>
              <w:left w:w="20" w:type="dxa"/>
              <w:bottom w:w="20" w:type="dxa"/>
              <w:right w:w="20" w:type="dxa"/>
            </w:tcMar>
            <w:vAlign w:val="bottom"/>
          </w:tcPr>
          <w:p w14:paraId="2B6C7BA1" w14:textId="77777777" w:rsidR="00CA6653" w:rsidRPr="00C66BEC" w:rsidRDefault="00CA6653">
            <w:pPr>
              <w:pStyle w:val="T1TableStyle"/>
              <w:jc w:val="center"/>
              <w:rPr>
                <w:rFonts w:ascii="Verdana" w:eastAsia="Verdana" w:hAnsi="Verdana" w:cs="Verdana"/>
                <w:b/>
                <w:color w:val="000000"/>
                <w:sz w:val="16"/>
                <w:lang w:val="en-GB"/>
              </w:rPr>
            </w:pPr>
            <w:r w:rsidRPr="00C66BEC">
              <w:rPr>
                <w:rFonts w:ascii="Verdana" w:eastAsia="Verdana" w:hAnsi="Verdana" w:cs="Verdana"/>
                <w:b/>
                <w:color w:val="000000"/>
                <w:sz w:val="16"/>
                <w:lang w:val="en-GB"/>
              </w:rPr>
              <w:t>Expenditure</w:t>
            </w:r>
          </w:p>
        </w:tc>
        <w:tc>
          <w:tcPr>
            <w:tcW w:w="613" w:type="pct"/>
            <w:shd w:val="clear" w:color="auto" w:fill="auto"/>
            <w:tcMar>
              <w:top w:w="20" w:type="dxa"/>
              <w:left w:w="20" w:type="dxa"/>
              <w:bottom w:w="20" w:type="dxa"/>
              <w:right w:w="20" w:type="dxa"/>
            </w:tcMar>
            <w:vAlign w:val="bottom"/>
          </w:tcPr>
          <w:p w14:paraId="7BCF8F66" w14:textId="77777777" w:rsidR="00CA6653" w:rsidRPr="00C66BEC" w:rsidRDefault="00CA6653">
            <w:pPr>
              <w:pStyle w:val="T1TableStyle"/>
              <w:jc w:val="center"/>
              <w:rPr>
                <w:rFonts w:ascii="Verdana" w:eastAsia="Verdana" w:hAnsi="Verdana" w:cs="Verdana"/>
                <w:b/>
                <w:color w:val="000000"/>
                <w:sz w:val="16"/>
                <w:lang w:val="en-GB"/>
              </w:rPr>
            </w:pPr>
            <w:r w:rsidRPr="00C66BEC">
              <w:rPr>
                <w:rFonts w:ascii="Verdana" w:eastAsia="Verdana" w:hAnsi="Verdana" w:cs="Verdana"/>
                <w:b/>
                <w:color w:val="000000"/>
                <w:sz w:val="16"/>
                <w:lang w:val="en-GB"/>
              </w:rPr>
              <w:t>Income</w:t>
            </w:r>
          </w:p>
        </w:tc>
        <w:tc>
          <w:tcPr>
            <w:tcW w:w="563" w:type="pct"/>
            <w:shd w:val="clear" w:color="auto" w:fill="auto"/>
            <w:tcMar>
              <w:top w:w="20" w:type="dxa"/>
              <w:left w:w="20" w:type="dxa"/>
              <w:bottom w:w="20" w:type="dxa"/>
              <w:right w:w="20" w:type="dxa"/>
            </w:tcMar>
            <w:vAlign w:val="bottom"/>
          </w:tcPr>
          <w:p w14:paraId="64BD39EF" w14:textId="77777777" w:rsidR="00CA6653" w:rsidRPr="00C66BEC" w:rsidRDefault="00CA6653">
            <w:pPr>
              <w:pStyle w:val="T1TableStyle"/>
              <w:jc w:val="center"/>
              <w:rPr>
                <w:rFonts w:ascii="Verdana" w:eastAsia="Verdana" w:hAnsi="Verdana" w:cs="Verdana"/>
                <w:b/>
                <w:color w:val="000000"/>
                <w:sz w:val="16"/>
                <w:lang w:val="en-GB"/>
              </w:rPr>
            </w:pPr>
            <w:r w:rsidRPr="00C66BEC">
              <w:rPr>
                <w:rFonts w:ascii="Verdana" w:eastAsia="Verdana" w:hAnsi="Verdana" w:cs="Verdana"/>
                <w:b/>
                <w:color w:val="000000"/>
                <w:sz w:val="16"/>
                <w:lang w:val="en-GB"/>
              </w:rPr>
              <w:t>Net</w:t>
            </w:r>
          </w:p>
        </w:tc>
        <w:tc>
          <w:tcPr>
            <w:tcW w:w="262" w:type="pct"/>
            <w:shd w:val="clear" w:color="auto" w:fill="auto"/>
            <w:tcMar>
              <w:top w:w="20" w:type="dxa"/>
              <w:left w:w="20" w:type="dxa"/>
              <w:bottom w:w="20" w:type="dxa"/>
              <w:right w:w="20" w:type="dxa"/>
            </w:tcMar>
            <w:vAlign w:val="bottom"/>
          </w:tcPr>
          <w:p w14:paraId="4A6465A8" w14:textId="77777777" w:rsidR="00CA6653" w:rsidRPr="00C66BEC" w:rsidRDefault="00CA6653">
            <w:pPr>
              <w:pStyle w:val="T1TableStyle"/>
              <w:rPr>
                <w:rFonts w:ascii="Verdana" w:eastAsia="Verdana" w:hAnsi="Verdana" w:cs="Verdana"/>
                <w:b/>
                <w:color w:val="000000"/>
                <w:sz w:val="2"/>
                <w:lang w:val="en-GB"/>
              </w:rPr>
            </w:pPr>
            <w:r w:rsidRPr="00C66BEC">
              <w:rPr>
                <w:rFonts w:ascii="Verdana" w:eastAsia="Verdana" w:hAnsi="Verdana" w:cs="Verdana"/>
                <w:b/>
                <w:color w:val="000000"/>
                <w:sz w:val="2"/>
                <w:lang w:val="en-GB"/>
              </w:rPr>
              <w:t xml:space="preserve"> </w:t>
            </w:r>
          </w:p>
        </w:tc>
        <w:tc>
          <w:tcPr>
            <w:tcW w:w="1064" w:type="pct"/>
            <w:shd w:val="clear" w:color="auto" w:fill="auto"/>
            <w:tcMar>
              <w:top w:w="20" w:type="dxa"/>
              <w:left w:w="20" w:type="dxa"/>
              <w:bottom w:w="20" w:type="dxa"/>
              <w:right w:w="20" w:type="dxa"/>
            </w:tcMar>
            <w:vAlign w:val="bottom"/>
          </w:tcPr>
          <w:p w14:paraId="089CC416" w14:textId="77777777" w:rsidR="00CA6653" w:rsidRPr="00C66BEC" w:rsidRDefault="00CA6653">
            <w:pPr>
              <w:pStyle w:val="T1TableStyle"/>
              <w:jc w:val="center"/>
              <w:rPr>
                <w:rFonts w:ascii="Verdana" w:eastAsia="Verdana" w:hAnsi="Verdana" w:cs="Verdana"/>
                <w:b/>
                <w:color w:val="000000"/>
                <w:sz w:val="2"/>
                <w:lang w:val="en-GB"/>
              </w:rPr>
            </w:pPr>
            <w:r w:rsidRPr="00C66BEC">
              <w:rPr>
                <w:rFonts w:ascii="Verdana" w:eastAsia="Verdana" w:hAnsi="Verdana" w:cs="Verdana"/>
                <w:b/>
                <w:color w:val="000000"/>
                <w:sz w:val="2"/>
                <w:lang w:val="en-GB"/>
              </w:rPr>
              <w:t xml:space="preserve"> </w:t>
            </w:r>
          </w:p>
        </w:tc>
        <w:tc>
          <w:tcPr>
            <w:tcW w:w="642" w:type="pct"/>
            <w:gridSpan w:val="2"/>
            <w:shd w:val="clear" w:color="auto" w:fill="auto"/>
            <w:tcMar>
              <w:top w:w="20" w:type="dxa"/>
              <w:left w:w="20" w:type="dxa"/>
              <w:bottom w:w="20" w:type="dxa"/>
              <w:right w:w="20" w:type="dxa"/>
            </w:tcMar>
            <w:vAlign w:val="bottom"/>
          </w:tcPr>
          <w:p w14:paraId="011B429C" w14:textId="77777777" w:rsidR="00CA6653" w:rsidRPr="00C66BEC" w:rsidRDefault="00CA6653">
            <w:pPr>
              <w:pStyle w:val="T1TableStyle"/>
              <w:jc w:val="center"/>
              <w:rPr>
                <w:rFonts w:ascii="Verdana" w:eastAsia="Verdana" w:hAnsi="Verdana" w:cs="Verdana"/>
                <w:b/>
                <w:color w:val="000000"/>
                <w:sz w:val="16"/>
                <w:lang w:val="en-GB"/>
              </w:rPr>
            </w:pPr>
            <w:r w:rsidRPr="00C66BEC">
              <w:rPr>
                <w:rFonts w:ascii="Verdana" w:eastAsia="Verdana" w:hAnsi="Verdana" w:cs="Verdana"/>
                <w:b/>
                <w:color w:val="000000"/>
                <w:sz w:val="16"/>
                <w:lang w:val="en-GB"/>
              </w:rPr>
              <w:t>Expenditure</w:t>
            </w:r>
          </w:p>
        </w:tc>
        <w:tc>
          <w:tcPr>
            <w:tcW w:w="731" w:type="pct"/>
            <w:shd w:val="clear" w:color="auto" w:fill="auto"/>
            <w:tcMar>
              <w:top w:w="20" w:type="dxa"/>
              <w:left w:w="20" w:type="dxa"/>
              <w:bottom w:w="20" w:type="dxa"/>
              <w:right w:w="20" w:type="dxa"/>
            </w:tcMar>
            <w:vAlign w:val="bottom"/>
          </w:tcPr>
          <w:p w14:paraId="0DD6FA25" w14:textId="77777777" w:rsidR="00CA6653" w:rsidRPr="00C66BEC" w:rsidRDefault="00CA6653">
            <w:pPr>
              <w:pStyle w:val="T1TableStyle"/>
              <w:jc w:val="center"/>
              <w:rPr>
                <w:rFonts w:ascii="Verdana" w:eastAsia="Verdana" w:hAnsi="Verdana" w:cs="Verdana"/>
                <w:b/>
                <w:color w:val="000000"/>
                <w:sz w:val="16"/>
                <w:lang w:val="en-GB"/>
              </w:rPr>
            </w:pPr>
            <w:r w:rsidRPr="00C66BEC">
              <w:rPr>
                <w:rFonts w:ascii="Verdana" w:eastAsia="Verdana" w:hAnsi="Verdana" w:cs="Verdana"/>
                <w:b/>
                <w:color w:val="000000"/>
                <w:sz w:val="16"/>
                <w:lang w:val="en-GB"/>
              </w:rPr>
              <w:t>Income</w:t>
            </w:r>
          </w:p>
        </w:tc>
        <w:tc>
          <w:tcPr>
            <w:tcW w:w="563" w:type="pct"/>
            <w:shd w:val="clear" w:color="auto" w:fill="auto"/>
            <w:tcMar>
              <w:top w:w="20" w:type="dxa"/>
              <w:left w:w="20" w:type="dxa"/>
              <w:bottom w:w="20" w:type="dxa"/>
              <w:right w:w="20" w:type="dxa"/>
            </w:tcMar>
            <w:vAlign w:val="bottom"/>
          </w:tcPr>
          <w:p w14:paraId="0B471C03" w14:textId="77777777" w:rsidR="00CA6653" w:rsidRPr="00C66BEC" w:rsidRDefault="00CA6653">
            <w:pPr>
              <w:pStyle w:val="T1TableStyle"/>
              <w:jc w:val="center"/>
              <w:rPr>
                <w:rFonts w:ascii="Verdana" w:eastAsia="Verdana" w:hAnsi="Verdana" w:cs="Verdana"/>
                <w:b/>
                <w:color w:val="000000"/>
                <w:sz w:val="16"/>
                <w:lang w:val="en-GB"/>
              </w:rPr>
            </w:pPr>
            <w:r w:rsidRPr="00C66BEC">
              <w:rPr>
                <w:rFonts w:ascii="Verdana" w:eastAsia="Verdana" w:hAnsi="Verdana" w:cs="Verdana"/>
                <w:b/>
                <w:color w:val="000000"/>
                <w:sz w:val="16"/>
                <w:lang w:val="en-GB"/>
              </w:rPr>
              <w:t>Net</w:t>
            </w:r>
          </w:p>
        </w:tc>
      </w:tr>
      <w:tr w:rsidR="004D417B" w:rsidRPr="00C66BEC" w14:paraId="49E2C992" w14:textId="77777777" w:rsidTr="0041394A">
        <w:trPr>
          <w:trHeight w:val="152"/>
          <w:jc w:val="center"/>
        </w:trPr>
        <w:tc>
          <w:tcPr>
            <w:tcW w:w="562" w:type="pct"/>
            <w:tcBorders>
              <w:bottom w:val="single" w:sz="2" w:space="0" w:color="000000"/>
            </w:tcBorders>
            <w:shd w:val="clear" w:color="auto" w:fill="auto"/>
            <w:tcMar>
              <w:top w:w="20" w:type="dxa"/>
              <w:left w:w="20" w:type="dxa"/>
              <w:bottom w:w="20" w:type="dxa"/>
              <w:right w:w="20" w:type="dxa"/>
            </w:tcMar>
            <w:vAlign w:val="bottom"/>
          </w:tcPr>
          <w:p w14:paraId="20E1C85B" w14:textId="77777777" w:rsidR="00CA6653" w:rsidRPr="00C66BEC" w:rsidRDefault="00CA6653">
            <w:pPr>
              <w:pStyle w:val="T1TableStyle"/>
              <w:jc w:val="right"/>
              <w:rPr>
                <w:rFonts w:ascii="Verdana" w:eastAsia="Verdana" w:hAnsi="Verdana" w:cs="Verdana"/>
                <w:b/>
                <w:color w:val="000000"/>
                <w:sz w:val="16"/>
                <w:lang w:val="en-GB"/>
              </w:rPr>
            </w:pPr>
            <w:r w:rsidRPr="00C66BEC">
              <w:rPr>
                <w:rFonts w:ascii="Verdana" w:eastAsia="Verdana" w:hAnsi="Verdana" w:cs="Verdana"/>
                <w:b/>
                <w:color w:val="000000"/>
                <w:sz w:val="16"/>
                <w:lang w:val="en-GB"/>
              </w:rPr>
              <w:t>£000</w:t>
            </w:r>
          </w:p>
        </w:tc>
        <w:tc>
          <w:tcPr>
            <w:tcW w:w="613" w:type="pct"/>
            <w:tcBorders>
              <w:bottom w:val="single" w:sz="2" w:space="0" w:color="000000"/>
            </w:tcBorders>
            <w:shd w:val="clear" w:color="auto" w:fill="auto"/>
            <w:tcMar>
              <w:top w:w="20" w:type="dxa"/>
              <w:left w:w="20" w:type="dxa"/>
              <w:bottom w:w="20" w:type="dxa"/>
              <w:right w:w="20" w:type="dxa"/>
            </w:tcMar>
            <w:vAlign w:val="bottom"/>
          </w:tcPr>
          <w:p w14:paraId="10D00475" w14:textId="77777777" w:rsidR="00CA6653" w:rsidRPr="00C66BEC" w:rsidRDefault="00CA6653">
            <w:pPr>
              <w:pStyle w:val="T1TableStyle"/>
              <w:jc w:val="right"/>
              <w:rPr>
                <w:rFonts w:ascii="Verdana" w:eastAsia="Verdana" w:hAnsi="Verdana" w:cs="Verdana"/>
                <w:b/>
                <w:color w:val="000000"/>
                <w:sz w:val="16"/>
                <w:lang w:val="en-GB"/>
              </w:rPr>
            </w:pPr>
            <w:r w:rsidRPr="00C66BEC">
              <w:rPr>
                <w:rFonts w:ascii="Verdana" w:eastAsia="Verdana" w:hAnsi="Verdana" w:cs="Verdana"/>
                <w:b/>
                <w:color w:val="000000"/>
                <w:sz w:val="16"/>
                <w:lang w:val="en-GB"/>
              </w:rPr>
              <w:t>£000</w:t>
            </w:r>
          </w:p>
        </w:tc>
        <w:tc>
          <w:tcPr>
            <w:tcW w:w="563" w:type="pct"/>
            <w:tcBorders>
              <w:bottom w:val="single" w:sz="2" w:space="0" w:color="000000"/>
            </w:tcBorders>
            <w:shd w:val="clear" w:color="auto" w:fill="auto"/>
            <w:tcMar>
              <w:top w:w="20" w:type="dxa"/>
              <w:left w:w="20" w:type="dxa"/>
              <w:bottom w:w="20" w:type="dxa"/>
              <w:right w:w="20" w:type="dxa"/>
            </w:tcMar>
            <w:vAlign w:val="bottom"/>
          </w:tcPr>
          <w:p w14:paraId="1747B53A" w14:textId="77777777" w:rsidR="00CA6653" w:rsidRPr="00C66BEC" w:rsidRDefault="00CA6653">
            <w:pPr>
              <w:pStyle w:val="T1TableStyle"/>
              <w:jc w:val="right"/>
              <w:rPr>
                <w:rFonts w:ascii="Verdana" w:eastAsia="Verdana" w:hAnsi="Verdana" w:cs="Verdana"/>
                <w:b/>
                <w:color w:val="000000"/>
                <w:sz w:val="16"/>
                <w:lang w:val="en-GB"/>
              </w:rPr>
            </w:pPr>
            <w:r w:rsidRPr="00C66BEC">
              <w:rPr>
                <w:rFonts w:ascii="Verdana" w:eastAsia="Verdana" w:hAnsi="Verdana" w:cs="Verdana"/>
                <w:b/>
                <w:color w:val="000000"/>
                <w:sz w:val="16"/>
                <w:lang w:val="en-GB"/>
              </w:rPr>
              <w:t>£000</w:t>
            </w:r>
          </w:p>
        </w:tc>
        <w:tc>
          <w:tcPr>
            <w:tcW w:w="262" w:type="pct"/>
            <w:tcBorders>
              <w:bottom w:val="single" w:sz="2" w:space="0" w:color="000000"/>
            </w:tcBorders>
            <w:shd w:val="clear" w:color="auto" w:fill="auto"/>
            <w:tcMar>
              <w:top w:w="20" w:type="dxa"/>
              <w:left w:w="20" w:type="dxa"/>
              <w:bottom w:w="20" w:type="dxa"/>
              <w:right w:w="20" w:type="dxa"/>
            </w:tcMar>
            <w:vAlign w:val="bottom"/>
          </w:tcPr>
          <w:p w14:paraId="350038CE" w14:textId="77777777" w:rsidR="00CA6653" w:rsidRPr="00C66BEC" w:rsidRDefault="00CA6653">
            <w:pPr>
              <w:pStyle w:val="T1TableStyle"/>
              <w:jc w:val="center"/>
              <w:rPr>
                <w:rFonts w:ascii="Verdana" w:eastAsia="Verdana" w:hAnsi="Verdana" w:cs="Verdana"/>
                <w:b/>
                <w:i/>
                <w:color w:val="595959" w:themeColor="text1" w:themeTint="A6"/>
                <w:sz w:val="16"/>
                <w:lang w:val="en-GB"/>
              </w:rPr>
            </w:pPr>
            <w:r w:rsidRPr="00C66BEC">
              <w:rPr>
                <w:rFonts w:ascii="Verdana" w:eastAsia="Verdana" w:hAnsi="Verdana" w:cs="Verdana"/>
                <w:b/>
                <w:i/>
                <w:color w:val="595959" w:themeColor="text1" w:themeTint="A6"/>
                <w:sz w:val="16"/>
                <w:lang w:val="en-GB"/>
              </w:rPr>
              <w:t>Notes</w:t>
            </w:r>
          </w:p>
        </w:tc>
        <w:tc>
          <w:tcPr>
            <w:tcW w:w="1064" w:type="pct"/>
            <w:tcBorders>
              <w:bottom w:val="single" w:sz="2" w:space="0" w:color="000000"/>
            </w:tcBorders>
            <w:shd w:val="clear" w:color="auto" w:fill="auto"/>
            <w:tcMar>
              <w:top w:w="20" w:type="dxa"/>
              <w:left w:w="20" w:type="dxa"/>
              <w:bottom w:w="20" w:type="dxa"/>
              <w:right w:w="20" w:type="dxa"/>
            </w:tcMar>
            <w:vAlign w:val="bottom"/>
          </w:tcPr>
          <w:p w14:paraId="648FFC4B" w14:textId="77777777" w:rsidR="00CA6653" w:rsidRPr="00C66BEC" w:rsidRDefault="00CA6653">
            <w:pPr>
              <w:pStyle w:val="T1TableStyle"/>
              <w:jc w:val="right"/>
              <w:rPr>
                <w:rFonts w:ascii="Verdana" w:eastAsia="Verdana" w:hAnsi="Verdana" w:cs="Verdana"/>
                <w:b/>
                <w:color w:val="000000"/>
                <w:sz w:val="2"/>
                <w:lang w:val="en-GB"/>
              </w:rPr>
            </w:pPr>
            <w:r w:rsidRPr="00C66BEC">
              <w:rPr>
                <w:rFonts w:ascii="Verdana" w:eastAsia="Verdana" w:hAnsi="Verdana" w:cs="Verdana"/>
                <w:b/>
                <w:color w:val="000000"/>
                <w:sz w:val="2"/>
                <w:lang w:val="en-GB"/>
              </w:rPr>
              <w:t xml:space="preserve"> </w:t>
            </w:r>
          </w:p>
        </w:tc>
        <w:tc>
          <w:tcPr>
            <w:tcW w:w="642" w:type="pct"/>
            <w:gridSpan w:val="2"/>
            <w:tcBorders>
              <w:bottom w:val="single" w:sz="2" w:space="0" w:color="000000"/>
            </w:tcBorders>
            <w:shd w:val="clear" w:color="auto" w:fill="auto"/>
            <w:tcMar>
              <w:top w:w="20" w:type="dxa"/>
              <w:left w:w="20" w:type="dxa"/>
              <w:bottom w:w="20" w:type="dxa"/>
              <w:right w:w="20" w:type="dxa"/>
            </w:tcMar>
            <w:vAlign w:val="bottom"/>
          </w:tcPr>
          <w:p w14:paraId="02CEB1B3" w14:textId="77777777" w:rsidR="00CA6653" w:rsidRPr="00C66BEC" w:rsidRDefault="00CA6653">
            <w:pPr>
              <w:pStyle w:val="T1TableStyle"/>
              <w:jc w:val="right"/>
              <w:rPr>
                <w:rFonts w:ascii="Verdana" w:eastAsia="Verdana" w:hAnsi="Verdana" w:cs="Verdana"/>
                <w:b/>
                <w:color w:val="000000"/>
                <w:sz w:val="16"/>
                <w:lang w:val="en-GB"/>
              </w:rPr>
            </w:pPr>
            <w:r w:rsidRPr="00C66BEC">
              <w:rPr>
                <w:rFonts w:ascii="Verdana" w:eastAsia="Verdana" w:hAnsi="Verdana" w:cs="Verdana"/>
                <w:b/>
                <w:color w:val="000000"/>
                <w:sz w:val="16"/>
                <w:lang w:val="en-GB"/>
              </w:rPr>
              <w:t>£000</w:t>
            </w:r>
          </w:p>
        </w:tc>
        <w:tc>
          <w:tcPr>
            <w:tcW w:w="731" w:type="pct"/>
            <w:tcBorders>
              <w:bottom w:val="single" w:sz="2" w:space="0" w:color="000000"/>
            </w:tcBorders>
            <w:shd w:val="clear" w:color="auto" w:fill="auto"/>
            <w:tcMar>
              <w:top w:w="20" w:type="dxa"/>
              <w:left w:w="20" w:type="dxa"/>
              <w:bottom w:w="20" w:type="dxa"/>
              <w:right w:w="20" w:type="dxa"/>
            </w:tcMar>
            <w:vAlign w:val="bottom"/>
          </w:tcPr>
          <w:p w14:paraId="4E83DB72" w14:textId="77777777" w:rsidR="00CA6653" w:rsidRPr="00C66BEC" w:rsidRDefault="00CA6653">
            <w:pPr>
              <w:pStyle w:val="T1TableStyle"/>
              <w:jc w:val="right"/>
              <w:rPr>
                <w:rFonts w:ascii="Verdana" w:eastAsia="Verdana" w:hAnsi="Verdana" w:cs="Verdana"/>
                <w:b/>
                <w:color w:val="000000"/>
                <w:sz w:val="16"/>
                <w:lang w:val="en-GB"/>
              </w:rPr>
            </w:pPr>
            <w:r w:rsidRPr="00C66BEC">
              <w:rPr>
                <w:rFonts w:ascii="Verdana" w:eastAsia="Verdana" w:hAnsi="Verdana" w:cs="Verdana"/>
                <w:b/>
                <w:color w:val="000000"/>
                <w:sz w:val="16"/>
                <w:lang w:val="en-GB"/>
              </w:rPr>
              <w:t>£000</w:t>
            </w:r>
          </w:p>
        </w:tc>
        <w:tc>
          <w:tcPr>
            <w:tcW w:w="563" w:type="pct"/>
            <w:tcBorders>
              <w:bottom w:val="single" w:sz="2" w:space="0" w:color="000000"/>
            </w:tcBorders>
            <w:shd w:val="clear" w:color="auto" w:fill="auto"/>
            <w:tcMar>
              <w:top w:w="20" w:type="dxa"/>
              <w:left w:w="20" w:type="dxa"/>
              <w:bottom w:w="20" w:type="dxa"/>
              <w:right w:w="20" w:type="dxa"/>
            </w:tcMar>
            <w:vAlign w:val="bottom"/>
          </w:tcPr>
          <w:p w14:paraId="33867FD4" w14:textId="77777777" w:rsidR="00CA6653" w:rsidRPr="00C66BEC" w:rsidRDefault="00CA6653">
            <w:pPr>
              <w:pStyle w:val="T1TableStyle"/>
              <w:jc w:val="right"/>
              <w:rPr>
                <w:rFonts w:ascii="Verdana" w:eastAsia="Verdana" w:hAnsi="Verdana" w:cs="Verdana"/>
                <w:b/>
                <w:color w:val="000000"/>
                <w:sz w:val="16"/>
                <w:lang w:val="en-GB"/>
              </w:rPr>
            </w:pPr>
            <w:r w:rsidRPr="00C66BEC">
              <w:rPr>
                <w:rFonts w:ascii="Verdana" w:eastAsia="Verdana" w:hAnsi="Verdana" w:cs="Verdana"/>
                <w:b/>
                <w:color w:val="000000"/>
                <w:sz w:val="16"/>
                <w:lang w:val="en-GB"/>
              </w:rPr>
              <w:t>£000</w:t>
            </w:r>
          </w:p>
        </w:tc>
      </w:tr>
      <w:tr w:rsidR="007F17E8" w:rsidRPr="00C66BEC" w14:paraId="4E094993" w14:textId="77777777" w:rsidTr="0041394A">
        <w:trPr>
          <w:trHeight w:val="152"/>
          <w:jc w:val="center"/>
        </w:trPr>
        <w:tc>
          <w:tcPr>
            <w:tcW w:w="562" w:type="pct"/>
            <w:shd w:val="clear" w:color="auto" w:fill="auto"/>
            <w:tcMar>
              <w:top w:w="20" w:type="dxa"/>
              <w:left w:w="20" w:type="dxa"/>
              <w:bottom w:w="20" w:type="dxa"/>
              <w:right w:w="20" w:type="dxa"/>
            </w:tcMar>
          </w:tcPr>
          <w:p w14:paraId="1C5BD2EA" w14:textId="77777777" w:rsidR="007F17E8" w:rsidRPr="00C66BEC" w:rsidRDefault="007F17E8" w:rsidP="007F17E8">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130,232</w:t>
            </w:r>
          </w:p>
        </w:tc>
        <w:tc>
          <w:tcPr>
            <w:tcW w:w="613" w:type="pct"/>
            <w:shd w:val="clear" w:color="auto" w:fill="auto"/>
            <w:tcMar>
              <w:top w:w="20" w:type="dxa"/>
              <w:left w:w="20" w:type="dxa"/>
              <w:bottom w:w="20" w:type="dxa"/>
              <w:right w:w="20" w:type="dxa"/>
            </w:tcMar>
          </w:tcPr>
          <w:p w14:paraId="09B70B91" w14:textId="77777777" w:rsidR="007F17E8" w:rsidRPr="00C66BEC" w:rsidRDefault="007F17E8" w:rsidP="007F17E8">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4E4361C3" w14:textId="77777777" w:rsidR="007F17E8" w:rsidRPr="00C66BEC" w:rsidRDefault="007F17E8" w:rsidP="007F17E8">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130,232</w:t>
            </w:r>
          </w:p>
        </w:tc>
        <w:tc>
          <w:tcPr>
            <w:tcW w:w="262" w:type="pct"/>
            <w:shd w:val="clear" w:color="auto" w:fill="auto"/>
            <w:tcMar>
              <w:top w:w="20" w:type="dxa"/>
              <w:left w:w="20" w:type="dxa"/>
              <w:bottom w:w="20" w:type="dxa"/>
              <w:right w:w="20" w:type="dxa"/>
            </w:tcMar>
          </w:tcPr>
          <w:p w14:paraId="0A0A5680" w14:textId="77777777" w:rsidR="007F17E8" w:rsidRPr="00C66BEC" w:rsidRDefault="007F17E8" w:rsidP="007F17E8">
            <w:pPr>
              <w:pStyle w:val="T1TableStyle"/>
              <w:jc w:val="center"/>
              <w:rPr>
                <w:rFonts w:ascii="Calibri" w:eastAsia="Calibri" w:hAnsi="Calibri" w:cs="Calibri"/>
                <w:i/>
                <w:color w:val="595959" w:themeColor="text1" w:themeTint="A6"/>
                <w:sz w:val="2"/>
                <w:lang w:val="en-GB"/>
              </w:rPr>
            </w:pPr>
            <w:r w:rsidRPr="00C66BEC">
              <w:rPr>
                <w:rFonts w:ascii="Calibri" w:eastAsia="Calibri" w:hAnsi="Calibri" w:cs="Calibri"/>
                <w:i/>
                <w:color w:val="595959" w:themeColor="text1" w:themeTint="A6"/>
                <w:sz w:val="2"/>
                <w:lang w:val="en-GB"/>
              </w:rPr>
              <w:t xml:space="preserve"> </w:t>
            </w:r>
          </w:p>
        </w:tc>
        <w:tc>
          <w:tcPr>
            <w:tcW w:w="1064" w:type="pct"/>
            <w:shd w:val="clear" w:color="auto" w:fill="auto"/>
            <w:tcMar>
              <w:top w:w="20" w:type="dxa"/>
              <w:left w:w="20" w:type="dxa"/>
              <w:bottom w:w="20" w:type="dxa"/>
              <w:right w:w="20" w:type="dxa"/>
            </w:tcMar>
          </w:tcPr>
          <w:p w14:paraId="49A52C1D" w14:textId="77777777" w:rsidR="007F17E8" w:rsidRPr="00C66BEC" w:rsidRDefault="007F17E8" w:rsidP="007F17E8">
            <w:pPr>
              <w:pStyle w:val="T1TableStyle"/>
              <w:rPr>
                <w:rFonts w:ascii="Verdana" w:eastAsia="Verdana" w:hAnsi="Verdana" w:cs="Verdana"/>
                <w:color w:val="000000"/>
                <w:sz w:val="16"/>
                <w:lang w:val="en-GB"/>
              </w:rPr>
            </w:pPr>
            <w:r w:rsidRPr="00C66BEC">
              <w:rPr>
                <w:rFonts w:ascii="Verdana" w:eastAsia="Verdana" w:hAnsi="Verdana" w:cs="Verdana"/>
                <w:color w:val="000000"/>
                <w:sz w:val="16"/>
                <w:lang w:val="en-GB"/>
              </w:rPr>
              <w:t>Police Payroll</w:t>
            </w:r>
          </w:p>
        </w:tc>
        <w:tc>
          <w:tcPr>
            <w:tcW w:w="642" w:type="pct"/>
            <w:gridSpan w:val="2"/>
            <w:shd w:val="clear" w:color="auto" w:fill="auto"/>
            <w:tcMar>
              <w:top w:w="20" w:type="dxa"/>
              <w:left w:w="20" w:type="dxa"/>
              <w:bottom w:w="20" w:type="dxa"/>
              <w:right w:w="20" w:type="dxa"/>
            </w:tcMar>
          </w:tcPr>
          <w:p w14:paraId="609A368A" w14:textId="470962BE" w:rsidR="007F17E8" w:rsidRPr="00C66BEC" w:rsidRDefault="007F17E8">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148,</w:t>
            </w:r>
            <w:r w:rsidR="00650303" w:rsidRPr="00C66BEC">
              <w:rPr>
                <w:rFonts w:ascii="Verdana" w:eastAsia="Verdana" w:hAnsi="Verdana" w:cs="Verdana"/>
                <w:color w:val="000000"/>
                <w:sz w:val="16"/>
                <w:lang w:val="en-GB"/>
              </w:rPr>
              <w:t>42</w:t>
            </w:r>
            <w:r w:rsidR="00650303">
              <w:rPr>
                <w:rFonts w:ascii="Verdana" w:eastAsia="Verdana" w:hAnsi="Verdana" w:cs="Verdana"/>
                <w:color w:val="000000"/>
                <w:sz w:val="16"/>
                <w:lang w:val="en-GB"/>
              </w:rPr>
              <w:t>2</w:t>
            </w:r>
          </w:p>
        </w:tc>
        <w:tc>
          <w:tcPr>
            <w:tcW w:w="731" w:type="pct"/>
            <w:shd w:val="clear" w:color="auto" w:fill="auto"/>
            <w:tcMar>
              <w:top w:w="20" w:type="dxa"/>
              <w:left w:w="20" w:type="dxa"/>
              <w:bottom w:w="20" w:type="dxa"/>
              <w:right w:w="20" w:type="dxa"/>
            </w:tcMar>
          </w:tcPr>
          <w:p w14:paraId="172B3C74" w14:textId="77777777" w:rsidR="007F17E8" w:rsidRPr="00C66BEC" w:rsidRDefault="00792CD5" w:rsidP="007F17E8">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70BAEC54" w14:textId="4E1DF16F" w:rsidR="007F17E8" w:rsidRPr="00C66BEC" w:rsidRDefault="007F17E8">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148,</w:t>
            </w:r>
            <w:r w:rsidR="00650303" w:rsidRPr="00C66BEC">
              <w:rPr>
                <w:rFonts w:ascii="Verdana" w:eastAsia="Verdana" w:hAnsi="Verdana" w:cs="Verdana"/>
                <w:color w:val="000000"/>
                <w:sz w:val="16"/>
                <w:lang w:val="en-GB"/>
              </w:rPr>
              <w:t>42</w:t>
            </w:r>
            <w:r w:rsidR="00650303">
              <w:rPr>
                <w:rFonts w:ascii="Verdana" w:eastAsia="Verdana" w:hAnsi="Verdana" w:cs="Verdana"/>
                <w:color w:val="000000"/>
                <w:sz w:val="16"/>
                <w:lang w:val="en-GB"/>
              </w:rPr>
              <w:t>2</w:t>
            </w:r>
          </w:p>
        </w:tc>
      </w:tr>
      <w:tr w:rsidR="007B0080" w:rsidRPr="00C66BEC" w14:paraId="634E6C51" w14:textId="77777777" w:rsidTr="0041394A">
        <w:trPr>
          <w:trHeight w:val="152"/>
          <w:jc w:val="center"/>
        </w:trPr>
        <w:tc>
          <w:tcPr>
            <w:tcW w:w="562" w:type="pct"/>
            <w:shd w:val="clear" w:color="auto" w:fill="auto"/>
            <w:tcMar>
              <w:top w:w="20" w:type="dxa"/>
              <w:left w:w="20" w:type="dxa"/>
              <w:bottom w:w="20" w:type="dxa"/>
              <w:right w:w="20" w:type="dxa"/>
            </w:tcMar>
          </w:tcPr>
          <w:p w14:paraId="55587E5E" w14:textId="77777777" w:rsidR="007B0080" w:rsidRPr="00C66BEC" w:rsidRDefault="00C66BEC"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5,377</w:t>
            </w:r>
          </w:p>
        </w:tc>
        <w:tc>
          <w:tcPr>
            <w:tcW w:w="613" w:type="pct"/>
            <w:shd w:val="clear" w:color="auto" w:fill="auto"/>
            <w:tcMar>
              <w:top w:w="20" w:type="dxa"/>
              <w:left w:w="20" w:type="dxa"/>
              <w:bottom w:w="20" w:type="dxa"/>
              <w:right w:w="20" w:type="dxa"/>
            </w:tcMar>
          </w:tcPr>
          <w:p w14:paraId="3EF4C08E"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4E8BCA59"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5,377</w:t>
            </w:r>
          </w:p>
        </w:tc>
        <w:tc>
          <w:tcPr>
            <w:tcW w:w="262" w:type="pct"/>
            <w:shd w:val="clear" w:color="auto" w:fill="auto"/>
            <w:tcMar>
              <w:top w:w="20" w:type="dxa"/>
              <w:left w:w="20" w:type="dxa"/>
              <w:bottom w:w="20" w:type="dxa"/>
              <w:right w:w="20" w:type="dxa"/>
            </w:tcMar>
          </w:tcPr>
          <w:p w14:paraId="63DE8C1A" w14:textId="77777777" w:rsidR="007B0080" w:rsidRPr="00C66BEC" w:rsidRDefault="007B0080" w:rsidP="007B0080">
            <w:pPr>
              <w:pStyle w:val="T1TableStyle"/>
              <w:jc w:val="center"/>
              <w:rPr>
                <w:rFonts w:ascii="Calibri" w:eastAsia="Calibri" w:hAnsi="Calibri" w:cs="Calibri"/>
                <w:i/>
                <w:color w:val="595959" w:themeColor="text1" w:themeTint="A6"/>
                <w:sz w:val="2"/>
                <w:lang w:val="en-GB"/>
              </w:rPr>
            </w:pPr>
            <w:r w:rsidRPr="00C66BEC">
              <w:rPr>
                <w:rFonts w:ascii="Calibri" w:eastAsia="Calibri" w:hAnsi="Calibri" w:cs="Calibri"/>
                <w:i/>
                <w:color w:val="595959" w:themeColor="text1" w:themeTint="A6"/>
                <w:sz w:val="2"/>
                <w:lang w:val="en-GB"/>
              </w:rPr>
              <w:t xml:space="preserve"> </w:t>
            </w:r>
          </w:p>
        </w:tc>
        <w:tc>
          <w:tcPr>
            <w:tcW w:w="1064" w:type="pct"/>
            <w:shd w:val="clear" w:color="auto" w:fill="auto"/>
            <w:tcMar>
              <w:top w:w="20" w:type="dxa"/>
              <w:left w:w="20" w:type="dxa"/>
              <w:bottom w:w="20" w:type="dxa"/>
              <w:right w:w="20" w:type="dxa"/>
            </w:tcMar>
          </w:tcPr>
          <w:p w14:paraId="6BB19E21" w14:textId="77777777" w:rsidR="007B0080" w:rsidRPr="00C66BEC" w:rsidRDefault="007B0080" w:rsidP="007B0080">
            <w:pPr>
              <w:pStyle w:val="T1TableStyle"/>
              <w:rPr>
                <w:rFonts w:ascii="Verdana" w:eastAsia="Verdana" w:hAnsi="Verdana" w:cs="Verdana"/>
                <w:color w:val="000000"/>
                <w:sz w:val="16"/>
                <w:lang w:val="en-GB"/>
              </w:rPr>
            </w:pPr>
            <w:r w:rsidRPr="00C66BEC">
              <w:rPr>
                <w:rFonts w:ascii="Verdana" w:eastAsia="Verdana" w:hAnsi="Verdana" w:cs="Verdana"/>
                <w:color w:val="000000"/>
                <w:sz w:val="16"/>
                <w:lang w:val="en-GB"/>
              </w:rPr>
              <w:t>Police Overtime</w:t>
            </w:r>
          </w:p>
        </w:tc>
        <w:tc>
          <w:tcPr>
            <w:tcW w:w="642" w:type="pct"/>
            <w:gridSpan w:val="2"/>
            <w:shd w:val="clear" w:color="auto" w:fill="auto"/>
            <w:tcMar>
              <w:top w:w="20" w:type="dxa"/>
              <w:left w:w="20" w:type="dxa"/>
              <w:bottom w:w="20" w:type="dxa"/>
              <w:right w:w="20" w:type="dxa"/>
            </w:tcMar>
          </w:tcPr>
          <w:p w14:paraId="180C4C48"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6,269</w:t>
            </w:r>
          </w:p>
        </w:tc>
        <w:tc>
          <w:tcPr>
            <w:tcW w:w="731" w:type="pct"/>
            <w:shd w:val="clear" w:color="auto" w:fill="auto"/>
            <w:tcMar>
              <w:top w:w="20" w:type="dxa"/>
              <w:left w:w="20" w:type="dxa"/>
              <w:bottom w:w="20" w:type="dxa"/>
              <w:right w:w="20" w:type="dxa"/>
            </w:tcMar>
          </w:tcPr>
          <w:p w14:paraId="2AD71609" w14:textId="77777777" w:rsidR="007B0080" w:rsidRPr="00C66BEC" w:rsidRDefault="00792CD5"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187533BC"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6,269</w:t>
            </w:r>
          </w:p>
        </w:tc>
      </w:tr>
      <w:tr w:rsidR="007B0080" w:rsidRPr="00C66BEC" w14:paraId="232AC000" w14:textId="77777777" w:rsidTr="0041394A">
        <w:trPr>
          <w:trHeight w:val="152"/>
          <w:jc w:val="center"/>
        </w:trPr>
        <w:tc>
          <w:tcPr>
            <w:tcW w:w="562" w:type="pct"/>
            <w:shd w:val="clear" w:color="auto" w:fill="auto"/>
            <w:tcMar>
              <w:top w:w="20" w:type="dxa"/>
              <w:left w:w="20" w:type="dxa"/>
              <w:bottom w:w="20" w:type="dxa"/>
              <w:right w:w="20" w:type="dxa"/>
            </w:tcMar>
          </w:tcPr>
          <w:p w14:paraId="529E4208" w14:textId="77777777" w:rsidR="007B0080" w:rsidRPr="00C66BEC" w:rsidRDefault="00C66BEC"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76,762</w:t>
            </w:r>
          </w:p>
        </w:tc>
        <w:tc>
          <w:tcPr>
            <w:tcW w:w="613" w:type="pct"/>
            <w:shd w:val="clear" w:color="auto" w:fill="auto"/>
            <w:tcMar>
              <w:top w:w="20" w:type="dxa"/>
              <w:left w:w="20" w:type="dxa"/>
              <w:bottom w:w="20" w:type="dxa"/>
              <w:right w:w="20" w:type="dxa"/>
            </w:tcMar>
          </w:tcPr>
          <w:p w14:paraId="1C58083F"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78411C78"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76,762</w:t>
            </w:r>
          </w:p>
        </w:tc>
        <w:tc>
          <w:tcPr>
            <w:tcW w:w="262" w:type="pct"/>
            <w:shd w:val="clear" w:color="auto" w:fill="auto"/>
            <w:tcMar>
              <w:top w:w="20" w:type="dxa"/>
              <w:left w:w="20" w:type="dxa"/>
              <w:bottom w:w="20" w:type="dxa"/>
              <w:right w:w="20" w:type="dxa"/>
            </w:tcMar>
          </w:tcPr>
          <w:p w14:paraId="74EE21A6" w14:textId="77777777" w:rsidR="007B0080" w:rsidRPr="00C66BEC" w:rsidRDefault="007B0080" w:rsidP="007B0080">
            <w:pPr>
              <w:pStyle w:val="T1TableStyle"/>
              <w:jc w:val="center"/>
              <w:rPr>
                <w:rFonts w:ascii="Calibri" w:eastAsia="Calibri" w:hAnsi="Calibri" w:cs="Calibri"/>
                <w:i/>
                <w:color w:val="595959" w:themeColor="text1" w:themeTint="A6"/>
                <w:sz w:val="2"/>
                <w:lang w:val="en-GB"/>
              </w:rPr>
            </w:pPr>
            <w:r w:rsidRPr="00C66BEC">
              <w:rPr>
                <w:rFonts w:ascii="Calibri" w:eastAsia="Calibri" w:hAnsi="Calibri" w:cs="Calibri"/>
                <w:i/>
                <w:color w:val="595959" w:themeColor="text1" w:themeTint="A6"/>
                <w:sz w:val="2"/>
                <w:lang w:val="en-GB"/>
              </w:rPr>
              <w:t xml:space="preserve"> </w:t>
            </w:r>
          </w:p>
        </w:tc>
        <w:tc>
          <w:tcPr>
            <w:tcW w:w="1064" w:type="pct"/>
            <w:shd w:val="clear" w:color="auto" w:fill="auto"/>
            <w:tcMar>
              <w:top w:w="20" w:type="dxa"/>
              <w:left w:w="20" w:type="dxa"/>
              <w:bottom w:w="20" w:type="dxa"/>
              <w:right w:w="20" w:type="dxa"/>
            </w:tcMar>
          </w:tcPr>
          <w:p w14:paraId="6E8DD975" w14:textId="77777777" w:rsidR="007B0080" w:rsidRPr="00C66BEC" w:rsidRDefault="007B0080" w:rsidP="007B0080">
            <w:pPr>
              <w:pStyle w:val="T1TableStyle"/>
              <w:rPr>
                <w:rFonts w:ascii="Verdana" w:eastAsia="Verdana" w:hAnsi="Verdana" w:cs="Verdana"/>
                <w:color w:val="000000"/>
                <w:sz w:val="16"/>
                <w:lang w:val="en-GB"/>
              </w:rPr>
            </w:pPr>
            <w:r w:rsidRPr="00C66BEC">
              <w:rPr>
                <w:rFonts w:ascii="Verdana" w:eastAsia="Verdana" w:hAnsi="Verdana" w:cs="Verdana"/>
                <w:color w:val="000000"/>
                <w:sz w:val="16"/>
                <w:lang w:val="en-GB"/>
              </w:rPr>
              <w:t>Staff Payroll</w:t>
            </w:r>
          </w:p>
        </w:tc>
        <w:tc>
          <w:tcPr>
            <w:tcW w:w="642" w:type="pct"/>
            <w:gridSpan w:val="2"/>
            <w:shd w:val="clear" w:color="auto" w:fill="auto"/>
            <w:tcMar>
              <w:top w:w="20" w:type="dxa"/>
              <w:left w:w="20" w:type="dxa"/>
              <w:bottom w:w="20" w:type="dxa"/>
              <w:right w:w="20" w:type="dxa"/>
            </w:tcMar>
          </w:tcPr>
          <w:p w14:paraId="52DC5CF5"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81,827</w:t>
            </w:r>
          </w:p>
        </w:tc>
        <w:tc>
          <w:tcPr>
            <w:tcW w:w="731" w:type="pct"/>
            <w:shd w:val="clear" w:color="auto" w:fill="auto"/>
            <w:tcMar>
              <w:top w:w="20" w:type="dxa"/>
              <w:left w:w="20" w:type="dxa"/>
              <w:bottom w:w="20" w:type="dxa"/>
              <w:right w:w="20" w:type="dxa"/>
            </w:tcMar>
          </w:tcPr>
          <w:p w14:paraId="6AE6FBCB" w14:textId="77777777" w:rsidR="007B0080" w:rsidRPr="00C66BEC" w:rsidRDefault="00792CD5"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3A567DF4"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81,827</w:t>
            </w:r>
          </w:p>
        </w:tc>
      </w:tr>
      <w:tr w:rsidR="007B0080" w:rsidRPr="00C66BEC" w14:paraId="71E5F420" w14:textId="77777777" w:rsidTr="0041394A">
        <w:trPr>
          <w:trHeight w:val="152"/>
          <w:jc w:val="center"/>
        </w:trPr>
        <w:tc>
          <w:tcPr>
            <w:tcW w:w="562" w:type="pct"/>
            <w:shd w:val="clear" w:color="auto" w:fill="auto"/>
            <w:tcMar>
              <w:top w:w="20" w:type="dxa"/>
              <w:left w:w="20" w:type="dxa"/>
              <w:bottom w:w="20" w:type="dxa"/>
              <w:right w:w="20" w:type="dxa"/>
            </w:tcMar>
          </w:tcPr>
          <w:p w14:paraId="3A1488FB" w14:textId="77777777" w:rsidR="007B0080" w:rsidRPr="00C66BEC" w:rsidRDefault="00C66BEC"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1,717</w:t>
            </w:r>
          </w:p>
        </w:tc>
        <w:tc>
          <w:tcPr>
            <w:tcW w:w="613" w:type="pct"/>
            <w:shd w:val="clear" w:color="auto" w:fill="auto"/>
            <w:tcMar>
              <w:top w:w="20" w:type="dxa"/>
              <w:left w:w="20" w:type="dxa"/>
              <w:bottom w:w="20" w:type="dxa"/>
              <w:right w:w="20" w:type="dxa"/>
            </w:tcMar>
          </w:tcPr>
          <w:p w14:paraId="40D7DBE0"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341B0049"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1,717</w:t>
            </w:r>
          </w:p>
        </w:tc>
        <w:tc>
          <w:tcPr>
            <w:tcW w:w="262" w:type="pct"/>
            <w:shd w:val="clear" w:color="auto" w:fill="auto"/>
            <w:tcMar>
              <w:top w:w="20" w:type="dxa"/>
              <w:left w:w="20" w:type="dxa"/>
              <w:bottom w:w="20" w:type="dxa"/>
              <w:right w:w="20" w:type="dxa"/>
            </w:tcMar>
          </w:tcPr>
          <w:p w14:paraId="0AE6B72E" w14:textId="77777777" w:rsidR="007B0080" w:rsidRPr="00C66BEC" w:rsidRDefault="007B0080" w:rsidP="007B0080">
            <w:pPr>
              <w:pStyle w:val="T1TableStyle"/>
              <w:jc w:val="center"/>
              <w:rPr>
                <w:rFonts w:ascii="Calibri" w:eastAsia="Calibri" w:hAnsi="Calibri" w:cs="Calibri"/>
                <w:i/>
                <w:color w:val="595959" w:themeColor="text1" w:themeTint="A6"/>
                <w:sz w:val="2"/>
                <w:lang w:val="en-GB"/>
              </w:rPr>
            </w:pPr>
            <w:r w:rsidRPr="00C66BEC">
              <w:rPr>
                <w:rFonts w:ascii="Calibri" w:eastAsia="Calibri" w:hAnsi="Calibri" w:cs="Calibri"/>
                <w:i/>
                <w:color w:val="595959" w:themeColor="text1" w:themeTint="A6"/>
                <w:sz w:val="2"/>
                <w:lang w:val="en-GB"/>
              </w:rPr>
              <w:t xml:space="preserve"> </w:t>
            </w:r>
          </w:p>
        </w:tc>
        <w:tc>
          <w:tcPr>
            <w:tcW w:w="1064" w:type="pct"/>
            <w:shd w:val="clear" w:color="auto" w:fill="auto"/>
            <w:tcMar>
              <w:top w:w="20" w:type="dxa"/>
              <w:left w:w="20" w:type="dxa"/>
              <w:bottom w:w="20" w:type="dxa"/>
              <w:right w:w="20" w:type="dxa"/>
            </w:tcMar>
          </w:tcPr>
          <w:p w14:paraId="500E1E33" w14:textId="77777777" w:rsidR="007B0080" w:rsidRPr="00C66BEC" w:rsidRDefault="007B0080" w:rsidP="007B0080">
            <w:pPr>
              <w:pStyle w:val="T1TableStyle"/>
              <w:rPr>
                <w:rFonts w:ascii="Verdana" w:eastAsia="Verdana" w:hAnsi="Verdana" w:cs="Verdana"/>
                <w:color w:val="000000"/>
                <w:sz w:val="16"/>
                <w:lang w:val="en-GB"/>
              </w:rPr>
            </w:pPr>
            <w:r w:rsidRPr="00C66BEC">
              <w:rPr>
                <w:rFonts w:ascii="Verdana" w:eastAsia="Verdana" w:hAnsi="Verdana" w:cs="Verdana"/>
                <w:color w:val="000000"/>
                <w:sz w:val="16"/>
                <w:lang w:val="en-GB"/>
              </w:rPr>
              <w:t>Staff Overtime</w:t>
            </w:r>
          </w:p>
        </w:tc>
        <w:tc>
          <w:tcPr>
            <w:tcW w:w="642" w:type="pct"/>
            <w:gridSpan w:val="2"/>
            <w:shd w:val="clear" w:color="auto" w:fill="auto"/>
            <w:tcMar>
              <w:top w:w="20" w:type="dxa"/>
              <w:left w:w="20" w:type="dxa"/>
              <w:bottom w:w="20" w:type="dxa"/>
              <w:right w:w="20" w:type="dxa"/>
            </w:tcMar>
          </w:tcPr>
          <w:p w14:paraId="48A97719"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1,908</w:t>
            </w:r>
          </w:p>
        </w:tc>
        <w:tc>
          <w:tcPr>
            <w:tcW w:w="731" w:type="pct"/>
            <w:shd w:val="clear" w:color="auto" w:fill="auto"/>
            <w:tcMar>
              <w:top w:w="20" w:type="dxa"/>
              <w:left w:w="20" w:type="dxa"/>
              <w:bottom w:w="20" w:type="dxa"/>
              <w:right w:w="20" w:type="dxa"/>
            </w:tcMar>
          </w:tcPr>
          <w:p w14:paraId="284ADB7E" w14:textId="77777777" w:rsidR="007B0080" w:rsidRPr="00C66BEC" w:rsidRDefault="00792CD5"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5AD32958"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1,908</w:t>
            </w:r>
          </w:p>
        </w:tc>
      </w:tr>
      <w:tr w:rsidR="007B0080" w:rsidRPr="00C66BEC" w14:paraId="03593A6E" w14:textId="77777777" w:rsidTr="0041394A">
        <w:trPr>
          <w:trHeight w:val="152"/>
          <w:jc w:val="center"/>
        </w:trPr>
        <w:tc>
          <w:tcPr>
            <w:tcW w:w="562" w:type="pct"/>
            <w:shd w:val="clear" w:color="auto" w:fill="auto"/>
            <w:tcMar>
              <w:top w:w="20" w:type="dxa"/>
              <w:left w:w="20" w:type="dxa"/>
              <w:bottom w:w="20" w:type="dxa"/>
              <w:right w:w="20" w:type="dxa"/>
            </w:tcMar>
          </w:tcPr>
          <w:p w14:paraId="1DD363B1" w14:textId="77777777" w:rsidR="007B0080" w:rsidRPr="00C66BEC" w:rsidRDefault="00C66BEC"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2,014</w:t>
            </w:r>
          </w:p>
        </w:tc>
        <w:tc>
          <w:tcPr>
            <w:tcW w:w="613" w:type="pct"/>
            <w:shd w:val="clear" w:color="auto" w:fill="auto"/>
            <w:tcMar>
              <w:top w:w="20" w:type="dxa"/>
              <w:left w:w="20" w:type="dxa"/>
              <w:bottom w:w="20" w:type="dxa"/>
              <w:right w:w="20" w:type="dxa"/>
            </w:tcMar>
          </w:tcPr>
          <w:p w14:paraId="51A43EB6"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2506BBEA"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2,014</w:t>
            </w:r>
          </w:p>
        </w:tc>
        <w:tc>
          <w:tcPr>
            <w:tcW w:w="262" w:type="pct"/>
            <w:shd w:val="clear" w:color="auto" w:fill="auto"/>
            <w:tcMar>
              <w:top w:w="20" w:type="dxa"/>
              <w:left w:w="20" w:type="dxa"/>
              <w:bottom w:w="20" w:type="dxa"/>
              <w:right w:w="20" w:type="dxa"/>
            </w:tcMar>
          </w:tcPr>
          <w:p w14:paraId="0E63B3C9" w14:textId="77777777" w:rsidR="007B0080" w:rsidRPr="00C66BEC" w:rsidRDefault="007B0080" w:rsidP="007B0080">
            <w:pPr>
              <w:pStyle w:val="T1TableStyle"/>
              <w:jc w:val="center"/>
              <w:rPr>
                <w:rFonts w:ascii="Calibri" w:eastAsia="Calibri" w:hAnsi="Calibri" w:cs="Calibri"/>
                <w:i/>
                <w:color w:val="595959" w:themeColor="text1" w:themeTint="A6"/>
                <w:sz w:val="2"/>
                <w:lang w:val="en-GB"/>
              </w:rPr>
            </w:pPr>
            <w:r w:rsidRPr="00C66BEC">
              <w:rPr>
                <w:rFonts w:ascii="Calibri" w:eastAsia="Calibri" w:hAnsi="Calibri" w:cs="Calibri"/>
                <w:i/>
                <w:color w:val="595959" w:themeColor="text1" w:themeTint="A6"/>
                <w:sz w:val="2"/>
                <w:lang w:val="en-GB"/>
              </w:rPr>
              <w:t xml:space="preserve"> </w:t>
            </w:r>
          </w:p>
        </w:tc>
        <w:tc>
          <w:tcPr>
            <w:tcW w:w="1064" w:type="pct"/>
            <w:shd w:val="clear" w:color="auto" w:fill="auto"/>
            <w:tcMar>
              <w:top w:w="20" w:type="dxa"/>
              <w:left w:w="20" w:type="dxa"/>
              <w:bottom w:w="20" w:type="dxa"/>
              <w:right w:w="20" w:type="dxa"/>
            </w:tcMar>
          </w:tcPr>
          <w:p w14:paraId="21F4ED34" w14:textId="77777777" w:rsidR="007B0080" w:rsidRPr="00C66BEC" w:rsidRDefault="007B0080" w:rsidP="007B0080">
            <w:pPr>
              <w:pStyle w:val="T1TableStyle"/>
              <w:rPr>
                <w:rFonts w:ascii="Verdana" w:eastAsia="Verdana" w:hAnsi="Verdana" w:cs="Verdana"/>
                <w:color w:val="000000"/>
                <w:sz w:val="16"/>
                <w:lang w:val="en-GB"/>
              </w:rPr>
            </w:pPr>
            <w:r w:rsidRPr="00C66BEC">
              <w:rPr>
                <w:rFonts w:ascii="Verdana" w:eastAsia="Verdana" w:hAnsi="Verdana" w:cs="Verdana"/>
                <w:color w:val="000000"/>
                <w:sz w:val="16"/>
                <w:lang w:val="en-GB"/>
              </w:rPr>
              <w:t>Agency</w:t>
            </w:r>
          </w:p>
        </w:tc>
        <w:tc>
          <w:tcPr>
            <w:tcW w:w="642" w:type="pct"/>
            <w:gridSpan w:val="2"/>
            <w:shd w:val="clear" w:color="auto" w:fill="auto"/>
            <w:tcMar>
              <w:top w:w="20" w:type="dxa"/>
              <w:left w:w="20" w:type="dxa"/>
              <w:bottom w:w="20" w:type="dxa"/>
              <w:right w:w="20" w:type="dxa"/>
            </w:tcMar>
          </w:tcPr>
          <w:p w14:paraId="4C3CACCC"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3,414</w:t>
            </w:r>
          </w:p>
        </w:tc>
        <w:tc>
          <w:tcPr>
            <w:tcW w:w="731" w:type="pct"/>
            <w:shd w:val="clear" w:color="auto" w:fill="auto"/>
            <w:tcMar>
              <w:top w:w="20" w:type="dxa"/>
              <w:left w:w="20" w:type="dxa"/>
              <w:bottom w:w="20" w:type="dxa"/>
              <w:right w:w="20" w:type="dxa"/>
            </w:tcMar>
          </w:tcPr>
          <w:p w14:paraId="4EBDDDD5" w14:textId="77777777" w:rsidR="007B0080" w:rsidRPr="00C66BEC" w:rsidRDefault="00792CD5"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64F41868"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3,414</w:t>
            </w:r>
          </w:p>
        </w:tc>
      </w:tr>
      <w:tr w:rsidR="007B0080" w:rsidRPr="00C66BEC" w14:paraId="3AC390A5" w14:textId="77777777" w:rsidTr="0041394A">
        <w:trPr>
          <w:trHeight w:val="152"/>
          <w:jc w:val="center"/>
        </w:trPr>
        <w:tc>
          <w:tcPr>
            <w:tcW w:w="562" w:type="pct"/>
            <w:shd w:val="clear" w:color="auto" w:fill="auto"/>
            <w:tcMar>
              <w:top w:w="20" w:type="dxa"/>
              <w:left w:w="20" w:type="dxa"/>
              <w:bottom w:w="20" w:type="dxa"/>
              <w:right w:w="20" w:type="dxa"/>
            </w:tcMar>
          </w:tcPr>
          <w:p w14:paraId="11234FFA" w14:textId="77777777" w:rsidR="007B0080" w:rsidRPr="00C66BEC" w:rsidRDefault="00C66BEC"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1,148</w:t>
            </w:r>
          </w:p>
        </w:tc>
        <w:tc>
          <w:tcPr>
            <w:tcW w:w="613" w:type="pct"/>
            <w:shd w:val="clear" w:color="auto" w:fill="auto"/>
            <w:tcMar>
              <w:top w:w="20" w:type="dxa"/>
              <w:left w:w="20" w:type="dxa"/>
              <w:bottom w:w="20" w:type="dxa"/>
              <w:right w:w="20" w:type="dxa"/>
            </w:tcMar>
          </w:tcPr>
          <w:p w14:paraId="12BFDE46"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65BEDC99"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1,148</w:t>
            </w:r>
          </w:p>
        </w:tc>
        <w:tc>
          <w:tcPr>
            <w:tcW w:w="262" w:type="pct"/>
            <w:shd w:val="clear" w:color="auto" w:fill="auto"/>
            <w:tcMar>
              <w:top w:w="20" w:type="dxa"/>
              <w:left w:w="20" w:type="dxa"/>
              <w:bottom w:w="20" w:type="dxa"/>
              <w:right w:w="20" w:type="dxa"/>
            </w:tcMar>
          </w:tcPr>
          <w:p w14:paraId="6621CA1F" w14:textId="77777777" w:rsidR="007B0080" w:rsidRPr="00C66BEC" w:rsidRDefault="007B0080" w:rsidP="007B0080">
            <w:pPr>
              <w:pStyle w:val="T1TableStyle"/>
              <w:jc w:val="center"/>
              <w:rPr>
                <w:rFonts w:ascii="Verdana" w:eastAsia="Verdana" w:hAnsi="Verdana" w:cs="Verdana"/>
                <w:i/>
                <w:color w:val="595959" w:themeColor="text1" w:themeTint="A6"/>
                <w:sz w:val="2"/>
                <w:lang w:val="en-GB"/>
              </w:rPr>
            </w:pPr>
            <w:r w:rsidRPr="00C66BEC">
              <w:rPr>
                <w:rFonts w:ascii="Verdana" w:eastAsia="Verdana" w:hAnsi="Verdana" w:cs="Verdana"/>
                <w:i/>
                <w:color w:val="595959" w:themeColor="text1" w:themeTint="A6"/>
                <w:sz w:val="2"/>
                <w:lang w:val="en-GB"/>
              </w:rPr>
              <w:t xml:space="preserve"> </w:t>
            </w:r>
          </w:p>
        </w:tc>
        <w:tc>
          <w:tcPr>
            <w:tcW w:w="1064" w:type="pct"/>
            <w:shd w:val="clear" w:color="auto" w:fill="auto"/>
            <w:tcMar>
              <w:top w:w="20" w:type="dxa"/>
              <w:left w:w="20" w:type="dxa"/>
              <w:bottom w:w="20" w:type="dxa"/>
              <w:right w:w="20" w:type="dxa"/>
            </w:tcMar>
          </w:tcPr>
          <w:p w14:paraId="395400B9" w14:textId="77777777" w:rsidR="007B0080" w:rsidRPr="00C66BEC" w:rsidRDefault="007B0080" w:rsidP="007B0080">
            <w:pPr>
              <w:pStyle w:val="T1TableStyle"/>
              <w:rPr>
                <w:rFonts w:ascii="Verdana" w:eastAsia="Verdana" w:hAnsi="Verdana" w:cs="Verdana"/>
                <w:color w:val="000000"/>
                <w:sz w:val="16"/>
                <w:lang w:val="en-GB"/>
              </w:rPr>
            </w:pPr>
            <w:r w:rsidRPr="00C66BEC">
              <w:rPr>
                <w:rFonts w:ascii="Verdana" w:eastAsia="Verdana" w:hAnsi="Verdana" w:cs="Verdana"/>
                <w:color w:val="000000"/>
                <w:sz w:val="16"/>
                <w:lang w:val="en-GB"/>
              </w:rPr>
              <w:t>Training</w:t>
            </w:r>
          </w:p>
        </w:tc>
        <w:tc>
          <w:tcPr>
            <w:tcW w:w="642" w:type="pct"/>
            <w:gridSpan w:val="2"/>
            <w:shd w:val="clear" w:color="auto" w:fill="auto"/>
            <w:tcMar>
              <w:top w:w="20" w:type="dxa"/>
              <w:left w:w="20" w:type="dxa"/>
              <w:bottom w:w="20" w:type="dxa"/>
              <w:right w:w="20" w:type="dxa"/>
            </w:tcMar>
          </w:tcPr>
          <w:p w14:paraId="66AC7D8A"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2,367</w:t>
            </w:r>
          </w:p>
        </w:tc>
        <w:tc>
          <w:tcPr>
            <w:tcW w:w="731" w:type="pct"/>
            <w:shd w:val="clear" w:color="auto" w:fill="auto"/>
            <w:tcMar>
              <w:top w:w="20" w:type="dxa"/>
              <w:left w:w="20" w:type="dxa"/>
              <w:bottom w:w="20" w:type="dxa"/>
              <w:right w:w="20" w:type="dxa"/>
            </w:tcMar>
          </w:tcPr>
          <w:p w14:paraId="02590A27" w14:textId="77777777" w:rsidR="007B0080" w:rsidRPr="00C66BEC" w:rsidRDefault="00792CD5"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2CE726AD"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2,367</w:t>
            </w:r>
          </w:p>
        </w:tc>
      </w:tr>
      <w:tr w:rsidR="007B0080" w:rsidRPr="00C66BEC" w14:paraId="7D10A416" w14:textId="77777777" w:rsidTr="0041394A">
        <w:trPr>
          <w:trHeight w:val="152"/>
          <w:jc w:val="center"/>
        </w:trPr>
        <w:tc>
          <w:tcPr>
            <w:tcW w:w="562" w:type="pct"/>
            <w:shd w:val="clear" w:color="auto" w:fill="auto"/>
            <w:tcMar>
              <w:top w:w="20" w:type="dxa"/>
              <w:left w:w="20" w:type="dxa"/>
              <w:bottom w:w="20" w:type="dxa"/>
              <w:right w:w="20" w:type="dxa"/>
            </w:tcMar>
          </w:tcPr>
          <w:p w14:paraId="7B90D398" w14:textId="77777777" w:rsidR="007B0080" w:rsidRPr="00C66BEC" w:rsidRDefault="00C66BEC"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1,752</w:t>
            </w:r>
          </w:p>
        </w:tc>
        <w:tc>
          <w:tcPr>
            <w:tcW w:w="613" w:type="pct"/>
            <w:shd w:val="clear" w:color="auto" w:fill="auto"/>
            <w:tcMar>
              <w:top w:w="20" w:type="dxa"/>
              <w:left w:w="20" w:type="dxa"/>
              <w:bottom w:w="20" w:type="dxa"/>
              <w:right w:w="20" w:type="dxa"/>
            </w:tcMar>
          </w:tcPr>
          <w:p w14:paraId="7E125D42"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2190B4AD"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1,752</w:t>
            </w:r>
          </w:p>
        </w:tc>
        <w:tc>
          <w:tcPr>
            <w:tcW w:w="262" w:type="pct"/>
            <w:shd w:val="clear" w:color="auto" w:fill="auto"/>
            <w:tcMar>
              <w:top w:w="20" w:type="dxa"/>
              <w:left w:w="20" w:type="dxa"/>
              <w:bottom w:w="20" w:type="dxa"/>
              <w:right w:w="20" w:type="dxa"/>
            </w:tcMar>
          </w:tcPr>
          <w:p w14:paraId="47700286" w14:textId="77777777" w:rsidR="007B0080" w:rsidRPr="00C66BEC" w:rsidRDefault="007B0080" w:rsidP="007B0080">
            <w:pPr>
              <w:pStyle w:val="T1TableStyle"/>
              <w:jc w:val="center"/>
              <w:rPr>
                <w:rFonts w:ascii="Verdana" w:eastAsia="Verdana" w:hAnsi="Verdana" w:cs="Verdana"/>
                <w:i/>
                <w:color w:val="595959" w:themeColor="text1" w:themeTint="A6"/>
                <w:sz w:val="2"/>
                <w:lang w:val="en-GB"/>
              </w:rPr>
            </w:pPr>
            <w:r w:rsidRPr="00C66BEC">
              <w:rPr>
                <w:rFonts w:ascii="Verdana" w:eastAsia="Verdana" w:hAnsi="Verdana" w:cs="Verdana"/>
                <w:i/>
                <w:color w:val="595959" w:themeColor="text1" w:themeTint="A6"/>
                <w:sz w:val="2"/>
                <w:lang w:val="en-GB"/>
              </w:rPr>
              <w:t xml:space="preserve"> </w:t>
            </w:r>
          </w:p>
        </w:tc>
        <w:tc>
          <w:tcPr>
            <w:tcW w:w="1064" w:type="pct"/>
            <w:shd w:val="clear" w:color="auto" w:fill="auto"/>
            <w:tcMar>
              <w:top w:w="20" w:type="dxa"/>
              <w:left w:w="20" w:type="dxa"/>
              <w:bottom w:w="20" w:type="dxa"/>
              <w:right w:w="20" w:type="dxa"/>
            </w:tcMar>
          </w:tcPr>
          <w:p w14:paraId="2F1DB8EE" w14:textId="77777777" w:rsidR="007B0080" w:rsidRPr="00C66BEC" w:rsidRDefault="007B0080" w:rsidP="007B0080">
            <w:pPr>
              <w:pStyle w:val="T1TableStyle"/>
              <w:rPr>
                <w:rFonts w:ascii="Verdana" w:eastAsia="Verdana" w:hAnsi="Verdana" w:cs="Verdana"/>
                <w:color w:val="000000"/>
                <w:sz w:val="16"/>
                <w:lang w:val="en-GB"/>
              </w:rPr>
            </w:pPr>
            <w:r w:rsidRPr="00C66BEC">
              <w:rPr>
                <w:rFonts w:ascii="Verdana" w:eastAsia="Verdana" w:hAnsi="Verdana" w:cs="Verdana"/>
                <w:color w:val="000000"/>
                <w:sz w:val="16"/>
                <w:lang w:val="en-GB"/>
              </w:rPr>
              <w:t>Other Payroll Costs</w:t>
            </w:r>
          </w:p>
        </w:tc>
        <w:tc>
          <w:tcPr>
            <w:tcW w:w="642" w:type="pct"/>
            <w:gridSpan w:val="2"/>
            <w:shd w:val="clear" w:color="auto" w:fill="auto"/>
            <w:tcMar>
              <w:top w:w="20" w:type="dxa"/>
              <w:left w:w="20" w:type="dxa"/>
              <w:bottom w:w="20" w:type="dxa"/>
              <w:right w:w="20" w:type="dxa"/>
            </w:tcMar>
          </w:tcPr>
          <w:p w14:paraId="224C4BAB"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2,310</w:t>
            </w:r>
          </w:p>
        </w:tc>
        <w:tc>
          <w:tcPr>
            <w:tcW w:w="731" w:type="pct"/>
            <w:shd w:val="clear" w:color="auto" w:fill="auto"/>
            <w:tcMar>
              <w:top w:w="20" w:type="dxa"/>
              <w:left w:w="20" w:type="dxa"/>
              <w:bottom w:w="20" w:type="dxa"/>
              <w:right w:w="20" w:type="dxa"/>
            </w:tcMar>
          </w:tcPr>
          <w:p w14:paraId="63FFA45A" w14:textId="77777777" w:rsidR="007B0080" w:rsidRPr="00C66BEC" w:rsidRDefault="00792CD5"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61510A9A"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2,310</w:t>
            </w:r>
          </w:p>
        </w:tc>
      </w:tr>
      <w:tr w:rsidR="007B0080" w:rsidRPr="00C66BEC" w14:paraId="6D563FDB" w14:textId="77777777" w:rsidTr="0041394A">
        <w:trPr>
          <w:trHeight w:val="152"/>
          <w:jc w:val="center"/>
        </w:trPr>
        <w:tc>
          <w:tcPr>
            <w:tcW w:w="562" w:type="pct"/>
            <w:shd w:val="clear" w:color="auto" w:fill="auto"/>
            <w:tcMar>
              <w:top w:w="20" w:type="dxa"/>
              <w:left w:w="20" w:type="dxa"/>
              <w:bottom w:w="20" w:type="dxa"/>
              <w:right w:w="20" w:type="dxa"/>
            </w:tcMar>
          </w:tcPr>
          <w:p w14:paraId="0273E0A6" w14:textId="77777777" w:rsidR="007B0080" w:rsidRPr="00C66BEC" w:rsidRDefault="00C66BEC"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12,695</w:t>
            </w:r>
          </w:p>
        </w:tc>
        <w:tc>
          <w:tcPr>
            <w:tcW w:w="613" w:type="pct"/>
            <w:shd w:val="clear" w:color="auto" w:fill="auto"/>
            <w:tcMar>
              <w:top w:w="20" w:type="dxa"/>
              <w:left w:w="20" w:type="dxa"/>
              <w:bottom w:w="20" w:type="dxa"/>
              <w:right w:w="20" w:type="dxa"/>
            </w:tcMar>
          </w:tcPr>
          <w:p w14:paraId="327DEF23"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244BD95A"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12,695</w:t>
            </w:r>
          </w:p>
        </w:tc>
        <w:tc>
          <w:tcPr>
            <w:tcW w:w="262" w:type="pct"/>
            <w:shd w:val="clear" w:color="auto" w:fill="auto"/>
            <w:tcMar>
              <w:top w:w="20" w:type="dxa"/>
              <w:left w:w="20" w:type="dxa"/>
              <w:bottom w:w="20" w:type="dxa"/>
              <w:right w:w="20" w:type="dxa"/>
            </w:tcMar>
          </w:tcPr>
          <w:p w14:paraId="0CDE0EB1" w14:textId="77777777" w:rsidR="007B0080" w:rsidRPr="00C66BEC" w:rsidRDefault="007B0080" w:rsidP="007B0080">
            <w:pPr>
              <w:pStyle w:val="T1TableStyle"/>
              <w:jc w:val="center"/>
              <w:rPr>
                <w:rFonts w:ascii="Verdana" w:eastAsia="Verdana" w:hAnsi="Verdana" w:cs="Verdana"/>
                <w:i/>
                <w:color w:val="595959" w:themeColor="text1" w:themeTint="A6"/>
                <w:sz w:val="2"/>
                <w:lang w:val="en-GB"/>
              </w:rPr>
            </w:pPr>
            <w:r w:rsidRPr="00C66BEC">
              <w:rPr>
                <w:rFonts w:ascii="Verdana" w:eastAsia="Verdana" w:hAnsi="Verdana" w:cs="Verdana"/>
                <w:i/>
                <w:color w:val="595959" w:themeColor="text1" w:themeTint="A6"/>
                <w:sz w:val="2"/>
                <w:lang w:val="en-GB"/>
              </w:rPr>
              <w:t xml:space="preserve"> </w:t>
            </w:r>
          </w:p>
        </w:tc>
        <w:tc>
          <w:tcPr>
            <w:tcW w:w="1064" w:type="pct"/>
            <w:shd w:val="clear" w:color="auto" w:fill="auto"/>
            <w:tcMar>
              <w:top w:w="20" w:type="dxa"/>
              <w:left w:w="20" w:type="dxa"/>
              <w:bottom w:w="20" w:type="dxa"/>
              <w:right w:w="20" w:type="dxa"/>
            </w:tcMar>
          </w:tcPr>
          <w:p w14:paraId="3DE64A3B" w14:textId="77777777" w:rsidR="007B0080" w:rsidRPr="00C66BEC" w:rsidRDefault="007B0080" w:rsidP="007B0080">
            <w:pPr>
              <w:pStyle w:val="T1TableStyle"/>
              <w:rPr>
                <w:rFonts w:ascii="Verdana" w:eastAsia="Verdana" w:hAnsi="Verdana" w:cs="Verdana"/>
                <w:color w:val="000000"/>
                <w:sz w:val="16"/>
                <w:lang w:val="en-GB"/>
              </w:rPr>
            </w:pPr>
            <w:r w:rsidRPr="00C66BEC">
              <w:rPr>
                <w:rFonts w:ascii="Verdana" w:eastAsia="Verdana" w:hAnsi="Verdana" w:cs="Verdana"/>
                <w:color w:val="000000"/>
                <w:sz w:val="16"/>
                <w:lang w:val="en-GB"/>
              </w:rPr>
              <w:t>Premises</w:t>
            </w:r>
          </w:p>
        </w:tc>
        <w:tc>
          <w:tcPr>
            <w:tcW w:w="642" w:type="pct"/>
            <w:gridSpan w:val="2"/>
            <w:shd w:val="clear" w:color="auto" w:fill="auto"/>
            <w:tcMar>
              <w:top w:w="20" w:type="dxa"/>
              <w:left w:w="20" w:type="dxa"/>
              <w:bottom w:w="20" w:type="dxa"/>
              <w:right w:w="20" w:type="dxa"/>
            </w:tcMar>
          </w:tcPr>
          <w:p w14:paraId="46BAA089"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9,481</w:t>
            </w:r>
          </w:p>
        </w:tc>
        <w:tc>
          <w:tcPr>
            <w:tcW w:w="731" w:type="pct"/>
            <w:shd w:val="clear" w:color="auto" w:fill="auto"/>
            <w:tcMar>
              <w:top w:w="20" w:type="dxa"/>
              <w:left w:w="20" w:type="dxa"/>
              <w:bottom w:w="20" w:type="dxa"/>
              <w:right w:w="20" w:type="dxa"/>
            </w:tcMar>
          </w:tcPr>
          <w:p w14:paraId="00AD7F37" w14:textId="77777777" w:rsidR="007B0080" w:rsidRPr="00C66BEC" w:rsidRDefault="00792CD5"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1AF6137C"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9,481</w:t>
            </w:r>
          </w:p>
        </w:tc>
      </w:tr>
      <w:tr w:rsidR="007B0080" w:rsidRPr="00C66BEC" w14:paraId="4D14D92D" w14:textId="77777777" w:rsidTr="0041394A">
        <w:trPr>
          <w:trHeight w:val="152"/>
          <w:jc w:val="center"/>
        </w:trPr>
        <w:tc>
          <w:tcPr>
            <w:tcW w:w="562" w:type="pct"/>
            <w:shd w:val="clear" w:color="auto" w:fill="auto"/>
            <w:tcMar>
              <w:top w:w="20" w:type="dxa"/>
              <w:left w:w="20" w:type="dxa"/>
              <w:bottom w:w="20" w:type="dxa"/>
              <w:right w:w="20" w:type="dxa"/>
            </w:tcMar>
          </w:tcPr>
          <w:p w14:paraId="20DCA8AA" w14:textId="77777777" w:rsidR="007B0080" w:rsidRPr="00C66BEC" w:rsidRDefault="00C66BEC"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28,917</w:t>
            </w:r>
          </w:p>
        </w:tc>
        <w:tc>
          <w:tcPr>
            <w:tcW w:w="613" w:type="pct"/>
            <w:shd w:val="clear" w:color="auto" w:fill="auto"/>
            <w:tcMar>
              <w:top w:w="20" w:type="dxa"/>
              <w:left w:w="20" w:type="dxa"/>
              <w:bottom w:w="20" w:type="dxa"/>
              <w:right w:w="20" w:type="dxa"/>
            </w:tcMar>
          </w:tcPr>
          <w:p w14:paraId="4C3F336F"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2FA51393"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28,917</w:t>
            </w:r>
          </w:p>
        </w:tc>
        <w:tc>
          <w:tcPr>
            <w:tcW w:w="262" w:type="pct"/>
            <w:shd w:val="clear" w:color="auto" w:fill="auto"/>
            <w:tcMar>
              <w:top w:w="20" w:type="dxa"/>
              <w:left w:w="20" w:type="dxa"/>
              <w:bottom w:w="20" w:type="dxa"/>
              <w:right w:w="20" w:type="dxa"/>
            </w:tcMar>
          </w:tcPr>
          <w:p w14:paraId="6AECB79B" w14:textId="77777777" w:rsidR="007B0080" w:rsidRPr="00C66BEC" w:rsidRDefault="007B0080" w:rsidP="007B0080">
            <w:pPr>
              <w:pStyle w:val="T1TableStyle"/>
              <w:jc w:val="center"/>
              <w:rPr>
                <w:rFonts w:ascii="Verdana" w:eastAsia="Verdana" w:hAnsi="Verdana" w:cs="Verdana"/>
                <w:i/>
                <w:color w:val="595959" w:themeColor="text1" w:themeTint="A6"/>
                <w:sz w:val="16"/>
                <w:szCs w:val="16"/>
                <w:lang w:val="en-GB"/>
              </w:rPr>
            </w:pPr>
            <w:r w:rsidRPr="00C66BEC">
              <w:rPr>
                <w:rFonts w:ascii="Verdana" w:eastAsia="Verdana" w:hAnsi="Verdana" w:cs="Verdana"/>
                <w:i/>
                <w:color w:val="595959" w:themeColor="text1" w:themeTint="A6"/>
                <w:sz w:val="16"/>
                <w:szCs w:val="16"/>
                <w:lang w:val="en-GB"/>
              </w:rPr>
              <w:t xml:space="preserve"> </w:t>
            </w:r>
          </w:p>
        </w:tc>
        <w:tc>
          <w:tcPr>
            <w:tcW w:w="1064" w:type="pct"/>
            <w:shd w:val="clear" w:color="auto" w:fill="auto"/>
            <w:tcMar>
              <w:top w:w="20" w:type="dxa"/>
              <w:left w:w="20" w:type="dxa"/>
              <w:bottom w:w="20" w:type="dxa"/>
              <w:right w:w="20" w:type="dxa"/>
            </w:tcMar>
          </w:tcPr>
          <w:p w14:paraId="164CA0E9" w14:textId="77777777" w:rsidR="007B0080" w:rsidRPr="00C66BEC" w:rsidRDefault="007B0080" w:rsidP="007B0080">
            <w:pPr>
              <w:pStyle w:val="T1TableStyle"/>
              <w:rPr>
                <w:rFonts w:ascii="Verdana" w:eastAsia="Verdana" w:hAnsi="Verdana" w:cs="Verdana"/>
                <w:color w:val="000000"/>
                <w:sz w:val="16"/>
                <w:lang w:val="en-GB"/>
              </w:rPr>
            </w:pPr>
            <w:r w:rsidRPr="00C66BEC">
              <w:rPr>
                <w:rFonts w:ascii="Verdana" w:eastAsia="Verdana" w:hAnsi="Verdana" w:cs="Verdana"/>
                <w:color w:val="000000"/>
                <w:sz w:val="16"/>
                <w:lang w:val="en-GB"/>
              </w:rPr>
              <w:t>Supplies and Services</w:t>
            </w:r>
          </w:p>
        </w:tc>
        <w:tc>
          <w:tcPr>
            <w:tcW w:w="642" w:type="pct"/>
            <w:gridSpan w:val="2"/>
            <w:shd w:val="clear" w:color="auto" w:fill="auto"/>
            <w:tcMar>
              <w:top w:w="20" w:type="dxa"/>
              <w:left w:w="20" w:type="dxa"/>
              <w:bottom w:w="20" w:type="dxa"/>
              <w:right w:w="20" w:type="dxa"/>
            </w:tcMar>
          </w:tcPr>
          <w:p w14:paraId="14C5B7D4" w14:textId="6DC40411" w:rsidR="007B0080" w:rsidRPr="00C66BEC" w:rsidRDefault="00650303"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32,882</w:t>
            </w:r>
          </w:p>
        </w:tc>
        <w:tc>
          <w:tcPr>
            <w:tcW w:w="731" w:type="pct"/>
            <w:shd w:val="clear" w:color="auto" w:fill="auto"/>
            <w:tcMar>
              <w:top w:w="20" w:type="dxa"/>
              <w:left w:w="20" w:type="dxa"/>
              <w:bottom w:w="20" w:type="dxa"/>
              <w:right w:w="20" w:type="dxa"/>
            </w:tcMar>
          </w:tcPr>
          <w:p w14:paraId="002A07CD" w14:textId="77777777" w:rsidR="007B0080" w:rsidRPr="00C66BEC" w:rsidRDefault="00792CD5"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6779F765" w14:textId="13DCEABA" w:rsidR="007B0080" w:rsidRPr="00C66BEC" w:rsidRDefault="00650303"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32,882</w:t>
            </w:r>
          </w:p>
        </w:tc>
      </w:tr>
      <w:tr w:rsidR="007B0080" w:rsidRPr="00C66BEC" w14:paraId="1C8CBCAC" w14:textId="77777777" w:rsidTr="0041394A">
        <w:trPr>
          <w:trHeight w:val="152"/>
          <w:jc w:val="center"/>
        </w:trPr>
        <w:tc>
          <w:tcPr>
            <w:tcW w:w="562" w:type="pct"/>
            <w:shd w:val="clear" w:color="auto" w:fill="auto"/>
            <w:tcMar>
              <w:top w:w="20" w:type="dxa"/>
              <w:left w:w="20" w:type="dxa"/>
              <w:bottom w:w="20" w:type="dxa"/>
              <w:right w:w="20" w:type="dxa"/>
            </w:tcMar>
          </w:tcPr>
          <w:p w14:paraId="33DC6266" w14:textId="77777777" w:rsidR="007B0080" w:rsidRPr="00C66BEC" w:rsidRDefault="00C66BEC"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5,288</w:t>
            </w:r>
          </w:p>
        </w:tc>
        <w:tc>
          <w:tcPr>
            <w:tcW w:w="613" w:type="pct"/>
            <w:shd w:val="clear" w:color="auto" w:fill="auto"/>
            <w:tcMar>
              <w:top w:w="20" w:type="dxa"/>
              <w:left w:w="20" w:type="dxa"/>
              <w:bottom w:w="20" w:type="dxa"/>
              <w:right w:w="20" w:type="dxa"/>
            </w:tcMar>
          </w:tcPr>
          <w:p w14:paraId="28B7AEBC"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29B7274F"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5,288</w:t>
            </w:r>
          </w:p>
        </w:tc>
        <w:tc>
          <w:tcPr>
            <w:tcW w:w="262" w:type="pct"/>
            <w:shd w:val="clear" w:color="auto" w:fill="auto"/>
            <w:tcMar>
              <w:top w:w="20" w:type="dxa"/>
              <w:left w:w="20" w:type="dxa"/>
              <w:bottom w:w="20" w:type="dxa"/>
              <w:right w:w="20" w:type="dxa"/>
            </w:tcMar>
          </w:tcPr>
          <w:p w14:paraId="726BC056" w14:textId="77777777" w:rsidR="007B0080" w:rsidRPr="00C66BEC" w:rsidRDefault="007B0080" w:rsidP="007B0080">
            <w:pPr>
              <w:pStyle w:val="T1TableStyle"/>
              <w:jc w:val="center"/>
              <w:rPr>
                <w:rFonts w:ascii="Verdana" w:eastAsia="Verdana" w:hAnsi="Verdana" w:cs="Verdana"/>
                <w:i/>
                <w:color w:val="595959" w:themeColor="text1" w:themeTint="A6"/>
                <w:sz w:val="16"/>
                <w:szCs w:val="16"/>
                <w:lang w:val="en-GB"/>
              </w:rPr>
            </w:pPr>
            <w:r w:rsidRPr="00C66BEC">
              <w:rPr>
                <w:rFonts w:ascii="Verdana" w:eastAsia="Verdana" w:hAnsi="Verdana" w:cs="Verdana"/>
                <w:i/>
                <w:color w:val="595959" w:themeColor="text1" w:themeTint="A6"/>
                <w:sz w:val="16"/>
                <w:szCs w:val="16"/>
                <w:lang w:val="en-GB"/>
              </w:rPr>
              <w:t xml:space="preserve"> </w:t>
            </w:r>
          </w:p>
        </w:tc>
        <w:tc>
          <w:tcPr>
            <w:tcW w:w="1064" w:type="pct"/>
            <w:shd w:val="clear" w:color="auto" w:fill="auto"/>
            <w:tcMar>
              <w:top w:w="20" w:type="dxa"/>
              <w:left w:w="20" w:type="dxa"/>
              <w:bottom w:w="20" w:type="dxa"/>
              <w:right w:w="20" w:type="dxa"/>
            </w:tcMar>
          </w:tcPr>
          <w:p w14:paraId="2ABE9DC0" w14:textId="77777777" w:rsidR="007B0080" w:rsidRPr="00C66BEC" w:rsidRDefault="007B0080" w:rsidP="007B0080">
            <w:pPr>
              <w:pStyle w:val="T1TableStyle"/>
              <w:rPr>
                <w:rFonts w:ascii="Verdana" w:eastAsia="Verdana" w:hAnsi="Verdana" w:cs="Verdana"/>
                <w:color w:val="000000"/>
                <w:sz w:val="16"/>
                <w:lang w:val="en-GB"/>
              </w:rPr>
            </w:pPr>
            <w:r w:rsidRPr="00C66BEC">
              <w:rPr>
                <w:rFonts w:ascii="Verdana" w:eastAsia="Verdana" w:hAnsi="Verdana" w:cs="Verdana"/>
                <w:color w:val="000000"/>
                <w:sz w:val="16"/>
                <w:lang w:val="en-GB"/>
              </w:rPr>
              <w:t>Transport</w:t>
            </w:r>
          </w:p>
        </w:tc>
        <w:tc>
          <w:tcPr>
            <w:tcW w:w="642" w:type="pct"/>
            <w:gridSpan w:val="2"/>
            <w:shd w:val="clear" w:color="auto" w:fill="auto"/>
            <w:tcMar>
              <w:top w:w="20" w:type="dxa"/>
              <w:left w:w="20" w:type="dxa"/>
              <w:bottom w:w="20" w:type="dxa"/>
              <w:right w:w="20" w:type="dxa"/>
            </w:tcMar>
          </w:tcPr>
          <w:p w14:paraId="6DB6A7FD"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5,758</w:t>
            </w:r>
          </w:p>
        </w:tc>
        <w:tc>
          <w:tcPr>
            <w:tcW w:w="731" w:type="pct"/>
            <w:shd w:val="clear" w:color="auto" w:fill="auto"/>
            <w:tcMar>
              <w:top w:w="20" w:type="dxa"/>
              <w:left w:w="20" w:type="dxa"/>
              <w:bottom w:w="20" w:type="dxa"/>
              <w:right w:w="20" w:type="dxa"/>
            </w:tcMar>
          </w:tcPr>
          <w:p w14:paraId="13577B91" w14:textId="77777777" w:rsidR="007B0080" w:rsidRPr="00C66BEC" w:rsidRDefault="00792CD5"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1E2C1776"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5,758</w:t>
            </w:r>
          </w:p>
        </w:tc>
      </w:tr>
      <w:tr w:rsidR="007B0080" w:rsidRPr="00C66BEC" w14:paraId="2953B83D" w14:textId="77777777" w:rsidTr="0041394A">
        <w:trPr>
          <w:trHeight w:val="152"/>
          <w:jc w:val="center"/>
        </w:trPr>
        <w:tc>
          <w:tcPr>
            <w:tcW w:w="562" w:type="pct"/>
            <w:shd w:val="clear" w:color="auto" w:fill="auto"/>
            <w:tcMar>
              <w:top w:w="20" w:type="dxa"/>
              <w:left w:w="20" w:type="dxa"/>
              <w:bottom w:w="20" w:type="dxa"/>
              <w:right w:w="20" w:type="dxa"/>
            </w:tcMar>
          </w:tcPr>
          <w:p w14:paraId="5E2ECBCE" w14:textId="77777777" w:rsidR="007B0080" w:rsidRPr="00C66BEC" w:rsidRDefault="00C66BEC"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11,196</w:t>
            </w:r>
          </w:p>
        </w:tc>
        <w:tc>
          <w:tcPr>
            <w:tcW w:w="613" w:type="pct"/>
            <w:shd w:val="clear" w:color="auto" w:fill="auto"/>
            <w:tcMar>
              <w:top w:w="20" w:type="dxa"/>
              <w:left w:w="20" w:type="dxa"/>
              <w:bottom w:w="20" w:type="dxa"/>
              <w:right w:w="20" w:type="dxa"/>
            </w:tcMar>
          </w:tcPr>
          <w:p w14:paraId="444D75F4"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6AB2DC7E"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11,196</w:t>
            </w:r>
          </w:p>
        </w:tc>
        <w:tc>
          <w:tcPr>
            <w:tcW w:w="262" w:type="pct"/>
            <w:shd w:val="clear" w:color="auto" w:fill="auto"/>
            <w:tcMar>
              <w:top w:w="20" w:type="dxa"/>
              <w:left w:w="20" w:type="dxa"/>
              <w:bottom w:w="20" w:type="dxa"/>
              <w:right w:w="20" w:type="dxa"/>
            </w:tcMar>
          </w:tcPr>
          <w:p w14:paraId="6AC1B938" w14:textId="77777777" w:rsidR="007B0080" w:rsidRPr="00C66BEC" w:rsidRDefault="007B0080" w:rsidP="007B0080">
            <w:pPr>
              <w:pStyle w:val="T1TableStyle"/>
              <w:jc w:val="center"/>
              <w:rPr>
                <w:rFonts w:ascii="Verdana" w:eastAsia="Verdana" w:hAnsi="Verdana" w:cs="Verdana"/>
                <w:i/>
                <w:color w:val="595959" w:themeColor="text1" w:themeTint="A6"/>
                <w:sz w:val="16"/>
                <w:szCs w:val="16"/>
                <w:lang w:val="en-GB"/>
              </w:rPr>
            </w:pPr>
            <w:r w:rsidRPr="00C66BEC">
              <w:rPr>
                <w:rFonts w:ascii="Verdana" w:eastAsia="Verdana" w:hAnsi="Verdana" w:cs="Verdana"/>
                <w:i/>
                <w:color w:val="595959" w:themeColor="text1" w:themeTint="A6"/>
                <w:sz w:val="16"/>
                <w:szCs w:val="16"/>
                <w:lang w:val="en-GB"/>
              </w:rPr>
              <w:t xml:space="preserve"> *</w:t>
            </w:r>
          </w:p>
        </w:tc>
        <w:tc>
          <w:tcPr>
            <w:tcW w:w="1064" w:type="pct"/>
            <w:shd w:val="clear" w:color="auto" w:fill="auto"/>
            <w:tcMar>
              <w:top w:w="20" w:type="dxa"/>
              <w:left w:w="20" w:type="dxa"/>
              <w:bottom w:w="20" w:type="dxa"/>
              <w:right w:w="20" w:type="dxa"/>
            </w:tcMar>
          </w:tcPr>
          <w:p w14:paraId="24EB8551" w14:textId="77777777" w:rsidR="007B0080" w:rsidRPr="00C66BEC" w:rsidRDefault="007B0080" w:rsidP="007B0080">
            <w:pPr>
              <w:pStyle w:val="T1TableStyle"/>
              <w:rPr>
                <w:rFonts w:ascii="Verdana" w:eastAsia="Verdana" w:hAnsi="Verdana" w:cs="Verdana"/>
                <w:color w:val="000000"/>
                <w:sz w:val="16"/>
                <w:lang w:val="en-GB"/>
              </w:rPr>
            </w:pPr>
            <w:r w:rsidRPr="00C66BEC">
              <w:rPr>
                <w:rFonts w:ascii="Verdana" w:eastAsia="Verdana" w:hAnsi="Verdana" w:cs="Verdana"/>
                <w:color w:val="000000"/>
                <w:sz w:val="16"/>
                <w:lang w:val="en-GB"/>
              </w:rPr>
              <w:t>Depreciation/Amortisation (Proxy)</w:t>
            </w:r>
          </w:p>
        </w:tc>
        <w:tc>
          <w:tcPr>
            <w:tcW w:w="642" w:type="pct"/>
            <w:gridSpan w:val="2"/>
            <w:shd w:val="clear" w:color="auto" w:fill="auto"/>
            <w:tcMar>
              <w:top w:w="20" w:type="dxa"/>
              <w:left w:w="20" w:type="dxa"/>
              <w:bottom w:w="20" w:type="dxa"/>
              <w:right w:w="20" w:type="dxa"/>
            </w:tcMar>
          </w:tcPr>
          <w:p w14:paraId="7A664472" w14:textId="77777777" w:rsidR="007B0080" w:rsidRPr="00C66BEC" w:rsidRDefault="00C66BEC"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10,521</w:t>
            </w:r>
          </w:p>
        </w:tc>
        <w:tc>
          <w:tcPr>
            <w:tcW w:w="731" w:type="pct"/>
            <w:shd w:val="clear" w:color="auto" w:fill="auto"/>
            <w:tcMar>
              <w:top w:w="20" w:type="dxa"/>
              <w:left w:w="20" w:type="dxa"/>
              <w:bottom w:w="20" w:type="dxa"/>
              <w:right w:w="20" w:type="dxa"/>
            </w:tcMar>
          </w:tcPr>
          <w:p w14:paraId="405CC951" w14:textId="77777777" w:rsidR="007B0080" w:rsidRPr="00C66BEC" w:rsidRDefault="00792CD5"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42A404AA" w14:textId="77777777" w:rsidR="007B0080" w:rsidRPr="00C66BEC" w:rsidRDefault="00C66BEC"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10,521</w:t>
            </w:r>
          </w:p>
        </w:tc>
      </w:tr>
      <w:tr w:rsidR="007B0080" w:rsidRPr="00C66BEC" w14:paraId="3AD9E4ED" w14:textId="77777777" w:rsidTr="0041394A">
        <w:trPr>
          <w:trHeight w:val="152"/>
          <w:jc w:val="center"/>
        </w:trPr>
        <w:tc>
          <w:tcPr>
            <w:tcW w:w="562" w:type="pct"/>
            <w:shd w:val="clear" w:color="auto" w:fill="auto"/>
            <w:tcMar>
              <w:top w:w="20" w:type="dxa"/>
              <w:left w:w="20" w:type="dxa"/>
              <w:bottom w:w="20" w:type="dxa"/>
              <w:right w:w="20" w:type="dxa"/>
            </w:tcMar>
          </w:tcPr>
          <w:p w14:paraId="0BCFC4C5" w14:textId="77777777" w:rsidR="007B0080" w:rsidRPr="00C66BEC" w:rsidRDefault="00C66BEC"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0</w:t>
            </w:r>
          </w:p>
        </w:tc>
        <w:tc>
          <w:tcPr>
            <w:tcW w:w="613" w:type="pct"/>
            <w:shd w:val="clear" w:color="auto" w:fill="auto"/>
            <w:tcMar>
              <w:top w:w="20" w:type="dxa"/>
              <w:left w:w="20" w:type="dxa"/>
              <w:bottom w:w="20" w:type="dxa"/>
              <w:right w:w="20" w:type="dxa"/>
            </w:tcMar>
          </w:tcPr>
          <w:p w14:paraId="3CBC6D6B"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(14,144)</w:t>
            </w:r>
          </w:p>
        </w:tc>
        <w:tc>
          <w:tcPr>
            <w:tcW w:w="563" w:type="pct"/>
            <w:shd w:val="clear" w:color="auto" w:fill="auto"/>
            <w:tcMar>
              <w:top w:w="20" w:type="dxa"/>
              <w:left w:w="20" w:type="dxa"/>
              <w:bottom w:w="20" w:type="dxa"/>
              <w:right w:w="20" w:type="dxa"/>
            </w:tcMar>
          </w:tcPr>
          <w:p w14:paraId="23BE7006" w14:textId="77777777" w:rsidR="007B0080" w:rsidRPr="00C66BEC" w:rsidRDefault="007B0080" w:rsidP="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(14,144)</w:t>
            </w:r>
          </w:p>
        </w:tc>
        <w:tc>
          <w:tcPr>
            <w:tcW w:w="262" w:type="pct"/>
            <w:shd w:val="clear" w:color="auto" w:fill="auto"/>
            <w:tcMar>
              <w:top w:w="20" w:type="dxa"/>
              <w:left w:w="20" w:type="dxa"/>
              <w:bottom w:w="20" w:type="dxa"/>
              <w:right w:w="20" w:type="dxa"/>
            </w:tcMar>
          </w:tcPr>
          <w:p w14:paraId="5BDC5AF6" w14:textId="77777777" w:rsidR="007B0080" w:rsidRPr="00C66BEC" w:rsidRDefault="007B0080" w:rsidP="007B0080">
            <w:pPr>
              <w:pStyle w:val="T1TableStyle"/>
              <w:jc w:val="center"/>
              <w:rPr>
                <w:rFonts w:ascii="Verdana" w:eastAsia="Verdana" w:hAnsi="Verdana" w:cs="Verdana"/>
                <w:i/>
                <w:color w:val="595959" w:themeColor="text1" w:themeTint="A6"/>
                <w:sz w:val="16"/>
                <w:szCs w:val="16"/>
                <w:lang w:val="en-GB"/>
              </w:rPr>
            </w:pPr>
            <w:r w:rsidRPr="00C66BEC">
              <w:rPr>
                <w:rFonts w:ascii="Verdana" w:eastAsia="Verdana" w:hAnsi="Verdana" w:cs="Verdana"/>
                <w:i/>
                <w:color w:val="595959" w:themeColor="text1" w:themeTint="A6"/>
                <w:sz w:val="16"/>
                <w:szCs w:val="16"/>
                <w:lang w:val="en-GB"/>
              </w:rPr>
              <w:t xml:space="preserve"> </w:t>
            </w:r>
          </w:p>
        </w:tc>
        <w:tc>
          <w:tcPr>
            <w:tcW w:w="1064" w:type="pct"/>
            <w:shd w:val="clear" w:color="auto" w:fill="auto"/>
            <w:tcMar>
              <w:top w:w="20" w:type="dxa"/>
              <w:left w:w="20" w:type="dxa"/>
              <w:bottom w:w="20" w:type="dxa"/>
              <w:right w:w="20" w:type="dxa"/>
            </w:tcMar>
          </w:tcPr>
          <w:p w14:paraId="2F9A85D5" w14:textId="77777777" w:rsidR="007B0080" w:rsidRPr="00C66BEC" w:rsidRDefault="007B0080" w:rsidP="007B0080">
            <w:pPr>
              <w:pStyle w:val="T1TableStyle"/>
              <w:rPr>
                <w:rFonts w:ascii="Verdana" w:eastAsia="Verdana" w:hAnsi="Verdana" w:cs="Verdana"/>
                <w:color w:val="000000"/>
                <w:sz w:val="16"/>
                <w:lang w:val="en-GB"/>
              </w:rPr>
            </w:pPr>
            <w:r w:rsidRPr="00C66BEC">
              <w:rPr>
                <w:rFonts w:ascii="Verdana" w:eastAsia="Verdana" w:hAnsi="Verdana" w:cs="Verdana"/>
                <w:color w:val="000000"/>
                <w:sz w:val="16"/>
                <w:lang w:val="en-GB"/>
              </w:rPr>
              <w:t>Income</w:t>
            </w:r>
          </w:p>
        </w:tc>
        <w:tc>
          <w:tcPr>
            <w:tcW w:w="642" w:type="pct"/>
            <w:gridSpan w:val="2"/>
            <w:shd w:val="clear" w:color="auto" w:fill="auto"/>
            <w:tcMar>
              <w:top w:w="20" w:type="dxa"/>
              <w:left w:w="20" w:type="dxa"/>
              <w:bottom w:w="20" w:type="dxa"/>
              <w:right w:w="20" w:type="dxa"/>
            </w:tcMar>
          </w:tcPr>
          <w:p w14:paraId="560CF686" w14:textId="77777777" w:rsidR="007B0080" w:rsidRPr="00C66BEC" w:rsidRDefault="003950C6" w:rsidP="003950C6">
            <w:pPr>
              <w:pStyle w:val="T1TableStyle"/>
              <w:tabs>
                <w:tab w:val="left" w:pos="1380"/>
              </w:tabs>
              <w:rPr>
                <w:rFonts w:ascii="Verdana" w:eastAsia="Verdana" w:hAnsi="Verdana" w:cs="Verdana"/>
                <w:color w:val="000000"/>
                <w:sz w:val="16"/>
                <w:lang w:val="en-GB"/>
              </w:rPr>
            </w:pPr>
            <w:r>
              <w:rPr>
                <w:rFonts w:ascii="Verdana" w:eastAsia="Verdana" w:hAnsi="Verdana" w:cs="Verdana"/>
                <w:color w:val="000000"/>
                <w:sz w:val="16"/>
                <w:lang w:val="en-GB"/>
              </w:rPr>
              <w:tab/>
              <w:t xml:space="preserve">  0</w:t>
            </w:r>
          </w:p>
        </w:tc>
        <w:tc>
          <w:tcPr>
            <w:tcW w:w="731" w:type="pct"/>
            <w:shd w:val="clear" w:color="auto" w:fill="auto"/>
            <w:tcMar>
              <w:top w:w="20" w:type="dxa"/>
              <w:left w:w="20" w:type="dxa"/>
              <w:bottom w:w="20" w:type="dxa"/>
              <w:right w:w="20" w:type="dxa"/>
            </w:tcMar>
          </w:tcPr>
          <w:p w14:paraId="4A5A4AB8" w14:textId="4788AB60" w:rsidR="007B0080" w:rsidRPr="00C66BEC" w:rsidRDefault="00C66BE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7B0080" w:rsidRPr="00C66BEC">
              <w:rPr>
                <w:rFonts w:ascii="Verdana" w:eastAsia="Verdana" w:hAnsi="Verdana" w:cs="Verdana"/>
                <w:color w:val="000000"/>
                <w:sz w:val="16"/>
                <w:lang w:val="en-GB"/>
              </w:rPr>
              <w:t>1</w:t>
            </w:r>
            <w:r w:rsidR="00121459">
              <w:rPr>
                <w:rFonts w:ascii="Verdana" w:eastAsia="Verdana" w:hAnsi="Verdana" w:cs="Verdana"/>
                <w:color w:val="000000"/>
                <w:sz w:val="16"/>
                <w:lang w:val="en-GB"/>
              </w:rPr>
              <w:t>9,0</w:t>
            </w:r>
            <w:r w:rsidR="00650303">
              <w:rPr>
                <w:rFonts w:ascii="Verdana" w:eastAsia="Verdana" w:hAnsi="Verdana" w:cs="Verdana"/>
                <w:color w:val="000000"/>
                <w:sz w:val="16"/>
                <w:lang w:val="en-GB"/>
              </w:rPr>
              <w:t>59</w:t>
            </w:r>
            <w:r>
              <w:rPr>
                <w:rFonts w:ascii="Verdana" w:eastAsia="Verdana" w:hAnsi="Verdana" w:cs="Verdana"/>
                <w:color w:val="000000"/>
                <w:sz w:val="16"/>
                <w:lang w:val="en-GB"/>
              </w:rPr>
              <w:t>)</w:t>
            </w:r>
          </w:p>
        </w:tc>
        <w:tc>
          <w:tcPr>
            <w:tcW w:w="563" w:type="pct"/>
            <w:shd w:val="clear" w:color="auto" w:fill="auto"/>
            <w:tcMar>
              <w:top w:w="20" w:type="dxa"/>
              <w:left w:w="20" w:type="dxa"/>
              <w:bottom w:w="20" w:type="dxa"/>
              <w:right w:w="20" w:type="dxa"/>
            </w:tcMar>
          </w:tcPr>
          <w:p w14:paraId="04F15F19" w14:textId="228E23A8" w:rsidR="007B0080" w:rsidRPr="00C66BEC" w:rsidRDefault="007B0080">
            <w:pPr>
              <w:pStyle w:val="T1TableStyle"/>
              <w:jc w:val="right"/>
              <w:rPr>
                <w:rFonts w:ascii="Verdana" w:eastAsia="Verdana" w:hAnsi="Verdana" w:cs="Verdana"/>
                <w:color w:val="000000"/>
                <w:sz w:val="16"/>
                <w:lang w:val="en-GB"/>
              </w:rPr>
            </w:pPr>
            <w:r w:rsidRPr="00C66BEC">
              <w:rPr>
                <w:rFonts w:ascii="Verdana" w:eastAsia="Verdana" w:hAnsi="Verdana" w:cs="Verdana"/>
                <w:color w:val="000000"/>
                <w:sz w:val="16"/>
                <w:lang w:val="en-GB"/>
              </w:rPr>
              <w:t>(1</w:t>
            </w:r>
            <w:r w:rsidR="00121459">
              <w:rPr>
                <w:rFonts w:ascii="Verdana" w:eastAsia="Verdana" w:hAnsi="Verdana" w:cs="Verdana"/>
                <w:color w:val="000000"/>
                <w:sz w:val="16"/>
                <w:lang w:val="en-GB"/>
              </w:rPr>
              <w:t>9,0</w:t>
            </w:r>
            <w:r w:rsidR="00650303">
              <w:rPr>
                <w:rFonts w:ascii="Verdana" w:eastAsia="Verdana" w:hAnsi="Verdana" w:cs="Verdana"/>
                <w:color w:val="000000"/>
                <w:sz w:val="16"/>
                <w:lang w:val="en-GB"/>
              </w:rPr>
              <w:t>59</w:t>
            </w:r>
            <w:r w:rsidRPr="00C66BEC">
              <w:rPr>
                <w:rFonts w:ascii="Verdana" w:eastAsia="Verdana" w:hAnsi="Verdana" w:cs="Verdana"/>
                <w:color w:val="000000"/>
                <w:sz w:val="16"/>
                <w:lang w:val="en-GB"/>
              </w:rPr>
              <w:t>)</w:t>
            </w:r>
          </w:p>
        </w:tc>
      </w:tr>
      <w:tr w:rsidR="007B0080" w:rsidRPr="00C66BEC" w14:paraId="4FC66381" w14:textId="77777777" w:rsidTr="0041394A">
        <w:trPr>
          <w:trHeight w:val="152"/>
          <w:jc w:val="center"/>
        </w:trPr>
        <w:tc>
          <w:tcPr>
            <w:tcW w:w="562" w:type="pct"/>
            <w:tcBorders>
              <w:top w:val="single" w:sz="2" w:space="0" w:color="000000"/>
              <w:bottom w:val="single" w:sz="12" w:space="0" w:color="000000"/>
            </w:tcBorders>
            <w:shd w:val="clear" w:color="auto" w:fill="auto"/>
            <w:tcMar>
              <w:top w:w="20" w:type="dxa"/>
              <w:left w:w="20" w:type="dxa"/>
              <w:bottom w:w="20" w:type="dxa"/>
              <w:right w:w="20" w:type="dxa"/>
            </w:tcMar>
          </w:tcPr>
          <w:p w14:paraId="68421EF3" w14:textId="77777777" w:rsidR="007B0080" w:rsidRPr="00C66BEC" w:rsidRDefault="007B0080" w:rsidP="007B0080">
            <w:pPr>
              <w:pStyle w:val="T1TableStyle"/>
              <w:jc w:val="right"/>
              <w:rPr>
                <w:rFonts w:ascii="Verdana" w:eastAsia="Verdana" w:hAnsi="Verdana" w:cs="Verdana"/>
                <w:b/>
                <w:color w:val="000000"/>
                <w:sz w:val="16"/>
                <w:lang w:val="en-GB"/>
              </w:rPr>
            </w:pPr>
            <w:r w:rsidRPr="00C66BEC">
              <w:rPr>
                <w:rFonts w:ascii="Verdana" w:eastAsia="Verdana" w:hAnsi="Verdana" w:cs="Verdana"/>
                <w:b/>
                <w:color w:val="000000"/>
                <w:sz w:val="16"/>
                <w:lang w:val="en-GB"/>
              </w:rPr>
              <w:t>277,098</w:t>
            </w:r>
          </w:p>
        </w:tc>
        <w:tc>
          <w:tcPr>
            <w:tcW w:w="613" w:type="pct"/>
            <w:tcBorders>
              <w:top w:val="single" w:sz="2" w:space="0" w:color="000000"/>
              <w:bottom w:val="single" w:sz="12" w:space="0" w:color="000000"/>
            </w:tcBorders>
            <w:shd w:val="clear" w:color="auto" w:fill="auto"/>
            <w:tcMar>
              <w:top w:w="20" w:type="dxa"/>
              <w:left w:w="20" w:type="dxa"/>
              <w:bottom w:w="20" w:type="dxa"/>
              <w:right w:w="20" w:type="dxa"/>
            </w:tcMar>
          </w:tcPr>
          <w:p w14:paraId="4BAA392D" w14:textId="77777777" w:rsidR="007B0080" w:rsidRPr="00C66BEC" w:rsidRDefault="007B0080" w:rsidP="007B0080">
            <w:pPr>
              <w:pStyle w:val="T1TableStyle"/>
              <w:jc w:val="right"/>
              <w:rPr>
                <w:rFonts w:ascii="Verdana" w:eastAsia="Verdana" w:hAnsi="Verdana" w:cs="Verdana"/>
                <w:b/>
                <w:color w:val="000000"/>
                <w:sz w:val="16"/>
                <w:lang w:val="en-GB"/>
              </w:rPr>
            </w:pPr>
            <w:r w:rsidRPr="00C66BEC">
              <w:rPr>
                <w:rFonts w:ascii="Verdana" w:eastAsia="Verdana" w:hAnsi="Verdana" w:cs="Verdana"/>
                <w:b/>
                <w:color w:val="000000"/>
                <w:sz w:val="16"/>
                <w:lang w:val="en-GB"/>
              </w:rPr>
              <w:t>(14,144)</w:t>
            </w:r>
          </w:p>
        </w:tc>
        <w:tc>
          <w:tcPr>
            <w:tcW w:w="563" w:type="pct"/>
            <w:tcBorders>
              <w:top w:val="single" w:sz="2" w:space="0" w:color="000000"/>
              <w:bottom w:val="single" w:sz="12" w:space="0" w:color="000000"/>
            </w:tcBorders>
            <w:shd w:val="clear" w:color="auto" w:fill="auto"/>
            <w:tcMar>
              <w:top w:w="20" w:type="dxa"/>
              <w:left w:w="20" w:type="dxa"/>
              <w:bottom w:w="20" w:type="dxa"/>
              <w:right w:w="20" w:type="dxa"/>
            </w:tcMar>
          </w:tcPr>
          <w:p w14:paraId="5C605893" w14:textId="77777777" w:rsidR="007B0080" w:rsidRPr="00C66BEC" w:rsidRDefault="007B0080" w:rsidP="007B0080">
            <w:pPr>
              <w:pStyle w:val="T1TableStyle"/>
              <w:jc w:val="right"/>
              <w:rPr>
                <w:rFonts w:ascii="Verdana" w:eastAsia="Verdana" w:hAnsi="Verdana" w:cs="Verdana"/>
                <w:b/>
                <w:color w:val="000000"/>
                <w:sz w:val="16"/>
                <w:lang w:val="en-GB"/>
              </w:rPr>
            </w:pPr>
            <w:r w:rsidRPr="00C66BEC">
              <w:rPr>
                <w:rFonts w:ascii="Verdana" w:eastAsia="Verdana" w:hAnsi="Verdana" w:cs="Verdana"/>
                <w:b/>
                <w:color w:val="000000"/>
                <w:sz w:val="16"/>
                <w:lang w:val="en-GB"/>
              </w:rPr>
              <w:t>262,954</w:t>
            </w:r>
          </w:p>
        </w:tc>
        <w:tc>
          <w:tcPr>
            <w:tcW w:w="262"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732E873" w14:textId="77777777" w:rsidR="007B0080" w:rsidRPr="00C66BEC" w:rsidRDefault="007B0080" w:rsidP="007B0080">
            <w:pPr>
              <w:pStyle w:val="T1TableStyle"/>
              <w:jc w:val="center"/>
              <w:rPr>
                <w:rFonts w:ascii="Verdana" w:eastAsia="Verdana" w:hAnsi="Verdana" w:cs="Verdana"/>
                <w:b/>
                <w:i/>
                <w:color w:val="595959" w:themeColor="text1" w:themeTint="A6"/>
                <w:sz w:val="16"/>
                <w:szCs w:val="16"/>
                <w:lang w:val="en-GB"/>
              </w:rPr>
            </w:pPr>
            <w:r w:rsidRPr="00C66BEC">
              <w:rPr>
                <w:rFonts w:ascii="Verdana" w:eastAsia="Verdana" w:hAnsi="Verdana" w:cs="Verdana"/>
                <w:b/>
                <w:i/>
                <w:color w:val="595959" w:themeColor="text1" w:themeTint="A6"/>
                <w:sz w:val="16"/>
                <w:szCs w:val="16"/>
                <w:lang w:val="en-GB"/>
              </w:rPr>
              <w:t xml:space="preserve"> </w:t>
            </w:r>
          </w:p>
        </w:tc>
        <w:tc>
          <w:tcPr>
            <w:tcW w:w="1064" w:type="pct"/>
            <w:tcBorders>
              <w:top w:val="single" w:sz="2" w:space="0" w:color="000000"/>
              <w:bottom w:val="single" w:sz="12" w:space="0" w:color="000000"/>
            </w:tcBorders>
            <w:shd w:val="clear" w:color="auto" w:fill="auto"/>
            <w:tcMar>
              <w:top w:w="20" w:type="dxa"/>
              <w:left w:w="20" w:type="dxa"/>
              <w:bottom w:w="20" w:type="dxa"/>
              <w:right w:w="20" w:type="dxa"/>
            </w:tcMar>
          </w:tcPr>
          <w:p w14:paraId="770C76F0" w14:textId="77777777" w:rsidR="007B0080" w:rsidRPr="00C66BEC" w:rsidRDefault="007B0080" w:rsidP="007B0080">
            <w:pPr>
              <w:pStyle w:val="T1TableStyle"/>
              <w:rPr>
                <w:rFonts w:ascii="Verdana" w:eastAsia="Verdana" w:hAnsi="Verdana" w:cs="Verdana"/>
                <w:b/>
                <w:color w:val="000000"/>
                <w:sz w:val="16"/>
                <w:lang w:val="en-GB"/>
              </w:rPr>
            </w:pPr>
            <w:r w:rsidRPr="00C66BEC">
              <w:rPr>
                <w:rFonts w:ascii="Verdana" w:eastAsia="Verdana" w:hAnsi="Verdana" w:cs="Verdana"/>
                <w:b/>
                <w:color w:val="000000"/>
                <w:sz w:val="16"/>
                <w:lang w:val="en-GB"/>
              </w:rPr>
              <w:t>Cost of Services</w:t>
            </w:r>
          </w:p>
        </w:tc>
        <w:tc>
          <w:tcPr>
            <w:tcW w:w="642" w:type="pct"/>
            <w:gridSpan w:val="2"/>
            <w:tcBorders>
              <w:top w:val="single" w:sz="2" w:space="0" w:color="000000"/>
              <w:bottom w:val="single" w:sz="12" w:space="0" w:color="000000"/>
            </w:tcBorders>
            <w:shd w:val="clear" w:color="auto" w:fill="auto"/>
            <w:tcMar>
              <w:top w:w="20" w:type="dxa"/>
              <w:left w:w="20" w:type="dxa"/>
              <w:bottom w:w="20" w:type="dxa"/>
              <w:right w:w="20" w:type="dxa"/>
            </w:tcMar>
          </w:tcPr>
          <w:p w14:paraId="343BDC6F" w14:textId="41FAB195" w:rsidR="007B0080" w:rsidRPr="00C66BEC" w:rsidRDefault="00650303" w:rsidP="007B008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305,159</w:t>
            </w:r>
          </w:p>
        </w:tc>
        <w:tc>
          <w:tcPr>
            <w:tcW w:w="731" w:type="pct"/>
            <w:tcBorders>
              <w:top w:val="single" w:sz="2" w:space="0" w:color="000000"/>
              <w:bottom w:val="single" w:sz="12" w:space="0" w:color="000000"/>
            </w:tcBorders>
            <w:shd w:val="clear" w:color="auto" w:fill="auto"/>
            <w:tcMar>
              <w:top w:w="20" w:type="dxa"/>
              <w:left w:w="20" w:type="dxa"/>
              <w:bottom w:w="20" w:type="dxa"/>
              <w:right w:w="20" w:type="dxa"/>
            </w:tcMar>
          </w:tcPr>
          <w:p w14:paraId="778462EA" w14:textId="5A52C7B3" w:rsidR="007B0080" w:rsidRPr="00C66BEC" w:rsidRDefault="00C66BEC">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7B0080" w:rsidRPr="00C66BEC">
              <w:rPr>
                <w:rFonts w:ascii="Verdana" w:eastAsia="Verdana" w:hAnsi="Verdana" w:cs="Verdana"/>
                <w:b/>
                <w:color w:val="000000"/>
                <w:sz w:val="16"/>
                <w:lang w:val="en-GB"/>
              </w:rPr>
              <w:t>1</w:t>
            </w:r>
            <w:r w:rsidR="00121459">
              <w:rPr>
                <w:rFonts w:ascii="Verdana" w:eastAsia="Verdana" w:hAnsi="Verdana" w:cs="Verdana"/>
                <w:b/>
                <w:color w:val="000000"/>
                <w:sz w:val="16"/>
                <w:lang w:val="en-GB"/>
              </w:rPr>
              <w:t>9,0</w:t>
            </w:r>
            <w:r w:rsidR="00650303">
              <w:rPr>
                <w:rFonts w:ascii="Verdana" w:eastAsia="Verdana" w:hAnsi="Verdana" w:cs="Verdana"/>
                <w:b/>
                <w:color w:val="000000"/>
                <w:sz w:val="16"/>
                <w:lang w:val="en-GB"/>
              </w:rPr>
              <w:t>59</w:t>
            </w:r>
            <w:r>
              <w:rPr>
                <w:rFonts w:ascii="Verdana" w:eastAsia="Verdana" w:hAnsi="Verdana" w:cs="Verdana"/>
                <w:b/>
                <w:color w:val="000000"/>
                <w:sz w:val="16"/>
                <w:lang w:val="en-GB"/>
              </w:rPr>
              <w:t>)</w:t>
            </w:r>
          </w:p>
        </w:tc>
        <w:tc>
          <w:tcPr>
            <w:tcW w:w="563" w:type="pct"/>
            <w:tcBorders>
              <w:top w:val="single" w:sz="2" w:space="0" w:color="000000"/>
              <w:bottom w:val="single" w:sz="12" w:space="0" w:color="000000"/>
            </w:tcBorders>
            <w:shd w:val="clear" w:color="auto" w:fill="auto"/>
            <w:tcMar>
              <w:top w:w="20" w:type="dxa"/>
              <w:left w:w="20" w:type="dxa"/>
              <w:bottom w:w="20" w:type="dxa"/>
              <w:right w:w="20" w:type="dxa"/>
            </w:tcMar>
          </w:tcPr>
          <w:p w14:paraId="2CD3ADFC" w14:textId="5724A9B1" w:rsidR="007B0080" w:rsidRPr="00C66BEC" w:rsidRDefault="00304AF3" w:rsidP="007B008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286,100</w:t>
            </w:r>
          </w:p>
        </w:tc>
      </w:tr>
      <w:tr w:rsidR="007B0080" w:rsidRPr="00C66BEC" w14:paraId="1774A337" w14:textId="77777777" w:rsidTr="0041394A">
        <w:trPr>
          <w:trHeight w:val="152"/>
          <w:jc w:val="center"/>
        </w:trPr>
        <w:tc>
          <w:tcPr>
            <w:tcW w:w="562" w:type="pct"/>
            <w:tcBorders>
              <w:top w:val="single" w:sz="2" w:space="0" w:color="000000"/>
              <w:bottom w:val="single" w:sz="12" w:space="0" w:color="000000"/>
            </w:tcBorders>
            <w:shd w:val="clear" w:color="auto" w:fill="auto"/>
            <w:tcMar>
              <w:top w:w="20" w:type="dxa"/>
              <w:left w:w="20" w:type="dxa"/>
              <w:bottom w:w="20" w:type="dxa"/>
              <w:right w:w="20" w:type="dxa"/>
            </w:tcMar>
          </w:tcPr>
          <w:p w14:paraId="08E4263B" w14:textId="77777777" w:rsidR="007B0080" w:rsidRPr="00C66BEC" w:rsidRDefault="007B0080" w:rsidP="007B0080">
            <w:pPr>
              <w:pStyle w:val="T1TableStyle"/>
              <w:jc w:val="right"/>
              <w:rPr>
                <w:rFonts w:ascii="Verdana" w:eastAsia="Verdana" w:hAnsi="Verdana" w:cs="Verdana"/>
                <w:b/>
                <w:color w:val="000000"/>
                <w:sz w:val="16"/>
                <w:lang w:val="en-GB"/>
              </w:rPr>
            </w:pPr>
          </w:p>
        </w:tc>
        <w:tc>
          <w:tcPr>
            <w:tcW w:w="613" w:type="pct"/>
            <w:tcBorders>
              <w:top w:val="single" w:sz="2" w:space="0" w:color="000000"/>
              <w:bottom w:val="single" w:sz="12" w:space="0" w:color="000000"/>
            </w:tcBorders>
            <w:shd w:val="clear" w:color="auto" w:fill="auto"/>
            <w:tcMar>
              <w:top w:w="20" w:type="dxa"/>
              <w:left w:w="20" w:type="dxa"/>
              <w:bottom w:w="20" w:type="dxa"/>
              <w:right w:w="20" w:type="dxa"/>
            </w:tcMar>
          </w:tcPr>
          <w:p w14:paraId="339B5B29" w14:textId="77777777" w:rsidR="007B0080" w:rsidRPr="00C66BEC" w:rsidRDefault="007B0080" w:rsidP="007B0080">
            <w:pPr>
              <w:pStyle w:val="T1TableStyle"/>
              <w:jc w:val="right"/>
              <w:rPr>
                <w:rFonts w:ascii="Verdana" w:eastAsia="Verdana" w:hAnsi="Verdana" w:cs="Verdana"/>
                <w:b/>
                <w:color w:val="000000"/>
                <w:sz w:val="16"/>
                <w:lang w:val="en-GB"/>
              </w:rPr>
            </w:pPr>
          </w:p>
        </w:tc>
        <w:tc>
          <w:tcPr>
            <w:tcW w:w="563" w:type="pct"/>
            <w:tcBorders>
              <w:top w:val="single" w:sz="2" w:space="0" w:color="000000"/>
              <w:bottom w:val="single" w:sz="12" w:space="0" w:color="000000"/>
            </w:tcBorders>
            <w:shd w:val="clear" w:color="auto" w:fill="auto"/>
            <w:tcMar>
              <w:top w:w="20" w:type="dxa"/>
              <w:left w:w="20" w:type="dxa"/>
              <w:bottom w:w="20" w:type="dxa"/>
              <w:right w:w="20" w:type="dxa"/>
            </w:tcMar>
          </w:tcPr>
          <w:p w14:paraId="6A04F06F" w14:textId="77777777" w:rsidR="007B0080" w:rsidRPr="00C66BEC" w:rsidRDefault="007B0080" w:rsidP="007B0080">
            <w:pPr>
              <w:pStyle w:val="T1TableStyle"/>
              <w:jc w:val="right"/>
              <w:rPr>
                <w:rFonts w:ascii="Verdana" w:eastAsia="Verdana" w:hAnsi="Verdana" w:cs="Verdana"/>
                <w:b/>
                <w:color w:val="000000"/>
                <w:sz w:val="16"/>
                <w:lang w:val="en-GB"/>
              </w:rPr>
            </w:pPr>
          </w:p>
        </w:tc>
        <w:tc>
          <w:tcPr>
            <w:tcW w:w="262"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A88C989" w14:textId="77777777" w:rsidR="007B0080" w:rsidRPr="00C66BEC" w:rsidRDefault="007B0080" w:rsidP="007B0080">
            <w:pPr>
              <w:pStyle w:val="T1TableStyle"/>
              <w:jc w:val="center"/>
              <w:rPr>
                <w:rFonts w:ascii="Verdana" w:eastAsia="Verdana" w:hAnsi="Verdana" w:cs="Verdana"/>
                <w:b/>
                <w:i/>
                <w:color w:val="595959" w:themeColor="text1" w:themeTint="A6"/>
                <w:sz w:val="16"/>
                <w:szCs w:val="16"/>
                <w:lang w:val="en-GB"/>
              </w:rPr>
            </w:pPr>
          </w:p>
        </w:tc>
        <w:tc>
          <w:tcPr>
            <w:tcW w:w="1064" w:type="pct"/>
            <w:tcBorders>
              <w:top w:val="single" w:sz="2" w:space="0" w:color="000000"/>
              <w:bottom w:val="single" w:sz="12" w:space="0" w:color="000000"/>
            </w:tcBorders>
            <w:shd w:val="clear" w:color="auto" w:fill="auto"/>
            <w:tcMar>
              <w:top w:w="20" w:type="dxa"/>
              <w:left w:w="20" w:type="dxa"/>
              <w:bottom w:w="20" w:type="dxa"/>
              <w:right w:w="20" w:type="dxa"/>
            </w:tcMar>
          </w:tcPr>
          <w:p w14:paraId="4CA8663C" w14:textId="77777777" w:rsidR="007B0080" w:rsidRPr="00C66BEC" w:rsidRDefault="007B0080" w:rsidP="007B0080">
            <w:pPr>
              <w:pStyle w:val="T1TableStyle"/>
              <w:rPr>
                <w:rFonts w:ascii="Verdana" w:eastAsia="Verdana" w:hAnsi="Verdana" w:cs="Verdana"/>
                <w:color w:val="000000"/>
                <w:sz w:val="16"/>
                <w:lang w:val="en-GB"/>
              </w:rPr>
            </w:pPr>
            <w:r w:rsidRPr="00C66BEC">
              <w:rPr>
                <w:rFonts w:ascii="Verdana" w:eastAsia="Verdana" w:hAnsi="Verdana" w:cs="Verdana"/>
                <w:color w:val="000000"/>
                <w:sz w:val="16"/>
                <w:lang w:val="en-GB"/>
              </w:rPr>
              <w:t>Intra-Group Funding Transfer</w:t>
            </w:r>
          </w:p>
        </w:tc>
        <w:tc>
          <w:tcPr>
            <w:tcW w:w="642" w:type="pct"/>
            <w:gridSpan w:val="2"/>
            <w:tcBorders>
              <w:top w:val="single" w:sz="2" w:space="0" w:color="000000"/>
              <w:bottom w:val="single" w:sz="12" w:space="0" w:color="000000"/>
            </w:tcBorders>
            <w:shd w:val="clear" w:color="auto" w:fill="auto"/>
            <w:tcMar>
              <w:top w:w="20" w:type="dxa"/>
              <w:left w:w="20" w:type="dxa"/>
              <w:bottom w:w="20" w:type="dxa"/>
              <w:right w:w="20" w:type="dxa"/>
            </w:tcMar>
          </w:tcPr>
          <w:p w14:paraId="7366E0FD" w14:textId="348ECA50" w:rsidR="007B0080" w:rsidRPr="00C66BEC" w:rsidRDefault="007B0080" w:rsidP="007B0080">
            <w:pPr>
              <w:pStyle w:val="T1TableStyle"/>
              <w:jc w:val="right"/>
              <w:rPr>
                <w:rFonts w:ascii="Verdana" w:eastAsia="Verdana" w:hAnsi="Verdana" w:cs="Verdana"/>
                <w:color w:val="000000"/>
                <w:sz w:val="16"/>
                <w:lang w:val="en-GB"/>
              </w:rPr>
            </w:pPr>
          </w:p>
        </w:tc>
        <w:tc>
          <w:tcPr>
            <w:tcW w:w="731" w:type="pct"/>
            <w:tcBorders>
              <w:top w:val="single" w:sz="2" w:space="0" w:color="000000"/>
              <w:bottom w:val="single" w:sz="12" w:space="0" w:color="000000"/>
            </w:tcBorders>
            <w:shd w:val="clear" w:color="auto" w:fill="auto"/>
            <w:tcMar>
              <w:top w:w="20" w:type="dxa"/>
              <w:left w:w="20" w:type="dxa"/>
              <w:bottom w:w="20" w:type="dxa"/>
              <w:right w:w="20" w:type="dxa"/>
            </w:tcMar>
          </w:tcPr>
          <w:p w14:paraId="4CD237E8" w14:textId="7738D34B" w:rsidR="007B0080" w:rsidRPr="00C66BEC" w:rsidRDefault="007B0080" w:rsidP="007B0080">
            <w:pPr>
              <w:pStyle w:val="T1TableStyle"/>
              <w:jc w:val="right"/>
              <w:rPr>
                <w:rFonts w:ascii="Verdana" w:eastAsia="Verdana" w:hAnsi="Verdana" w:cs="Verdana"/>
                <w:color w:val="000000"/>
                <w:sz w:val="16"/>
                <w:lang w:val="en-GB"/>
              </w:rPr>
            </w:pPr>
          </w:p>
        </w:tc>
        <w:tc>
          <w:tcPr>
            <w:tcW w:w="563" w:type="pct"/>
            <w:tcBorders>
              <w:top w:val="single" w:sz="2" w:space="0" w:color="000000"/>
              <w:bottom w:val="single" w:sz="12" w:space="0" w:color="000000"/>
            </w:tcBorders>
            <w:shd w:val="clear" w:color="auto" w:fill="auto"/>
            <w:tcMar>
              <w:top w:w="20" w:type="dxa"/>
              <w:left w:w="20" w:type="dxa"/>
              <w:bottom w:w="20" w:type="dxa"/>
              <w:right w:w="20" w:type="dxa"/>
            </w:tcMar>
          </w:tcPr>
          <w:p w14:paraId="37B78BA2" w14:textId="77777777" w:rsidR="007B0080" w:rsidRPr="00C66BEC" w:rsidRDefault="00A21A7F" w:rsidP="007B008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r>
      <w:tr w:rsidR="007B0080" w:rsidRPr="003516A4" w14:paraId="6A6572F7" w14:textId="77777777" w:rsidTr="0041394A">
        <w:trPr>
          <w:trHeight w:val="304"/>
          <w:jc w:val="center"/>
        </w:trPr>
        <w:tc>
          <w:tcPr>
            <w:tcW w:w="562" w:type="pct"/>
            <w:tcBorders>
              <w:top w:val="single" w:sz="2" w:space="0" w:color="000000"/>
              <w:bottom w:val="single" w:sz="12" w:space="0" w:color="000000"/>
            </w:tcBorders>
            <w:shd w:val="clear" w:color="auto" w:fill="auto"/>
            <w:tcMar>
              <w:top w:w="20" w:type="dxa"/>
              <w:left w:w="20" w:type="dxa"/>
              <w:bottom w:w="20" w:type="dxa"/>
              <w:right w:w="20" w:type="dxa"/>
            </w:tcMar>
          </w:tcPr>
          <w:p w14:paraId="70A634E4" w14:textId="77777777" w:rsidR="007B0080" w:rsidRPr="00C66BEC" w:rsidRDefault="007B0080" w:rsidP="007B0080">
            <w:pPr>
              <w:pStyle w:val="T1TableStyle"/>
              <w:jc w:val="right"/>
              <w:rPr>
                <w:rFonts w:ascii="Verdana" w:eastAsia="Verdana" w:hAnsi="Verdana" w:cs="Verdana"/>
                <w:b/>
                <w:color w:val="000000"/>
                <w:sz w:val="16"/>
                <w:lang w:val="en-GB"/>
              </w:rPr>
            </w:pPr>
            <w:r w:rsidRPr="00C66BEC">
              <w:rPr>
                <w:rFonts w:ascii="Verdana" w:eastAsia="Verdana" w:hAnsi="Verdana" w:cs="Verdana"/>
                <w:b/>
                <w:color w:val="000000"/>
                <w:sz w:val="16"/>
                <w:lang w:val="en-GB"/>
              </w:rPr>
              <w:t>277,098</w:t>
            </w:r>
          </w:p>
        </w:tc>
        <w:tc>
          <w:tcPr>
            <w:tcW w:w="613" w:type="pct"/>
            <w:tcBorders>
              <w:top w:val="single" w:sz="2" w:space="0" w:color="000000"/>
              <w:bottom w:val="single" w:sz="12" w:space="0" w:color="000000"/>
            </w:tcBorders>
            <w:shd w:val="clear" w:color="auto" w:fill="auto"/>
            <w:tcMar>
              <w:top w:w="20" w:type="dxa"/>
              <w:left w:w="20" w:type="dxa"/>
              <w:bottom w:w="20" w:type="dxa"/>
              <w:right w:w="20" w:type="dxa"/>
            </w:tcMar>
          </w:tcPr>
          <w:p w14:paraId="33480CB5" w14:textId="77777777" w:rsidR="007B0080" w:rsidRPr="00C66BEC" w:rsidRDefault="007B0080" w:rsidP="007B0080">
            <w:pPr>
              <w:pStyle w:val="T1TableStyle"/>
              <w:jc w:val="right"/>
              <w:rPr>
                <w:rFonts w:ascii="Verdana" w:eastAsia="Verdana" w:hAnsi="Verdana" w:cs="Verdana"/>
                <w:b/>
                <w:color w:val="000000"/>
                <w:sz w:val="16"/>
                <w:lang w:val="en-GB"/>
              </w:rPr>
            </w:pPr>
            <w:r w:rsidRPr="00C66BEC">
              <w:rPr>
                <w:rFonts w:ascii="Verdana" w:eastAsia="Verdana" w:hAnsi="Verdana" w:cs="Verdana"/>
                <w:b/>
                <w:color w:val="000000"/>
                <w:sz w:val="16"/>
                <w:lang w:val="en-GB"/>
              </w:rPr>
              <w:t>(14,144)</w:t>
            </w:r>
          </w:p>
        </w:tc>
        <w:tc>
          <w:tcPr>
            <w:tcW w:w="563" w:type="pct"/>
            <w:tcBorders>
              <w:top w:val="single" w:sz="2" w:space="0" w:color="000000"/>
              <w:bottom w:val="single" w:sz="12" w:space="0" w:color="000000"/>
            </w:tcBorders>
            <w:shd w:val="clear" w:color="auto" w:fill="auto"/>
            <w:tcMar>
              <w:top w:w="20" w:type="dxa"/>
              <w:left w:w="20" w:type="dxa"/>
              <w:bottom w:w="20" w:type="dxa"/>
              <w:right w:w="20" w:type="dxa"/>
            </w:tcMar>
          </w:tcPr>
          <w:p w14:paraId="6E1C5B96" w14:textId="77777777" w:rsidR="007B0080" w:rsidRPr="00C66BEC" w:rsidRDefault="007B0080" w:rsidP="007B0080">
            <w:pPr>
              <w:pStyle w:val="T1TableStyle"/>
              <w:jc w:val="right"/>
              <w:rPr>
                <w:rFonts w:ascii="Verdana" w:eastAsia="Verdana" w:hAnsi="Verdana" w:cs="Verdana"/>
                <w:b/>
                <w:color w:val="000000"/>
                <w:sz w:val="16"/>
                <w:lang w:val="en-GB"/>
              </w:rPr>
            </w:pPr>
            <w:r w:rsidRPr="00C66BEC">
              <w:rPr>
                <w:rFonts w:ascii="Verdana" w:eastAsia="Verdana" w:hAnsi="Verdana" w:cs="Verdana"/>
                <w:b/>
                <w:color w:val="000000"/>
                <w:sz w:val="16"/>
                <w:lang w:val="en-GB"/>
              </w:rPr>
              <w:t>262,954</w:t>
            </w:r>
          </w:p>
        </w:tc>
        <w:tc>
          <w:tcPr>
            <w:tcW w:w="262"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0F26F8B" w14:textId="77777777" w:rsidR="007B0080" w:rsidRPr="00C66BEC" w:rsidRDefault="007B0080" w:rsidP="007B0080">
            <w:pPr>
              <w:pStyle w:val="T1TableStyle"/>
              <w:jc w:val="center"/>
              <w:rPr>
                <w:rFonts w:ascii="Verdana" w:eastAsia="Verdana" w:hAnsi="Verdana" w:cs="Verdana"/>
                <w:b/>
                <w:i/>
                <w:color w:val="595959" w:themeColor="text1" w:themeTint="A6"/>
                <w:sz w:val="16"/>
                <w:szCs w:val="16"/>
                <w:lang w:val="en-GB"/>
              </w:rPr>
            </w:pPr>
            <w:r w:rsidRPr="00C66BEC">
              <w:rPr>
                <w:rFonts w:ascii="Verdana" w:eastAsia="Verdana" w:hAnsi="Verdana" w:cs="Verdana"/>
                <w:b/>
                <w:i/>
                <w:color w:val="595959" w:themeColor="text1" w:themeTint="A6"/>
                <w:sz w:val="16"/>
                <w:szCs w:val="16"/>
                <w:lang w:val="en-GB"/>
              </w:rPr>
              <w:t xml:space="preserve"> </w:t>
            </w:r>
          </w:p>
        </w:tc>
        <w:tc>
          <w:tcPr>
            <w:tcW w:w="1064" w:type="pct"/>
            <w:tcBorders>
              <w:top w:val="single" w:sz="2" w:space="0" w:color="000000"/>
              <w:bottom w:val="single" w:sz="12" w:space="0" w:color="000000"/>
            </w:tcBorders>
            <w:shd w:val="clear" w:color="auto" w:fill="auto"/>
            <w:tcMar>
              <w:top w:w="20" w:type="dxa"/>
              <w:left w:w="20" w:type="dxa"/>
              <w:bottom w:w="20" w:type="dxa"/>
              <w:right w:w="20" w:type="dxa"/>
            </w:tcMar>
          </w:tcPr>
          <w:p w14:paraId="7FAE109E" w14:textId="77777777" w:rsidR="007B0080" w:rsidRPr="00C66BEC" w:rsidRDefault="007B0080" w:rsidP="007B0080">
            <w:pPr>
              <w:pStyle w:val="T1TableStyle"/>
              <w:rPr>
                <w:rFonts w:ascii="Verdana" w:eastAsia="Verdana" w:hAnsi="Verdana" w:cs="Verdana"/>
                <w:b/>
                <w:color w:val="000000"/>
                <w:sz w:val="16"/>
                <w:lang w:val="en-GB"/>
              </w:rPr>
            </w:pPr>
            <w:r w:rsidRPr="00C66BEC">
              <w:rPr>
                <w:rFonts w:ascii="Verdana" w:eastAsia="Verdana" w:hAnsi="Verdana" w:cs="Verdana"/>
                <w:b/>
                <w:color w:val="000000"/>
                <w:sz w:val="16"/>
                <w:lang w:val="en-GB"/>
              </w:rPr>
              <w:t>Net Cost of Services</w:t>
            </w:r>
          </w:p>
        </w:tc>
        <w:tc>
          <w:tcPr>
            <w:tcW w:w="642" w:type="pct"/>
            <w:gridSpan w:val="2"/>
            <w:tcBorders>
              <w:top w:val="single" w:sz="2" w:space="0" w:color="000000"/>
              <w:bottom w:val="single" w:sz="12" w:space="0" w:color="000000"/>
            </w:tcBorders>
            <w:shd w:val="clear" w:color="auto" w:fill="auto"/>
            <w:tcMar>
              <w:top w:w="20" w:type="dxa"/>
              <w:left w:w="20" w:type="dxa"/>
              <w:bottom w:w="20" w:type="dxa"/>
              <w:right w:w="20" w:type="dxa"/>
            </w:tcMar>
          </w:tcPr>
          <w:p w14:paraId="53C07788" w14:textId="5A0EC98C" w:rsidR="007B0080" w:rsidRPr="00C66BEC" w:rsidRDefault="0065030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305,159</w:t>
            </w:r>
          </w:p>
        </w:tc>
        <w:tc>
          <w:tcPr>
            <w:tcW w:w="731" w:type="pct"/>
            <w:tcBorders>
              <w:top w:val="single" w:sz="2" w:space="0" w:color="000000"/>
              <w:bottom w:val="single" w:sz="12" w:space="0" w:color="000000"/>
            </w:tcBorders>
            <w:shd w:val="clear" w:color="auto" w:fill="auto"/>
            <w:tcMar>
              <w:top w:w="20" w:type="dxa"/>
              <w:left w:w="20" w:type="dxa"/>
              <w:bottom w:w="20" w:type="dxa"/>
              <w:right w:w="20" w:type="dxa"/>
            </w:tcMar>
          </w:tcPr>
          <w:p w14:paraId="19B6793F" w14:textId="1EAC140F" w:rsidR="007B0080" w:rsidRPr="00C66BEC" w:rsidRDefault="006D549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w:t>
            </w:r>
            <w:r w:rsidR="00121459">
              <w:rPr>
                <w:rFonts w:ascii="Verdana" w:eastAsia="Verdana" w:hAnsi="Verdana" w:cs="Verdana"/>
                <w:b/>
                <w:color w:val="000000"/>
                <w:sz w:val="16"/>
                <w:lang w:val="en-GB"/>
              </w:rPr>
              <w:t>9</w:t>
            </w:r>
            <w:r>
              <w:rPr>
                <w:rFonts w:ascii="Verdana" w:eastAsia="Verdana" w:hAnsi="Verdana" w:cs="Verdana"/>
                <w:b/>
                <w:color w:val="000000"/>
                <w:sz w:val="16"/>
                <w:lang w:val="en-GB"/>
              </w:rPr>
              <w:t>,0</w:t>
            </w:r>
            <w:r w:rsidR="00650303">
              <w:rPr>
                <w:rFonts w:ascii="Verdana" w:eastAsia="Verdana" w:hAnsi="Verdana" w:cs="Verdana"/>
                <w:b/>
                <w:color w:val="000000"/>
                <w:sz w:val="16"/>
                <w:lang w:val="en-GB"/>
              </w:rPr>
              <w:t>59</w:t>
            </w:r>
            <w:r w:rsidR="00C66BEC">
              <w:rPr>
                <w:rFonts w:ascii="Verdana" w:eastAsia="Verdana" w:hAnsi="Verdana" w:cs="Verdana"/>
                <w:b/>
                <w:color w:val="000000"/>
                <w:sz w:val="16"/>
                <w:lang w:val="en-GB"/>
              </w:rPr>
              <w:t>)</w:t>
            </w:r>
          </w:p>
        </w:tc>
        <w:tc>
          <w:tcPr>
            <w:tcW w:w="563" w:type="pct"/>
            <w:tcBorders>
              <w:top w:val="single" w:sz="2" w:space="0" w:color="000000"/>
              <w:bottom w:val="single" w:sz="12" w:space="0" w:color="000000"/>
            </w:tcBorders>
            <w:shd w:val="clear" w:color="auto" w:fill="auto"/>
            <w:tcMar>
              <w:top w:w="20" w:type="dxa"/>
              <w:left w:w="20" w:type="dxa"/>
              <w:bottom w:w="20" w:type="dxa"/>
              <w:right w:w="20" w:type="dxa"/>
            </w:tcMar>
          </w:tcPr>
          <w:p w14:paraId="08561B64" w14:textId="50DE3754" w:rsidR="007B0080" w:rsidRPr="007F17E8" w:rsidRDefault="00304AF3" w:rsidP="007B008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286,100</w:t>
            </w:r>
          </w:p>
        </w:tc>
      </w:tr>
      <w:tr w:rsidR="007B0080" w:rsidRPr="003516A4" w14:paraId="2EA95C39" w14:textId="77777777" w:rsidTr="0041394A">
        <w:trPr>
          <w:trHeight w:hRule="exact" w:val="80"/>
          <w:jc w:val="center"/>
        </w:trPr>
        <w:tc>
          <w:tcPr>
            <w:tcW w:w="562" w:type="pct"/>
            <w:shd w:val="clear" w:color="auto" w:fill="auto"/>
            <w:tcMar>
              <w:top w:w="20" w:type="dxa"/>
              <w:left w:w="20" w:type="dxa"/>
              <w:bottom w:w="20" w:type="dxa"/>
              <w:right w:w="20" w:type="dxa"/>
            </w:tcMar>
          </w:tcPr>
          <w:p w14:paraId="50F84AF1" w14:textId="77777777" w:rsidR="007B0080" w:rsidRPr="003516A4" w:rsidRDefault="007B0080" w:rsidP="007B0080">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c>
          <w:tcPr>
            <w:tcW w:w="613" w:type="pct"/>
            <w:shd w:val="clear" w:color="auto" w:fill="auto"/>
            <w:tcMar>
              <w:top w:w="20" w:type="dxa"/>
              <w:left w:w="20" w:type="dxa"/>
              <w:bottom w:w="20" w:type="dxa"/>
              <w:right w:w="20" w:type="dxa"/>
            </w:tcMar>
          </w:tcPr>
          <w:p w14:paraId="605FD7E4" w14:textId="77777777" w:rsidR="007B0080" w:rsidRPr="003516A4" w:rsidRDefault="007B0080" w:rsidP="007B0080">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c>
          <w:tcPr>
            <w:tcW w:w="563" w:type="pct"/>
            <w:shd w:val="clear" w:color="auto" w:fill="auto"/>
            <w:tcMar>
              <w:top w:w="20" w:type="dxa"/>
              <w:left w:w="20" w:type="dxa"/>
              <w:bottom w:w="20" w:type="dxa"/>
              <w:right w:w="20" w:type="dxa"/>
            </w:tcMar>
          </w:tcPr>
          <w:p w14:paraId="57EA2596" w14:textId="77777777" w:rsidR="007B0080" w:rsidRPr="003516A4" w:rsidRDefault="007B0080" w:rsidP="007B0080">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c>
          <w:tcPr>
            <w:tcW w:w="262" w:type="pct"/>
            <w:shd w:val="clear" w:color="auto" w:fill="auto"/>
            <w:tcMar>
              <w:top w:w="20" w:type="dxa"/>
              <w:left w:w="20" w:type="dxa"/>
              <w:bottom w:w="20" w:type="dxa"/>
              <w:right w:w="20" w:type="dxa"/>
            </w:tcMar>
          </w:tcPr>
          <w:p w14:paraId="4CB0CA93" w14:textId="77777777" w:rsidR="007B0080" w:rsidRPr="003516A4" w:rsidRDefault="007B0080" w:rsidP="007B0080">
            <w:pPr>
              <w:pStyle w:val="T1TableStyle"/>
              <w:jc w:val="center"/>
              <w:rPr>
                <w:rFonts w:ascii="Calibri" w:eastAsia="Calibri" w:hAnsi="Calibri" w:cs="Calibri"/>
                <w:i/>
                <w:color w:val="595959" w:themeColor="text1" w:themeTint="A6"/>
                <w:sz w:val="16"/>
                <w:szCs w:val="16"/>
                <w:highlight w:val="yellow"/>
                <w:lang w:val="en-GB"/>
              </w:rPr>
            </w:pPr>
            <w:r w:rsidRPr="003516A4">
              <w:rPr>
                <w:rFonts w:ascii="Calibri" w:eastAsia="Calibri" w:hAnsi="Calibri" w:cs="Calibri"/>
                <w:i/>
                <w:color w:val="595959" w:themeColor="text1" w:themeTint="A6"/>
                <w:sz w:val="16"/>
                <w:szCs w:val="16"/>
                <w:highlight w:val="yellow"/>
                <w:lang w:val="en-GB"/>
              </w:rPr>
              <w:t xml:space="preserve"> </w:t>
            </w:r>
          </w:p>
        </w:tc>
        <w:tc>
          <w:tcPr>
            <w:tcW w:w="1064" w:type="pct"/>
            <w:shd w:val="clear" w:color="auto" w:fill="auto"/>
            <w:tcMar>
              <w:top w:w="20" w:type="dxa"/>
              <w:left w:w="20" w:type="dxa"/>
              <w:bottom w:w="20" w:type="dxa"/>
              <w:right w:w="20" w:type="dxa"/>
            </w:tcMar>
          </w:tcPr>
          <w:p w14:paraId="35585680" w14:textId="77777777" w:rsidR="007B0080" w:rsidRPr="003516A4" w:rsidRDefault="007B0080" w:rsidP="007B0080">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c>
          <w:tcPr>
            <w:tcW w:w="642" w:type="pct"/>
            <w:gridSpan w:val="2"/>
            <w:shd w:val="clear" w:color="auto" w:fill="auto"/>
            <w:tcMar>
              <w:top w:w="20" w:type="dxa"/>
              <w:left w:w="20" w:type="dxa"/>
              <w:bottom w:w="20" w:type="dxa"/>
              <w:right w:w="20" w:type="dxa"/>
            </w:tcMar>
          </w:tcPr>
          <w:p w14:paraId="18FB31F6" w14:textId="77777777" w:rsidR="007B0080" w:rsidRPr="003516A4" w:rsidRDefault="007B0080" w:rsidP="007B0080">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c>
          <w:tcPr>
            <w:tcW w:w="731" w:type="pct"/>
            <w:shd w:val="clear" w:color="auto" w:fill="auto"/>
            <w:tcMar>
              <w:top w:w="20" w:type="dxa"/>
              <w:left w:w="20" w:type="dxa"/>
              <w:bottom w:w="20" w:type="dxa"/>
              <w:right w:w="20" w:type="dxa"/>
            </w:tcMar>
          </w:tcPr>
          <w:p w14:paraId="77B86C73" w14:textId="77777777" w:rsidR="007B0080" w:rsidRPr="003516A4" w:rsidRDefault="007B0080" w:rsidP="007B0080">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c>
          <w:tcPr>
            <w:tcW w:w="563" w:type="pct"/>
            <w:shd w:val="clear" w:color="auto" w:fill="auto"/>
            <w:tcMar>
              <w:top w:w="20" w:type="dxa"/>
              <w:left w:w="20" w:type="dxa"/>
              <w:bottom w:w="20" w:type="dxa"/>
              <w:right w:w="20" w:type="dxa"/>
            </w:tcMar>
          </w:tcPr>
          <w:p w14:paraId="79257FEB" w14:textId="77777777" w:rsidR="007B0080" w:rsidRPr="003516A4" w:rsidRDefault="007B0080" w:rsidP="007B0080">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r>
      <w:tr w:rsidR="007B0080" w:rsidRPr="003516A4" w14:paraId="07CE919F" w14:textId="77777777" w:rsidTr="0041394A">
        <w:trPr>
          <w:trHeight w:val="152"/>
          <w:jc w:val="center"/>
        </w:trPr>
        <w:tc>
          <w:tcPr>
            <w:tcW w:w="562" w:type="pct"/>
            <w:shd w:val="clear" w:color="auto" w:fill="auto"/>
            <w:tcMar>
              <w:top w:w="20" w:type="dxa"/>
              <w:left w:w="20" w:type="dxa"/>
              <w:bottom w:w="20" w:type="dxa"/>
              <w:right w:w="20" w:type="dxa"/>
            </w:tcMar>
          </w:tcPr>
          <w:p w14:paraId="3243C84E" w14:textId="77777777" w:rsidR="007B0080" w:rsidRPr="00052A78" w:rsidRDefault="007B0080" w:rsidP="007B0080">
            <w:pPr>
              <w:pStyle w:val="T1TableStyle"/>
              <w:jc w:val="right"/>
              <w:rPr>
                <w:rFonts w:ascii="Verdana" w:eastAsia="Verdana" w:hAnsi="Verdana" w:cs="Verdana"/>
                <w:color w:val="000000"/>
                <w:sz w:val="16"/>
                <w:lang w:val="en-GB"/>
              </w:rPr>
            </w:pPr>
            <w:r w:rsidRPr="00052A78">
              <w:rPr>
                <w:rFonts w:ascii="Verdana" w:eastAsia="Verdana" w:hAnsi="Verdana" w:cs="Verdana"/>
                <w:color w:val="000000"/>
                <w:sz w:val="16"/>
                <w:lang w:val="en-GB"/>
              </w:rPr>
              <w:t>508</w:t>
            </w:r>
          </w:p>
        </w:tc>
        <w:tc>
          <w:tcPr>
            <w:tcW w:w="613" w:type="pct"/>
            <w:shd w:val="clear" w:color="auto" w:fill="auto"/>
            <w:tcMar>
              <w:top w:w="20" w:type="dxa"/>
              <w:left w:w="20" w:type="dxa"/>
              <w:bottom w:w="20" w:type="dxa"/>
              <w:right w:w="20" w:type="dxa"/>
            </w:tcMar>
          </w:tcPr>
          <w:p w14:paraId="6D682AC1" w14:textId="77777777" w:rsidR="007B0080" w:rsidRPr="00052A78" w:rsidRDefault="007B0080" w:rsidP="007B0080">
            <w:pPr>
              <w:pStyle w:val="T1TableStyle"/>
              <w:jc w:val="right"/>
              <w:rPr>
                <w:rFonts w:ascii="Verdana" w:eastAsia="Verdana" w:hAnsi="Verdana" w:cs="Verdana"/>
                <w:color w:val="000000"/>
                <w:sz w:val="16"/>
                <w:lang w:val="en-GB"/>
              </w:rPr>
            </w:pPr>
            <w:r w:rsidRPr="00052A78">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503D26D2" w14:textId="77777777" w:rsidR="007B0080" w:rsidRPr="00052A78" w:rsidRDefault="007B0080" w:rsidP="007B0080">
            <w:pPr>
              <w:pStyle w:val="T1TableStyle"/>
              <w:jc w:val="right"/>
              <w:rPr>
                <w:rFonts w:ascii="Verdana" w:eastAsia="Verdana" w:hAnsi="Verdana" w:cs="Verdana"/>
                <w:color w:val="000000"/>
                <w:sz w:val="16"/>
                <w:lang w:val="en-GB"/>
              </w:rPr>
            </w:pPr>
            <w:r w:rsidRPr="00052A78">
              <w:rPr>
                <w:rFonts w:ascii="Verdana" w:eastAsia="Verdana" w:hAnsi="Verdana" w:cs="Verdana"/>
                <w:color w:val="000000"/>
                <w:sz w:val="16"/>
                <w:lang w:val="en-GB"/>
              </w:rPr>
              <w:t>508</w:t>
            </w:r>
          </w:p>
        </w:tc>
        <w:tc>
          <w:tcPr>
            <w:tcW w:w="262" w:type="pct"/>
            <w:shd w:val="clear" w:color="auto" w:fill="auto"/>
            <w:tcMar>
              <w:top w:w="20" w:type="dxa"/>
              <w:left w:w="20" w:type="dxa"/>
              <w:bottom w:w="20" w:type="dxa"/>
              <w:right w:w="20" w:type="dxa"/>
            </w:tcMar>
          </w:tcPr>
          <w:p w14:paraId="5507381B" w14:textId="77777777" w:rsidR="007B0080" w:rsidRPr="00052A78" w:rsidRDefault="007B0080" w:rsidP="007B0080">
            <w:pPr>
              <w:pStyle w:val="T1TableStyle"/>
              <w:jc w:val="center"/>
              <w:rPr>
                <w:rFonts w:ascii="Verdana" w:eastAsia="Verdana" w:hAnsi="Verdana" w:cs="Verdana"/>
                <w:i/>
                <w:color w:val="595959" w:themeColor="text1" w:themeTint="A6"/>
                <w:sz w:val="16"/>
                <w:szCs w:val="16"/>
                <w:lang w:val="en-GB"/>
              </w:rPr>
            </w:pPr>
            <w:r w:rsidRPr="00052A78">
              <w:rPr>
                <w:rFonts w:ascii="Verdana" w:eastAsia="Verdana" w:hAnsi="Verdana" w:cs="Verdana"/>
                <w:i/>
                <w:color w:val="595959" w:themeColor="text1" w:themeTint="A6"/>
                <w:sz w:val="16"/>
                <w:szCs w:val="16"/>
                <w:lang w:val="en-GB"/>
              </w:rPr>
              <w:t xml:space="preserve">34 </w:t>
            </w:r>
          </w:p>
        </w:tc>
        <w:tc>
          <w:tcPr>
            <w:tcW w:w="1064" w:type="pct"/>
            <w:shd w:val="clear" w:color="auto" w:fill="auto"/>
            <w:tcMar>
              <w:top w:w="20" w:type="dxa"/>
              <w:left w:w="20" w:type="dxa"/>
              <w:bottom w:w="20" w:type="dxa"/>
              <w:right w:w="20" w:type="dxa"/>
            </w:tcMar>
          </w:tcPr>
          <w:p w14:paraId="11003A47" w14:textId="77777777" w:rsidR="007B0080" w:rsidRPr="00052A78" w:rsidRDefault="007B0080" w:rsidP="007B0080">
            <w:pPr>
              <w:pStyle w:val="T1TableStyle"/>
              <w:rPr>
                <w:rFonts w:ascii="Verdana" w:eastAsia="Verdana" w:hAnsi="Verdana" w:cs="Verdana"/>
                <w:color w:val="000000"/>
                <w:sz w:val="16"/>
                <w:lang w:val="en-GB"/>
              </w:rPr>
            </w:pPr>
            <w:r w:rsidRPr="00052A78">
              <w:rPr>
                <w:rFonts w:ascii="Verdana" w:eastAsia="Verdana" w:hAnsi="Verdana" w:cs="Verdana"/>
                <w:color w:val="000000"/>
                <w:sz w:val="16"/>
                <w:lang w:val="en-GB"/>
              </w:rPr>
              <w:t>Other Operating Expenditure</w:t>
            </w:r>
          </w:p>
        </w:tc>
        <w:tc>
          <w:tcPr>
            <w:tcW w:w="642" w:type="pct"/>
            <w:gridSpan w:val="2"/>
            <w:shd w:val="clear" w:color="auto" w:fill="auto"/>
            <w:tcMar>
              <w:top w:w="20" w:type="dxa"/>
              <w:left w:w="20" w:type="dxa"/>
              <w:bottom w:w="20" w:type="dxa"/>
              <w:right w:w="20" w:type="dxa"/>
            </w:tcMar>
          </w:tcPr>
          <w:p w14:paraId="50C880CC" w14:textId="77777777" w:rsidR="007B0080" w:rsidRPr="00087103" w:rsidRDefault="007B0080" w:rsidP="007B0080">
            <w:pPr>
              <w:pStyle w:val="T1TableStyle"/>
              <w:jc w:val="right"/>
              <w:rPr>
                <w:rFonts w:ascii="Verdana" w:eastAsia="Verdana" w:hAnsi="Verdana" w:cs="Verdana"/>
                <w:color w:val="000000"/>
                <w:sz w:val="16"/>
                <w:lang w:val="en-GB"/>
              </w:rPr>
            </w:pPr>
            <w:r w:rsidRPr="00087103">
              <w:rPr>
                <w:rFonts w:ascii="Verdana" w:eastAsia="Verdana" w:hAnsi="Verdana" w:cs="Verdana"/>
                <w:color w:val="000000"/>
                <w:sz w:val="16"/>
                <w:lang w:val="en-GB"/>
              </w:rPr>
              <w:t>55</w:t>
            </w:r>
            <w:r>
              <w:rPr>
                <w:rFonts w:ascii="Verdana" w:eastAsia="Verdana" w:hAnsi="Verdana" w:cs="Verdana"/>
                <w:color w:val="000000"/>
                <w:sz w:val="16"/>
                <w:lang w:val="en-GB"/>
              </w:rPr>
              <w:t>6</w:t>
            </w:r>
          </w:p>
        </w:tc>
        <w:tc>
          <w:tcPr>
            <w:tcW w:w="731" w:type="pct"/>
            <w:shd w:val="clear" w:color="auto" w:fill="auto"/>
            <w:tcMar>
              <w:top w:w="20" w:type="dxa"/>
              <w:left w:w="20" w:type="dxa"/>
              <w:bottom w:w="20" w:type="dxa"/>
              <w:right w:w="20" w:type="dxa"/>
            </w:tcMar>
          </w:tcPr>
          <w:p w14:paraId="3701E521" w14:textId="77777777" w:rsidR="007B0080" w:rsidRPr="00087103" w:rsidRDefault="002F782F"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563" w:type="pct"/>
            <w:shd w:val="clear" w:color="auto" w:fill="auto"/>
            <w:tcMar>
              <w:top w:w="20" w:type="dxa"/>
              <w:left w:w="20" w:type="dxa"/>
              <w:bottom w:w="20" w:type="dxa"/>
              <w:right w:w="20" w:type="dxa"/>
            </w:tcMar>
          </w:tcPr>
          <w:p w14:paraId="5EC006B7" w14:textId="77777777" w:rsidR="007B0080" w:rsidRPr="00087103" w:rsidRDefault="007B0080" w:rsidP="007B0080">
            <w:pPr>
              <w:pStyle w:val="T1TableStyle"/>
              <w:jc w:val="right"/>
              <w:rPr>
                <w:rFonts w:ascii="Verdana" w:eastAsia="Verdana" w:hAnsi="Verdana" w:cs="Verdana"/>
                <w:color w:val="000000"/>
                <w:sz w:val="16"/>
                <w:lang w:val="en-GB"/>
              </w:rPr>
            </w:pPr>
            <w:r w:rsidRPr="00087103">
              <w:rPr>
                <w:rFonts w:ascii="Verdana" w:eastAsia="Verdana" w:hAnsi="Verdana" w:cs="Verdana"/>
                <w:color w:val="000000"/>
                <w:sz w:val="16"/>
                <w:lang w:val="en-GB"/>
              </w:rPr>
              <w:t>55</w:t>
            </w:r>
            <w:r>
              <w:rPr>
                <w:rFonts w:ascii="Verdana" w:eastAsia="Verdana" w:hAnsi="Verdana" w:cs="Verdana"/>
                <w:color w:val="000000"/>
                <w:sz w:val="16"/>
                <w:lang w:val="en-GB"/>
              </w:rPr>
              <w:t>6</w:t>
            </w:r>
          </w:p>
        </w:tc>
      </w:tr>
      <w:tr w:rsidR="007B0080" w:rsidRPr="003516A4" w14:paraId="56BBFE78" w14:textId="77777777" w:rsidTr="0041394A">
        <w:trPr>
          <w:trHeight w:val="250"/>
          <w:jc w:val="center"/>
        </w:trPr>
        <w:tc>
          <w:tcPr>
            <w:tcW w:w="562" w:type="pct"/>
            <w:shd w:val="clear" w:color="auto" w:fill="auto"/>
            <w:tcMar>
              <w:top w:w="20" w:type="dxa"/>
              <w:left w:w="20" w:type="dxa"/>
              <w:bottom w:w="20" w:type="dxa"/>
              <w:right w:w="20" w:type="dxa"/>
            </w:tcMar>
          </w:tcPr>
          <w:p w14:paraId="1AB52CE6" w14:textId="77777777" w:rsidR="007B0080" w:rsidRPr="00052A78" w:rsidRDefault="007B0080" w:rsidP="007B0080">
            <w:pPr>
              <w:pStyle w:val="T1TableStyle"/>
              <w:jc w:val="right"/>
              <w:rPr>
                <w:rFonts w:ascii="Verdana" w:eastAsia="Verdana" w:hAnsi="Verdana" w:cs="Verdana"/>
                <w:color w:val="000000"/>
                <w:sz w:val="16"/>
                <w:lang w:val="en-GB"/>
              </w:rPr>
            </w:pPr>
            <w:r w:rsidRPr="00052A78">
              <w:rPr>
                <w:rFonts w:ascii="Verdana" w:eastAsia="Verdana" w:hAnsi="Verdana" w:cs="Verdana"/>
                <w:color w:val="000000"/>
                <w:sz w:val="16"/>
                <w:lang w:val="en-GB"/>
              </w:rPr>
              <w:t>61,040</w:t>
            </w:r>
          </w:p>
        </w:tc>
        <w:tc>
          <w:tcPr>
            <w:tcW w:w="613" w:type="pct"/>
            <w:shd w:val="clear" w:color="auto" w:fill="auto"/>
            <w:tcMar>
              <w:top w:w="20" w:type="dxa"/>
              <w:left w:w="20" w:type="dxa"/>
              <w:bottom w:w="20" w:type="dxa"/>
              <w:right w:w="20" w:type="dxa"/>
            </w:tcMar>
          </w:tcPr>
          <w:p w14:paraId="33882682" w14:textId="77777777" w:rsidR="007B0080" w:rsidRPr="00052A78" w:rsidRDefault="007B0080" w:rsidP="007B0080">
            <w:pPr>
              <w:pStyle w:val="T1TableStyle"/>
              <w:jc w:val="right"/>
              <w:rPr>
                <w:rFonts w:ascii="Verdana" w:eastAsia="Verdana" w:hAnsi="Verdana" w:cs="Verdana"/>
                <w:color w:val="000000"/>
                <w:sz w:val="16"/>
                <w:lang w:val="en-GB"/>
              </w:rPr>
            </w:pPr>
            <w:r w:rsidRPr="00052A78">
              <w:rPr>
                <w:rFonts w:ascii="Verdana" w:eastAsia="Verdana" w:hAnsi="Verdana" w:cs="Verdana"/>
                <w:color w:val="000000"/>
                <w:sz w:val="16"/>
                <w:lang w:val="en-GB"/>
              </w:rPr>
              <w:t>(7,809)</w:t>
            </w:r>
          </w:p>
        </w:tc>
        <w:tc>
          <w:tcPr>
            <w:tcW w:w="563" w:type="pct"/>
            <w:shd w:val="clear" w:color="auto" w:fill="auto"/>
            <w:tcMar>
              <w:top w:w="20" w:type="dxa"/>
              <w:left w:w="20" w:type="dxa"/>
              <w:bottom w:w="20" w:type="dxa"/>
              <w:right w:w="20" w:type="dxa"/>
            </w:tcMar>
          </w:tcPr>
          <w:p w14:paraId="093A107D" w14:textId="77777777" w:rsidR="007B0080" w:rsidRPr="00052A78" w:rsidRDefault="007B0080" w:rsidP="007B0080">
            <w:pPr>
              <w:pStyle w:val="T1TableStyle"/>
              <w:jc w:val="right"/>
              <w:rPr>
                <w:rFonts w:ascii="Verdana" w:eastAsia="Verdana" w:hAnsi="Verdana" w:cs="Verdana"/>
                <w:color w:val="000000"/>
                <w:sz w:val="16"/>
                <w:lang w:val="en-GB"/>
              </w:rPr>
            </w:pPr>
            <w:r w:rsidRPr="00052A78">
              <w:rPr>
                <w:rFonts w:ascii="Verdana" w:eastAsia="Verdana" w:hAnsi="Verdana" w:cs="Verdana"/>
                <w:color w:val="000000"/>
                <w:sz w:val="16"/>
                <w:lang w:val="en-GB"/>
              </w:rPr>
              <w:t>53,231</w:t>
            </w:r>
          </w:p>
        </w:tc>
        <w:tc>
          <w:tcPr>
            <w:tcW w:w="262" w:type="pct"/>
            <w:shd w:val="clear" w:color="auto" w:fill="auto"/>
            <w:tcMar>
              <w:top w:w="20" w:type="dxa"/>
              <w:left w:w="20" w:type="dxa"/>
              <w:bottom w:w="20" w:type="dxa"/>
              <w:right w:w="20" w:type="dxa"/>
            </w:tcMar>
          </w:tcPr>
          <w:p w14:paraId="139734EC" w14:textId="77777777" w:rsidR="007B0080" w:rsidRPr="00052A78" w:rsidRDefault="007B0080" w:rsidP="007B0080">
            <w:pPr>
              <w:pStyle w:val="T1TableStyle"/>
              <w:jc w:val="center"/>
              <w:rPr>
                <w:rFonts w:ascii="Verdana" w:eastAsia="Verdana" w:hAnsi="Verdana" w:cs="Verdana"/>
                <w:i/>
                <w:color w:val="595959" w:themeColor="text1" w:themeTint="A6"/>
                <w:sz w:val="16"/>
                <w:szCs w:val="16"/>
                <w:lang w:val="en-GB"/>
              </w:rPr>
            </w:pPr>
            <w:r w:rsidRPr="00052A78">
              <w:rPr>
                <w:rFonts w:ascii="Verdana" w:eastAsia="Verdana" w:hAnsi="Verdana" w:cs="Verdana"/>
                <w:i/>
                <w:color w:val="595959" w:themeColor="text1" w:themeTint="A6"/>
                <w:sz w:val="16"/>
                <w:szCs w:val="16"/>
                <w:lang w:val="en-GB"/>
              </w:rPr>
              <w:t xml:space="preserve">33 </w:t>
            </w:r>
          </w:p>
        </w:tc>
        <w:tc>
          <w:tcPr>
            <w:tcW w:w="1064" w:type="pct"/>
            <w:shd w:val="clear" w:color="auto" w:fill="auto"/>
            <w:tcMar>
              <w:top w:w="20" w:type="dxa"/>
              <w:left w:w="20" w:type="dxa"/>
              <w:bottom w:w="20" w:type="dxa"/>
              <w:right w:w="20" w:type="dxa"/>
            </w:tcMar>
          </w:tcPr>
          <w:p w14:paraId="2AD60D57" w14:textId="77777777" w:rsidR="007B0080" w:rsidRPr="00052A78" w:rsidRDefault="007B0080" w:rsidP="007B0080">
            <w:pPr>
              <w:pStyle w:val="T1TableStyle"/>
              <w:rPr>
                <w:rFonts w:ascii="Verdana" w:eastAsia="Verdana" w:hAnsi="Verdana" w:cs="Verdana"/>
                <w:color w:val="000000"/>
                <w:sz w:val="16"/>
                <w:lang w:val="en-GB"/>
              </w:rPr>
            </w:pPr>
            <w:r w:rsidRPr="00052A78">
              <w:rPr>
                <w:rFonts w:ascii="Verdana" w:eastAsia="Verdana" w:hAnsi="Verdana" w:cs="Verdana"/>
                <w:color w:val="000000"/>
                <w:sz w:val="16"/>
                <w:lang w:val="en-GB"/>
              </w:rPr>
              <w:t>Financing and Investment Income and Expenditure</w:t>
            </w:r>
          </w:p>
        </w:tc>
        <w:tc>
          <w:tcPr>
            <w:tcW w:w="642" w:type="pct"/>
            <w:gridSpan w:val="2"/>
            <w:shd w:val="clear" w:color="auto" w:fill="auto"/>
            <w:tcMar>
              <w:top w:w="20" w:type="dxa"/>
              <w:left w:w="20" w:type="dxa"/>
              <w:bottom w:w="20" w:type="dxa"/>
              <w:right w:w="20" w:type="dxa"/>
            </w:tcMar>
          </w:tcPr>
          <w:p w14:paraId="70CA80A5" w14:textId="77777777" w:rsidR="007B0080" w:rsidRPr="00087103" w:rsidRDefault="007B0080" w:rsidP="007B0080">
            <w:pPr>
              <w:pStyle w:val="T1TableStyle"/>
              <w:jc w:val="right"/>
              <w:rPr>
                <w:rFonts w:ascii="Verdana" w:eastAsia="Verdana" w:hAnsi="Verdana" w:cs="Verdana"/>
                <w:color w:val="000000"/>
                <w:sz w:val="16"/>
                <w:lang w:val="en-GB"/>
              </w:rPr>
            </w:pPr>
            <w:r w:rsidRPr="00087103">
              <w:rPr>
                <w:rFonts w:ascii="Verdana" w:eastAsia="Verdana" w:hAnsi="Verdana" w:cs="Verdana"/>
                <w:color w:val="000000"/>
                <w:sz w:val="16"/>
                <w:lang w:val="en-GB"/>
              </w:rPr>
              <w:t>52,713</w:t>
            </w:r>
          </w:p>
        </w:tc>
        <w:tc>
          <w:tcPr>
            <w:tcW w:w="731" w:type="pct"/>
            <w:shd w:val="clear" w:color="auto" w:fill="auto"/>
            <w:tcMar>
              <w:top w:w="20" w:type="dxa"/>
              <w:left w:w="20" w:type="dxa"/>
              <w:bottom w:w="20" w:type="dxa"/>
              <w:right w:w="20" w:type="dxa"/>
            </w:tcMar>
          </w:tcPr>
          <w:p w14:paraId="23B62311" w14:textId="77777777" w:rsidR="007B0080" w:rsidRPr="00087103" w:rsidRDefault="00C66BEC"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7B0080" w:rsidRPr="00087103">
              <w:rPr>
                <w:rFonts w:ascii="Verdana" w:eastAsia="Verdana" w:hAnsi="Verdana" w:cs="Verdana"/>
                <w:color w:val="000000"/>
                <w:sz w:val="16"/>
                <w:lang w:val="en-GB"/>
              </w:rPr>
              <w:t>6,45</w:t>
            </w:r>
            <w:r w:rsidR="007B0080">
              <w:rPr>
                <w:rFonts w:ascii="Verdana" w:eastAsia="Verdana" w:hAnsi="Verdana" w:cs="Verdana"/>
                <w:color w:val="000000"/>
                <w:sz w:val="16"/>
                <w:lang w:val="en-GB"/>
              </w:rPr>
              <w:t>5</w:t>
            </w:r>
            <w:r>
              <w:rPr>
                <w:rFonts w:ascii="Verdana" w:eastAsia="Verdana" w:hAnsi="Verdana" w:cs="Verdana"/>
                <w:color w:val="000000"/>
                <w:sz w:val="16"/>
                <w:lang w:val="en-GB"/>
              </w:rPr>
              <w:t>)</w:t>
            </w:r>
          </w:p>
        </w:tc>
        <w:tc>
          <w:tcPr>
            <w:tcW w:w="563" w:type="pct"/>
            <w:shd w:val="clear" w:color="auto" w:fill="auto"/>
            <w:tcMar>
              <w:top w:w="20" w:type="dxa"/>
              <w:left w:w="20" w:type="dxa"/>
              <w:bottom w:w="20" w:type="dxa"/>
              <w:right w:w="20" w:type="dxa"/>
            </w:tcMar>
          </w:tcPr>
          <w:p w14:paraId="1D6C1706" w14:textId="77FD6A27" w:rsidR="007B0080" w:rsidRPr="00087103" w:rsidRDefault="007B0080" w:rsidP="006E7224">
            <w:pPr>
              <w:pStyle w:val="T1TableStyle"/>
              <w:jc w:val="right"/>
              <w:rPr>
                <w:rFonts w:ascii="Verdana" w:eastAsia="Verdana" w:hAnsi="Verdana" w:cs="Verdana"/>
                <w:color w:val="000000"/>
                <w:sz w:val="16"/>
                <w:lang w:val="en-GB"/>
              </w:rPr>
            </w:pPr>
            <w:r w:rsidRPr="00087103">
              <w:rPr>
                <w:rFonts w:ascii="Verdana" w:eastAsia="Verdana" w:hAnsi="Verdana" w:cs="Verdana"/>
                <w:color w:val="000000"/>
                <w:sz w:val="16"/>
                <w:lang w:val="en-GB"/>
              </w:rPr>
              <w:t>46,25</w:t>
            </w:r>
            <w:r w:rsidR="00121459">
              <w:rPr>
                <w:rFonts w:ascii="Verdana" w:eastAsia="Verdana" w:hAnsi="Verdana" w:cs="Verdana"/>
                <w:color w:val="000000"/>
                <w:sz w:val="16"/>
                <w:lang w:val="en-GB"/>
              </w:rPr>
              <w:t>8</w:t>
            </w:r>
          </w:p>
        </w:tc>
      </w:tr>
      <w:tr w:rsidR="007B0080" w:rsidRPr="003516A4" w14:paraId="2C406FE5" w14:textId="77777777" w:rsidTr="0041394A">
        <w:trPr>
          <w:trHeight w:val="250"/>
          <w:jc w:val="center"/>
        </w:trPr>
        <w:tc>
          <w:tcPr>
            <w:tcW w:w="562" w:type="pct"/>
            <w:shd w:val="clear" w:color="auto" w:fill="auto"/>
            <w:tcMar>
              <w:top w:w="20" w:type="dxa"/>
              <w:left w:w="20" w:type="dxa"/>
              <w:bottom w:w="20" w:type="dxa"/>
              <w:right w:w="20" w:type="dxa"/>
            </w:tcMar>
          </w:tcPr>
          <w:p w14:paraId="051E31C4" w14:textId="77777777" w:rsidR="007B0080" w:rsidRPr="00052A78" w:rsidRDefault="007B0080" w:rsidP="007B0080">
            <w:pPr>
              <w:pStyle w:val="T1TableStyle"/>
              <w:jc w:val="right"/>
              <w:rPr>
                <w:rFonts w:ascii="Verdana" w:eastAsia="Verdana" w:hAnsi="Verdana" w:cs="Verdana"/>
                <w:color w:val="000000"/>
                <w:sz w:val="16"/>
                <w:lang w:val="en-GB"/>
              </w:rPr>
            </w:pPr>
            <w:r w:rsidRPr="00052A78">
              <w:rPr>
                <w:rFonts w:ascii="Verdana" w:eastAsia="Verdana" w:hAnsi="Verdana" w:cs="Verdana"/>
                <w:color w:val="000000"/>
                <w:sz w:val="16"/>
                <w:lang w:val="en-GB"/>
              </w:rPr>
              <w:t>0</w:t>
            </w:r>
          </w:p>
        </w:tc>
        <w:tc>
          <w:tcPr>
            <w:tcW w:w="613" w:type="pct"/>
            <w:shd w:val="clear" w:color="auto" w:fill="auto"/>
            <w:tcMar>
              <w:top w:w="20" w:type="dxa"/>
              <w:left w:w="20" w:type="dxa"/>
              <w:bottom w:w="20" w:type="dxa"/>
              <w:right w:w="20" w:type="dxa"/>
            </w:tcMar>
          </w:tcPr>
          <w:p w14:paraId="7267DC74" w14:textId="77777777" w:rsidR="007B0080" w:rsidRPr="00052A78" w:rsidRDefault="007B0080" w:rsidP="007B0080">
            <w:pPr>
              <w:pStyle w:val="T1TableStyle"/>
              <w:jc w:val="right"/>
              <w:rPr>
                <w:rFonts w:ascii="Verdana" w:eastAsia="Verdana" w:hAnsi="Verdana" w:cs="Verdana"/>
                <w:color w:val="000000"/>
                <w:sz w:val="16"/>
                <w:lang w:val="en-GB"/>
              </w:rPr>
            </w:pPr>
            <w:r w:rsidRPr="00052A78">
              <w:rPr>
                <w:rFonts w:ascii="Verdana" w:eastAsia="Verdana" w:hAnsi="Verdana" w:cs="Verdana"/>
                <w:color w:val="000000"/>
                <w:sz w:val="16"/>
                <w:lang w:val="en-GB"/>
              </w:rPr>
              <w:t>(252,817)</w:t>
            </w:r>
          </w:p>
        </w:tc>
        <w:tc>
          <w:tcPr>
            <w:tcW w:w="563" w:type="pct"/>
            <w:shd w:val="clear" w:color="auto" w:fill="auto"/>
            <w:tcMar>
              <w:top w:w="20" w:type="dxa"/>
              <w:left w:w="20" w:type="dxa"/>
              <w:bottom w:w="20" w:type="dxa"/>
              <w:right w:w="20" w:type="dxa"/>
            </w:tcMar>
          </w:tcPr>
          <w:p w14:paraId="15814D72" w14:textId="77777777" w:rsidR="007B0080" w:rsidRPr="00052A78" w:rsidRDefault="007B0080" w:rsidP="007B0080">
            <w:pPr>
              <w:pStyle w:val="T1TableStyle"/>
              <w:jc w:val="right"/>
              <w:rPr>
                <w:rFonts w:ascii="Verdana" w:eastAsia="Verdana" w:hAnsi="Verdana" w:cs="Verdana"/>
                <w:color w:val="000000"/>
                <w:sz w:val="16"/>
                <w:lang w:val="en-GB"/>
              </w:rPr>
            </w:pPr>
            <w:r w:rsidRPr="00052A78">
              <w:rPr>
                <w:rFonts w:ascii="Verdana" w:eastAsia="Verdana" w:hAnsi="Verdana" w:cs="Verdana"/>
                <w:color w:val="000000"/>
                <w:sz w:val="16"/>
                <w:lang w:val="en-GB"/>
              </w:rPr>
              <w:t>(252,817)</w:t>
            </w:r>
          </w:p>
        </w:tc>
        <w:tc>
          <w:tcPr>
            <w:tcW w:w="262" w:type="pct"/>
            <w:shd w:val="clear" w:color="auto" w:fill="auto"/>
            <w:tcMar>
              <w:top w:w="20" w:type="dxa"/>
              <w:left w:w="20" w:type="dxa"/>
              <w:bottom w:w="20" w:type="dxa"/>
              <w:right w:w="20" w:type="dxa"/>
            </w:tcMar>
          </w:tcPr>
          <w:p w14:paraId="1C84D945" w14:textId="77777777" w:rsidR="007B0080" w:rsidRPr="00052A78" w:rsidRDefault="007B0080" w:rsidP="007B0080">
            <w:pPr>
              <w:pStyle w:val="T1TableStyle"/>
              <w:jc w:val="center"/>
              <w:rPr>
                <w:rFonts w:ascii="Verdana" w:eastAsia="Verdana" w:hAnsi="Verdana" w:cs="Verdana"/>
                <w:i/>
                <w:color w:val="595959" w:themeColor="text1" w:themeTint="A6"/>
                <w:sz w:val="16"/>
                <w:szCs w:val="16"/>
                <w:lang w:val="en-GB"/>
              </w:rPr>
            </w:pPr>
            <w:r w:rsidRPr="00052A78">
              <w:rPr>
                <w:rFonts w:ascii="Verdana" w:eastAsia="Verdana" w:hAnsi="Verdana" w:cs="Verdana"/>
                <w:i/>
                <w:color w:val="595959" w:themeColor="text1" w:themeTint="A6"/>
                <w:sz w:val="16"/>
                <w:szCs w:val="16"/>
                <w:lang w:val="en-GB"/>
              </w:rPr>
              <w:t xml:space="preserve"> 8</w:t>
            </w:r>
          </w:p>
        </w:tc>
        <w:tc>
          <w:tcPr>
            <w:tcW w:w="1064" w:type="pct"/>
            <w:shd w:val="clear" w:color="auto" w:fill="auto"/>
            <w:tcMar>
              <w:top w:w="20" w:type="dxa"/>
              <w:left w:w="20" w:type="dxa"/>
              <w:bottom w:w="20" w:type="dxa"/>
              <w:right w:w="20" w:type="dxa"/>
            </w:tcMar>
          </w:tcPr>
          <w:p w14:paraId="2F8FF127" w14:textId="77777777" w:rsidR="007B0080" w:rsidRPr="00052A78" w:rsidRDefault="007B0080" w:rsidP="007B0080">
            <w:pPr>
              <w:pStyle w:val="T1TableStyle"/>
              <w:rPr>
                <w:rFonts w:ascii="Verdana" w:eastAsia="Verdana" w:hAnsi="Verdana" w:cs="Verdana"/>
                <w:color w:val="000000"/>
                <w:sz w:val="16"/>
                <w:lang w:val="en-GB"/>
              </w:rPr>
            </w:pPr>
            <w:r w:rsidRPr="00052A78">
              <w:rPr>
                <w:rFonts w:ascii="Verdana" w:eastAsia="Verdana" w:hAnsi="Verdana" w:cs="Verdana"/>
                <w:color w:val="000000"/>
                <w:sz w:val="16"/>
                <w:lang w:val="en-GB"/>
              </w:rPr>
              <w:t>Taxation and Non Specific Grant Income</w:t>
            </w:r>
          </w:p>
        </w:tc>
        <w:tc>
          <w:tcPr>
            <w:tcW w:w="642" w:type="pct"/>
            <w:gridSpan w:val="2"/>
            <w:shd w:val="clear" w:color="auto" w:fill="auto"/>
            <w:tcMar>
              <w:top w:w="20" w:type="dxa"/>
              <w:left w:w="20" w:type="dxa"/>
              <w:bottom w:w="20" w:type="dxa"/>
              <w:right w:w="20" w:type="dxa"/>
            </w:tcMar>
          </w:tcPr>
          <w:p w14:paraId="40232AC7" w14:textId="77777777" w:rsidR="007B0080" w:rsidRPr="00087103" w:rsidRDefault="002F782F"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731" w:type="pct"/>
            <w:shd w:val="clear" w:color="auto" w:fill="auto"/>
            <w:tcMar>
              <w:top w:w="20" w:type="dxa"/>
              <w:left w:w="20" w:type="dxa"/>
              <w:bottom w:w="20" w:type="dxa"/>
              <w:right w:w="20" w:type="dxa"/>
            </w:tcMar>
          </w:tcPr>
          <w:p w14:paraId="202CE452" w14:textId="1F8E6839" w:rsidR="007B0080" w:rsidRPr="00087103" w:rsidRDefault="00C66BEC" w:rsidP="007B008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7B0080" w:rsidRPr="00087103">
              <w:rPr>
                <w:rFonts w:ascii="Verdana" w:eastAsia="Verdana" w:hAnsi="Verdana" w:cs="Verdana"/>
                <w:color w:val="000000"/>
                <w:sz w:val="16"/>
                <w:lang w:val="en-GB"/>
              </w:rPr>
              <w:t>26</w:t>
            </w:r>
            <w:r w:rsidR="00121459">
              <w:rPr>
                <w:rFonts w:ascii="Verdana" w:eastAsia="Verdana" w:hAnsi="Verdana" w:cs="Verdana"/>
                <w:color w:val="000000"/>
                <w:sz w:val="16"/>
                <w:lang w:val="en-GB"/>
              </w:rPr>
              <w:t>0</w:t>
            </w:r>
            <w:r w:rsidR="007B0080" w:rsidRPr="00087103">
              <w:rPr>
                <w:rFonts w:ascii="Verdana" w:eastAsia="Verdana" w:hAnsi="Verdana" w:cs="Verdana"/>
                <w:color w:val="000000"/>
                <w:sz w:val="16"/>
                <w:lang w:val="en-GB"/>
              </w:rPr>
              <w:t>,</w:t>
            </w:r>
            <w:r w:rsidR="00121459">
              <w:rPr>
                <w:rFonts w:ascii="Verdana" w:eastAsia="Verdana" w:hAnsi="Verdana" w:cs="Verdana"/>
                <w:color w:val="000000"/>
                <w:sz w:val="16"/>
                <w:lang w:val="en-GB"/>
              </w:rPr>
              <w:t>342</w:t>
            </w:r>
            <w:r>
              <w:rPr>
                <w:rFonts w:ascii="Verdana" w:eastAsia="Verdana" w:hAnsi="Verdana" w:cs="Verdana"/>
                <w:color w:val="000000"/>
                <w:sz w:val="16"/>
                <w:lang w:val="en-GB"/>
              </w:rPr>
              <w:t>)</w:t>
            </w:r>
          </w:p>
        </w:tc>
        <w:tc>
          <w:tcPr>
            <w:tcW w:w="563" w:type="pct"/>
            <w:shd w:val="clear" w:color="auto" w:fill="auto"/>
            <w:tcMar>
              <w:top w:w="20" w:type="dxa"/>
              <w:left w:w="20" w:type="dxa"/>
              <w:bottom w:w="20" w:type="dxa"/>
              <w:right w:w="20" w:type="dxa"/>
            </w:tcMar>
          </w:tcPr>
          <w:p w14:paraId="753FD0F6" w14:textId="354128E0" w:rsidR="007B0080" w:rsidRPr="00087103" w:rsidRDefault="007B0080" w:rsidP="007B0080">
            <w:pPr>
              <w:pStyle w:val="T1TableStyle"/>
              <w:jc w:val="right"/>
              <w:rPr>
                <w:rFonts w:ascii="Verdana" w:eastAsia="Verdana" w:hAnsi="Verdana" w:cs="Verdana"/>
                <w:color w:val="000000"/>
                <w:sz w:val="16"/>
                <w:lang w:val="en-GB"/>
              </w:rPr>
            </w:pPr>
            <w:r w:rsidRPr="00087103">
              <w:rPr>
                <w:rFonts w:ascii="Verdana" w:eastAsia="Verdana" w:hAnsi="Verdana" w:cs="Verdana"/>
                <w:color w:val="000000"/>
                <w:sz w:val="16"/>
                <w:lang w:val="en-GB"/>
              </w:rPr>
              <w:t>(26</w:t>
            </w:r>
            <w:r w:rsidR="00121459">
              <w:rPr>
                <w:rFonts w:ascii="Verdana" w:eastAsia="Verdana" w:hAnsi="Verdana" w:cs="Verdana"/>
                <w:color w:val="000000"/>
                <w:sz w:val="16"/>
                <w:lang w:val="en-GB"/>
              </w:rPr>
              <w:t>0,342</w:t>
            </w:r>
            <w:r>
              <w:rPr>
                <w:rFonts w:ascii="Verdana" w:eastAsia="Verdana" w:hAnsi="Verdana" w:cs="Verdana"/>
                <w:color w:val="000000"/>
                <w:sz w:val="16"/>
                <w:lang w:val="en-GB"/>
              </w:rPr>
              <w:t>)</w:t>
            </w:r>
          </w:p>
        </w:tc>
      </w:tr>
      <w:tr w:rsidR="007B0080" w:rsidRPr="003516A4" w14:paraId="5D222E71" w14:textId="77777777" w:rsidTr="0041394A">
        <w:trPr>
          <w:trHeight w:val="259"/>
          <w:jc w:val="center"/>
        </w:trPr>
        <w:tc>
          <w:tcPr>
            <w:tcW w:w="562" w:type="pct"/>
            <w:tcBorders>
              <w:top w:val="single" w:sz="2" w:space="0" w:color="000000"/>
              <w:bottom w:val="single" w:sz="12" w:space="0" w:color="000000"/>
            </w:tcBorders>
            <w:shd w:val="clear" w:color="auto" w:fill="auto"/>
            <w:tcMar>
              <w:top w:w="20" w:type="dxa"/>
              <w:left w:w="20" w:type="dxa"/>
              <w:bottom w:w="20" w:type="dxa"/>
              <w:right w:w="20" w:type="dxa"/>
            </w:tcMar>
          </w:tcPr>
          <w:p w14:paraId="3F1167DA" w14:textId="77777777" w:rsidR="007B0080" w:rsidRPr="00052A78" w:rsidRDefault="007B0080" w:rsidP="007B0080">
            <w:pPr>
              <w:pStyle w:val="T1TableStyle"/>
              <w:jc w:val="right"/>
              <w:rPr>
                <w:rFonts w:ascii="Verdana" w:eastAsia="Verdana" w:hAnsi="Verdana" w:cs="Verdana"/>
                <w:b/>
                <w:color w:val="000000"/>
                <w:sz w:val="16"/>
                <w:lang w:val="en-GB"/>
              </w:rPr>
            </w:pPr>
            <w:r w:rsidRPr="00052A78">
              <w:rPr>
                <w:rFonts w:ascii="Verdana" w:eastAsia="Verdana" w:hAnsi="Verdana" w:cs="Verdana"/>
                <w:b/>
                <w:color w:val="000000"/>
                <w:sz w:val="16"/>
                <w:lang w:val="en-GB"/>
              </w:rPr>
              <w:t>338,646</w:t>
            </w:r>
          </w:p>
        </w:tc>
        <w:tc>
          <w:tcPr>
            <w:tcW w:w="613" w:type="pct"/>
            <w:tcBorders>
              <w:top w:val="single" w:sz="2" w:space="0" w:color="000000"/>
              <w:bottom w:val="single" w:sz="12" w:space="0" w:color="000000"/>
            </w:tcBorders>
            <w:shd w:val="clear" w:color="auto" w:fill="auto"/>
            <w:tcMar>
              <w:top w:w="20" w:type="dxa"/>
              <w:left w:w="20" w:type="dxa"/>
              <w:bottom w:w="20" w:type="dxa"/>
              <w:right w:w="20" w:type="dxa"/>
            </w:tcMar>
          </w:tcPr>
          <w:p w14:paraId="19C9F0DC" w14:textId="77777777" w:rsidR="007B0080" w:rsidRPr="00052A78" w:rsidRDefault="007B0080" w:rsidP="007B0080">
            <w:pPr>
              <w:pStyle w:val="T1TableStyle"/>
              <w:jc w:val="right"/>
              <w:rPr>
                <w:rFonts w:ascii="Verdana" w:eastAsia="Verdana" w:hAnsi="Verdana" w:cs="Verdana"/>
                <w:b/>
                <w:color w:val="000000"/>
                <w:sz w:val="16"/>
                <w:lang w:val="en-GB"/>
              </w:rPr>
            </w:pPr>
            <w:r w:rsidRPr="00052A78">
              <w:rPr>
                <w:rFonts w:ascii="Verdana" w:eastAsia="Verdana" w:hAnsi="Verdana" w:cs="Verdana"/>
                <w:b/>
                <w:color w:val="000000"/>
                <w:sz w:val="16"/>
                <w:lang w:val="en-GB"/>
              </w:rPr>
              <w:t>(274,770)</w:t>
            </w:r>
          </w:p>
        </w:tc>
        <w:tc>
          <w:tcPr>
            <w:tcW w:w="563" w:type="pct"/>
            <w:tcBorders>
              <w:top w:val="single" w:sz="2" w:space="0" w:color="000000"/>
              <w:bottom w:val="single" w:sz="12" w:space="0" w:color="000000"/>
            </w:tcBorders>
            <w:shd w:val="clear" w:color="auto" w:fill="auto"/>
            <w:tcMar>
              <w:top w:w="20" w:type="dxa"/>
              <w:left w:w="20" w:type="dxa"/>
              <w:bottom w:w="20" w:type="dxa"/>
              <w:right w:w="20" w:type="dxa"/>
            </w:tcMar>
          </w:tcPr>
          <w:p w14:paraId="7329F984" w14:textId="77777777" w:rsidR="007B0080" w:rsidRPr="00052A78" w:rsidRDefault="007B0080" w:rsidP="007B0080">
            <w:pPr>
              <w:pStyle w:val="T1TableStyle"/>
              <w:jc w:val="right"/>
              <w:rPr>
                <w:rFonts w:ascii="Verdana" w:eastAsia="Verdana" w:hAnsi="Verdana" w:cs="Verdana"/>
                <w:b/>
                <w:color w:val="000000"/>
                <w:sz w:val="16"/>
                <w:lang w:val="en-GB"/>
              </w:rPr>
            </w:pPr>
            <w:r w:rsidRPr="00052A78">
              <w:rPr>
                <w:rFonts w:ascii="Verdana" w:eastAsia="Verdana" w:hAnsi="Verdana" w:cs="Verdana"/>
                <w:b/>
                <w:color w:val="000000"/>
                <w:sz w:val="16"/>
                <w:lang w:val="en-GB"/>
              </w:rPr>
              <w:t>63,876</w:t>
            </w:r>
          </w:p>
        </w:tc>
        <w:tc>
          <w:tcPr>
            <w:tcW w:w="262"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C5635BD" w14:textId="77777777" w:rsidR="007B0080" w:rsidRPr="00052A78" w:rsidRDefault="007B0080" w:rsidP="007B0080">
            <w:pPr>
              <w:pStyle w:val="T1TableStyle"/>
              <w:jc w:val="center"/>
              <w:rPr>
                <w:rFonts w:ascii="Verdana" w:eastAsia="Verdana" w:hAnsi="Verdana" w:cs="Verdana"/>
                <w:b/>
                <w:i/>
                <w:color w:val="595959" w:themeColor="text1" w:themeTint="A6"/>
                <w:sz w:val="16"/>
                <w:szCs w:val="16"/>
                <w:lang w:val="en-GB"/>
              </w:rPr>
            </w:pPr>
            <w:r w:rsidRPr="00052A78">
              <w:rPr>
                <w:rFonts w:ascii="Verdana" w:eastAsia="Verdana" w:hAnsi="Verdana" w:cs="Verdana"/>
                <w:b/>
                <w:i/>
                <w:color w:val="595959" w:themeColor="text1" w:themeTint="A6"/>
                <w:sz w:val="16"/>
                <w:szCs w:val="16"/>
                <w:lang w:val="en-GB"/>
              </w:rPr>
              <w:t xml:space="preserve"> </w:t>
            </w:r>
          </w:p>
        </w:tc>
        <w:tc>
          <w:tcPr>
            <w:tcW w:w="1064" w:type="pct"/>
            <w:tcBorders>
              <w:top w:val="single" w:sz="2" w:space="0" w:color="000000"/>
              <w:bottom w:val="single" w:sz="12" w:space="0" w:color="000000"/>
            </w:tcBorders>
            <w:shd w:val="clear" w:color="auto" w:fill="auto"/>
            <w:tcMar>
              <w:top w:w="20" w:type="dxa"/>
              <w:left w:w="20" w:type="dxa"/>
              <w:bottom w:w="20" w:type="dxa"/>
              <w:right w:w="20" w:type="dxa"/>
            </w:tcMar>
          </w:tcPr>
          <w:p w14:paraId="02586603" w14:textId="04E15A7E" w:rsidR="007B0080" w:rsidRPr="00052A78" w:rsidRDefault="005503D2" w:rsidP="007B0080">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w:t>
            </w:r>
            <w:r w:rsidR="007B0080" w:rsidRPr="00052A78">
              <w:rPr>
                <w:rFonts w:ascii="Verdana" w:eastAsia="Verdana" w:hAnsi="Verdana" w:cs="Verdana"/>
                <w:b/>
                <w:color w:val="000000"/>
                <w:sz w:val="16"/>
                <w:lang w:val="en-GB"/>
              </w:rPr>
              <w:t>Surplus</w:t>
            </w:r>
            <w:r>
              <w:rPr>
                <w:rFonts w:ascii="Verdana" w:eastAsia="Verdana" w:hAnsi="Verdana" w:cs="Verdana"/>
                <w:b/>
                <w:color w:val="000000"/>
                <w:sz w:val="16"/>
                <w:lang w:val="en-GB"/>
              </w:rPr>
              <w:t>)</w:t>
            </w:r>
            <w:r w:rsidR="007B0080" w:rsidRPr="00052A78">
              <w:rPr>
                <w:rFonts w:ascii="Verdana" w:eastAsia="Verdana" w:hAnsi="Verdana" w:cs="Verdana"/>
                <w:b/>
                <w:color w:val="000000"/>
                <w:sz w:val="16"/>
                <w:lang w:val="en-GB"/>
              </w:rPr>
              <w:t xml:space="preserve"> or Deficit on Provision of Services</w:t>
            </w:r>
          </w:p>
        </w:tc>
        <w:tc>
          <w:tcPr>
            <w:tcW w:w="642" w:type="pct"/>
            <w:gridSpan w:val="2"/>
            <w:tcBorders>
              <w:top w:val="single" w:sz="2" w:space="0" w:color="000000"/>
              <w:bottom w:val="single" w:sz="12" w:space="0" w:color="000000"/>
            </w:tcBorders>
            <w:shd w:val="clear" w:color="auto" w:fill="auto"/>
            <w:tcMar>
              <w:top w:w="20" w:type="dxa"/>
              <w:left w:w="20" w:type="dxa"/>
              <w:bottom w:w="20" w:type="dxa"/>
              <w:right w:w="20" w:type="dxa"/>
            </w:tcMar>
          </w:tcPr>
          <w:p w14:paraId="144E261B" w14:textId="1FC9EEDF" w:rsidR="007B0080" w:rsidRPr="00D907FF" w:rsidRDefault="00304AF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358,428</w:t>
            </w:r>
          </w:p>
        </w:tc>
        <w:tc>
          <w:tcPr>
            <w:tcW w:w="731" w:type="pct"/>
            <w:tcBorders>
              <w:top w:val="single" w:sz="2" w:space="0" w:color="000000"/>
              <w:bottom w:val="single" w:sz="12" w:space="0" w:color="000000"/>
            </w:tcBorders>
            <w:shd w:val="clear" w:color="auto" w:fill="auto"/>
            <w:tcMar>
              <w:top w:w="20" w:type="dxa"/>
              <w:left w:w="20" w:type="dxa"/>
              <w:bottom w:w="20" w:type="dxa"/>
              <w:right w:w="20" w:type="dxa"/>
            </w:tcMar>
          </w:tcPr>
          <w:p w14:paraId="1518A950" w14:textId="7EFE3458" w:rsidR="007B0080" w:rsidRPr="00D907FF" w:rsidRDefault="00C66BEC">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6D5493">
              <w:rPr>
                <w:rFonts w:ascii="Verdana" w:eastAsia="Verdana" w:hAnsi="Verdana" w:cs="Verdana"/>
                <w:b/>
                <w:color w:val="000000"/>
                <w:sz w:val="16"/>
                <w:lang w:val="en-GB"/>
              </w:rPr>
              <w:t>2</w:t>
            </w:r>
            <w:r w:rsidR="00121459">
              <w:rPr>
                <w:rFonts w:ascii="Verdana" w:eastAsia="Verdana" w:hAnsi="Verdana" w:cs="Verdana"/>
                <w:b/>
                <w:color w:val="000000"/>
                <w:sz w:val="16"/>
                <w:lang w:val="en-GB"/>
              </w:rPr>
              <w:t>85</w:t>
            </w:r>
            <w:r w:rsidR="006D5493">
              <w:rPr>
                <w:rFonts w:ascii="Verdana" w:eastAsia="Verdana" w:hAnsi="Verdana" w:cs="Verdana"/>
                <w:b/>
                <w:color w:val="000000"/>
                <w:sz w:val="16"/>
                <w:lang w:val="en-GB"/>
              </w:rPr>
              <w:t>,</w:t>
            </w:r>
            <w:r w:rsidR="00121459">
              <w:rPr>
                <w:rFonts w:ascii="Verdana" w:eastAsia="Verdana" w:hAnsi="Verdana" w:cs="Verdana"/>
                <w:b/>
                <w:color w:val="000000"/>
                <w:sz w:val="16"/>
                <w:lang w:val="en-GB"/>
              </w:rPr>
              <w:t>85</w:t>
            </w:r>
            <w:r w:rsidR="00304AF3">
              <w:rPr>
                <w:rFonts w:ascii="Verdana" w:eastAsia="Verdana" w:hAnsi="Verdana" w:cs="Verdana"/>
                <w:b/>
                <w:color w:val="000000"/>
                <w:sz w:val="16"/>
                <w:lang w:val="en-GB"/>
              </w:rPr>
              <w:t>6</w:t>
            </w:r>
            <w:r>
              <w:rPr>
                <w:rFonts w:ascii="Verdana" w:eastAsia="Verdana" w:hAnsi="Verdana" w:cs="Verdana"/>
                <w:b/>
                <w:color w:val="000000"/>
                <w:sz w:val="16"/>
                <w:lang w:val="en-GB"/>
              </w:rPr>
              <w:t>)</w:t>
            </w:r>
          </w:p>
        </w:tc>
        <w:tc>
          <w:tcPr>
            <w:tcW w:w="563" w:type="pct"/>
            <w:tcBorders>
              <w:top w:val="single" w:sz="2" w:space="0" w:color="000000"/>
              <w:bottom w:val="single" w:sz="12" w:space="0" w:color="000000"/>
            </w:tcBorders>
            <w:shd w:val="clear" w:color="auto" w:fill="auto"/>
            <w:tcMar>
              <w:top w:w="20" w:type="dxa"/>
              <w:left w:w="20" w:type="dxa"/>
              <w:bottom w:w="20" w:type="dxa"/>
              <w:right w:w="20" w:type="dxa"/>
            </w:tcMar>
          </w:tcPr>
          <w:p w14:paraId="6E2421D3" w14:textId="37204C9A" w:rsidR="007B0080" w:rsidRPr="00D907FF" w:rsidRDefault="00304AF3" w:rsidP="007B008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75,572</w:t>
            </w:r>
          </w:p>
          <w:p w14:paraId="7B328B98" w14:textId="77777777" w:rsidR="007B0080" w:rsidRPr="00D907FF" w:rsidRDefault="007B0080" w:rsidP="007B0080">
            <w:pPr>
              <w:pStyle w:val="T1TableStyle"/>
              <w:jc w:val="right"/>
              <w:rPr>
                <w:rFonts w:ascii="Verdana" w:eastAsia="Verdana" w:hAnsi="Verdana" w:cs="Verdana"/>
                <w:b/>
                <w:color w:val="000000"/>
                <w:sz w:val="16"/>
                <w:lang w:val="en-GB"/>
              </w:rPr>
            </w:pPr>
          </w:p>
        </w:tc>
      </w:tr>
      <w:tr w:rsidR="007B0080" w:rsidRPr="003516A4" w14:paraId="2AEC2514" w14:textId="77777777" w:rsidTr="0041394A">
        <w:trPr>
          <w:trHeight w:hRule="exact" w:val="116"/>
          <w:jc w:val="center"/>
        </w:trPr>
        <w:tc>
          <w:tcPr>
            <w:tcW w:w="562" w:type="pct"/>
            <w:shd w:val="clear" w:color="auto" w:fill="auto"/>
            <w:tcMar>
              <w:top w:w="20" w:type="dxa"/>
              <w:left w:w="20" w:type="dxa"/>
              <w:bottom w:w="20" w:type="dxa"/>
              <w:right w:w="20" w:type="dxa"/>
            </w:tcMar>
          </w:tcPr>
          <w:p w14:paraId="035C985F" w14:textId="77777777" w:rsidR="007B0080" w:rsidRPr="00052A78" w:rsidRDefault="007B0080" w:rsidP="007B0080">
            <w:pPr>
              <w:pStyle w:val="T1TableStyle"/>
              <w:jc w:val="center"/>
              <w:rPr>
                <w:rFonts w:ascii="Calibri" w:eastAsia="Calibri" w:hAnsi="Calibri" w:cs="Calibri"/>
                <w:color w:val="000000"/>
                <w:sz w:val="2"/>
                <w:lang w:val="en-GB"/>
              </w:rPr>
            </w:pPr>
            <w:r w:rsidRPr="00052A78">
              <w:rPr>
                <w:rFonts w:ascii="Calibri" w:eastAsia="Calibri" w:hAnsi="Calibri" w:cs="Calibri"/>
                <w:color w:val="000000"/>
                <w:sz w:val="2"/>
                <w:lang w:val="en-GB"/>
              </w:rPr>
              <w:t xml:space="preserve"> </w:t>
            </w:r>
          </w:p>
        </w:tc>
        <w:tc>
          <w:tcPr>
            <w:tcW w:w="613" w:type="pct"/>
            <w:shd w:val="clear" w:color="auto" w:fill="auto"/>
            <w:tcMar>
              <w:top w:w="20" w:type="dxa"/>
              <w:left w:w="20" w:type="dxa"/>
              <w:bottom w:w="20" w:type="dxa"/>
              <w:right w:w="20" w:type="dxa"/>
            </w:tcMar>
          </w:tcPr>
          <w:p w14:paraId="124E1688" w14:textId="77777777" w:rsidR="007B0080" w:rsidRPr="00052A78" w:rsidRDefault="007B0080" w:rsidP="007B0080">
            <w:pPr>
              <w:pStyle w:val="T1TableStyle"/>
              <w:jc w:val="center"/>
              <w:rPr>
                <w:rFonts w:ascii="Calibri" w:eastAsia="Calibri" w:hAnsi="Calibri" w:cs="Calibri"/>
                <w:color w:val="000000"/>
                <w:sz w:val="2"/>
                <w:lang w:val="en-GB"/>
              </w:rPr>
            </w:pPr>
            <w:r w:rsidRPr="00052A78">
              <w:rPr>
                <w:rFonts w:ascii="Calibri" w:eastAsia="Calibri" w:hAnsi="Calibri" w:cs="Calibri"/>
                <w:color w:val="000000"/>
                <w:sz w:val="2"/>
                <w:lang w:val="en-GB"/>
              </w:rPr>
              <w:t xml:space="preserve"> </w:t>
            </w:r>
          </w:p>
        </w:tc>
        <w:tc>
          <w:tcPr>
            <w:tcW w:w="563" w:type="pct"/>
            <w:shd w:val="clear" w:color="auto" w:fill="auto"/>
            <w:tcMar>
              <w:top w:w="20" w:type="dxa"/>
              <w:left w:w="20" w:type="dxa"/>
              <w:bottom w:w="20" w:type="dxa"/>
              <w:right w:w="20" w:type="dxa"/>
            </w:tcMar>
          </w:tcPr>
          <w:p w14:paraId="58C324B7" w14:textId="77777777" w:rsidR="007B0080" w:rsidRPr="00052A78" w:rsidRDefault="007B0080" w:rsidP="007B0080">
            <w:pPr>
              <w:pStyle w:val="T1TableStyle"/>
              <w:jc w:val="center"/>
              <w:rPr>
                <w:rFonts w:ascii="Calibri" w:eastAsia="Calibri" w:hAnsi="Calibri" w:cs="Calibri"/>
                <w:color w:val="000000"/>
                <w:sz w:val="2"/>
                <w:lang w:val="en-GB"/>
              </w:rPr>
            </w:pPr>
            <w:r w:rsidRPr="00052A78">
              <w:rPr>
                <w:rFonts w:ascii="Calibri" w:eastAsia="Calibri" w:hAnsi="Calibri" w:cs="Calibri"/>
                <w:color w:val="000000"/>
                <w:sz w:val="2"/>
                <w:lang w:val="en-GB"/>
              </w:rPr>
              <w:t xml:space="preserve"> </w:t>
            </w:r>
          </w:p>
        </w:tc>
        <w:tc>
          <w:tcPr>
            <w:tcW w:w="262" w:type="pct"/>
            <w:shd w:val="clear" w:color="auto" w:fill="auto"/>
            <w:tcMar>
              <w:top w:w="20" w:type="dxa"/>
              <w:left w:w="20" w:type="dxa"/>
              <w:bottom w:w="20" w:type="dxa"/>
              <w:right w:w="20" w:type="dxa"/>
            </w:tcMar>
            <w:vAlign w:val="bottom"/>
          </w:tcPr>
          <w:p w14:paraId="51645AFE" w14:textId="77777777" w:rsidR="007B0080" w:rsidRPr="00052A78" w:rsidRDefault="007B0080" w:rsidP="007B0080">
            <w:pPr>
              <w:pStyle w:val="T1TableStyle"/>
              <w:jc w:val="center"/>
              <w:rPr>
                <w:rFonts w:ascii="Calibri" w:eastAsia="Calibri" w:hAnsi="Calibri" w:cs="Calibri"/>
                <w:i/>
                <w:color w:val="595959" w:themeColor="text1" w:themeTint="A6"/>
                <w:sz w:val="16"/>
                <w:szCs w:val="16"/>
                <w:lang w:val="en-GB"/>
              </w:rPr>
            </w:pPr>
            <w:r w:rsidRPr="00052A78">
              <w:rPr>
                <w:rFonts w:ascii="Calibri" w:eastAsia="Calibri" w:hAnsi="Calibri" w:cs="Calibri"/>
                <w:i/>
                <w:color w:val="595959" w:themeColor="text1" w:themeTint="A6"/>
                <w:sz w:val="16"/>
                <w:szCs w:val="16"/>
                <w:lang w:val="en-GB"/>
              </w:rPr>
              <w:t xml:space="preserve"> </w:t>
            </w:r>
          </w:p>
        </w:tc>
        <w:tc>
          <w:tcPr>
            <w:tcW w:w="1064" w:type="pct"/>
            <w:shd w:val="clear" w:color="auto" w:fill="auto"/>
            <w:tcMar>
              <w:top w:w="20" w:type="dxa"/>
              <w:left w:w="20" w:type="dxa"/>
              <w:bottom w:w="20" w:type="dxa"/>
              <w:right w:w="20" w:type="dxa"/>
            </w:tcMar>
          </w:tcPr>
          <w:p w14:paraId="1203AC4D" w14:textId="77777777" w:rsidR="007B0080" w:rsidRPr="00052A78" w:rsidRDefault="007B0080" w:rsidP="007B0080">
            <w:pPr>
              <w:pStyle w:val="T1TableStyle"/>
              <w:jc w:val="center"/>
              <w:rPr>
                <w:rFonts w:ascii="Calibri" w:eastAsia="Calibri" w:hAnsi="Calibri" w:cs="Calibri"/>
                <w:color w:val="000000"/>
                <w:sz w:val="2"/>
                <w:lang w:val="en-GB"/>
              </w:rPr>
            </w:pPr>
            <w:r w:rsidRPr="00052A78">
              <w:rPr>
                <w:rFonts w:ascii="Calibri" w:eastAsia="Calibri" w:hAnsi="Calibri" w:cs="Calibri"/>
                <w:color w:val="000000"/>
                <w:sz w:val="2"/>
                <w:lang w:val="en-GB"/>
              </w:rPr>
              <w:t xml:space="preserve"> </w:t>
            </w:r>
          </w:p>
        </w:tc>
        <w:tc>
          <w:tcPr>
            <w:tcW w:w="642" w:type="pct"/>
            <w:gridSpan w:val="2"/>
            <w:shd w:val="clear" w:color="auto" w:fill="auto"/>
            <w:tcMar>
              <w:top w:w="20" w:type="dxa"/>
              <w:left w:w="20" w:type="dxa"/>
              <w:bottom w:w="20" w:type="dxa"/>
              <w:right w:w="20" w:type="dxa"/>
            </w:tcMar>
          </w:tcPr>
          <w:p w14:paraId="31F5BA46" w14:textId="77777777" w:rsidR="007B0080" w:rsidRPr="003516A4" w:rsidRDefault="007B0080" w:rsidP="007B0080">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c>
          <w:tcPr>
            <w:tcW w:w="731" w:type="pct"/>
            <w:shd w:val="clear" w:color="auto" w:fill="auto"/>
            <w:tcMar>
              <w:top w:w="20" w:type="dxa"/>
              <w:left w:w="20" w:type="dxa"/>
              <w:bottom w:w="20" w:type="dxa"/>
              <w:right w:w="20" w:type="dxa"/>
            </w:tcMar>
          </w:tcPr>
          <w:p w14:paraId="3AF7E107" w14:textId="77777777" w:rsidR="007B0080" w:rsidRPr="003516A4" w:rsidRDefault="007B0080" w:rsidP="007B0080">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c>
          <w:tcPr>
            <w:tcW w:w="563" w:type="pct"/>
            <w:shd w:val="clear" w:color="auto" w:fill="auto"/>
            <w:tcMar>
              <w:top w:w="20" w:type="dxa"/>
              <w:left w:w="20" w:type="dxa"/>
              <w:bottom w:w="20" w:type="dxa"/>
              <w:right w:w="20" w:type="dxa"/>
            </w:tcMar>
          </w:tcPr>
          <w:p w14:paraId="52809BF7" w14:textId="77777777" w:rsidR="007B0080" w:rsidRPr="00087103" w:rsidRDefault="007B0080" w:rsidP="007B0080">
            <w:pPr>
              <w:pStyle w:val="T1TableStyle"/>
              <w:jc w:val="center"/>
              <w:rPr>
                <w:rFonts w:ascii="Calibri" w:eastAsia="Calibri" w:hAnsi="Calibri" w:cs="Calibri"/>
                <w:color w:val="000000"/>
                <w:sz w:val="2"/>
                <w:lang w:val="en-GB"/>
              </w:rPr>
            </w:pPr>
            <w:r w:rsidRPr="00087103">
              <w:rPr>
                <w:rFonts w:ascii="Calibri" w:eastAsia="Calibri" w:hAnsi="Calibri" w:cs="Calibri"/>
                <w:color w:val="000000"/>
                <w:sz w:val="2"/>
                <w:lang w:val="en-GB"/>
              </w:rPr>
              <w:t xml:space="preserve"> </w:t>
            </w:r>
          </w:p>
        </w:tc>
      </w:tr>
      <w:tr w:rsidR="007B0080" w:rsidRPr="003516A4" w14:paraId="3C71BFCB" w14:textId="77777777" w:rsidTr="0041394A">
        <w:trPr>
          <w:trHeight w:val="375"/>
          <w:jc w:val="center"/>
        </w:trPr>
        <w:tc>
          <w:tcPr>
            <w:tcW w:w="562" w:type="pct"/>
            <w:shd w:val="clear" w:color="auto" w:fill="auto"/>
            <w:tcMar>
              <w:top w:w="20" w:type="dxa"/>
              <w:left w:w="20" w:type="dxa"/>
              <w:bottom w:w="20" w:type="dxa"/>
              <w:right w:w="20" w:type="dxa"/>
            </w:tcMar>
          </w:tcPr>
          <w:p w14:paraId="40573BA5" w14:textId="77777777" w:rsidR="007B0080" w:rsidRPr="00052A78" w:rsidRDefault="007B0080" w:rsidP="007B0080">
            <w:pPr>
              <w:pStyle w:val="T1TableStyle"/>
              <w:jc w:val="center"/>
              <w:rPr>
                <w:rFonts w:ascii="Verdana" w:eastAsia="Verdana" w:hAnsi="Verdana" w:cs="Verdana"/>
                <w:color w:val="000000"/>
                <w:sz w:val="2"/>
                <w:lang w:val="en-GB"/>
              </w:rPr>
            </w:pPr>
            <w:r w:rsidRPr="00052A78">
              <w:rPr>
                <w:rFonts w:ascii="Verdana" w:eastAsia="Verdana" w:hAnsi="Verdana" w:cs="Verdana"/>
                <w:color w:val="000000"/>
                <w:sz w:val="2"/>
                <w:lang w:val="en-GB"/>
              </w:rPr>
              <w:t xml:space="preserve"> </w:t>
            </w:r>
          </w:p>
        </w:tc>
        <w:tc>
          <w:tcPr>
            <w:tcW w:w="613" w:type="pct"/>
            <w:shd w:val="clear" w:color="auto" w:fill="auto"/>
            <w:tcMar>
              <w:top w:w="20" w:type="dxa"/>
              <w:left w:w="20" w:type="dxa"/>
              <w:bottom w:w="20" w:type="dxa"/>
              <w:right w:w="20" w:type="dxa"/>
            </w:tcMar>
          </w:tcPr>
          <w:p w14:paraId="6D97F870" w14:textId="77777777" w:rsidR="007B0080" w:rsidRPr="00052A78" w:rsidRDefault="007B0080" w:rsidP="007B0080">
            <w:pPr>
              <w:pStyle w:val="T1TableStyle"/>
              <w:jc w:val="center"/>
              <w:rPr>
                <w:rFonts w:ascii="Verdana" w:eastAsia="Verdana" w:hAnsi="Verdana" w:cs="Verdana"/>
                <w:color w:val="000000"/>
                <w:sz w:val="2"/>
                <w:lang w:val="en-GB"/>
              </w:rPr>
            </w:pPr>
            <w:r w:rsidRPr="00052A78">
              <w:rPr>
                <w:rFonts w:ascii="Verdana" w:eastAsia="Verdana" w:hAnsi="Verdana" w:cs="Verdana"/>
                <w:color w:val="000000"/>
                <w:sz w:val="2"/>
                <w:lang w:val="en-GB"/>
              </w:rPr>
              <w:t xml:space="preserve"> </w:t>
            </w:r>
          </w:p>
        </w:tc>
        <w:tc>
          <w:tcPr>
            <w:tcW w:w="563" w:type="pct"/>
            <w:shd w:val="clear" w:color="auto" w:fill="auto"/>
            <w:tcMar>
              <w:top w:w="20" w:type="dxa"/>
              <w:left w:w="20" w:type="dxa"/>
              <w:bottom w:w="20" w:type="dxa"/>
              <w:right w:w="20" w:type="dxa"/>
            </w:tcMar>
          </w:tcPr>
          <w:p w14:paraId="7A22D62C" w14:textId="77777777" w:rsidR="007B0080" w:rsidRPr="00052A78" w:rsidRDefault="007B0080" w:rsidP="007B0080">
            <w:pPr>
              <w:pStyle w:val="T1TableStyle"/>
              <w:jc w:val="right"/>
              <w:rPr>
                <w:rFonts w:ascii="Verdana" w:eastAsia="Verdana" w:hAnsi="Verdana" w:cs="Verdana"/>
                <w:color w:val="000000"/>
                <w:sz w:val="16"/>
                <w:lang w:val="en-GB"/>
              </w:rPr>
            </w:pPr>
            <w:r w:rsidRPr="00052A78">
              <w:rPr>
                <w:rFonts w:ascii="Verdana" w:eastAsia="Verdana" w:hAnsi="Verdana" w:cs="Verdana"/>
                <w:color w:val="000000"/>
                <w:sz w:val="16"/>
                <w:lang w:val="en-GB"/>
              </w:rPr>
              <w:t>(9,459)</w:t>
            </w:r>
          </w:p>
        </w:tc>
        <w:tc>
          <w:tcPr>
            <w:tcW w:w="262" w:type="pct"/>
            <w:shd w:val="clear" w:color="auto" w:fill="auto"/>
            <w:tcMar>
              <w:top w:w="20" w:type="dxa"/>
              <w:left w:w="20" w:type="dxa"/>
              <w:bottom w:w="20" w:type="dxa"/>
              <w:right w:w="20" w:type="dxa"/>
            </w:tcMar>
          </w:tcPr>
          <w:p w14:paraId="257F4EFF" w14:textId="77777777" w:rsidR="007B0080" w:rsidRPr="00052A78" w:rsidRDefault="007B0080" w:rsidP="007B0080">
            <w:pPr>
              <w:pStyle w:val="T1TableStyle"/>
              <w:jc w:val="center"/>
              <w:rPr>
                <w:rFonts w:ascii="Verdana" w:eastAsia="Verdana" w:hAnsi="Verdana" w:cs="Verdana"/>
                <w:i/>
                <w:color w:val="595959" w:themeColor="text1" w:themeTint="A6"/>
                <w:sz w:val="16"/>
                <w:szCs w:val="16"/>
                <w:lang w:val="en-GB"/>
              </w:rPr>
            </w:pPr>
            <w:r w:rsidRPr="00052A78">
              <w:rPr>
                <w:rFonts w:ascii="Verdana" w:eastAsia="Verdana" w:hAnsi="Verdana" w:cs="Verdana"/>
                <w:i/>
                <w:color w:val="595959" w:themeColor="text1" w:themeTint="A6"/>
                <w:sz w:val="16"/>
                <w:szCs w:val="16"/>
                <w:lang w:val="en-GB"/>
              </w:rPr>
              <w:t xml:space="preserve">11 </w:t>
            </w:r>
          </w:p>
        </w:tc>
        <w:tc>
          <w:tcPr>
            <w:tcW w:w="1291" w:type="pct"/>
            <w:gridSpan w:val="2"/>
            <w:shd w:val="clear" w:color="auto" w:fill="auto"/>
            <w:tcMar>
              <w:top w:w="20" w:type="dxa"/>
              <w:left w:w="20" w:type="dxa"/>
              <w:bottom w:w="20" w:type="dxa"/>
              <w:right w:w="20" w:type="dxa"/>
            </w:tcMar>
          </w:tcPr>
          <w:p w14:paraId="20064D9A" w14:textId="77777777" w:rsidR="007B0080" w:rsidRPr="00052A78" w:rsidRDefault="007B0080" w:rsidP="007B0080">
            <w:pPr>
              <w:pStyle w:val="T1TableStyle"/>
              <w:rPr>
                <w:rFonts w:ascii="Verdana" w:eastAsia="Verdana" w:hAnsi="Verdana" w:cs="Verdana"/>
                <w:color w:val="000000"/>
                <w:sz w:val="16"/>
                <w:lang w:val="en-GB"/>
              </w:rPr>
            </w:pPr>
            <w:r w:rsidRPr="00052A78">
              <w:rPr>
                <w:rFonts w:ascii="Verdana" w:eastAsia="Verdana" w:hAnsi="Verdana" w:cs="Verdana"/>
                <w:color w:val="000000"/>
                <w:sz w:val="16"/>
                <w:lang w:val="en-GB"/>
              </w:rPr>
              <w:t>(Surplus) or deficit on revaluation of Property, Plant and Equipment</w:t>
            </w:r>
          </w:p>
        </w:tc>
        <w:tc>
          <w:tcPr>
            <w:tcW w:w="415" w:type="pct"/>
            <w:shd w:val="clear" w:color="auto" w:fill="auto"/>
            <w:tcMar>
              <w:top w:w="20" w:type="dxa"/>
              <w:left w:w="20" w:type="dxa"/>
              <w:bottom w:w="20" w:type="dxa"/>
              <w:right w:w="20" w:type="dxa"/>
            </w:tcMar>
          </w:tcPr>
          <w:p w14:paraId="2CDBD2EE" w14:textId="77777777" w:rsidR="007B0080" w:rsidRPr="003516A4" w:rsidRDefault="007B0080" w:rsidP="007B0080">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c>
          <w:tcPr>
            <w:tcW w:w="731" w:type="pct"/>
            <w:shd w:val="clear" w:color="auto" w:fill="auto"/>
            <w:tcMar>
              <w:top w:w="20" w:type="dxa"/>
              <w:left w:w="20" w:type="dxa"/>
              <w:bottom w:w="20" w:type="dxa"/>
              <w:right w:w="20" w:type="dxa"/>
            </w:tcMar>
          </w:tcPr>
          <w:p w14:paraId="0837C0F7" w14:textId="77777777" w:rsidR="007B0080" w:rsidRPr="003516A4" w:rsidRDefault="007B0080" w:rsidP="007B0080">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c>
          <w:tcPr>
            <w:tcW w:w="563" w:type="pct"/>
            <w:shd w:val="clear" w:color="auto" w:fill="auto"/>
            <w:tcMar>
              <w:top w:w="20" w:type="dxa"/>
              <w:left w:w="20" w:type="dxa"/>
              <w:bottom w:w="20" w:type="dxa"/>
              <w:right w:w="20" w:type="dxa"/>
            </w:tcMar>
          </w:tcPr>
          <w:p w14:paraId="5DF288AA" w14:textId="77777777" w:rsidR="007B0080" w:rsidRPr="00087103" w:rsidRDefault="007B0080" w:rsidP="007B0080">
            <w:pPr>
              <w:pStyle w:val="T1TableStyle"/>
              <w:jc w:val="right"/>
              <w:rPr>
                <w:rFonts w:ascii="Verdana" w:eastAsia="Verdana" w:hAnsi="Verdana" w:cs="Verdana"/>
                <w:color w:val="000000"/>
                <w:sz w:val="16"/>
                <w:lang w:val="en-GB"/>
              </w:rPr>
            </w:pPr>
            <w:r w:rsidRPr="00087103">
              <w:rPr>
                <w:rFonts w:ascii="Verdana" w:eastAsia="Verdana" w:hAnsi="Verdana" w:cs="Verdana"/>
                <w:color w:val="000000"/>
                <w:sz w:val="16"/>
                <w:lang w:val="en-GB"/>
              </w:rPr>
              <w:t>(2,</w:t>
            </w:r>
            <w:r>
              <w:rPr>
                <w:rFonts w:ascii="Verdana" w:eastAsia="Verdana" w:hAnsi="Verdana" w:cs="Verdana"/>
                <w:color w:val="000000"/>
                <w:sz w:val="16"/>
                <w:lang w:val="en-GB"/>
              </w:rPr>
              <w:t>330</w:t>
            </w:r>
            <w:r w:rsidRPr="00087103">
              <w:rPr>
                <w:rFonts w:ascii="Verdana" w:eastAsia="Verdana" w:hAnsi="Verdana" w:cs="Verdana"/>
                <w:color w:val="000000"/>
                <w:sz w:val="16"/>
                <w:lang w:val="en-GB"/>
              </w:rPr>
              <w:t>)</w:t>
            </w:r>
          </w:p>
        </w:tc>
      </w:tr>
      <w:tr w:rsidR="007B0080" w:rsidRPr="003516A4" w14:paraId="3C1314F1" w14:textId="77777777" w:rsidTr="0041394A">
        <w:trPr>
          <w:trHeight w:val="375"/>
          <w:jc w:val="center"/>
        </w:trPr>
        <w:tc>
          <w:tcPr>
            <w:tcW w:w="562" w:type="pct"/>
            <w:shd w:val="clear" w:color="auto" w:fill="auto"/>
            <w:tcMar>
              <w:top w:w="20" w:type="dxa"/>
              <w:left w:w="20" w:type="dxa"/>
              <w:bottom w:w="20" w:type="dxa"/>
              <w:right w:w="20" w:type="dxa"/>
            </w:tcMar>
          </w:tcPr>
          <w:p w14:paraId="72D7A702" w14:textId="77777777" w:rsidR="007B0080" w:rsidRPr="00052A78" w:rsidRDefault="007B0080" w:rsidP="007B0080">
            <w:pPr>
              <w:pStyle w:val="T1TableStyle"/>
              <w:jc w:val="center"/>
              <w:rPr>
                <w:rFonts w:ascii="Verdana" w:eastAsia="Verdana" w:hAnsi="Verdana" w:cs="Verdana"/>
                <w:color w:val="000000"/>
                <w:sz w:val="2"/>
                <w:lang w:val="en-GB"/>
              </w:rPr>
            </w:pPr>
            <w:r w:rsidRPr="00052A78">
              <w:rPr>
                <w:rFonts w:ascii="Verdana" w:eastAsia="Verdana" w:hAnsi="Verdana" w:cs="Verdana"/>
                <w:color w:val="000000"/>
                <w:sz w:val="2"/>
                <w:lang w:val="en-GB"/>
              </w:rPr>
              <w:t xml:space="preserve"> </w:t>
            </w:r>
          </w:p>
        </w:tc>
        <w:tc>
          <w:tcPr>
            <w:tcW w:w="613" w:type="pct"/>
            <w:shd w:val="clear" w:color="auto" w:fill="auto"/>
            <w:tcMar>
              <w:top w:w="20" w:type="dxa"/>
              <w:left w:w="20" w:type="dxa"/>
              <w:bottom w:w="20" w:type="dxa"/>
              <w:right w:w="20" w:type="dxa"/>
            </w:tcMar>
          </w:tcPr>
          <w:p w14:paraId="562EF6E1" w14:textId="77777777" w:rsidR="007B0080" w:rsidRPr="00052A78" w:rsidRDefault="007B0080" w:rsidP="007B0080">
            <w:pPr>
              <w:pStyle w:val="T1TableStyle"/>
              <w:jc w:val="center"/>
              <w:rPr>
                <w:rFonts w:ascii="Verdana" w:eastAsia="Verdana" w:hAnsi="Verdana" w:cs="Verdana"/>
                <w:color w:val="000000"/>
                <w:sz w:val="2"/>
                <w:lang w:val="en-GB"/>
              </w:rPr>
            </w:pPr>
            <w:r w:rsidRPr="00052A78">
              <w:rPr>
                <w:rFonts w:ascii="Verdana" w:eastAsia="Verdana" w:hAnsi="Verdana" w:cs="Verdana"/>
                <w:color w:val="000000"/>
                <w:sz w:val="2"/>
                <w:lang w:val="en-GB"/>
              </w:rPr>
              <w:t xml:space="preserve"> </w:t>
            </w:r>
          </w:p>
        </w:tc>
        <w:tc>
          <w:tcPr>
            <w:tcW w:w="563" w:type="pct"/>
            <w:shd w:val="clear" w:color="auto" w:fill="auto"/>
            <w:tcMar>
              <w:top w:w="20" w:type="dxa"/>
              <w:left w:w="20" w:type="dxa"/>
              <w:bottom w:w="20" w:type="dxa"/>
              <w:right w:w="20" w:type="dxa"/>
            </w:tcMar>
          </w:tcPr>
          <w:p w14:paraId="62C1F904" w14:textId="77777777" w:rsidR="007B0080" w:rsidRPr="00052A78" w:rsidRDefault="007B0080" w:rsidP="007B0080">
            <w:pPr>
              <w:pStyle w:val="T1TableStyle"/>
              <w:jc w:val="right"/>
              <w:rPr>
                <w:rFonts w:ascii="Verdana" w:eastAsia="Verdana" w:hAnsi="Verdana" w:cs="Verdana"/>
                <w:color w:val="000000"/>
                <w:sz w:val="16"/>
                <w:lang w:val="en-GB"/>
              </w:rPr>
            </w:pPr>
            <w:r w:rsidRPr="00052A78">
              <w:rPr>
                <w:rFonts w:ascii="Verdana" w:eastAsia="Verdana" w:hAnsi="Verdana" w:cs="Verdana"/>
                <w:color w:val="000000"/>
                <w:sz w:val="16"/>
                <w:lang w:val="en-GB"/>
              </w:rPr>
              <w:t>(191,999)</w:t>
            </w:r>
          </w:p>
        </w:tc>
        <w:tc>
          <w:tcPr>
            <w:tcW w:w="262" w:type="pct"/>
            <w:shd w:val="clear" w:color="auto" w:fill="auto"/>
            <w:tcMar>
              <w:top w:w="20" w:type="dxa"/>
              <w:left w:w="20" w:type="dxa"/>
              <w:bottom w:w="20" w:type="dxa"/>
              <w:right w:w="20" w:type="dxa"/>
            </w:tcMar>
          </w:tcPr>
          <w:p w14:paraId="467B0224" w14:textId="77777777" w:rsidR="007B0080" w:rsidRPr="00052A78" w:rsidRDefault="007B0080" w:rsidP="007B0080">
            <w:pPr>
              <w:pStyle w:val="T1TableStyle"/>
              <w:jc w:val="center"/>
              <w:rPr>
                <w:rFonts w:ascii="Verdana" w:eastAsia="Verdana" w:hAnsi="Verdana" w:cs="Verdana"/>
                <w:i/>
                <w:color w:val="595959" w:themeColor="text1" w:themeTint="A6"/>
                <w:sz w:val="16"/>
                <w:szCs w:val="16"/>
                <w:lang w:val="en-GB"/>
              </w:rPr>
            </w:pPr>
            <w:r w:rsidRPr="00052A78">
              <w:rPr>
                <w:rFonts w:ascii="Verdana" w:eastAsia="Verdana" w:hAnsi="Verdana" w:cs="Verdana"/>
                <w:i/>
                <w:color w:val="595959" w:themeColor="text1" w:themeTint="A6"/>
                <w:sz w:val="16"/>
                <w:szCs w:val="16"/>
                <w:lang w:val="en-GB"/>
              </w:rPr>
              <w:t xml:space="preserve"> 26</w:t>
            </w:r>
          </w:p>
        </w:tc>
        <w:tc>
          <w:tcPr>
            <w:tcW w:w="1291" w:type="pct"/>
            <w:gridSpan w:val="2"/>
            <w:shd w:val="clear" w:color="auto" w:fill="auto"/>
            <w:tcMar>
              <w:top w:w="20" w:type="dxa"/>
              <w:left w:w="20" w:type="dxa"/>
              <w:bottom w:w="20" w:type="dxa"/>
              <w:right w:w="20" w:type="dxa"/>
            </w:tcMar>
          </w:tcPr>
          <w:p w14:paraId="780E0A4C" w14:textId="77777777" w:rsidR="007B0080" w:rsidRPr="00052A78" w:rsidRDefault="007B0080" w:rsidP="007B0080">
            <w:pPr>
              <w:pStyle w:val="T1TableStyle"/>
              <w:rPr>
                <w:rFonts w:ascii="Verdana" w:eastAsia="Verdana" w:hAnsi="Verdana" w:cs="Verdana"/>
                <w:color w:val="000000"/>
                <w:sz w:val="16"/>
                <w:lang w:val="en-GB"/>
              </w:rPr>
            </w:pPr>
            <w:r w:rsidRPr="00052A78">
              <w:rPr>
                <w:rFonts w:ascii="Verdana" w:eastAsia="Verdana" w:hAnsi="Verdana" w:cs="Verdana"/>
                <w:color w:val="000000"/>
                <w:sz w:val="16"/>
                <w:lang w:val="en-GB"/>
              </w:rPr>
              <w:t>Re-measurement of the net defined benefit liability / asset</w:t>
            </w:r>
          </w:p>
        </w:tc>
        <w:tc>
          <w:tcPr>
            <w:tcW w:w="415" w:type="pct"/>
            <w:shd w:val="clear" w:color="auto" w:fill="auto"/>
            <w:tcMar>
              <w:top w:w="20" w:type="dxa"/>
              <w:left w:w="20" w:type="dxa"/>
              <w:bottom w:w="20" w:type="dxa"/>
              <w:right w:w="20" w:type="dxa"/>
            </w:tcMar>
          </w:tcPr>
          <w:p w14:paraId="4DAE030A" w14:textId="77777777" w:rsidR="007B0080" w:rsidRPr="003516A4" w:rsidRDefault="007B0080" w:rsidP="007B0080">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c>
          <w:tcPr>
            <w:tcW w:w="731" w:type="pct"/>
            <w:shd w:val="clear" w:color="auto" w:fill="auto"/>
            <w:tcMar>
              <w:top w:w="20" w:type="dxa"/>
              <w:left w:w="20" w:type="dxa"/>
              <w:bottom w:w="20" w:type="dxa"/>
              <w:right w:w="20" w:type="dxa"/>
            </w:tcMar>
          </w:tcPr>
          <w:p w14:paraId="27B7732C" w14:textId="77777777" w:rsidR="007B0080" w:rsidRPr="003516A4" w:rsidRDefault="007B0080" w:rsidP="007B0080">
            <w:pPr>
              <w:pStyle w:val="T1TableStyle"/>
              <w:jc w:val="center"/>
              <w:rPr>
                <w:rFonts w:ascii="Verdana" w:eastAsia="Verdana" w:hAnsi="Verdana" w:cs="Verdana"/>
                <w:color w:val="000000"/>
                <w:sz w:val="2"/>
                <w:highlight w:val="yellow"/>
                <w:lang w:val="en-GB"/>
              </w:rPr>
            </w:pPr>
            <w:r w:rsidRPr="003516A4">
              <w:rPr>
                <w:rFonts w:ascii="Verdana" w:eastAsia="Verdana" w:hAnsi="Verdana" w:cs="Verdana"/>
                <w:color w:val="000000"/>
                <w:sz w:val="2"/>
                <w:highlight w:val="yellow"/>
                <w:lang w:val="en-GB"/>
              </w:rPr>
              <w:t xml:space="preserve"> </w:t>
            </w:r>
          </w:p>
        </w:tc>
        <w:tc>
          <w:tcPr>
            <w:tcW w:w="563" w:type="pct"/>
            <w:shd w:val="clear" w:color="auto" w:fill="auto"/>
            <w:tcMar>
              <w:top w:w="20" w:type="dxa"/>
              <w:left w:w="20" w:type="dxa"/>
              <w:bottom w:w="20" w:type="dxa"/>
              <w:right w:w="20" w:type="dxa"/>
            </w:tcMar>
          </w:tcPr>
          <w:p w14:paraId="43CA1EF9" w14:textId="77777777" w:rsidR="007B0080" w:rsidRPr="003516A4" w:rsidRDefault="007B0080" w:rsidP="007B0080">
            <w:pPr>
              <w:pStyle w:val="T1TableStyle"/>
              <w:jc w:val="right"/>
              <w:rPr>
                <w:rFonts w:ascii="Verdana" w:eastAsia="Verdana" w:hAnsi="Verdana" w:cs="Verdana"/>
                <w:color w:val="000000"/>
                <w:sz w:val="16"/>
                <w:highlight w:val="yellow"/>
                <w:lang w:val="en-GB"/>
              </w:rPr>
            </w:pPr>
            <w:r w:rsidRPr="00087103">
              <w:rPr>
                <w:rFonts w:ascii="Verdana" w:eastAsia="Verdana" w:hAnsi="Verdana" w:cs="Verdana"/>
                <w:color w:val="000000"/>
                <w:sz w:val="16"/>
                <w:lang w:val="en-GB"/>
              </w:rPr>
              <w:t>80,784</w:t>
            </w:r>
          </w:p>
        </w:tc>
      </w:tr>
      <w:tr w:rsidR="007B0080" w:rsidRPr="003516A4" w14:paraId="6D667512" w14:textId="77777777" w:rsidTr="0041394A">
        <w:trPr>
          <w:trHeight w:val="250"/>
          <w:jc w:val="center"/>
        </w:trPr>
        <w:tc>
          <w:tcPr>
            <w:tcW w:w="562" w:type="pct"/>
            <w:shd w:val="clear" w:color="auto" w:fill="auto"/>
            <w:tcMar>
              <w:top w:w="20" w:type="dxa"/>
              <w:left w:w="20" w:type="dxa"/>
              <w:bottom w:w="20" w:type="dxa"/>
              <w:right w:w="20" w:type="dxa"/>
            </w:tcMar>
          </w:tcPr>
          <w:p w14:paraId="43173D43" w14:textId="77777777" w:rsidR="007B0080" w:rsidRPr="00052A78" w:rsidRDefault="007B0080" w:rsidP="007B0080">
            <w:pPr>
              <w:pStyle w:val="T1TableStyle"/>
              <w:jc w:val="center"/>
              <w:rPr>
                <w:rFonts w:ascii="Calibri" w:eastAsia="Calibri" w:hAnsi="Calibri" w:cs="Calibri"/>
                <w:color w:val="000000"/>
                <w:sz w:val="2"/>
                <w:lang w:val="en-GB"/>
              </w:rPr>
            </w:pPr>
            <w:r w:rsidRPr="00052A78">
              <w:rPr>
                <w:rFonts w:ascii="Calibri" w:eastAsia="Calibri" w:hAnsi="Calibri" w:cs="Calibri"/>
                <w:color w:val="000000"/>
                <w:sz w:val="2"/>
                <w:lang w:val="en-GB"/>
              </w:rPr>
              <w:t xml:space="preserve"> </w:t>
            </w:r>
          </w:p>
        </w:tc>
        <w:tc>
          <w:tcPr>
            <w:tcW w:w="613" w:type="pct"/>
            <w:shd w:val="clear" w:color="auto" w:fill="auto"/>
            <w:tcMar>
              <w:top w:w="20" w:type="dxa"/>
              <w:left w:w="20" w:type="dxa"/>
              <w:bottom w:w="20" w:type="dxa"/>
              <w:right w:w="20" w:type="dxa"/>
            </w:tcMar>
          </w:tcPr>
          <w:p w14:paraId="6D9619C4" w14:textId="77777777" w:rsidR="007B0080" w:rsidRPr="00052A78" w:rsidRDefault="007B0080" w:rsidP="007B0080">
            <w:pPr>
              <w:pStyle w:val="T1TableStyle"/>
              <w:jc w:val="center"/>
              <w:rPr>
                <w:rFonts w:ascii="Calibri" w:eastAsia="Calibri" w:hAnsi="Calibri" w:cs="Calibri"/>
                <w:color w:val="000000"/>
                <w:sz w:val="2"/>
                <w:lang w:val="en-GB"/>
              </w:rPr>
            </w:pPr>
            <w:r w:rsidRPr="00052A78">
              <w:rPr>
                <w:rFonts w:ascii="Calibri" w:eastAsia="Calibri" w:hAnsi="Calibri" w:cs="Calibri"/>
                <w:color w:val="000000"/>
                <w:sz w:val="2"/>
                <w:lang w:val="en-GB"/>
              </w:rPr>
              <w:t xml:space="preserve"> </w:t>
            </w:r>
          </w:p>
        </w:tc>
        <w:tc>
          <w:tcPr>
            <w:tcW w:w="563" w:type="pct"/>
            <w:tcBorders>
              <w:top w:val="single" w:sz="2" w:space="0" w:color="000000"/>
              <w:bottom w:val="single" w:sz="12" w:space="0" w:color="000000"/>
            </w:tcBorders>
            <w:shd w:val="clear" w:color="auto" w:fill="auto"/>
            <w:tcMar>
              <w:top w:w="20" w:type="dxa"/>
              <w:left w:w="20" w:type="dxa"/>
              <w:bottom w:w="20" w:type="dxa"/>
              <w:right w:w="20" w:type="dxa"/>
            </w:tcMar>
          </w:tcPr>
          <w:p w14:paraId="326759A8" w14:textId="77777777" w:rsidR="007B0080" w:rsidRPr="00052A78" w:rsidRDefault="007B0080" w:rsidP="007B0080">
            <w:pPr>
              <w:pStyle w:val="T1TableStyle"/>
              <w:jc w:val="right"/>
              <w:rPr>
                <w:rFonts w:ascii="Verdana" w:eastAsia="Verdana" w:hAnsi="Verdana" w:cs="Verdana"/>
                <w:b/>
                <w:color w:val="000000"/>
                <w:sz w:val="16"/>
                <w:lang w:val="en-GB"/>
              </w:rPr>
            </w:pPr>
            <w:r w:rsidRPr="00052A78">
              <w:rPr>
                <w:rFonts w:ascii="Verdana" w:eastAsia="Verdana" w:hAnsi="Verdana" w:cs="Verdana"/>
                <w:b/>
                <w:color w:val="000000"/>
                <w:sz w:val="16"/>
                <w:lang w:val="en-GB"/>
              </w:rPr>
              <w:t>(201,458)</w:t>
            </w:r>
          </w:p>
        </w:tc>
        <w:tc>
          <w:tcPr>
            <w:tcW w:w="262" w:type="pct"/>
            <w:tcBorders>
              <w:top w:val="single" w:sz="2" w:space="0" w:color="000000"/>
              <w:bottom w:val="single" w:sz="12" w:space="0" w:color="000000"/>
            </w:tcBorders>
            <w:shd w:val="clear" w:color="auto" w:fill="auto"/>
            <w:tcMar>
              <w:top w:w="20" w:type="dxa"/>
              <w:left w:w="20" w:type="dxa"/>
              <w:bottom w:w="20" w:type="dxa"/>
              <w:right w:w="20" w:type="dxa"/>
            </w:tcMar>
          </w:tcPr>
          <w:p w14:paraId="41E759C6" w14:textId="77777777" w:rsidR="007B0080" w:rsidRPr="00052A78" w:rsidRDefault="007B0080" w:rsidP="007B0080">
            <w:pPr>
              <w:pStyle w:val="T1TableStyle"/>
              <w:jc w:val="center"/>
              <w:rPr>
                <w:rFonts w:ascii="Verdana" w:eastAsia="Verdana" w:hAnsi="Verdana" w:cs="Verdana"/>
                <w:b/>
                <w:i/>
                <w:color w:val="595959" w:themeColor="text1" w:themeTint="A6"/>
                <w:sz w:val="16"/>
                <w:szCs w:val="16"/>
                <w:lang w:val="en-GB"/>
              </w:rPr>
            </w:pPr>
            <w:r w:rsidRPr="00052A78">
              <w:rPr>
                <w:rFonts w:ascii="Verdana" w:eastAsia="Verdana" w:hAnsi="Verdana" w:cs="Verdana"/>
                <w:b/>
                <w:i/>
                <w:color w:val="595959" w:themeColor="text1" w:themeTint="A6"/>
                <w:sz w:val="16"/>
                <w:szCs w:val="16"/>
                <w:lang w:val="en-GB"/>
              </w:rPr>
              <w:t xml:space="preserve"> </w:t>
            </w:r>
          </w:p>
        </w:tc>
        <w:tc>
          <w:tcPr>
            <w:tcW w:w="1291" w:type="pct"/>
            <w:gridSpan w:val="2"/>
            <w:tcBorders>
              <w:top w:val="single" w:sz="2" w:space="0" w:color="000000"/>
              <w:bottom w:val="single" w:sz="12" w:space="0" w:color="000000"/>
            </w:tcBorders>
            <w:shd w:val="clear" w:color="auto" w:fill="auto"/>
            <w:tcMar>
              <w:top w:w="20" w:type="dxa"/>
              <w:left w:w="20" w:type="dxa"/>
              <w:bottom w:w="20" w:type="dxa"/>
              <w:right w:w="20" w:type="dxa"/>
            </w:tcMar>
          </w:tcPr>
          <w:p w14:paraId="636BCF4E" w14:textId="6D277421" w:rsidR="007B0080" w:rsidRPr="00052A78" w:rsidRDefault="007B0080">
            <w:pPr>
              <w:pStyle w:val="T1TableStyle"/>
              <w:rPr>
                <w:rFonts w:ascii="Verdana" w:eastAsia="Verdana" w:hAnsi="Verdana" w:cs="Verdana"/>
                <w:b/>
                <w:color w:val="000000"/>
                <w:sz w:val="16"/>
                <w:lang w:val="en-GB"/>
              </w:rPr>
            </w:pPr>
            <w:r w:rsidRPr="00052A78">
              <w:rPr>
                <w:rFonts w:ascii="Verdana" w:eastAsia="Verdana" w:hAnsi="Verdana" w:cs="Verdana"/>
                <w:b/>
                <w:color w:val="000000"/>
                <w:sz w:val="16"/>
                <w:lang w:val="en-GB"/>
              </w:rPr>
              <w:t xml:space="preserve">Other Comprehensive Income </w:t>
            </w:r>
            <w:r w:rsidR="00951A60">
              <w:rPr>
                <w:rFonts w:ascii="Verdana" w:eastAsia="Verdana" w:hAnsi="Verdana" w:cs="Verdana"/>
                <w:b/>
                <w:color w:val="000000"/>
                <w:sz w:val="16"/>
                <w:lang w:val="en-GB"/>
              </w:rPr>
              <w:t>&amp;</w:t>
            </w:r>
            <w:r w:rsidR="00951A60" w:rsidRPr="00052A78">
              <w:rPr>
                <w:rFonts w:ascii="Verdana" w:eastAsia="Verdana" w:hAnsi="Verdana" w:cs="Verdana"/>
                <w:b/>
                <w:color w:val="000000"/>
                <w:sz w:val="16"/>
                <w:lang w:val="en-GB"/>
              </w:rPr>
              <w:t xml:space="preserve"> </w:t>
            </w:r>
            <w:r w:rsidRPr="00052A78">
              <w:rPr>
                <w:rFonts w:ascii="Verdana" w:eastAsia="Verdana" w:hAnsi="Verdana" w:cs="Verdana"/>
                <w:b/>
                <w:color w:val="000000"/>
                <w:sz w:val="16"/>
                <w:lang w:val="en-GB"/>
              </w:rPr>
              <w:t>Expenditure</w:t>
            </w:r>
          </w:p>
        </w:tc>
        <w:tc>
          <w:tcPr>
            <w:tcW w:w="415" w:type="pct"/>
            <w:shd w:val="clear" w:color="auto" w:fill="auto"/>
            <w:tcMar>
              <w:top w:w="20" w:type="dxa"/>
              <w:left w:w="20" w:type="dxa"/>
              <w:bottom w:w="20" w:type="dxa"/>
              <w:right w:w="20" w:type="dxa"/>
            </w:tcMar>
          </w:tcPr>
          <w:p w14:paraId="39FCBD07" w14:textId="77777777" w:rsidR="007B0080" w:rsidRPr="003516A4" w:rsidRDefault="007B0080" w:rsidP="007B0080">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c>
          <w:tcPr>
            <w:tcW w:w="731" w:type="pct"/>
            <w:shd w:val="clear" w:color="auto" w:fill="auto"/>
            <w:tcMar>
              <w:top w:w="20" w:type="dxa"/>
              <w:left w:w="20" w:type="dxa"/>
              <w:bottom w:w="20" w:type="dxa"/>
              <w:right w:w="20" w:type="dxa"/>
            </w:tcMar>
          </w:tcPr>
          <w:p w14:paraId="2FEC7948" w14:textId="77777777" w:rsidR="007B0080" w:rsidRPr="003516A4" w:rsidRDefault="007B0080" w:rsidP="007B0080">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c>
          <w:tcPr>
            <w:tcW w:w="563" w:type="pct"/>
            <w:tcBorders>
              <w:top w:val="single" w:sz="2" w:space="0" w:color="000000"/>
              <w:bottom w:val="single" w:sz="12" w:space="0" w:color="000000"/>
            </w:tcBorders>
            <w:shd w:val="clear" w:color="auto" w:fill="auto"/>
            <w:tcMar>
              <w:top w:w="20" w:type="dxa"/>
              <w:left w:w="20" w:type="dxa"/>
              <w:bottom w:w="20" w:type="dxa"/>
              <w:right w:w="20" w:type="dxa"/>
            </w:tcMar>
          </w:tcPr>
          <w:p w14:paraId="1DF57A6D" w14:textId="77777777" w:rsidR="007B0080" w:rsidRPr="003516A4" w:rsidRDefault="007B0080" w:rsidP="007B0080">
            <w:pPr>
              <w:pStyle w:val="T1TableStyle"/>
              <w:jc w:val="right"/>
              <w:rPr>
                <w:rFonts w:ascii="Verdana" w:eastAsia="Verdana" w:hAnsi="Verdana" w:cs="Verdana"/>
                <w:b/>
                <w:color w:val="000000"/>
                <w:sz w:val="16"/>
                <w:highlight w:val="yellow"/>
                <w:lang w:val="en-GB"/>
              </w:rPr>
            </w:pPr>
            <w:r w:rsidRPr="00087103">
              <w:rPr>
                <w:rFonts w:ascii="Verdana" w:eastAsia="Verdana" w:hAnsi="Verdana" w:cs="Verdana"/>
                <w:b/>
                <w:color w:val="000000"/>
                <w:sz w:val="16"/>
                <w:lang w:val="en-GB"/>
              </w:rPr>
              <w:t>78,454</w:t>
            </w:r>
          </w:p>
        </w:tc>
      </w:tr>
      <w:tr w:rsidR="007B0080" w:rsidRPr="003516A4" w14:paraId="383AEAD8" w14:textId="77777777" w:rsidTr="0041394A">
        <w:trPr>
          <w:trHeight w:hRule="exact" w:val="161"/>
          <w:jc w:val="center"/>
        </w:trPr>
        <w:tc>
          <w:tcPr>
            <w:tcW w:w="562" w:type="pct"/>
            <w:shd w:val="clear" w:color="auto" w:fill="auto"/>
            <w:tcMar>
              <w:top w:w="20" w:type="dxa"/>
              <w:left w:w="20" w:type="dxa"/>
              <w:bottom w:w="20" w:type="dxa"/>
              <w:right w:w="20" w:type="dxa"/>
            </w:tcMar>
          </w:tcPr>
          <w:p w14:paraId="0EA62CB4" w14:textId="77777777" w:rsidR="007B0080" w:rsidRPr="00052A78" w:rsidRDefault="007B0080" w:rsidP="007B0080">
            <w:pPr>
              <w:pStyle w:val="T1TableStyle"/>
              <w:jc w:val="center"/>
              <w:rPr>
                <w:rFonts w:ascii="Calibri" w:eastAsia="Calibri" w:hAnsi="Calibri" w:cs="Calibri"/>
                <w:color w:val="000000"/>
                <w:sz w:val="2"/>
                <w:lang w:val="en-GB"/>
              </w:rPr>
            </w:pPr>
            <w:r w:rsidRPr="00052A78">
              <w:rPr>
                <w:rFonts w:ascii="Calibri" w:eastAsia="Calibri" w:hAnsi="Calibri" w:cs="Calibri"/>
                <w:color w:val="000000"/>
                <w:sz w:val="2"/>
                <w:lang w:val="en-GB"/>
              </w:rPr>
              <w:t xml:space="preserve"> </w:t>
            </w:r>
          </w:p>
        </w:tc>
        <w:tc>
          <w:tcPr>
            <w:tcW w:w="613" w:type="pct"/>
            <w:shd w:val="clear" w:color="auto" w:fill="auto"/>
            <w:tcMar>
              <w:top w:w="20" w:type="dxa"/>
              <w:left w:w="20" w:type="dxa"/>
              <w:bottom w:w="20" w:type="dxa"/>
              <w:right w:w="20" w:type="dxa"/>
            </w:tcMar>
          </w:tcPr>
          <w:p w14:paraId="180D9DEE" w14:textId="77777777" w:rsidR="007B0080" w:rsidRPr="00052A78" w:rsidRDefault="007B0080" w:rsidP="007B0080">
            <w:pPr>
              <w:pStyle w:val="T1TableStyle"/>
              <w:jc w:val="center"/>
              <w:rPr>
                <w:rFonts w:ascii="Calibri" w:eastAsia="Calibri" w:hAnsi="Calibri" w:cs="Calibri"/>
                <w:color w:val="000000"/>
                <w:sz w:val="2"/>
                <w:lang w:val="en-GB"/>
              </w:rPr>
            </w:pPr>
            <w:r w:rsidRPr="00052A78">
              <w:rPr>
                <w:rFonts w:ascii="Calibri" w:eastAsia="Calibri" w:hAnsi="Calibri" w:cs="Calibri"/>
                <w:color w:val="000000"/>
                <w:sz w:val="2"/>
                <w:lang w:val="en-GB"/>
              </w:rPr>
              <w:t xml:space="preserve"> </w:t>
            </w:r>
          </w:p>
        </w:tc>
        <w:tc>
          <w:tcPr>
            <w:tcW w:w="563" w:type="pct"/>
            <w:shd w:val="clear" w:color="auto" w:fill="auto"/>
            <w:tcMar>
              <w:top w:w="20" w:type="dxa"/>
              <w:left w:w="20" w:type="dxa"/>
              <w:bottom w:w="20" w:type="dxa"/>
              <w:right w:w="20" w:type="dxa"/>
            </w:tcMar>
          </w:tcPr>
          <w:p w14:paraId="5D707133" w14:textId="77777777" w:rsidR="007B0080" w:rsidRPr="00052A78" w:rsidRDefault="007B0080" w:rsidP="007B0080">
            <w:pPr>
              <w:pStyle w:val="T1TableStyle"/>
              <w:jc w:val="center"/>
              <w:rPr>
                <w:rFonts w:ascii="Calibri" w:eastAsia="Calibri" w:hAnsi="Calibri" w:cs="Calibri"/>
                <w:color w:val="000000"/>
                <w:sz w:val="2"/>
                <w:lang w:val="en-GB"/>
              </w:rPr>
            </w:pPr>
            <w:r w:rsidRPr="00052A78">
              <w:rPr>
                <w:rFonts w:ascii="Calibri" w:eastAsia="Calibri" w:hAnsi="Calibri" w:cs="Calibri"/>
                <w:color w:val="000000"/>
                <w:sz w:val="2"/>
                <w:lang w:val="en-GB"/>
              </w:rPr>
              <w:t xml:space="preserve"> </w:t>
            </w:r>
          </w:p>
        </w:tc>
        <w:tc>
          <w:tcPr>
            <w:tcW w:w="262" w:type="pct"/>
            <w:shd w:val="clear" w:color="auto" w:fill="auto"/>
            <w:tcMar>
              <w:top w:w="20" w:type="dxa"/>
              <w:left w:w="20" w:type="dxa"/>
              <w:bottom w:w="20" w:type="dxa"/>
              <w:right w:w="20" w:type="dxa"/>
            </w:tcMar>
          </w:tcPr>
          <w:p w14:paraId="3DB3A524" w14:textId="77777777" w:rsidR="007B0080" w:rsidRPr="00052A78" w:rsidRDefault="007B0080" w:rsidP="007B0080">
            <w:pPr>
              <w:pStyle w:val="T1TableStyle"/>
              <w:jc w:val="center"/>
              <w:rPr>
                <w:rFonts w:ascii="Calibri" w:eastAsia="Calibri" w:hAnsi="Calibri" w:cs="Calibri"/>
                <w:i/>
                <w:color w:val="595959" w:themeColor="text1" w:themeTint="A6"/>
                <w:sz w:val="16"/>
                <w:szCs w:val="16"/>
                <w:lang w:val="en-GB"/>
              </w:rPr>
            </w:pPr>
            <w:r w:rsidRPr="00052A78">
              <w:rPr>
                <w:rFonts w:ascii="Calibri" w:eastAsia="Calibri" w:hAnsi="Calibri" w:cs="Calibri"/>
                <w:i/>
                <w:color w:val="595959" w:themeColor="text1" w:themeTint="A6"/>
                <w:sz w:val="16"/>
                <w:szCs w:val="16"/>
                <w:lang w:val="en-GB"/>
              </w:rPr>
              <w:t xml:space="preserve"> </w:t>
            </w:r>
          </w:p>
        </w:tc>
        <w:tc>
          <w:tcPr>
            <w:tcW w:w="1291" w:type="pct"/>
            <w:gridSpan w:val="2"/>
            <w:shd w:val="clear" w:color="auto" w:fill="auto"/>
            <w:tcMar>
              <w:top w:w="20" w:type="dxa"/>
              <w:left w:w="20" w:type="dxa"/>
              <w:bottom w:w="20" w:type="dxa"/>
              <w:right w:w="20" w:type="dxa"/>
            </w:tcMar>
          </w:tcPr>
          <w:p w14:paraId="2FD33A55" w14:textId="77777777" w:rsidR="007B0080" w:rsidRPr="00052A78" w:rsidRDefault="007B0080" w:rsidP="007B0080">
            <w:pPr>
              <w:pStyle w:val="T1TableStyle"/>
              <w:jc w:val="center"/>
              <w:rPr>
                <w:rFonts w:ascii="Calibri" w:eastAsia="Calibri" w:hAnsi="Calibri" w:cs="Calibri"/>
                <w:color w:val="000000"/>
                <w:sz w:val="2"/>
                <w:lang w:val="en-GB"/>
              </w:rPr>
            </w:pPr>
            <w:r w:rsidRPr="00052A78">
              <w:rPr>
                <w:rFonts w:ascii="Calibri" w:eastAsia="Calibri" w:hAnsi="Calibri" w:cs="Calibri"/>
                <w:color w:val="000000"/>
                <w:sz w:val="2"/>
                <w:lang w:val="en-GB"/>
              </w:rPr>
              <w:t xml:space="preserve"> </w:t>
            </w:r>
          </w:p>
        </w:tc>
        <w:tc>
          <w:tcPr>
            <w:tcW w:w="415" w:type="pct"/>
            <w:shd w:val="clear" w:color="auto" w:fill="auto"/>
            <w:tcMar>
              <w:top w:w="20" w:type="dxa"/>
              <w:left w:w="20" w:type="dxa"/>
              <w:bottom w:w="20" w:type="dxa"/>
              <w:right w:w="20" w:type="dxa"/>
            </w:tcMar>
          </w:tcPr>
          <w:p w14:paraId="5571AA11" w14:textId="77777777" w:rsidR="007B0080" w:rsidRPr="003516A4" w:rsidRDefault="007B0080" w:rsidP="007B0080">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c>
          <w:tcPr>
            <w:tcW w:w="731" w:type="pct"/>
            <w:shd w:val="clear" w:color="auto" w:fill="auto"/>
            <w:tcMar>
              <w:top w:w="20" w:type="dxa"/>
              <w:left w:w="20" w:type="dxa"/>
              <w:bottom w:w="20" w:type="dxa"/>
              <w:right w:w="20" w:type="dxa"/>
            </w:tcMar>
          </w:tcPr>
          <w:p w14:paraId="04962A31" w14:textId="77777777" w:rsidR="007B0080" w:rsidRPr="003516A4" w:rsidRDefault="007B0080" w:rsidP="007B0080">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c>
          <w:tcPr>
            <w:tcW w:w="563" w:type="pct"/>
            <w:shd w:val="clear" w:color="auto" w:fill="auto"/>
            <w:tcMar>
              <w:top w:w="20" w:type="dxa"/>
              <w:left w:w="20" w:type="dxa"/>
              <w:bottom w:w="20" w:type="dxa"/>
              <w:right w:w="20" w:type="dxa"/>
            </w:tcMar>
          </w:tcPr>
          <w:p w14:paraId="0FDD4F61" w14:textId="77777777" w:rsidR="007B0080" w:rsidRPr="003516A4" w:rsidRDefault="007B0080" w:rsidP="007B0080">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r>
      <w:tr w:rsidR="007B0080" w:rsidRPr="003516A4" w14:paraId="23EE610A" w14:textId="77777777" w:rsidTr="0041394A">
        <w:trPr>
          <w:trHeight w:val="250"/>
          <w:jc w:val="center"/>
        </w:trPr>
        <w:tc>
          <w:tcPr>
            <w:tcW w:w="562" w:type="pct"/>
            <w:shd w:val="clear" w:color="auto" w:fill="auto"/>
            <w:tcMar>
              <w:top w:w="20" w:type="dxa"/>
              <w:left w:w="20" w:type="dxa"/>
              <w:bottom w:w="20" w:type="dxa"/>
              <w:right w:w="20" w:type="dxa"/>
            </w:tcMar>
          </w:tcPr>
          <w:p w14:paraId="4750398F" w14:textId="77777777" w:rsidR="007B0080" w:rsidRPr="00052A78" w:rsidRDefault="007B0080" w:rsidP="007B0080">
            <w:pPr>
              <w:pStyle w:val="T1TableStyle"/>
              <w:jc w:val="center"/>
              <w:rPr>
                <w:rFonts w:ascii="Calibri" w:eastAsia="Calibri" w:hAnsi="Calibri" w:cs="Calibri"/>
                <w:color w:val="000000"/>
                <w:sz w:val="2"/>
                <w:lang w:val="en-GB"/>
              </w:rPr>
            </w:pPr>
            <w:r w:rsidRPr="00052A78">
              <w:rPr>
                <w:rFonts w:ascii="Calibri" w:eastAsia="Calibri" w:hAnsi="Calibri" w:cs="Calibri"/>
                <w:color w:val="000000"/>
                <w:sz w:val="2"/>
                <w:lang w:val="en-GB"/>
              </w:rPr>
              <w:t xml:space="preserve"> </w:t>
            </w:r>
          </w:p>
        </w:tc>
        <w:tc>
          <w:tcPr>
            <w:tcW w:w="613" w:type="pct"/>
            <w:shd w:val="clear" w:color="auto" w:fill="auto"/>
            <w:tcMar>
              <w:top w:w="20" w:type="dxa"/>
              <w:left w:w="20" w:type="dxa"/>
              <w:bottom w:w="20" w:type="dxa"/>
              <w:right w:w="20" w:type="dxa"/>
            </w:tcMar>
          </w:tcPr>
          <w:p w14:paraId="6BBCFBA9" w14:textId="77777777" w:rsidR="007B0080" w:rsidRPr="00052A78" w:rsidRDefault="007B0080" w:rsidP="007B0080">
            <w:pPr>
              <w:pStyle w:val="T1TableStyle"/>
              <w:jc w:val="center"/>
              <w:rPr>
                <w:rFonts w:ascii="Calibri" w:eastAsia="Calibri" w:hAnsi="Calibri" w:cs="Calibri"/>
                <w:color w:val="000000"/>
                <w:sz w:val="2"/>
                <w:lang w:val="en-GB"/>
              </w:rPr>
            </w:pPr>
            <w:r w:rsidRPr="00052A78">
              <w:rPr>
                <w:rFonts w:ascii="Calibri" w:eastAsia="Calibri" w:hAnsi="Calibri" w:cs="Calibri"/>
                <w:color w:val="000000"/>
                <w:sz w:val="2"/>
                <w:lang w:val="en-GB"/>
              </w:rPr>
              <w:t xml:space="preserve"> </w:t>
            </w:r>
          </w:p>
        </w:tc>
        <w:tc>
          <w:tcPr>
            <w:tcW w:w="563" w:type="pct"/>
            <w:tcBorders>
              <w:top w:val="single" w:sz="2" w:space="0" w:color="000000"/>
              <w:bottom w:val="single" w:sz="12" w:space="0" w:color="000000"/>
            </w:tcBorders>
            <w:shd w:val="clear" w:color="auto" w:fill="auto"/>
            <w:tcMar>
              <w:top w:w="20" w:type="dxa"/>
              <w:left w:w="20" w:type="dxa"/>
              <w:bottom w:w="20" w:type="dxa"/>
              <w:right w:w="20" w:type="dxa"/>
            </w:tcMar>
          </w:tcPr>
          <w:p w14:paraId="4C0F84FE" w14:textId="77777777" w:rsidR="007B0080" w:rsidRPr="00052A78" w:rsidRDefault="007B0080" w:rsidP="007B0080">
            <w:pPr>
              <w:pStyle w:val="T1TableStyle"/>
              <w:jc w:val="right"/>
              <w:rPr>
                <w:rFonts w:ascii="Verdana" w:eastAsia="Verdana" w:hAnsi="Verdana" w:cs="Verdana"/>
                <w:b/>
                <w:color w:val="000000"/>
                <w:sz w:val="16"/>
                <w:lang w:val="en-GB"/>
              </w:rPr>
            </w:pPr>
            <w:r w:rsidRPr="00052A78">
              <w:rPr>
                <w:rFonts w:ascii="Verdana" w:eastAsia="Verdana" w:hAnsi="Verdana" w:cs="Verdana"/>
                <w:b/>
                <w:color w:val="000000"/>
                <w:sz w:val="16"/>
                <w:lang w:val="en-GB"/>
              </w:rPr>
              <w:t>(137,582)</w:t>
            </w:r>
          </w:p>
        </w:tc>
        <w:tc>
          <w:tcPr>
            <w:tcW w:w="262" w:type="pct"/>
            <w:tcBorders>
              <w:top w:val="single" w:sz="2" w:space="0" w:color="000000"/>
              <w:bottom w:val="single" w:sz="12" w:space="0" w:color="000000"/>
            </w:tcBorders>
            <w:shd w:val="clear" w:color="auto" w:fill="auto"/>
            <w:tcMar>
              <w:top w:w="20" w:type="dxa"/>
              <w:left w:w="20" w:type="dxa"/>
              <w:bottom w:w="20" w:type="dxa"/>
              <w:right w:w="20" w:type="dxa"/>
            </w:tcMar>
          </w:tcPr>
          <w:p w14:paraId="0A6DF532" w14:textId="77777777" w:rsidR="007B0080" w:rsidRPr="00052A78" w:rsidRDefault="007B0080" w:rsidP="007B0080">
            <w:pPr>
              <w:pStyle w:val="T1TableStyle"/>
              <w:jc w:val="center"/>
              <w:rPr>
                <w:rFonts w:ascii="Verdana" w:eastAsia="Verdana" w:hAnsi="Verdana" w:cs="Verdana"/>
                <w:b/>
                <w:i/>
                <w:color w:val="595959" w:themeColor="text1" w:themeTint="A6"/>
                <w:sz w:val="16"/>
                <w:szCs w:val="16"/>
                <w:lang w:val="en-GB"/>
              </w:rPr>
            </w:pPr>
            <w:r w:rsidRPr="00052A78">
              <w:rPr>
                <w:rFonts w:ascii="Verdana" w:eastAsia="Verdana" w:hAnsi="Verdana" w:cs="Verdana"/>
                <w:b/>
                <w:i/>
                <w:color w:val="595959" w:themeColor="text1" w:themeTint="A6"/>
                <w:sz w:val="16"/>
                <w:szCs w:val="16"/>
                <w:lang w:val="en-GB"/>
              </w:rPr>
              <w:t xml:space="preserve"> </w:t>
            </w:r>
          </w:p>
        </w:tc>
        <w:tc>
          <w:tcPr>
            <w:tcW w:w="1291" w:type="pct"/>
            <w:gridSpan w:val="2"/>
            <w:tcBorders>
              <w:top w:val="single" w:sz="2" w:space="0" w:color="000000"/>
              <w:bottom w:val="single" w:sz="12" w:space="0" w:color="000000"/>
            </w:tcBorders>
            <w:shd w:val="clear" w:color="auto" w:fill="auto"/>
            <w:tcMar>
              <w:top w:w="20" w:type="dxa"/>
              <w:left w:w="20" w:type="dxa"/>
              <w:bottom w:w="20" w:type="dxa"/>
              <w:right w:w="20" w:type="dxa"/>
            </w:tcMar>
          </w:tcPr>
          <w:p w14:paraId="37642860" w14:textId="77777777" w:rsidR="007B0080" w:rsidRPr="00052A78" w:rsidRDefault="007B0080" w:rsidP="007B0080">
            <w:pPr>
              <w:pStyle w:val="T1TableStyle"/>
              <w:rPr>
                <w:rFonts w:ascii="Verdana" w:eastAsia="Verdana" w:hAnsi="Verdana" w:cs="Verdana"/>
                <w:b/>
                <w:color w:val="000000"/>
                <w:sz w:val="16"/>
                <w:lang w:val="en-GB"/>
              </w:rPr>
            </w:pPr>
            <w:r w:rsidRPr="00052A78">
              <w:rPr>
                <w:rFonts w:ascii="Verdana" w:eastAsia="Verdana" w:hAnsi="Verdana" w:cs="Verdana"/>
                <w:b/>
                <w:color w:val="000000"/>
                <w:sz w:val="16"/>
                <w:lang w:val="en-GB"/>
              </w:rPr>
              <w:t>Total Comprehensive Income and Expenditure</w:t>
            </w:r>
          </w:p>
        </w:tc>
        <w:tc>
          <w:tcPr>
            <w:tcW w:w="415" w:type="pct"/>
            <w:shd w:val="clear" w:color="auto" w:fill="auto"/>
            <w:tcMar>
              <w:top w:w="20" w:type="dxa"/>
              <w:left w:w="20" w:type="dxa"/>
              <w:bottom w:w="20" w:type="dxa"/>
              <w:right w:w="20" w:type="dxa"/>
            </w:tcMar>
          </w:tcPr>
          <w:p w14:paraId="186DC0F8" w14:textId="77777777" w:rsidR="007B0080" w:rsidRPr="003516A4" w:rsidRDefault="007B0080" w:rsidP="007B0080">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c>
          <w:tcPr>
            <w:tcW w:w="731" w:type="pct"/>
            <w:shd w:val="clear" w:color="auto" w:fill="auto"/>
            <w:tcMar>
              <w:top w:w="20" w:type="dxa"/>
              <w:left w:w="20" w:type="dxa"/>
              <w:bottom w:w="20" w:type="dxa"/>
              <w:right w:w="20" w:type="dxa"/>
            </w:tcMar>
          </w:tcPr>
          <w:p w14:paraId="4590B89E" w14:textId="77777777" w:rsidR="007B0080" w:rsidRPr="003516A4" w:rsidRDefault="007B0080" w:rsidP="007B0080">
            <w:pPr>
              <w:pStyle w:val="T1TableStyle"/>
              <w:jc w:val="center"/>
              <w:rPr>
                <w:rFonts w:ascii="Calibri" w:eastAsia="Calibri" w:hAnsi="Calibri" w:cs="Calibri"/>
                <w:color w:val="000000"/>
                <w:sz w:val="2"/>
                <w:highlight w:val="yellow"/>
                <w:lang w:val="en-GB"/>
              </w:rPr>
            </w:pPr>
            <w:r w:rsidRPr="003516A4">
              <w:rPr>
                <w:rFonts w:ascii="Calibri" w:eastAsia="Calibri" w:hAnsi="Calibri" w:cs="Calibri"/>
                <w:color w:val="000000"/>
                <w:sz w:val="2"/>
                <w:highlight w:val="yellow"/>
                <w:lang w:val="en-GB"/>
              </w:rPr>
              <w:t xml:space="preserve"> </w:t>
            </w:r>
          </w:p>
        </w:tc>
        <w:tc>
          <w:tcPr>
            <w:tcW w:w="563" w:type="pct"/>
            <w:tcBorders>
              <w:top w:val="single" w:sz="2" w:space="0" w:color="000000"/>
              <w:bottom w:val="single" w:sz="12" w:space="0" w:color="000000"/>
            </w:tcBorders>
            <w:shd w:val="clear" w:color="auto" w:fill="auto"/>
            <w:tcMar>
              <w:top w:w="20" w:type="dxa"/>
              <w:left w:w="20" w:type="dxa"/>
              <w:bottom w:w="20" w:type="dxa"/>
              <w:right w:w="20" w:type="dxa"/>
            </w:tcMar>
          </w:tcPr>
          <w:p w14:paraId="61C979E9" w14:textId="7712965C" w:rsidR="006E7224" w:rsidRDefault="00304AF3" w:rsidP="003C7445">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151,026</w:t>
            </w:r>
          </w:p>
          <w:p w14:paraId="5C076D06" w14:textId="0E5EF30D" w:rsidR="007B0080" w:rsidRPr="003516A4" w:rsidRDefault="007B0080" w:rsidP="003C7445">
            <w:pPr>
              <w:pStyle w:val="T1TableStyle"/>
              <w:jc w:val="right"/>
              <w:rPr>
                <w:rFonts w:ascii="Verdana" w:eastAsia="Verdana" w:hAnsi="Verdana" w:cs="Verdana"/>
                <w:b/>
                <w:color w:val="000000"/>
                <w:sz w:val="16"/>
                <w:highlight w:val="yellow"/>
                <w:lang w:val="en-GB"/>
              </w:rPr>
            </w:pPr>
          </w:p>
        </w:tc>
      </w:tr>
    </w:tbl>
    <w:p w14:paraId="0B0D78A7" w14:textId="77777777" w:rsidR="00CA6653" w:rsidRPr="0041394A" w:rsidRDefault="00CA6653">
      <w:pPr>
        <w:pStyle w:val="T1TableStyle"/>
        <w:rPr>
          <w:sz w:val="4"/>
          <w:szCs w:val="4"/>
          <w:highlight w:val="yellow"/>
          <w:lang w:val="en-GB"/>
        </w:rPr>
      </w:pPr>
    </w:p>
    <w:p w14:paraId="1EDA651A" w14:textId="77777777" w:rsidR="00061733" w:rsidRPr="00052A78" w:rsidRDefault="00EA30F0">
      <w:pPr>
        <w:pStyle w:val="T1TableStyle"/>
        <w:rPr>
          <w:rFonts w:ascii="Verdana" w:hAnsi="Verdana"/>
          <w:sz w:val="16"/>
          <w:szCs w:val="16"/>
          <w:lang w:val="en-GB"/>
        </w:rPr>
      </w:pPr>
      <w:r w:rsidRPr="00052A78">
        <w:rPr>
          <w:rFonts w:ascii="Verdana" w:hAnsi="Verdana"/>
          <w:sz w:val="16"/>
          <w:szCs w:val="16"/>
          <w:lang w:val="en-GB"/>
        </w:rPr>
        <w:t>*</w:t>
      </w:r>
      <w:r w:rsidR="004106FF" w:rsidRPr="00052A78">
        <w:rPr>
          <w:rFonts w:ascii="Verdana" w:hAnsi="Verdana"/>
          <w:sz w:val="16"/>
          <w:szCs w:val="16"/>
          <w:lang w:val="en-GB"/>
        </w:rPr>
        <w:t xml:space="preserve"> </w:t>
      </w:r>
      <w:r w:rsidR="002027A0" w:rsidRPr="00052A78">
        <w:rPr>
          <w:rFonts w:ascii="Verdana" w:hAnsi="Verdana"/>
          <w:sz w:val="16"/>
          <w:szCs w:val="16"/>
          <w:lang w:val="en-GB"/>
        </w:rPr>
        <w:t xml:space="preserve">The </w:t>
      </w:r>
      <w:r w:rsidR="004106FF" w:rsidRPr="00052A78">
        <w:rPr>
          <w:rFonts w:ascii="Verdana" w:hAnsi="Verdana"/>
          <w:sz w:val="16"/>
          <w:szCs w:val="16"/>
          <w:lang w:val="en-GB"/>
        </w:rPr>
        <w:t>Depreciation/Amortisation figure in 20</w:t>
      </w:r>
      <w:r w:rsidR="001F4B50" w:rsidRPr="00052A78">
        <w:rPr>
          <w:rFonts w:ascii="Verdana" w:hAnsi="Verdana"/>
          <w:sz w:val="16"/>
          <w:szCs w:val="16"/>
          <w:lang w:val="en-GB"/>
        </w:rPr>
        <w:t>20</w:t>
      </w:r>
      <w:r w:rsidR="004106FF" w:rsidRPr="00052A78">
        <w:rPr>
          <w:rFonts w:ascii="Verdana" w:hAnsi="Verdana"/>
          <w:sz w:val="16"/>
          <w:szCs w:val="16"/>
          <w:lang w:val="en-GB"/>
        </w:rPr>
        <w:t>/202</w:t>
      </w:r>
      <w:r w:rsidR="001F4B50" w:rsidRPr="00052A78">
        <w:rPr>
          <w:rFonts w:ascii="Verdana" w:hAnsi="Verdana"/>
          <w:sz w:val="16"/>
          <w:szCs w:val="16"/>
          <w:lang w:val="en-GB"/>
        </w:rPr>
        <w:t>1</w:t>
      </w:r>
      <w:r w:rsidR="004106FF" w:rsidRPr="00052A78">
        <w:rPr>
          <w:rFonts w:ascii="Verdana" w:hAnsi="Verdana"/>
          <w:sz w:val="16"/>
          <w:szCs w:val="16"/>
          <w:lang w:val="en-GB"/>
        </w:rPr>
        <w:t xml:space="preserve"> includes a figure of £</w:t>
      </w:r>
      <w:r w:rsidR="00052A78" w:rsidRPr="00052A78">
        <w:rPr>
          <w:rFonts w:ascii="Verdana" w:hAnsi="Verdana"/>
          <w:sz w:val="16"/>
          <w:szCs w:val="16"/>
          <w:lang w:val="en-GB"/>
        </w:rPr>
        <w:t>2.049</w:t>
      </w:r>
      <w:r w:rsidR="004106FF" w:rsidRPr="00052A78">
        <w:rPr>
          <w:rFonts w:ascii="Verdana" w:hAnsi="Verdana"/>
          <w:sz w:val="16"/>
          <w:szCs w:val="16"/>
          <w:lang w:val="en-GB"/>
        </w:rPr>
        <w:t xml:space="preserve">m for downward PPE Revaluations </w:t>
      </w:r>
    </w:p>
    <w:p w14:paraId="45AA5350" w14:textId="77777777" w:rsidR="00061733" w:rsidRPr="003516A4" w:rsidRDefault="003654CB">
      <w:pPr>
        <w:pStyle w:val="T1TableStyle"/>
        <w:rPr>
          <w:rFonts w:ascii="Verdana" w:hAnsi="Verdana"/>
          <w:sz w:val="22"/>
          <w:szCs w:val="22"/>
          <w:highlight w:val="yellow"/>
          <w:lang w:val="en-GB"/>
        </w:rPr>
      </w:pPr>
      <w:r w:rsidRPr="003516A4">
        <w:rPr>
          <w:rFonts w:ascii="Verdana" w:hAnsi="Verdana"/>
          <w:sz w:val="22"/>
          <w:szCs w:val="22"/>
          <w:highlight w:val="yellow"/>
          <w:lang w:val="en-GB"/>
        </w:rPr>
        <w:t xml:space="preserve">  </w:t>
      </w:r>
    </w:p>
    <w:tbl>
      <w:tblPr>
        <w:tblW w:w="13960" w:type="dxa"/>
        <w:jc w:val="center"/>
        <w:tblLayout w:type="fixed"/>
        <w:tblLook w:val="04A0" w:firstRow="1" w:lastRow="0" w:firstColumn="1" w:lastColumn="0" w:noHBand="0" w:noVBand="1"/>
      </w:tblPr>
      <w:tblGrid>
        <w:gridCol w:w="1504"/>
        <w:gridCol w:w="1304"/>
        <w:gridCol w:w="1269"/>
        <w:gridCol w:w="5279"/>
        <w:gridCol w:w="1559"/>
        <w:gridCol w:w="1559"/>
        <w:gridCol w:w="1486"/>
      </w:tblGrid>
      <w:tr w:rsidR="00AA7440" w:rsidRPr="00AA7440" w14:paraId="49195B2D" w14:textId="77777777" w:rsidTr="0041394A">
        <w:trPr>
          <w:trHeight w:val="169"/>
          <w:jc w:val="center"/>
        </w:trPr>
        <w:tc>
          <w:tcPr>
            <w:tcW w:w="1504" w:type="dxa"/>
            <w:tcBorders>
              <w:top w:val="nil"/>
              <w:left w:val="nil"/>
              <w:bottom w:val="nil"/>
              <w:right w:val="nil"/>
            </w:tcBorders>
            <w:shd w:val="clear" w:color="auto" w:fill="auto"/>
            <w:noWrap/>
            <w:vAlign w:val="center"/>
            <w:hideMark/>
          </w:tcPr>
          <w:p w14:paraId="324B09F7" w14:textId="77777777" w:rsidR="00AA7440" w:rsidRPr="00AA7440" w:rsidRDefault="00AA7440" w:rsidP="00AA7440">
            <w:pPr>
              <w:rPr>
                <w:rFonts w:eastAsia="Times New Roman" w:cs="Calibri"/>
                <w:b/>
                <w:bCs/>
                <w:color w:val="000000"/>
                <w:sz w:val="20"/>
                <w:szCs w:val="20"/>
                <w:lang w:val="en-GB" w:eastAsia="en-GB"/>
              </w:rPr>
            </w:pPr>
            <w:r w:rsidRPr="00AA7440">
              <w:rPr>
                <w:rFonts w:eastAsia="Times New Roman" w:cs="Calibri"/>
                <w:b/>
                <w:bCs/>
                <w:color w:val="000000"/>
                <w:sz w:val="20"/>
                <w:szCs w:val="20"/>
                <w:lang w:val="en-GB" w:eastAsia="en-GB"/>
              </w:rPr>
              <w:t>PCC</w:t>
            </w:r>
          </w:p>
        </w:tc>
        <w:tc>
          <w:tcPr>
            <w:tcW w:w="1304" w:type="dxa"/>
            <w:tcBorders>
              <w:top w:val="nil"/>
              <w:left w:val="nil"/>
              <w:bottom w:val="nil"/>
              <w:right w:val="nil"/>
            </w:tcBorders>
            <w:shd w:val="clear" w:color="auto" w:fill="auto"/>
            <w:noWrap/>
            <w:vAlign w:val="bottom"/>
            <w:hideMark/>
          </w:tcPr>
          <w:p w14:paraId="03CA23C6" w14:textId="77777777" w:rsidR="00AA7440" w:rsidRPr="00AA7440" w:rsidRDefault="00AA7440" w:rsidP="00AA7440">
            <w:pPr>
              <w:rPr>
                <w:rFonts w:eastAsia="Times New Roman" w:cs="Calibri"/>
                <w:b/>
                <w:bCs/>
                <w:color w:val="000000"/>
                <w:sz w:val="20"/>
                <w:szCs w:val="20"/>
                <w:lang w:val="en-GB" w:eastAsia="en-GB"/>
              </w:rPr>
            </w:pPr>
          </w:p>
        </w:tc>
        <w:tc>
          <w:tcPr>
            <w:tcW w:w="1269" w:type="dxa"/>
            <w:tcBorders>
              <w:top w:val="nil"/>
              <w:left w:val="nil"/>
              <w:bottom w:val="nil"/>
              <w:right w:val="nil"/>
            </w:tcBorders>
            <w:shd w:val="clear" w:color="auto" w:fill="auto"/>
            <w:noWrap/>
            <w:vAlign w:val="bottom"/>
            <w:hideMark/>
          </w:tcPr>
          <w:p w14:paraId="7CCB0AA3" w14:textId="77777777" w:rsidR="00AA7440" w:rsidRPr="00AA7440" w:rsidRDefault="00AA7440" w:rsidP="00AA7440">
            <w:pPr>
              <w:rPr>
                <w:rFonts w:ascii="Times New Roman" w:eastAsia="Times New Roman" w:hAnsi="Times New Roman" w:cs="Times New Roman"/>
                <w:sz w:val="20"/>
                <w:szCs w:val="20"/>
                <w:lang w:val="en-GB" w:eastAsia="en-GB"/>
              </w:rPr>
            </w:pPr>
          </w:p>
        </w:tc>
        <w:tc>
          <w:tcPr>
            <w:tcW w:w="5279" w:type="dxa"/>
            <w:tcBorders>
              <w:top w:val="nil"/>
              <w:left w:val="nil"/>
              <w:bottom w:val="nil"/>
              <w:right w:val="nil"/>
            </w:tcBorders>
            <w:shd w:val="clear" w:color="auto" w:fill="auto"/>
            <w:noWrap/>
            <w:vAlign w:val="bottom"/>
            <w:hideMark/>
          </w:tcPr>
          <w:p w14:paraId="146419C3" w14:textId="77777777" w:rsidR="00AA7440" w:rsidRPr="00AA7440" w:rsidRDefault="00AA7440" w:rsidP="00AA7440">
            <w:pPr>
              <w:rPr>
                <w:rFonts w:ascii="Times New Roman" w:eastAsia="Times New Roman" w:hAnsi="Times New Roman" w:cs="Times New Roman"/>
                <w:sz w:val="20"/>
                <w:szCs w:val="20"/>
                <w:lang w:val="en-GB" w:eastAsia="en-GB"/>
              </w:rPr>
            </w:pPr>
          </w:p>
        </w:tc>
        <w:tc>
          <w:tcPr>
            <w:tcW w:w="1559" w:type="dxa"/>
            <w:tcBorders>
              <w:top w:val="nil"/>
              <w:left w:val="nil"/>
              <w:bottom w:val="nil"/>
              <w:right w:val="nil"/>
            </w:tcBorders>
            <w:shd w:val="clear" w:color="auto" w:fill="auto"/>
            <w:noWrap/>
            <w:vAlign w:val="bottom"/>
            <w:hideMark/>
          </w:tcPr>
          <w:p w14:paraId="5F3CFBC5" w14:textId="77777777" w:rsidR="00AA7440" w:rsidRPr="00AA7440" w:rsidRDefault="00AA7440" w:rsidP="00AA7440">
            <w:pPr>
              <w:rPr>
                <w:rFonts w:ascii="Times New Roman" w:eastAsia="Times New Roman" w:hAnsi="Times New Roman" w:cs="Times New Roman"/>
                <w:sz w:val="20"/>
                <w:szCs w:val="20"/>
                <w:lang w:val="en-GB" w:eastAsia="en-GB"/>
              </w:rPr>
            </w:pPr>
          </w:p>
        </w:tc>
        <w:tc>
          <w:tcPr>
            <w:tcW w:w="1559" w:type="dxa"/>
            <w:tcBorders>
              <w:top w:val="nil"/>
              <w:left w:val="nil"/>
              <w:bottom w:val="nil"/>
              <w:right w:val="nil"/>
            </w:tcBorders>
            <w:shd w:val="clear" w:color="auto" w:fill="auto"/>
            <w:noWrap/>
            <w:vAlign w:val="bottom"/>
            <w:hideMark/>
          </w:tcPr>
          <w:p w14:paraId="41939BAB" w14:textId="77777777" w:rsidR="00AA7440" w:rsidRPr="00AA7440" w:rsidRDefault="00AA7440" w:rsidP="00AA7440">
            <w:pPr>
              <w:rPr>
                <w:rFonts w:ascii="Times New Roman" w:eastAsia="Times New Roman" w:hAnsi="Times New Roman" w:cs="Times New Roman"/>
                <w:sz w:val="20"/>
                <w:szCs w:val="20"/>
                <w:lang w:val="en-GB" w:eastAsia="en-GB"/>
              </w:rPr>
            </w:pPr>
          </w:p>
        </w:tc>
        <w:tc>
          <w:tcPr>
            <w:tcW w:w="1486" w:type="dxa"/>
            <w:tcBorders>
              <w:top w:val="nil"/>
              <w:left w:val="nil"/>
              <w:bottom w:val="nil"/>
              <w:right w:val="nil"/>
            </w:tcBorders>
            <w:shd w:val="clear" w:color="auto" w:fill="auto"/>
            <w:noWrap/>
            <w:vAlign w:val="bottom"/>
            <w:hideMark/>
          </w:tcPr>
          <w:p w14:paraId="56C7C690" w14:textId="77777777" w:rsidR="00AA7440" w:rsidRPr="00AA7440" w:rsidRDefault="00AA7440" w:rsidP="00AA7440">
            <w:pPr>
              <w:rPr>
                <w:rFonts w:ascii="Times New Roman" w:eastAsia="Times New Roman" w:hAnsi="Times New Roman" w:cs="Times New Roman"/>
                <w:sz w:val="20"/>
                <w:szCs w:val="20"/>
                <w:lang w:val="en-GB" w:eastAsia="en-GB"/>
              </w:rPr>
            </w:pPr>
          </w:p>
        </w:tc>
      </w:tr>
      <w:tr w:rsidR="00AA7440" w:rsidRPr="00AA7440" w14:paraId="6C514BBD" w14:textId="77777777" w:rsidTr="0041394A">
        <w:trPr>
          <w:trHeight w:val="169"/>
          <w:jc w:val="center"/>
        </w:trPr>
        <w:tc>
          <w:tcPr>
            <w:tcW w:w="4077" w:type="dxa"/>
            <w:gridSpan w:val="3"/>
            <w:tcBorders>
              <w:top w:val="nil"/>
              <w:left w:val="nil"/>
              <w:bottom w:val="nil"/>
              <w:right w:val="nil"/>
            </w:tcBorders>
            <w:shd w:val="clear" w:color="auto" w:fill="auto"/>
            <w:vAlign w:val="center"/>
            <w:hideMark/>
          </w:tcPr>
          <w:p w14:paraId="6CCBB785" w14:textId="77777777" w:rsidR="00AA7440" w:rsidRPr="00AA7440" w:rsidRDefault="00AA7440" w:rsidP="00AA7440">
            <w:pPr>
              <w:jc w:val="center"/>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2019/20</w:t>
            </w:r>
          </w:p>
        </w:tc>
        <w:tc>
          <w:tcPr>
            <w:tcW w:w="5279" w:type="dxa"/>
            <w:tcBorders>
              <w:top w:val="nil"/>
              <w:left w:val="nil"/>
              <w:bottom w:val="nil"/>
              <w:right w:val="nil"/>
            </w:tcBorders>
            <w:shd w:val="clear" w:color="auto" w:fill="auto"/>
            <w:vAlign w:val="center"/>
            <w:hideMark/>
          </w:tcPr>
          <w:p w14:paraId="5E4C51EA" w14:textId="77777777" w:rsidR="00AA7440" w:rsidRPr="00AA7440" w:rsidRDefault="00AA7440" w:rsidP="00AA7440">
            <w:pPr>
              <w:jc w:val="center"/>
              <w:rPr>
                <w:rFonts w:eastAsia="Times New Roman" w:cs="Calibri"/>
                <w:b/>
                <w:bCs/>
                <w:color w:val="000000"/>
                <w:sz w:val="2"/>
                <w:szCs w:val="2"/>
                <w:lang w:val="en-GB" w:eastAsia="en-GB"/>
              </w:rPr>
            </w:pPr>
            <w:r w:rsidRPr="00AA7440">
              <w:rPr>
                <w:rFonts w:eastAsia="Times New Roman" w:cs="Calibri"/>
                <w:b/>
                <w:bCs/>
                <w:color w:val="000000"/>
                <w:sz w:val="2"/>
                <w:szCs w:val="2"/>
                <w:lang w:val="en-GB" w:eastAsia="en-GB"/>
              </w:rPr>
              <w:t xml:space="preserve"> </w:t>
            </w:r>
          </w:p>
        </w:tc>
        <w:tc>
          <w:tcPr>
            <w:tcW w:w="4604" w:type="dxa"/>
            <w:gridSpan w:val="3"/>
            <w:tcBorders>
              <w:top w:val="nil"/>
              <w:left w:val="nil"/>
              <w:bottom w:val="nil"/>
              <w:right w:val="nil"/>
            </w:tcBorders>
            <w:shd w:val="clear" w:color="auto" w:fill="auto"/>
            <w:vAlign w:val="center"/>
            <w:hideMark/>
          </w:tcPr>
          <w:p w14:paraId="30EF6DBA" w14:textId="77777777" w:rsidR="00AA7440" w:rsidRPr="00AA7440" w:rsidRDefault="00AA7440" w:rsidP="00AA7440">
            <w:pPr>
              <w:jc w:val="center"/>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2020/21</w:t>
            </w:r>
          </w:p>
        </w:tc>
      </w:tr>
      <w:tr w:rsidR="00AA7440" w:rsidRPr="00AA7440" w14:paraId="0B020C9C" w14:textId="77777777" w:rsidTr="0041394A">
        <w:trPr>
          <w:trHeight w:val="237"/>
          <w:jc w:val="center"/>
        </w:trPr>
        <w:tc>
          <w:tcPr>
            <w:tcW w:w="1504" w:type="dxa"/>
            <w:tcBorders>
              <w:top w:val="nil"/>
              <w:left w:val="nil"/>
              <w:bottom w:val="nil"/>
              <w:right w:val="nil"/>
            </w:tcBorders>
            <w:shd w:val="clear" w:color="auto" w:fill="auto"/>
            <w:vAlign w:val="center"/>
            <w:hideMark/>
          </w:tcPr>
          <w:p w14:paraId="05D38355" w14:textId="77777777" w:rsidR="00AA7440" w:rsidRPr="00AA7440" w:rsidRDefault="00AA7440" w:rsidP="00AA7440">
            <w:pPr>
              <w:jc w:val="center"/>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Expenditure</w:t>
            </w:r>
          </w:p>
        </w:tc>
        <w:tc>
          <w:tcPr>
            <w:tcW w:w="1304" w:type="dxa"/>
            <w:tcBorders>
              <w:top w:val="nil"/>
              <w:left w:val="nil"/>
              <w:bottom w:val="nil"/>
              <w:right w:val="nil"/>
            </w:tcBorders>
            <w:shd w:val="clear" w:color="auto" w:fill="auto"/>
            <w:vAlign w:val="center"/>
            <w:hideMark/>
          </w:tcPr>
          <w:p w14:paraId="1E61F620" w14:textId="77777777" w:rsidR="00AA7440" w:rsidRPr="00AA7440" w:rsidRDefault="00AA7440" w:rsidP="00AA7440">
            <w:pPr>
              <w:jc w:val="center"/>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Income</w:t>
            </w:r>
          </w:p>
        </w:tc>
        <w:tc>
          <w:tcPr>
            <w:tcW w:w="1269" w:type="dxa"/>
            <w:tcBorders>
              <w:top w:val="nil"/>
              <w:left w:val="nil"/>
              <w:bottom w:val="nil"/>
              <w:right w:val="nil"/>
            </w:tcBorders>
            <w:shd w:val="clear" w:color="auto" w:fill="auto"/>
            <w:vAlign w:val="center"/>
            <w:hideMark/>
          </w:tcPr>
          <w:p w14:paraId="2F2BDD7A" w14:textId="77777777" w:rsidR="00AA7440" w:rsidRPr="00AA7440" w:rsidRDefault="00AA7440" w:rsidP="00AA7440">
            <w:pPr>
              <w:jc w:val="center"/>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Net</w:t>
            </w:r>
          </w:p>
        </w:tc>
        <w:tc>
          <w:tcPr>
            <w:tcW w:w="5279" w:type="dxa"/>
            <w:tcBorders>
              <w:top w:val="nil"/>
              <w:left w:val="nil"/>
              <w:bottom w:val="nil"/>
              <w:right w:val="nil"/>
            </w:tcBorders>
            <w:shd w:val="clear" w:color="auto" w:fill="auto"/>
            <w:vAlign w:val="center"/>
            <w:hideMark/>
          </w:tcPr>
          <w:p w14:paraId="40DC5F79" w14:textId="77777777" w:rsidR="00AA7440" w:rsidRPr="00AA7440" w:rsidRDefault="00AA7440" w:rsidP="00AA7440">
            <w:pPr>
              <w:jc w:val="center"/>
              <w:rPr>
                <w:rFonts w:eastAsia="Times New Roman" w:cs="Calibri"/>
                <w:b/>
                <w:bCs/>
                <w:color w:val="000000"/>
                <w:sz w:val="2"/>
                <w:szCs w:val="2"/>
                <w:lang w:val="en-GB" w:eastAsia="en-GB"/>
              </w:rPr>
            </w:pPr>
            <w:r w:rsidRPr="00AA7440">
              <w:rPr>
                <w:rFonts w:eastAsia="Times New Roman" w:cs="Calibri"/>
                <w:b/>
                <w:bCs/>
                <w:color w:val="000000"/>
                <w:sz w:val="2"/>
                <w:szCs w:val="2"/>
                <w:lang w:val="en-GB" w:eastAsia="en-GB"/>
              </w:rPr>
              <w:t xml:space="preserve"> </w:t>
            </w:r>
          </w:p>
        </w:tc>
        <w:tc>
          <w:tcPr>
            <w:tcW w:w="1559" w:type="dxa"/>
            <w:tcBorders>
              <w:top w:val="nil"/>
              <w:left w:val="nil"/>
              <w:bottom w:val="nil"/>
              <w:right w:val="nil"/>
            </w:tcBorders>
            <w:shd w:val="clear" w:color="auto" w:fill="auto"/>
            <w:vAlign w:val="center"/>
            <w:hideMark/>
          </w:tcPr>
          <w:p w14:paraId="614769BD" w14:textId="77777777" w:rsidR="00AA7440" w:rsidRPr="00AA7440" w:rsidRDefault="00AA7440" w:rsidP="00AA7440">
            <w:pPr>
              <w:jc w:val="center"/>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Expenditure</w:t>
            </w:r>
          </w:p>
        </w:tc>
        <w:tc>
          <w:tcPr>
            <w:tcW w:w="1559" w:type="dxa"/>
            <w:tcBorders>
              <w:top w:val="nil"/>
              <w:left w:val="nil"/>
              <w:bottom w:val="nil"/>
              <w:right w:val="nil"/>
            </w:tcBorders>
            <w:shd w:val="clear" w:color="auto" w:fill="auto"/>
            <w:vAlign w:val="center"/>
            <w:hideMark/>
          </w:tcPr>
          <w:p w14:paraId="0BB06E20" w14:textId="77777777" w:rsidR="00AA7440" w:rsidRPr="00AA7440" w:rsidRDefault="00AA7440" w:rsidP="00AA7440">
            <w:pPr>
              <w:jc w:val="center"/>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Income</w:t>
            </w:r>
          </w:p>
        </w:tc>
        <w:tc>
          <w:tcPr>
            <w:tcW w:w="1486" w:type="dxa"/>
            <w:tcBorders>
              <w:top w:val="nil"/>
              <w:left w:val="nil"/>
              <w:bottom w:val="nil"/>
              <w:right w:val="nil"/>
            </w:tcBorders>
            <w:shd w:val="clear" w:color="auto" w:fill="auto"/>
            <w:vAlign w:val="center"/>
            <w:hideMark/>
          </w:tcPr>
          <w:p w14:paraId="0A7D7BC6" w14:textId="77777777" w:rsidR="00AA7440" w:rsidRPr="00AA7440" w:rsidRDefault="00AA7440" w:rsidP="00AA7440">
            <w:pPr>
              <w:jc w:val="center"/>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Net</w:t>
            </w:r>
          </w:p>
        </w:tc>
      </w:tr>
      <w:tr w:rsidR="00AA7440" w:rsidRPr="00AA7440" w14:paraId="67F2E88D" w14:textId="77777777" w:rsidTr="0041394A">
        <w:trPr>
          <w:trHeight w:val="177"/>
          <w:jc w:val="center"/>
        </w:trPr>
        <w:tc>
          <w:tcPr>
            <w:tcW w:w="1504" w:type="dxa"/>
            <w:tcBorders>
              <w:top w:val="nil"/>
              <w:left w:val="nil"/>
              <w:bottom w:val="single" w:sz="8" w:space="0" w:color="000000"/>
              <w:right w:val="nil"/>
            </w:tcBorders>
            <w:shd w:val="clear" w:color="auto" w:fill="auto"/>
            <w:vAlign w:val="center"/>
            <w:hideMark/>
          </w:tcPr>
          <w:p w14:paraId="68AA808E" w14:textId="77777777"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£000</w:t>
            </w:r>
          </w:p>
        </w:tc>
        <w:tc>
          <w:tcPr>
            <w:tcW w:w="1304" w:type="dxa"/>
            <w:tcBorders>
              <w:top w:val="nil"/>
              <w:left w:val="nil"/>
              <w:bottom w:val="single" w:sz="8" w:space="0" w:color="000000"/>
              <w:right w:val="nil"/>
            </w:tcBorders>
            <w:shd w:val="clear" w:color="auto" w:fill="auto"/>
            <w:vAlign w:val="center"/>
            <w:hideMark/>
          </w:tcPr>
          <w:p w14:paraId="7012B727" w14:textId="77777777"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£000</w:t>
            </w:r>
          </w:p>
        </w:tc>
        <w:tc>
          <w:tcPr>
            <w:tcW w:w="1269" w:type="dxa"/>
            <w:tcBorders>
              <w:top w:val="nil"/>
              <w:left w:val="nil"/>
              <w:bottom w:val="single" w:sz="8" w:space="0" w:color="000000"/>
              <w:right w:val="nil"/>
            </w:tcBorders>
            <w:shd w:val="clear" w:color="auto" w:fill="auto"/>
            <w:vAlign w:val="center"/>
            <w:hideMark/>
          </w:tcPr>
          <w:p w14:paraId="19093EC5" w14:textId="77777777"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£000</w:t>
            </w:r>
          </w:p>
        </w:tc>
        <w:tc>
          <w:tcPr>
            <w:tcW w:w="5279" w:type="dxa"/>
            <w:tcBorders>
              <w:top w:val="nil"/>
              <w:left w:val="nil"/>
              <w:bottom w:val="single" w:sz="8" w:space="0" w:color="000000"/>
              <w:right w:val="nil"/>
            </w:tcBorders>
            <w:shd w:val="clear" w:color="auto" w:fill="auto"/>
            <w:vAlign w:val="center"/>
            <w:hideMark/>
          </w:tcPr>
          <w:p w14:paraId="12B9B8C0" w14:textId="77777777" w:rsidR="00AA7440" w:rsidRPr="00AA7440" w:rsidRDefault="00AA7440" w:rsidP="00AA7440">
            <w:pPr>
              <w:jc w:val="right"/>
              <w:rPr>
                <w:rFonts w:eastAsia="Times New Roman" w:cs="Calibri"/>
                <w:b/>
                <w:bCs/>
                <w:color w:val="000000"/>
                <w:sz w:val="2"/>
                <w:szCs w:val="2"/>
                <w:lang w:val="en-GB" w:eastAsia="en-GB"/>
              </w:rPr>
            </w:pPr>
            <w:r w:rsidRPr="00AA7440">
              <w:rPr>
                <w:rFonts w:eastAsia="Times New Roman" w:cs="Calibri"/>
                <w:b/>
                <w:bCs/>
                <w:color w:val="000000"/>
                <w:sz w:val="2"/>
                <w:szCs w:val="2"/>
                <w:lang w:val="en-GB" w:eastAsia="en-GB"/>
              </w:rPr>
              <w:t xml:space="preserve"> </w:t>
            </w:r>
          </w:p>
        </w:tc>
        <w:tc>
          <w:tcPr>
            <w:tcW w:w="1559" w:type="dxa"/>
            <w:tcBorders>
              <w:top w:val="nil"/>
              <w:left w:val="nil"/>
              <w:bottom w:val="single" w:sz="8" w:space="0" w:color="000000"/>
              <w:right w:val="nil"/>
            </w:tcBorders>
            <w:shd w:val="clear" w:color="auto" w:fill="auto"/>
            <w:vAlign w:val="center"/>
            <w:hideMark/>
          </w:tcPr>
          <w:p w14:paraId="79F16587" w14:textId="77777777"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£000</w:t>
            </w:r>
          </w:p>
        </w:tc>
        <w:tc>
          <w:tcPr>
            <w:tcW w:w="1559" w:type="dxa"/>
            <w:tcBorders>
              <w:top w:val="nil"/>
              <w:left w:val="nil"/>
              <w:bottom w:val="single" w:sz="8" w:space="0" w:color="000000"/>
              <w:right w:val="nil"/>
            </w:tcBorders>
            <w:shd w:val="clear" w:color="auto" w:fill="auto"/>
            <w:vAlign w:val="center"/>
            <w:hideMark/>
          </w:tcPr>
          <w:p w14:paraId="3CD0ECB2" w14:textId="77777777"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£000</w:t>
            </w:r>
          </w:p>
        </w:tc>
        <w:tc>
          <w:tcPr>
            <w:tcW w:w="1486" w:type="dxa"/>
            <w:tcBorders>
              <w:top w:val="nil"/>
              <w:left w:val="nil"/>
              <w:bottom w:val="single" w:sz="8" w:space="0" w:color="000000"/>
              <w:right w:val="nil"/>
            </w:tcBorders>
            <w:shd w:val="clear" w:color="auto" w:fill="auto"/>
            <w:vAlign w:val="center"/>
            <w:hideMark/>
          </w:tcPr>
          <w:p w14:paraId="36153DDC" w14:textId="77777777"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£000</w:t>
            </w:r>
          </w:p>
        </w:tc>
      </w:tr>
      <w:tr w:rsidR="00AA7440" w:rsidRPr="00AA7440" w14:paraId="7B1ECFE4" w14:textId="77777777" w:rsidTr="0041394A">
        <w:trPr>
          <w:trHeight w:val="169"/>
          <w:jc w:val="center"/>
        </w:trPr>
        <w:tc>
          <w:tcPr>
            <w:tcW w:w="1504" w:type="dxa"/>
            <w:tcBorders>
              <w:top w:val="nil"/>
              <w:left w:val="nil"/>
              <w:bottom w:val="nil"/>
              <w:right w:val="nil"/>
            </w:tcBorders>
            <w:shd w:val="clear" w:color="auto" w:fill="auto"/>
            <w:vAlign w:val="center"/>
            <w:hideMark/>
          </w:tcPr>
          <w:p w14:paraId="6CD05BEF"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965</w:t>
            </w:r>
          </w:p>
        </w:tc>
        <w:tc>
          <w:tcPr>
            <w:tcW w:w="1304" w:type="dxa"/>
            <w:tcBorders>
              <w:top w:val="nil"/>
              <w:left w:val="nil"/>
              <w:bottom w:val="nil"/>
              <w:right w:val="nil"/>
            </w:tcBorders>
            <w:shd w:val="clear" w:color="auto" w:fill="auto"/>
            <w:vAlign w:val="center"/>
            <w:hideMark/>
          </w:tcPr>
          <w:p w14:paraId="1063E38D"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269" w:type="dxa"/>
            <w:tcBorders>
              <w:top w:val="nil"/>
              <w:left w:val="nil"/>
              <w:bottom w:val="nil"/>
              <w:right w:val="nil"/>
            </w:tcBorders>
            <w:shd w:val="clear" w:color="auto" w:fill="auto"/>
            <w:vAlign w:val="center"/>
            <w:hideMark/>
          </w:tcPr>
          <w:p w14:paraId="631D5849"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965</w:t>
            </w:r>
          </w:p>
        </w:tc>
        <w:tc>
          <w:tcPr>
            <w:tcW w:w="5279" w:type="dxa"/>
            <w:tcBorders>
              <w:top w:val="nil"/>
              <w:left w:val="nil"/>
              <w:bottom w:val="nil"/>
              <w:right w:val="nil"/>
            </w:tcBorders>
            <w:shd w:val="clear" w:color="auto" w:fill="auto"/>
            <w:vAlign w:val="center"/>
            <w:hideMark/>
          </w:tcPr>
          <w:p w14:paraId="77D0CDF8" w14:textId="77777777" w:rsidR="00AA7440" w:rsidRPr="00AA7440" w:rsidRDefault="00AA7440" w:rsidP="00AA7440">
            <w:pPr>
              <w:rPr>
                <w:rFonts w:eastAsia="Times New Roman" w:cs="Calibri"/>
                <w:color w:val="000000"/>
                <w:sz w:val="16"/>
                <w:szCs w:val="16"/>
                <w:lang w:val="en-GB" w:eastAsia="en-GB"/>
              </w:rPr>
            </w:pPr>
            <w:r w:rsidRPr="00AA7440">
              <w:rPr>
                <w:rFonts w:eastAsia="Times New Roman" w:cs="Calibri"/>
                <w:color w:val="000000"/>
                <w:sz w:val="16"/>
                <w:szCs w:val="16"/>
                <w:lang w:val="en-GB" w:eastAsia="en-GB"/>
              </w:rPr>
              <w:t>Staff Payroll</w:t>
            </w:r>
          </w:p>
        </w:tc>
        <w:tc>
          <w:tcPr>
            <w:tcW w:w="1559" w:type="dxa"/>
            <w:tcBorders>
              <w:top w:val="nil"/>
              <w:left w:val="nil"/>
              <w:bottom w:val="nil"/>
              <w:right w:val="nil"/>
            </w:tcBorders>
            <w:shd w:val="clear" w:color="auto" w:fill="auto"/>
            <w:vAlign w:val="center"/>
            <w:hideMark/>
          </w:tcPr>
          <w:p w14:paraId="207AA10D"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1,089</w:t>
            </w:r>
          </w:p>
        </w:tc>
        <w:tc>
          <w:tcPr>
            <w:tcW w:w="1559" w:type="dxa"/>
            <w:tcBorders>
              <w:top w:val="nil"/>
              <w:left w:val="nil"/>
              <w:bottom w:val="nil"/>
              <w:right w:val="nil"/>
            </w:tcBorders>
            <w:shd w:val="clear" w:color="auto" w:fill="auto"/>
            <w:vAlign w:val="center"/>
            <w:hideMark/>
          </w:tcPr>
          <w:p w14:paraId="1B81303D"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486" w:type="dxa"/>
            <w:tcBorders>
              <w:top w:val="nil"/>
              <w:left w:val="nil"/>
              <w:bottom w:val="nil"/>
              <w:right w:val="nil"/>
            </w:tcBorders>
            <w:shd w:val="clear" w:color="auto" w:fill="auto"/>
            <w:vAlign w:val="center"/>
            <w:hideMark/>
          </w:tcPr>
          <w:p w14:paraId="462456B2"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1,089</w:t>
            </w:r>
          </w:p>
        </w:tc>
      </w:tr>
      <w:tr w:rsidR="00AA7440" w:rsidRPr="00AA7440" w14:paraId="2F5C2322" w14:textId="77777777" w:rsidTr="0041394A">
        <w:trPr>
          <w:trHeight w:val="169"/>
          <w:jc w:val="center"/>
        </w:trPr>
        <w:tc>
          <w:tcPr>
            <w:tcW w:w="1504" w:type="dxa"/>
            <w:tcBorders>
              <w:top w:val="nil"/>
              <w:left w:val="nil"/>
              <w:bottom w:val="nil"/>
              <w:right w:val="nil"/>
            </w:tcBorders>
            <w:shd w:val="clear" w:color="auto" w:fill="auto"/>
            <w:vAlign w:val="center"/>
            <w:hideMark/>
          </w:tcPr>
          <w:p w14:paraId="681A46E0"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22</w:t>
            </w:r>
          </w:p>
        </w:tc>
        <w:tc>
          <w:tcPr>
            <w:tcW w:w="1304" w:type="dxa"/>
            <w:tcBorders>
              <w:top w:val="nil"/>
              <w:left w:val="nil"/>
              <w:bottom w:val="nil"/>
              <w:right w:val="nil"/>
            </w:tcBorders>
            <w:shd w:val="clear" w:color="auto" w:fill="auto"/>
            <w:vAlign w:val="center"/>
            <w:hideMark/>
          </w:tcPr>
          <w:p w14:paraId="531DF2B0"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269" w:type="dxa"/>
            <w:tcBorders>
              <w:top w:val="nil"/>
              <w:left w:val="nil"/>
              <w:bottom w:val="nil"/>
              <w:right w:val="nil"/>
            </w:tcBorders>
            <w:shd w:val="clear" w:color="auto" w:fill="auto"/>
            <w:vAlign w:val="center"/>
            <w:hideMark/>
          </w:tcPr>
          <w:p w14:paraId="3EF438AF"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22</w:t>
            </w:r>
          </w:p>
        </w:tc>
        <w:tc>
          <w:tcPr>
            <w:tcW w:w="5279" w:type="dxa"/>
            <w:tcBorders>
              <w:top w:val="nil"/>
              <w:left w:val="nil"/>
              <w:bottom w:val="nil"/>
              <w:right w:val="nil"/>
            </w:tcBorders>
            <w:shd w:val="clear" w:color="auto" w:fill="auto"/>
            <w:vAlign w:val="center"/>
            <w:hideMark/>
          </w:tcPr>
          <w:p w14:paraId="3A2F56E2" w14:textId="77777777" w:rsidR="00AA7440" w:rsidRPr="00AA7440" w:rsidRDefault="00AA7440" w:rsidP="00AA7440">
            <w:pPr>
              <w:rPr>
                <w:rFonts w:eastAsia="Times New Roman" w:cs="Calibri"/>
                <w:color w:val="000000"/>
                <w:sz w:val="16"/>
                <w:szCs w:val="16"/>
                <w:lang w:val="en-GB" w:eastAsia="en-GB"/>
              </w:rPr>
            </w:pPr>
            <w:r w:rsidRPr="00AA7440">
              <w:rPr>
                <w:rFonts w:eastAsia="Times New Roman" w:cs="Calibri"/>
                <w:color w:val="000000"/>
                <w:sz w:val="16"/>
                <w:szCs w:val="16"/>
                <w:lang w:val="en-GB" w:eastAsia="en-GB"/>
              </w:rPr>
              <w:t>Staff Overtime</w:t>
            </w:r>
          </w:p>
        </w:tc>
        <w:tc>
          <w:tcPr>
            <w:tcW w:w="1559" w:type="dxa"/>
            <w:tcBorders>
              <w:top w:val="nil"/>
              <w:left w:val="nil"/>
              <w:bottom w:val="nil"/>
              <w:right w:val="nil"/>
            </w:tcBorders>
            <w:shd w:val="clear" w:color="auto" w:fill="auto"/>
            <w:vAlign w:val="center"/>
            <w:hideMark/>
          </w:tcPr>
          <w:p w14:paraId="4524F69D"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4</w:t>
            </w:r>
          </w:p>
        </w:tc>
        <w:tc>
          <w:tcPr>
            <w:tcW w:w="1559" w:type="dxa"/>
            <w:tcBorders>
              <w:top w:val="nil"/>
              <w:left w:val="nil"/>
              <w:bottom w:val="nil"/>
              <w:right w:val="nil"/>
            </w:tcBorders>
            <w:shd w:val="clear" w:color="auto" w:fill="auto"/>
            <w:vAlign w:val="center"/>
            <w:hideMark/>
          </w:tcPr>
          <w:p w14:paraId="3615CF0F"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486" w:type="dxa"/>
            <w:tcBorders>
              <w:top w:val="nil"/>
              <w:left w:val="nil"/>
              <w:bottom w:val="nil"/>
              <w:right w:val="nil"/>
            </w:tcBorders>
            <w:shd w:val="clear" w:color="auto" w:fill="auto"/>
            <w:vAlign w:val="center"/>
            <w:hideMark/>
          </w:tcPr>
          <w:p w14:paraId="7DB54D1C"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4</w:t>
            </w:r>
          </w:p>
        </w:tc>
      </w:tr>
      <w:tr w:rsidR="00AA7440" w:rsidRPr="00AA7440" w14:paraId="09C0D255" w14:textId="77777777" w:rsidTr="0041394A">
        <w:trPr>
          <w:trHeight w:val="169"/>
          <w:jc w:val="center"/>
        </w:trPr>
        <w:tc>
          <w:tcPr>
            <w:tcW w:w="1504" w:type="dxa"/>
            <w:tcBorders>
              <w:top w:val="nil"/>
              <w:left w:val="nil"/>
              <w:bottom w:val="nil"/>
              <w:right w:val="nil"/>
            </w:tcBorders>
            <w:shd w:val="clear" w:color="auto" w:fill="auto"/>
            <w:vAlign w:val="center"/>
            <w:hideMark/>
          </w:tcPr>
          <w:p w14:paraId="7CBCA1D8"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4</w:t>
            </w:r>
          </w:p>
        </w:tc>
        <w:tc>
          <w:tcPr>
            <w:tcW w:w="1304" w:type="dxa"/>
            <w:tcBorders>
              <w:top w:val="nil"/>
              <w:left w:val="nil"/>
              <w:bottom w:val="nil"/>
              <w:right w:val="nil"/>
            </w:tcBorders>
            <w:shd w:val="clear" w:color="auto" w:fill="auto"/>
            <w:vAlign w:val="center"/>
            <w:hideMark/>
          </w:tcPr>
          <w:p w14:paraId="6B99DB25"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269" w:type="dxa"/>
            <w:tcBorders>
              <w:top w:val="nil"/>
              <w:left w:val="nil"/>
              <w:bottom w:val="nil"/>
              <w:right w:val="nil"/>
            </w:tcBorders>
            <w:shd w:val="clear" w:color="auto" w:fill="auto"/>
            <w:vAlign w:val="center"/>
            <w:hideMark/>
          </w:tcPr>
          <w:p w14:paraId="08790811"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4</w:t>
            </w:r>
          </w:p>
        </w:tc>
        <w:tc>
          <w:tcPr>
            <w:tcW w:w="5279" w:type="dxa"/>
            <w:tcBorders>
              <w:top w:val="nil"/>
              <w:left w:val="nil"/>
              <w:bottom w:val="nil"/>
              <w:right w:val="nil"/>
            </w:tcBorders>
            <w:shd w:val="clear" w:color="auto" w:fill="auto"/>
            <w:vAlign w:val="center"/>
            <w:hideMark/>
          </w:tcPr>
          <w:p w14:paraId="26371DC3" w14:textId="77777777" w:rsidR="00AA7440" w:rsidRPr="00AA7440" w:rsidRDefault="00AA7440" w:rsidP="00AA7440">
            <w:pPr>
              <w:rPr>
                <w:rFonts w:eastAsia="Times New Roman" w:cs="Calibri"/>
                <w:color w:val="000000"/>
                <w:sz w:val="16"/>
                <w:szCs w:val="16"/>
                <w:lang w:val="en-GB" w:eastAsia="en-GB"/>
              </w:rPr>
            </w:pPr>
            <w:r w:rsidRPr="00AA7440">
              <w:rPr>
                <w:rFonts w:eastAsia="Times New Roman" w:cs="Calibri"/>
                <w:color w:val="000000"/>
                <w:sz w:val="16"/>
                <w:szCs w:val="16"/>
                <w:lang w:val="en-GB" w:eastAsia="en-GB"/>
              </w:rPr>
              <w:t>Training</w:t>
            </w:r>
          </w:p>
        </w:tc>
        <w:tc>
          <w:tcPr>
            <w:tcW w:w="1559" w:type="dxa"/>
            <w:tcBorders>
              <w:top w:val="nil"/>
              <w:left w:val="nil"/>
              <w:bottom w:val="nil"/>
              <w:right w:val="nil"/>
            </w:tcBorders>
            <w:shd w:val="clear" w:color="auto" w:fill="auto"/>
            <w:vAlign w:val="center"/>
            <w:hideMark/>
          </w:tcPr>
          <w:p w14:paraId="2B7D946A"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559" w:type="dxa"/>
            <w:tcBorders>
              <w:top w:val="nil"/>
              <w:left w:val="nil"/>
              <w:bottom w:val="nil"/>
              <w:right w:val="nil"/>
            </w:tcBorders>
            <w:shd w:val="clear" w:color="auto" w:fill="auto"/>
            <w:vAlign w:val="center"/>
            <w:hideMark/>
          </w:tcPr>
          <w:p w14:paraId="0BB3606E"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486" w:type="dxa"/>
            <w:tcBorders>
              <w:top w:val="nil"/>
              <w:left w:val="nil"/>
              <w:bottom w:val="nil"/>
              <w:right w:val="nil"/>
            </w:tcBorders>
            <w:shd w:val="clear" w:color="auto" w:fill="auto"/>
            <w:vAlign w:val="center"/>
            <w:hideMark/>
          </w:tcPr>
          <w:p w14:paraId="7B871F18"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r>
      <w:tr w:rsidR="00AA7440" w:rsidRPr="00AA7440" w14:paraId="762DD203" w14:textId="77777777" w:rsidTr="0041394A">
        <w:trPr>
          <w:trHeight w:val="169"/>
          <w:jc w:val="center"/>
        </w:trPr>
        <w:tc>
          <w:tcPr>
            <w:tcW w:w="1504" w:type="dxa"/>
            <w:tcBorders>
              <w:top w:val="nil"/>
              <w:left w:val="nil"/>
              <w:bottom w:val="nil"/>
              <w:right w:val="nil"/>
            </w:tcBorders>
            <w:shd w:val="clear" w:color="auto" w:fill="auto"/>
            <w:vAlign w:val="center"/>
            <w:hideMark/>
          </w:tcPr>
          <w:p w14:paraId="4551CF09"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16</w:t>
            </w:r>
          </w:p>
        </w:tc>
        <w:tc>
          <w:tcPr>
            <w:tcW w:w="1304" w:type="dxa"/>
            <w:tcBorders>
              <w:top w:val="nil"/>
              <w:left w:val="nil"/>
              <w:bottom w:val="nil"/>
              <w:right w:val="nil"/>
            </w:tcBorders>
            <w:shd w:val="clear" w:color="auto" w:fill="auto"/>
            <w:vAlign w:val="center"/>
            <w:hideMark/>
          </w:tcPr>
          <w:p w14:paraId="6E806309"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269" w:type="dxa"/>
            <w:tcBorders>
              <w:top w:val="nil"/>
              <w:left w:val="nil"/>
              <w:bottom w:val="nil"/>
              <w:right w:val="nil"/>
            </w:tcBorders>
            <w:shd w:val="clear" w:color="auto" w:fill="auto"/>
            <w:vAlign w:val="center"/>
            <w:hideMark/>
          </w:tcPr>
          <w:p w14:paraId="4E643725"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16</w:t>
            </w:r>
          </w:p>
        </w:tc>
        <w:tc>
          <w:tcPr>
            <w:tcW w:w="5279" w:type="dxa"/>
            <w:tcBorders>
              <w:top w:val="nil"/>
              <w:left w:val="nil"/>
              <w:bottom w:val="nil"/>
              <w:right w:val="nil"/>
            </w:tcBorders>
            <w:shd w:val="clear" w:color="auto" w:fill="auto"/>
            <w:vAlign w:val="center"/>
            <w:hideMark/>
          </w:tcPr>
          <w:p w14:paraId="75A46F6A" w14:textId="77777777" w:rsidR="00AA7440" w:rsidRPr="00AA7440" w:rsidRDefault="00AA7440" w:rsidP="00AA7440">
            <w:pPr>
              <w:rPr>
                <w:rFonts w:eastAsia="Times New Roman" w:cs="Calibri"/>
                <w:color w:val="000000"/>
                <w:sz w:val="16"/>
                <w:szCs w:val="16"/>
                <w:lang w:val="en-GB" w:eastAsia="en-GB"/>
              </w:rPr>
            </w:pPr>
            <w:r w:rsidRPr="00AA7440">
              <w:rPr>
                <w:rFonts w:eastAsia="Times New Roman" w:cs="Calibri"/>
                <w:color w:val="000000"/>
                <w:sz w:val="16"/>
                <w:szCs w:val="16"/>
                <w:lang w:val="en-GB" w:eastAsia="en-GB"/>
              </w:rPr>
              <w:t>Other Payroll Costs</w:t>
            </w:r>
          </w:p>
        </w:tc>
        <w:tc>
          <w:tcPr>
            <w:tcW w:w="1559" w:type="dxa"/>
            <w:tcBorders>
              <w:top w:val="nil"/>
              <w:left w:val="nil"/>
              <w:bottom w:val="nil"/>
              <w:right w:val="nil"/>
            </w:tcBorders>
            <w:shd w:val="clear" w:color="auto" w:fill="auto"/>
            <w:vAlign w:val="center"/>
            <w:hideMark/>
          </w:tcPr>
          <w:p w14:paraId="405321B4"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12</w:t>
            </w:r>
          </w:p>
        </w:tc>
        <w:tc>
          <w:tcPr>
            <w:tcW w:w="1559" w:type="dxa"/>
            <w:tcBorders>
              <w:top w:val="nil"/>
              <w:left w:val="nil"/>
              <w:bottom w:val="nil"/>
              <w:right w:val="nil"/>
            </w:tcBorders>
            <w:shd w:val="clear" w:color="auto" w:fill="auto"/>
            <w:vAlign w:val="center"/>
            <w:hideMark/>
          </w:tcPr>
          <w:p w14:paraId="5040DB52"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486" w:type="dxa"/>
            <w:tcBorders>
              <w:top w:val="nil"/>
              <w:left w:val="nil"/>
              <w:bottom w:val="nil"/>
              <w:right w:val="nil"/>
            </w:tcBorders>
            <w:shd w:val="clear" w:color="auto" w:fill="auto"/>
            <w:vAlign w:val="center"/>
            <w:hideMark/>
          </w:tcPr>
          <w:p w14:paraId="632AA5F7"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12</w:t>
            </w:r>
          </w:p>
        </w:tc>
      </w:tr>
      <w:tr w:rsidR="00AA7440" w:rsidRPr="00AA7440" w14:paraId="469828F2" w14:textId="77777777" w:rsidTr="0041394A">
        <w:trPr>
          <w:trHeight w:val="169"/>
          <w:jc w:val="center"/>
        </w:trPr>
        <w:tc>
          <w:tcPr>
            <w:tcW w:w="1504" w:type="dxa"/>
            <w:tcBorders>
              <w:top w:val="nil"/>
              <w:left w:val="nil"/>
              <w:bottom w:val="nil"/>
              <w:right w:val="nil"/>
            </w:tcBorders>
            <w:shd w:val="clear" w:color="auto" w:fill="auto"/>
            <w:vAlign w:val="center"/>
            <w:hideMark/>
          </w:tcPr>
          <w:p w14:paraId="56DEC2C3"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52</w:t>
            </w:r>
          </w:p>
        </w:tc>
        <w:tc>
          <w:tcPr>
            <w:tcW w:w="1304" w:type="dxa"/>
            <w:tcBorders>
              <w:top w:val="nil"/>
              <w:left w:val="nil"/>
              <w:bottom w:val="nil"/>
              <w:right w:val="nil"/>
            </w:tcBorders>
            <w:shd w:val="clear" w:color="auto" w:fill="auto"/>
            <w:vAlign w:val="center"/>
            <w:hideMark/>
          </w:tcPr>
          <w:p w14:paraId="3AE28E7A"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269" w:type="dxa"/>
            <w:tcBorders>
              <w:top w:val="nil"/>
              <w:left w:val="nil"/>
              <w:bottom w:val="nil"/>
              <w:right w:val="nil"/>
            </w:tcBorders>
            <w:shd w:val="clear" w:color="auto" w:fill="auto"/>
            <w:vAlign w:val="center"/>
            <w:hideMark/>
          </w:tcPr>
          <w:p w14:paraId="2080BDC8"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52</w:t>
            </w:r>
          </w:p>
        </w:tc>
        <w:tc>
          <w:tcPr>
            <w:tcW w:w="5279" w:type="dxa"/>
            <w:tcBorders>
              <w:top w:val="nil"/>
              <w:left w:val="nil"/>
              <w:bottom w:val="nil"/>
              <w:right w:val="nil"/>
            </w:tcBorders>
            <w:shd w:val="clear" w:color="auto" w:fill="auto"/>
            <w:vAlign w:val="center"/>
            <w:hideMark/>
          </w:tcPr>
          <w:p w14:paraId="05FD64DF" w14:textId="77777777" w:rsidR="00AA7440" w:rsidRPr="00AA7440" w:rsidRDefault="00AA7440" w:rsidP="00AA7440">
            <w:pPr>
              <w:rPr>
                <w:rFonts w:eastAsia="Times New Roman" w:cs="Calibri"/>
                <w:color w:val="000000"/>
                <w:sz w:val="16"/>
                <w:szCs w:val="16"/>
                <w:lang w:val="en-GB" w:eastAsia="en-GB"/>
              </w:rPr>
            </w:pPr>
            <w:r w:rsidRPr="00AA7440">
              <w:rPr>
                <w:rFonts w:eastAsia="Times New Roman" w:cs="Calibri"/>
                <w:color w:val="000000"/>
                <w:sz w:val="16"/>
                <w:szCs w:val="16"/>
                <w:lang w:val="en-GB" w:eastAsia="en-GB"/>
              </w:rPr>
              <w:t>Premises</w:t>
            </w:r>
          </w:p>
        </w:tc>
        <w:tc>
          <w:tcPr>
            <w:tcW w:w="1559" w:type="dxa"/>
            <w:tcBorders>
              <w:top w:val="nil"/>
              <w:left w:val="nil"/>
              <w:bottom w:val="nil"/>
              <w:right w:val="nil"/>
            </w:tcBorders>
            <w:shd w:val="clear" w:color="auto" w:fill="auto"/>
            <w:vAlign w:val="center"/>
            <w:hideMark/>
          </w:tcPr>
          <w:p w14:paraId="65136FDD"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46</w:t>
            </w:r>
          </w:p>
        </w:tc>
        <w:tc>
          <w:tcPr>
            <w:tcW w:w="1559" w:type="dxa"/>
            <w:tcBorders>
              <w:top w:val="nil"/>
              <w:left w:val="nil"/>
              <w:bottom w:val="nil"/>
              <w:right w:val="nil"/>
            </w:tcBorders>
            <w:shd w:val="clear" w:color="auto" w:fill="auto"/>
            <w:vAlign w:val="center"/>
            <w:hideMark/>
          </w:tcPr>
          <w:p w14:paraId="35B75B9C"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486" w:type="dxa"/>
            <w:tcBorders>
              <w:top w:val="nil"/>
              <w:left w:val="nil"/>
              <w:bottom w:val="nil"/>
              <w:right w:val="nil"/>
            </w:tcBorders>
            <w:shd w:val="clear" w:color="auto" w:fill="auto"/>
            <w:vAlign w:val="center"/>
            <w:hideMark/>
          </w:tcPr>
          <w:p w14:paraId="56423FD8"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46</w:t>
            </w:r>
          </w:p>
        </w:tc>
      </w:tr>
      <w:tr w:rsidR="00AA7440" w:rsidRPr="00AA7440" w14:paraId="0C40F851" w14:textId="77777777" w:rsidTr="0041394A">
        <w:trPr>
          <w:trHeight w:val="169"/>
          <w:jc w:val="center"/>
        </w:trPr>
        <w:tc>
          <w:tcPr>
            <w:tcW w:w="1504" w:type="dxa"/>
            <w:tcBorders>
              <w:top w:val="nil"/>
              <w:left w:val="nil"/>
              <w:bottom w:val="nil"/>
              <w:right w:val="nil"/>
            </w:tcBorders>
            <w:shd w:val="clear" w:color="auto" w:fill="auto"/>
            <w:vAlign w:val="center"/>
            <w:hideMark/>
          </w:tcPr>
          <w:p w14:paraId="56679FD5"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2,041</w:t>
            </w:r>
          </w:p>
        </w:tc>
        <w:tc>
          <w:tcPr>
            <w:tcW w:w="1304" w:type="dxa"/>
            <w:tcBorders>
              <w:top w:val="nil"/>
              <w:left w:val="nil"/>
              <w:bottom w:val="nil"/>
              <w:right w:val="nil"/>
            </w:tcBorders>
            <w:shd w:val="clear" w:color="auto" w:fill="auto"/>
            <w:vAlign w:val="center"/>
            <w:hideMark/>
          </w:tcPr>
          <w:p w14:paraId="606B9900"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269" w:type="dxa"/>
            <w:tcBorders>
              <w:top w:val="nil"/>
              <w:left w:val="nil"/>
              <w:bottom w:val="nil"/>
              <w:right w:val="nil"/>
            </w:tcBorders>
            <w:shd w:val="clear" w:color="auto" w:fill="auto"/>
            <w:vAlign w:val="center"/>
            <w:hideMark/>
          </w:tcPr>
          <w:p w14:paraId="1AD9810D"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2,041</w:t>
            </w:r>
          </w:p>
        </w:tc>
        <w:tc>
          <w:tcPr>
            <w:tcW w:w="5279" w:type="dxa"/>
            <w:tcBorders>
              <w:top w:val="nil"/>
              <w:left w:val="nil"/>
              <w:bottom w:val="nil"/>
              <w:right w:val="nil"/>
            </w:tcBorders>
            <w:shd w:val="clear" w:color="auto" w:fill="auto"/>
            <w:vAlign w:val="center"/>
            <w:hideMark/>
          </w:tcPr>
          <w:p w14:paraId="2538805A" w14:textId="77777777" w:rsidR="00AA7440" w:rsidRPr="00AA7440" w:rsidRDefault="00AA7440" w:rsidP="00AA7440">
            <w:pPr>
              <w:rPr>
                <w:rFonts w:eastAsia="Times New Roman" w:cs="Calibri"/>
                <w:color w:val="000000"/>
                <w:sz w:val="16"/>
                <w:szCs w:val="16"/>
                <w:lang w:val="en-GB" w:eastAsia="en-GB"/>
              </w:rPr>
            </w:pPr>
            <w:r w:rsidRPr="00AA7440">
              <w:rPr>
                <w:rFonts w:eastAsia="Times New Roman" w:cs="Calibri"/>
                <w:color w:val="000000"/>
                <w:sz w:val="16"/>
                <w:szCs w:val="16"/>
                <w:lang w:val="en-GB" w:eastAsia="en-GB"/>
              </w:rPr>
              <w:t>Supplies and Services</w:t>
            </w:r>
          </w:p>
        </w:tc>
        <w:tc>
          <w:tcPr>
            <w:tcW w:w="1559" w:type="dxa"/>
            <w:tcBorders>
              <w:top w:val="nil"/>
              <w:left w:val="nil"/>
              <w:bottom w:val="nil"/>
              <w:right w:val="nil"/>
            </w:tcBorders>
            <w:shd w:val="clear" w:color="auto" w:fill="auto"/>
            <w:vAlign w:val="center"/>
            <w:hideMark/>
          </w:tcPr>
          <w:p w14:paraId="03A0D21E"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3,303</w:t>
            </w:r>
          </w:p>
        </w:tc>
        <w:tc>
          <w:tcPr>
            <w:tcW w:w="1559" w:type="dxa"/>
            <w:tcBorders>
              <w:top w:val="nil"/>
              <w:left w:val="nil"/>
              <w:bottom w:val="nil"/>
              <w:right w:val="nil"/>
            </w:tcBorders>
            <w:shd w:val="clear" w:color="auto" w:fill="auto"/>
            <w:vAlign w:val="center"/>
            <w:hideMark/>
          </w:tcPr>
          <w:p w14:paraId="4BA97F12"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486" w:type="dxa"/>
            <w:tcBorders>
              <w:top w:val="nil"/>
              <w:left w:val="nil"/>
              <w:bottom w:val="nil"/>
              <w:right w:val="nil"/>
            </w:tcBorders>
            <w:shd w:val="clear" w:color="auto" w:fill="auto"/>
            <w:vAlign w:val="center"/>
            <w:hideMark/>
          </w:tcPr>
          <w:p w14:paraId="407CBBE4"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3,303</w:t>
            </w:r>
          </w:p>
        </w:tc>
      </w:tr>
      <w:tr w:rsidR="00AA7440" w:rsidRPr="00AA7440" w14:paraId="45BB42A3" w14:textId="77777777" w:rsidTr="0041394A">
        <w:trPr>
          <w:trHeight w:val="169"/>
          <w:jc w:val="center"/>
        </w:trPr>
        <w:tc>
          <w:tcPr>
            <w:tcW w:w="1504" w:type="dxa"/>
            <w:tcBorders>
              <w:top w:val="nil"/>
              <w:left w:val="nil"/>
              <w:bottom w:val="nil"/>
              <w:right w:val="nil"/>
            </w:tcBorders>
            <w:shd w:val="clear" w:color="auto" w:fill="auto"/>
            <w:vAlign w:val="center"/>
            <w:hideMark/>
          </w:tcPr>
          <w:p w14:paraId="3382F0C7"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15</w:t>
            </w:r>
          </w:p>
        </w:tc>
        <w:tc>
          <w:tcPr>
            <w:tcW w:w="1304" w:type="dxa"/>
            <w:tcBorders>
              <w:top w:val="nil"/>
              <w:left w:val="nil"/>
              <w:bottom w:val="nil"/>
              <w:right w:val="nil"/>
            </w:tcBorders>
            <w:shd w:val="clear" w:color="auto" w:fill="auto"/>
            <w:vAlign w:val="center"/>
            <w:hideMark/>
          </w:tcPr>
          <w:p w14:paraId="415BC25B"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269" w:type="dxa"/>
            <w:tcBorders>
              <w:top w:val="nil"/>
              <w:left w:val="nil"/>
              <w:bottom w:val="nil"/>
              <w:right w:val="nil"/>
            </w:tcBorders>
            <w:shd w:val="clear" w:color="auto" w:fill="auto"/>
            <w:vAlign w:val="center"/>
            <w:hideMark/>
          </w:tcPr>
          <w:p w14:paraId="783C0282"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15</w:t>
            </w:r>
          </w:p>
        </w:tc>
        <w:tc>
          <w:tcPr>
            <w:tcW w:w="5279" w:type="dxa"/>
            <w:tcBorders>
              <w:top w:val="nil"/>
              <w:left w:val="nil"/>
              <w:bottom w:val="nil"/>
              <w:right w:val="nil"/>
            </w:tcBorders>
            <w:shd w:val="clear" w:color="auto" w:fill="auto"/>
            <w:vAlign w:val="center"/>
            <w:hideMark/>
          </w:tcPr>
          <w:p w14:paraId="3139332F" w14:textId="77777777" w:rsidR="00AA7440" w:rsidRPr="00AA7440" w:rsidRDefault="00AA7440" w:rsidP="00AA7440">
            <w:pPr>
              <w:rPr>
                <w:rFonts w:eastAsia="Times New Roman" w:cs="Calibri"/>
                <w:color w:val="000000"/>
                <w:sz w:val="16"/>
                <w:szCs w:val="16"/>
                <w:lang w:val="en-GB" w:eastAsia="en-GB"/>
              </w:rPr>
            </w:pPr>
            <w:r w:rsidRPr="00AA7440">
              <w:rPr>
                <w:rFonts w:eastAsia="Times New Roman" w:cs="Calibri"/>
                <w:color w:val="000000"/>
                <w:sz w:val="16"/>
                <w:szCs w:val="16"/>
                <w:lang w:val="en-GB" w:eastAsia="en-GB"/>
              </w:rPr>
              <w:t>Transport</w:t>
            </w:r>
          </w:p>
        </w:tc>
        <w:tc>
          <w:tcPr>
            <w:tcW w:w="1559" w:type="dxa"/>
            <w:tcBorders>
              <w:top w:val="nil"/>
              <w:left w:val="nil"/>
              <w:bottom w:val="nil"/>
              <w:right w:val="nil"/>
            </w:tcBorders>
            <w:shd w:val="clear" w:color="auto" w:fill="auto"/>
            <w:vAlign w:val="center"/>
            <w:hideMark/>
          </w:tcPr>
          <w:p w14:paraId="7A6D5296"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2</w:t>
            </w:r>
          </w:p>
        </w:tc>
        <w:tc>
          <w:tcPr>
            <w:tcW w:w="1559" w:type="dxa"/>
            <w:tcBorders>
              <w:top w:val="nil"/>
              <w:left w:val="nil"/>
              <w:bottom w:val="nil"/>
              <w:right w:val="nil"/>
            </w:tcBorders>
            <w:shd w:val="clear" w:color="auto" w:fill="auto"/>
            <w:vAlign w:val="center"/>
            <w:hideMark/>
          </w:tcPr>
          <w:p w14:paraId="4F062D64"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486" w:type="dxa"/>
            <w:tcBorders>
              <w:top w:val="nil"/>
              <w:left w:val="nil"/>
              <w:bottom w:val="nil"/>
              <w:right w:val="nil"/>
            </w:tcBorders>
            <w:shd w:val="clear" w:color="auto" w:fill="auto"/>
            <w:vAlign w:val="center"/>
            <w:hideMark/>
          </w:tcPr>
          <w:p w14:paraId="3B083A8F"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2</w:t>
            </w:r>
          </w:p>
        </w:tc>
      </w:tr>
      <w:tr w:rsidR="00AA7440" w:rsidRPr="00AA7440" w14:paraId="100296B3" w14:textId="77777777" w:rsidTr="0041394A">
        <w:trPr>
          <w:trHeight w:val="169"/>
          <w:jc w:val="center"/>
        </w:trPr>
        <w:tc>
          <w:tcPr>
            <w:tcW w:w="1504" w:type="dxa"/>
            <w:tcBorders>
              <w:top w:val="nil"/>
              <w:left w:val="nil"/>
              <w:bottom w:val="nil"/>
              <w:right w:val="nil"/>
            </w:tcBorders>
            <w:shd w:val="clear" w:color="auto" w:fill="auto"/>
            <w:vAlign w:val="center"/>
            <w:hideMark/>
          </w:tcPr>
          <w:p w14:paraId="3BF83404"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304" w:type="dxa"/>
            <w:tcBorders>
              <w:top w:val="nil"/>
              <w:left w:val="nil"/>
              <w:bottom w:val="nil"/>
              <w:right w:val="nil"/>
            </w:tcBorders>
            <w:shd w:val="clear" w:color="auto" w:fill="auto"/>
            <w:vAlign w:val="center"/>
            <w:hideMark/>
          </w:tcPr>
          <w:p w14:paraId="3BF05E43"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(911)</w:t>
            </w:r>
          </w:p>
        </w:tc>
        <w:tc>
          <w:tcPr>
            <w:tcW w:w="1269" w:type="dxa"/>
            <w:tcBorders>
              <w:top w:val="nil"/>
              <w:left w:val="nil"/>
              <w:bottom w:val="nil"/>
              <w:right w:val="nil"/>
            </w:tcBorders>
            <w:shd w:val="clear" w:color="auto" w:fill="auto"/>
            <w:vAlign w:val="center"/>
            <w:hideMark/>
          </w:tcPr>
          <w:p w14:paraId="0F5CFDE5"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(911)</w:t>
            </w:r>
          </w:p>
        </w:tc>
        <w:tc>
          <w:tcPr>
            <w:tcW w:w="5279" w:type="dxa"/>
            <w:tcBorders>
              <w:top w:val="nil"/>
              <w:left w:val="nil"/>
              <w:bottom w:val="nil"/>
              <w:right w:val="nil"/>
            </w:tcBorders>
            <w:shd w:val="clear" w:color="auto" w:fill="auto"/>
            <w:vAlign w:val="center"/>
            <w:hideMark/>
          </w:tcPr>
          <w:p w14:paraId="7D84ED97" w14:textId="77777777" w:rsidR="00AA7440" w:rsidRPr="00AA7440" w:rsidRDefault="00AA7440" w:rsidP="00AA7440">
            <w:pPr>
              <w:rPr>
                <w:rFonts w:eastAsia="Times New Roman" w:cs="Calibri"/>
                <w:color w:val="000000"/>
                <w:sz w:val="16"/>
                <w:szCs w:val="16"/>
                <w:lang w:val="en-GB" w:eastAsia="en-GB"/>
              </w:rPr>
            </w:pPr>
            <w:r w:rsidRPr="00AA7440">
              <w:rPr>
                <w:rFonts w:eastAsia="Times New Roman" w:cs="Calibri"/>
                <w:color w:val="000000"/>
                <w:sz w:val="16"/>
                <w:szCs w:val="16"/>
                <w:lang w:val="en-GB" w:eastAsia="en-GB"/>
              </w:rPr>
              <w:t>Income</w:t>
            </w:r>
          </w:p>
        </w:tc>
        <w:tc>
          <w:tcPr>
            <w:tcW w:w="1559" w:type="dxa"/>
            <w:tcBorders>
              <w:top w:val="nil"/>
              <w:left w:val="nil"/>
              <w:bottom w:val="nil"/>
              <w:right w:val="nil"/>
            </w:tcBorders>
            <w:shd w:val="clear" w:color="auto" w:fill="auto"/>
            <w:vAlign w:val="center"/>
            <w:hideMark/>
          </w:tcPr>
          <w:p w14:paraId="6F9BAAEB"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559" w:type="dxa"/>
            <w:tcBorders>
              <w:top w:val="nil"/>
              <w:left w:val="nil"/>
              <w:bottom w:val="nil"/>
              <w:right w:val="nil"/>
            </w:tcBorders>
            <w:shd w:val="clear" w:color="auto" w:fill="auto"/>
            <w:vAlign w:val="center"/>
            <w:hideMark/>
          </w:tcPr>
          <w:p w14:paraId="41F8FD52"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(1,862)</w:t>
            </w:r>
          </w:p>
        </w:tc>
        <w:tc>
          <w:tcPr>
            <w:tcW w:w="1486" w:type="dxa"/>
            <w:tcBorders>
              <w:top w:val="nil"/>
              <w:left w:val="nil"/>
              <w:bottom w:val="nil"/>
              <w:right w:val="nil"/>
            </w:tcBorders>
            <w:shd w:val="clear" w:color="auto" w:fill="auto"/>
            <w:vAlign w:val="center"/>
            <w:hideMark/>
          </w:tcPr>
          <w:p w14:paraId="081B07B0"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(1,862)</w:t>
            </w:r>
          </w:p>
        </w:tc>
      </w:tr>
      <w:tr w:rsidR="00AA7440" w:rsidRPr="00AA7440" w14:paraId="50D35FE9" w14:textId="77777777" w:rsidTr="0041394A">
        <w:trPr>
          <w:trHeight w:val="237"/>
          <w:jc w:val="center"/>
        </w:trPr>
        <w:tc>
          <w:tcPr>
            <w:tcW w:w="1504" w:type="dxa"/>
            <w:tcBorders>
              <w:top w:val="nil"/>
              <w:left w:val="nil"/>
              <w:bottom w:val="nil"/>
              <w:right w:val="nil"/>
            </w:tcBorders>
            <w:shd w:val="clear" w:color="auto" w:fill="auto"/>
            <w:vAlign w:val="center"/>
            <w:hideMark/>
          </w:tcPr>
          <w:p w14:paraId="4E5C0780"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13,233</w:t>
            </w:r>
          </w:p>
        </w:tc>
        <w:tc>
          <w:tcPr>
            <w:tcW w:w="1304" w:type="dxa"/>
            <w:tcBorders>
              <w:top w:val="nil"/>
              <w:left w:val="nil"/>
              <w:bottom w:val="nil"/>
              <w:right w:val="nil"/>
            </w:tcBorders>
            <w:shd w:val="clear" w:color="auto" w:fill="auto"/>
            <w:vAlign w:val="center"/>
            <w:hideMark/>
          </w:tcPr>
          <w:p w14:paraId="3B98955D"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(13,233)</w:t>
            </w:r>
          </w:p>
        </w:tc>
        <w:tc>
          <w:tcPr>
            <w:tcW w:w="1269" w:type="dxa"/>
            <w:tcBorders>
              <w:top w:val="nil"/>
              <w:left w:val="nil"/>
              <w:bottom w:val="nil"/>
              <w:right w:val="nil"/>
            </w:tcBorders>
            <w:shd w:val="clear" w:color="auto" w:fill="auto"/>
            <w:vAlign w:val="center"/>
            <w:hideMark/>
          </w:tcPr>
          <w:p w14:paraId="67A6DEC9" w14:textId="77777777" w:rsidR="00AA7440" w:rsidRPr="00AA7440" w:rsidRDefault="00AA7440" w:rsidP="00AA7440">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0</w:t>
            </w:r>
          </w:p>
        </w:tc>
        <w:tc>
          <w:tcPr>
            <w:tcW w:w="5279" w:type="dxa"/>
            <w:tcBorders>
              <w:top w:val="nil"/>
              <w:left w:val="nil"/>
              <w:bottom w:val="nil"/>
              <w:right w:val="nil"/>
            </w:tcBorders>
            <w:shd w:val="clear" w:color="auto" w:fill="auto"/>
            <w:vAlign w:val="center"/>
            <w:hideMark/>
          </w:tcPr>
          <w:p w14:paraId="07BDA23C" w14:textId="77777777" w:rsidR="00AA7440" w:rsidRPr="00AA7440" w:rsidRDefault="00AA7440" w:rsidP="00AA7440">
            <w:pPr>
              <w:rPr>
                <w:rFonts w:eastAsia="Times New Roman" w:cs="Calibri"/>
                <w:color w:val="000000"/>
                <w:sz w:val="16"/>
                <w:szCs w:val="16"/>
                <w:lang w:val="en-GB" w:eastAsia="en-GB"/>
              </w:rPr>
            </w:pPr>
            <w:r w:rsidRPr="00AA7440">
              <w:rPr>
                <w:rFonts w:eastAsia="Times New Roman" w:cs="Calibri"/>
                <w:color w:val="000000"/>
                <w:sz w:val="16"/>
                <w:szCs w:val="16"/>
                <w:lang w:val="en-GB" w:eastAsia="en-GB"/>
              </w:rPr>
              <w:t xml:space="preserve">Income for Services provided by the Chief Constable </w:t>
            </w:r>
          </w:p>
        </w:tc>
        <w:tc>
          <w:tcPr>
            <w:tcW w:w="1559" w:type="dxa"/>
            <w:tcBorders>
              <w:top w:val="nil"/>
              <w:left w:val="nil"/>
              <w:bottom w:val="nil"/>
              <w:right w:val="nil"/>
            </w:tcBorders>
            <w:shd w:val="clear" w:color="auto" w:fill="auto"/>
            <w:vAlign w:val="center"/>
            <w:hideMark/>
          </w:tcPr>
          <w:p w14:paraId="110589C7" w14:textId="4A43B79B" w:rsidR="00AA7440" w:rsidRPr="00AA7440" w:rsidRDefault="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w:t>
            </w:r>
            <w:r w:rsidR="00B90887">
              <w:rPr>
                <w:rFonts w:eastAsia="Times New Roman" w:cs="Calibri"/>
                <w:color w:val="000000"/>
                <w:sz w:val="16"/>
                <w:szCs w:val="16"/>
                <w:lang w:val="en-GB" w:eastAsia="en-GB"/>
              </w:rPr>
              <w:t>7</w:t>
            </w:r>
            <w:r w:rsidRPr="00AA7440">
              <w:rPr>
                <w:rFonts w:eastAsia="Times New Roman" w:cs="Calibri"/>
                <w:color w:val="000000"/>
                <w:sz w:val="16"/>
                <w:szCs w:val="16"/>
                <w:lang w:val="en-GB" w:eastAsia="en-GB"/>
              </w:rPr>
              <w:t>,1</w:t>
            </w:r>
            <w:r w:rsidR="00B90887">
              <w:rPr>
                <w:rFonts w:eastAsia="Times New Roman" w:cs="Calibri"/>
                <w:color w:val="000000"/>
                <w:sz w:val="16"/>
                <w:szCs w:val="16"/>
                <w:lang w:val="en-GB" w:eastAsia="en-GB"/>
              </w:rPr>
              <w:t>9</w:t>
            </w:r>
            <w:r w:rsidR="006E7224">
              <w:rPr>
                <w:rFonts w:eastAsia="Times New Roman" w:cs="Calibri"/>
                <w:color w:val="000000"/>
                <w:sz w:val="16"/>
                <w:szCs w:val="16"/>
                <w:lang w:val="en-GB" w:eastAsia="en-GB"/>
              </w:rPr>
              <w:t>7</w:t>
            </w:r>
          </w:p>
        </w:tc>
        <w:tc>
          <w:tcPr>
            <w:tcW w:w="1559" w:type="dxa"/>
            <w:tcBorders>
              <w:top w:val="nil"/>
              <w:left w:val="nil"/>
              <w:bottom w:val="nil"/>
              <w:right w:val="nil"/>
            </w:tcBorders>
            <w:shd w:val="clear" w:color="auto" w:fill="auto"/>
            <w:vAlign w:val="center"/>
            <w:hideMark/>
          </w:tcPr>
          <w:p w14:paraId="1C8350B1" w14:textId="2843384A" w:rsidR="00AA7440" w:rsidRPr="00AA7440" w:rsidRDefault="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w:t>
            </w:r>
            <w:r w:rsidR="00B90887">
              <w:rPr>
                <w:rFonts w:eastAsia="Times New Roman" w:cs="Calibri"/>
                <w:color w:val="000000"/>
                <w:sz w:val="16"/>
                <w:szCs w:val="16"/>
                <w:lang w:val="en-GB" w:eastAsia="en-GB"/>
              </w:rPr>
              <w:t>17</w:t>
            </w:r>
            <w:r w:rsidRPr="00AA7440">
              <w:rPr>
                <w:rFonts w:eastAsia="Times New Roman" w:cs="Calibri"/>
                <w:color w:val="000000"/>
                <w:sz w:val="16"/>
                <w:szCs w:val="16"/>
                <w:lang w:val="en-GB" w:eastAsia="en-GB"/>
              </w:rPr>
              <w:t>,1</w:t>
            </w:r>
            <w:r w:rsidR="00B90887">
              <w:rPr>
                <w:rFonts w:eastAsia="Times New Roman" w:cs="Calibri"/>
                <w:color w:val="000000"/>
                <w:sz w:val="16"/>
                <w:szCs w:val="16"/>
                <w:lang w:val="en-GB" w:eastAsia="en-GB"/>
              </w:rPr>
              <w:t>9</w:t>
            </w:r>
            <w:r w:rsidR="006E7224">
              <w:rPr>
                <w:rFonts w:eastAsia="Times New Roman" w:cs="Calibri"/>
                <w:color w:val="000000"/>
                <w:sz w:val="16"/>
                <w:szCs w:val="16"/>
                <w:lang w:val="en-GB" w:eastAsia="en-GB"/>
              </w:rPr>
              <w:t>7</w:t>
            </w:r>
            <w:r w:rsidRPr="00AA7440">
              <w:rPr>
                <w:rFonts w:eastAsia="Times New Roman" w:cs="Calibri"/>
                <w:color w:val="000000"/>
                <w:sz w:val="16"/>
                <w:szCs w:val="16"/>
                <w:lang w:val="en-GB" w:eastAsia="en-GB"/>
              </w:rPr>
              <w:t>)</w:t>
            </w:r>
          </w:p>
        </w:tc>
        <w:tc>
          <w:tcPr>
            <w:tcW w:w="1486" w:type="dxa"/>
            <w:tcBorders>
              <w:top w:val="nil"/>
              <w:left w:val="nil"/>
              <w:bottom w:val="nil"/>
              <w:right w:val="nil"/>
            </w:tcBorders>
            <w:shd w:val="clear" w:color="auto" w:fill="auto"/>
            <w:vAlign w:val="center"/>
            <w:hideMark/>
          </w:tcPr>
          <w:p w14:paraId="74BB4F05"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r>
      <w:tr w:rsidR="00AA7440" w:rsidRPr="00AA7440" w14:paraId="05E743A5" w14:textId="77777777" w:rsidTr="0041394A">
        <w:trPr>
          <w:trHeight w:val="177"/>
          <w:jc w:val="center"/>
        </w:trPr>
        <w:tc>
          <w:tcPr>
            <w:tcW w:w="1504" w:type="dxa"/>
            <w:tcBorders>
              <w:top w:val="nil"/>
              <w:left w:val="nil"/>
              <w:bottom w:val="nil"/>
              <w:right w:val="nil"/>
            </w:tcBorders>
            <w:shd w:val="clear" w:color="auto" w:fill="auto"/>
            <w:vAlign w:val="center"/>
            <w:hideMark/>
          </w:tcPr>
          <w:p w14:paraId="58135977"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w:t>
            </w:r>
          </w:p>
        </w:tc>
        <w:tc>
          <w:tcPr>
            <w:tcW w:w="1304" w:type="dxa"/>
            <w:tcBorders>
              <w:top w:val="nil"/>
              <w:left w:val="nil"/>
              <w:bottom w:val="nil"/>
              <w:right w:val="nil"/>
            </w:tcBorders>
            <w:shd w:val="clear" w:color="auto" w:fill="auto"/>
            <w:vAlign w:val="center"/>
            <w:hideMark/>
          </w:tcPr>
          <w:p w14:paraId="795C12AD" w14:textId="77777777" w:rsidR="00AA7440" w:rsidRPr="00AA7440" w:rsidRDefault="00AA7440" w:rsidP="00AA7440">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0</w:t>
            </w:r>
          </w:p>
        </w:tc>
        <w:tc>
          <w:tcPr>
            <w:tcW w:w="1269" w:type="dxa"/>
            <w:tcBorders>
              <w:top w:val="nil"/>
              <w:left w:val="nil"/>
              <w:bottom w:val="nil"/>
              <w:right w:val="nil"/>
            </w:tcBorders>
            <w:shd w:val="clear" w:color="auto" w:fill="auto"/>
            <w:vAlign w:val="center"/>
            <w:hideMark/>
          </w:tcPr>
          <w:p w14:paraId="5C457EFE"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w:t>
            </w:r>
          </w:p>
        </w:tc>
        <w:tc>
          <w:tcPr>
            <w:tcW w:w="5279" w:type="dxa"/>
            <w:tcBorders>
              <w:top w:val="nil"/>
              <w:left w:val="nil"/>
              <w:bottom w:val="nil"/>
              <w:right w:val="nil"/>
            </w:tcBorders>
            <w:shd w:val="clear" w:color="auto" w:fill="auto"/>
            <w:vAlign w:val="center"/>
            <w:hideMark/>
          </w:tcPr>
          <w:p w14:paraId="7125B1C2" w14:textId="77777777" w:rsidR="00AA7440" w:rsidRPr="00AA7440" w:rsidRDefault="00AA7440" w:rsidP="00AA7440">
            <w:pPr>
              <w:rPr>
                <w:rFonts w:eastAsia="Times New Roman" w:cs="Calibri"/>
                <w:color w:val="000000"/>
                <w:sz w:val="16"/>
                <w:szCs w:val="16"/>
                <w:lang w:val="en-GB" w:eastAsia="en-GB"/>
              </w:rPr>
            </w:pPr>
            <w:r w:rsidRPr="00AA7440">
              <w:rPr>
                <w:rFonts w:eastAsia="Times New Roman" w:cs="Calibri"/>
                <w:color w:val="000000"/>
                <w:sz w:val="16"/>
                <w:szCs w:val="16"/>
                <w:lang w:val="en-GB" w:eastAsia="en-GB"/>
              </w:rPr>
              <w:t>Rounding</w:t>
            </w:r>
          </w:p>
        </w:tc>
        <w:tc>
          <w:tcPr>
            <w:tcW w:w="1559" w:type="dxa"/>
            <w:tcBorders>
              <w:top w:val="nil"/>
              <w:left w:val="nil"/>
              <w:bottom w:val="nil"/>
              <w:right w:val="nil"/>
            </w:tcBorders>
            <w:shd w:val="clear" w:color="auto" w:fill="auto"/>
            <w:vAlign w:val="center"/>
            <w:hideMark/>
          </w:tcPr>
          <w:p w14:paraId="4E21575C" w14:textId="02AE5482" w:rsidR="00AA7440" w:rsidRPr="00AA7440" w:rsidRDefault="00142460">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0</w:t>
            </w:r>
          </w:p>
        </w:tc>
        <w:tc>
          <w:tcPr>
            <w:tcW w:w="1559" w:type="dxa"/>
            <w:tcBorders>
              <w:top w:val="nil"/>
              <w:left w:val="nil"/>
              <w:bottom w:val="nil"/>
              <w:right w:val="nil"/>
            </w:tcBorders>
            <w:shd w:val="clear" w:color="auto" w:fill="auto"/>
            <w:vAlign w:val="center"/>
            <w:hideMark/>
          </w:tcPr>
          <w:p w14:paraId="7021563C" w14:textId="3717BA7F" w:rsidR="00AA7440" w:rsidRPr="00AA7440" w:rsidRDefault="00142460" w:rsidP="00AA7440">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0</w:t>
            </w:r>
          </w:p>
        </w:tc>
        <w:tc>
          <w:tcPr>
            <w:tcW w:w="1486" w:type="dxa"/>
            <w:tcBorders>
              <w:top w:val="nil"/>
              <w:left w:val="nil"/>
              <w:bottom w:val="nil"/>
              <w:right w:val="nil"/>
            </w:tcBorders>
            <w:shd w:val="clear" w:color="auto" w:fill="auto"/>
            <w:vAlign w:val="center"/>
            <w:hideMark/>
          </w:tcPr>
          <w:p w14:paraId="49F638A1"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r>
      <w:tr w:rsidR="00AA7440" w:rsidRPr="00AA7440" w14:paraId="795CCB14" w14:textId="77777777" w:rsidTr="0041394A">
        <w:trPr>
          <w:trHeight w:val="177"/>
          <w:jc w:val="center"/>
        </w:trPr>
        <w:tc>
          <w:tcPr>
            <w:tcW w:w="1504" w:type="dxa"/>
            <w:tcBorders>
              <w:top w:val="single" w:sz="8" w:space="0" w:color="000000"/>
              <w:left w:val="nil"/>
              <w:bottom w:val="single" w:sz="12" w:space="0" w:color="000000"/>
              <w:right w:val="nil"/>
            </w:tcBorders>
            <w:shd w:val="clear" w:color="auto" w:fill="auto"/>
            <w:vAlign w:val="center"/>
            <w:hideMark/>
          </w:tcPr>
          <w:p w14:paraId="141ACB8A" w14:textId="77777777"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16,349</w:t>
            </w:r>
          </w:p>
        </w:tc>
        <w:tc>
          <w:tcPr>
            <w:tcW w:w="1304" w:type="dxa"/>
            <w:tcBorders>
              <w:top w:val="single" w:sz="8" w:space="0" w:color="000000"/>
              <w:left w:val="nil"/>
              <w:bottom w:val="single" w:sz="12" w:space="0" w:color="000000"/>
              <w:right w:val="nil"/>
            </w:tcBorders>
            <w:shd w:val="clear" w:color="auto" w:fill="auto"/>
            <w:vAlign w:val="center"/>
            <w:hideMark/>
          </w:tcPr>
          <w:p w14:paraId="62FF2241" w14:textId="77777777"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(14,144)</w:t>
            </w:r>
          </w:p>
        </w:tc>
        <w:tc>
          <w:tcPr>
            <w:tcW w:w="1269" w:type="dxa"/>
            <w:tcBorders>
              <w:top w:val="single" w:sz="8" w:space="0" w:color="000000"/>
              <w:left w:val="nil"/>
              <w:bottom w:val="single" w:sz="12" w:space="0" w:color="000000"/>
              <w:right w:val="nil"/>
            </w:tcBorders>
            <w:shd w:val="clear" w:color="auto" w:fill="auto"/>
            <w:vAlign w:val="center"/>
            <w:hideMark/>
          </w:tcPr>
          <w:p w14:paraId="70D20F7F" w14:textId="77777777"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2,205</w:t>
            </w:r>
          </w:p>
        </w:tc>
        <w:tc>
          <w:tcPr>
            <w:tcW w:w="5279" w:type="dxa"/>
            <w:tcBorders>
              <w:top w:val="single" w:sz="8" w:space="0" w:color="000000"/>
              <w:left w:val="nil"/>
              <w:bottom w:val="single" w:sz="12" w:space="0" w:color="000000"/>
              <w:right w:val="nil"/>
            </w:tcBorders>
            <w:shd w:val="clear" w:color="auto" w:fill="auto"/>
            <w:vAlign w:val="center"/>
            <w:hideMark/>
          </w:tcPr>
          <w:p w14:paraId="45A96CF4" w14:textId="77777777" w:rsidR="00AA7440" w:rsidRPr="00AA7440" w:rsidRDefault="00AA7440" w:rsidP="00AA7440">
            <w:pPr>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Cost of Services</w:t>
            </w:r>
          </w:p>
        </w:tc>
        <w:tc>
          <w:tcPr>
            <w:tcW w:w="1559" w:type="dxa"/>
            <w:tcBorders>
              <w:top w:val="single" w:sz="8" w:space="0" w:color="000000"/>
              <w:left w:val="nil"/>
              <w:bottom w:val="single" w:sz="12" w:space="0" w:color="000000"/>
              <w:right w:val="nil"/>
            </w:tcBorders>
            <w:shd w:val="clear" w:color="auto" w:fill="auto"/>
            <w:vAlign w:val="center"/>
            <w:hideMark/>
          </w:tcPr>
          <w:p w14:paraId="0FC5A330" w14:textId="784CB079" w:rsidR="00AA7440" w:rsidRPr="00AA7440" w:rsidRDefault="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2</w:t>
            </w:r>
            <w:r w:rsidR="00B90887">
              <w:rPr>
                <w:rFonts w:eastAsia="Times New Roman" w:cs="Calibri"/>
                <w:b/>
                <w:bCs/>
                <w:color w:val="000000"/>
                <w:sz w:val="16"/>
                <w:szCs w:val="16"/>
                <w:lang w:val="en-GB" w:eastAsia="en-GB"/>
              </w:rPr>
              <w:t>1</w:t>
            </w:r>
            <w:r w:rsidRPr="00AA7440">
              <w:rPr>
                <w:rFonts w:eastAsia="Times New Roman" w:cs="Calibri"/>
                <w:b/>
                <w:bCs/>
                <w:color w:val="000000"/>
                <w:sz w:val="16"/>
                <w:szCs w:val="16"/>
                <w:lang w:val="en-GB" w:eastAsia="en-GB"/>
              </w:rPr>
              <w:t>,6</w:t>
            </w:r>
            <w:r w:rsidR="00B90887">
              <w:rPr>
                <w:rFonts w:eastAsia="Times New Roman" w:cs="Calibri"/>
                <w:b/>
                <w:bCs/>
                <w:color w:val="000000"/>
                <w:sz w:val="16"/>
                <w:szCs w:val="16"/>
                <w:lang w:val="en-GB" w:eastAsia="en-GB"/>
              </w:rPr>
              <w:t>5</w:t>
            </w:r>
            <w:r w:rsidR="00142460">
              <w:rPr>
                <w:rFonts w:eastAsia="Times New Roman" w:cs="Calibri"/>
                <w:b/>
                <w:bCs/>
                <w:color w:val="000000"/>
                <w:sz w:val="16"/>
                <w:szCs w:val="16"/>
                <w:lang w:val="en-GB" w:eastAsia="en-GB"/>
              </w:rPr>
              <w:t>3</w:t>
            </w:r>
          </w:p>
        </w:tc>
        <w:tc>
          <w:tcPr>
            <w:tcW w:w="1559" w:type="dxa"/>
            <w:tcBorders>
              <w:top w:val="single" w:sz="8" w:space="0" w:color="000000"/>
              <w:left w:val="nil"/>
              <w:bottom w:val="single" w:sz="12" w:space="0" w:color="000000"/>
              <w:right w:val="nil"/>
            </w:tcBorders>
            <w:shd w:val="clear" w:color="auto" w:fill="auto"/>
            <w:vAlign w:val="center"/>
            <w:hideMark/>
          </w:tcPr>
          <w:p w14:paraId="2C12140C" w14:textId="74F68295" w:rsidR="00AA7440" w:rsidRPr="00AA7440" w:rsidRDefault="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(1</w:t>
            </w:r>
            <w:r w:rsidR="00B90887">
              <w:rPr>
                <w:rFonts w:eastAsia="Times New Roman" w:cs="Calibri"/>
                <w:b/>
                <w:bCs/>
                <w:color w:val="000000"/>
                <w:sz w:val="16"/>
                <w:szCs w:val="16"/>
                <w:lang w:val="en-GB" w:eastAsia="en-GB"/>
              </w:rPr>
              <w:t>9</w:t>
            </w:r>
            <w:r w:rsidRPr="00AA7440">
              <w:rPr>
                <w:rFonts w:eastAsia="Times New Roman" w:cs="Calibri"/>
                <w:b/>
                <w:bCs/>
                <w:color w:val="000000"/>
                <w:sz w:val="16"/>
                <w:szCs w:val="16"/>
                <w:lang w:val="en-GB" w:eastAsia="en-GB"/>
              </w:rPr>
              <w:t>,0</w:t>
            </w:r>
            <w:r w:rsidR="00142460">
              <w:rPr>
                <w:rFonts w:eastAsia="Times New Roman" w:cs="Calibri"/>
                <w:b/>
                <w:bCs/>
                <w:color w:val="000000"/>
                <w:sz w:val="16"/>
                <w:szCs w:val="16"/>
                <w:lang w:val="en-GB" w:eastAsia="en-GB"/>
              </w:rPr>
              <w:t>59</w:t>
            </w:r>
            <w:r w:rsidRPr="00AA7440">
              <w:rPr>
                <w:rFonts w:eastAsia="Times New Roman" w:cs="Calibri"/>
                <w:b/>
                <w:bCs/>
                <w:color w:val="000000"/>
                <w:sz w:val="16"/>
                <w:szCs w:val="16"/>
                <w:lang w:val="en-GB" w:eastAsia="en-GB"/>
              </w:rPr>
              <w:t>)</w:t>
            </w:r>
          </w:p>
        </w:tc>
        <w:tc>
          <w:tcPr>
            <w:tcW w:w="1486" w:type="dxa"/>
            <w:tcBorders>
              <w:top w:val="single" w:sz="8" w:space="0" w:color="000000"/>
              <w:left w:val="nil"/>
              <w:bottom w:val="single" w:sz="12" w:space="0" w:color="000000"/>
              <w:right w:val="nil"/>
            </w:tcBorders>
            <w:shd w:val="clear" w:color="auto" w:fill="auto"/>
            <w:vAlign w:val="center"/>
            <w:hideMark/>
          </w:tcPr>
          <w:p w14:paraId="4C97DF42" w14:textId="2FFC83D8"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2,59</w:t>
            </w:r>
            <w:r w:rsidR="00B90887">
              <w:rPr>
                <w:rFonts w:eastAsia="Times New Roman" w:cs="Calibri"/>
                <w:b/>
                <w:bCs/>
                <w:color w:val="000000"/>
                <w:sz w:val="16"/>
                <w:szCs w:val="16"/>
                <w:lang w:val="en-GB" w:eastAsia="en-GB"/>
              </w:rPr>
              <w:t>4</w:t>
            </w:r>
          </w:p>
        </w:tc>
      </w:tr>
      <w:tr w:rsidR="00AA7440" w:rsidRPr="00AA7440" w14:paraId="28EB5D3C" w14:textId="77777777" w:rsidTr="0041394A">
        <w:trPr>
          <w:trHeight w:val="186"/>
          <w:jc w:val="center"/>
        </w:trPr>
        <w:tc>
          <w:tcPr>
            <w:tcW w:w="1504" w:type="dxa"/>
            <w:tcBorders>
              <w:top w:val="nil"/>
              <w:left w:val="nil"/>
              <w:bottom w:val="nil"/>
              <w:right w:val="nil"/>
            </w:tcBorders>
            <w:shd w:val="clear" w:color="auto" w:fill="auto"/>
            <w:vAlign w:val="center"/>
            <w:hideMark/>
          </w:tcPr>
          <w:p w14:paraId="77E7B1E0"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251,349</w:t>
            </w:r>
          </w:p>
        </w:tc>
        <w:tc>
          <w:tcPr>
            <w:tcW w:w="1304" w:type="dxa"/>
            <w:tcBorders>
              <w:top w:val="nil"/>
              <w:left w:val="nil"/>
              <w:bottom w:val="nil"/>
              <w:right w:val="nil"/>
            </w:tcBorders>
            <w:shd w:val="clear" w:color="auto" w:fill="auto"/>
            <w:vAlign w:val="center"/>
            <w:hideMark/>
          </w:tcPr>
          <w:p w14:paraId="0E9FE912"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269" w:type="dxa"/>
            <w:tcBorders>
              <w:top w:val="nil"/>
              <w:left w:val="nil"/>
              <w:bottom w:val="nil"/>
              <w:right w:val="nil"/>
            </w:tcBorders>
            <w:shd w:val="clear" w:color="auto" w:fill="auto"/>
            <w:vAlign w:val="center"/>
            <w:hideMark/>
          </w:tcPr>
          <w:p w14:paraId="27BD1369"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251,349</w:t>
            </w:r>
          </w:p>
        </w:tc>
        <w:tc>
          <w:tcPr>
            <w:tcW w:w="5279" w:type="dxa"/>
            <w:tcBorders>
              <w:top w:val="nil"/>
              <w:left w:val="nil"/>
              <w:bottom w:val="nil"/>
              <w:right w:val="nil"/>
            </w:tcBorders>
            <w:shd w:val="clear" w:color="auto" w:fill="auto"/>
            <w:vAlign w:val="center"/>
            <w:hideMark/>
          </w:tcPr>
          <w:p w14:paraId="1B9E5BA5" w14:textId="77777777" w:rsidR="00AA7440" w:rsidRPr="00AA7440" w:rsidRDefault="00AA7440" w:rsidP="00AA7440">
            <w:pPr>
              <w:rPr>
                <w:rFonts w:eastAsia="Times New Roman" w:cs="Calibri"/>
                <w:color w:val="000000"/>
                <w:sz w:val="16"/>
                <w:szCs w:val="16"/>
                <w:lang w:val="en-GB" w:eastAsia="en-GB"/>
              </w:rPr>
            </w:pPr>
            <w:r w:rsidRPr="00AA7440">
              <w:rPr>
                <w:rFonts w:eastAsia="Times New Roman" w:cs="Calibri"/>
                <w:color w:val="000000"/>
                <w:sz w:val="16"/>
                <w:szCs w:val="16"/>
                <w:lang w:val="en-GB" w:eastAsia="en-GB"/>
              </w:rPr>
              <w:t>Intra-Group Funding Transfer</w:t>
            </w:r>
          </w:p>
        </w:tc>
        <w:tc>
          <w:tcPr>
            <w:tcW w:w="1559" w:type="dxa"/>
            <w:tcBorders>
              <w:top w:val="nil"/>
              <w:left w:val="nil"/>
              <w:bottom w:val="nil"/>
              <w:right w:val="nil"/>
            </w:tcBorders>
            <w:shd w:val="clear" w:color="auto" w:fill="auto"/>
            <w:vAlign w:val="center"/>
            <w:hideMark/>
          </w:tcPr>
          <w:p w14:paraId="252E7AC5" w14:textId="01E7F8C5" w:rsidR="00AA7440" w:rsidRPr="00AA7440" w:rsidRDefault="00142460" w:rsidP="00AA7440">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260,875</w:t>
            </w:r>
          </w:p>
        </w:tc>
        <w:tc>
          <w:tcPr>
            <w:tcW w:w="1559" w:type="dxa"/>
            <w:tcBorders>
              <w:top w:val="nil"/>
              <w:left w:val="nil"/>
              <w:bottom w:val="nil"/>
              <w:right w:val="nil"/>
            </w:tcBorders>
            <w:shd w:val="clear" w:color="auto" w:fill="auto"/>
            <w:vAlign w:val="center"/>
            <w:hideMark/>
          </w:tcPr>
          <w:p w14:paraId="0328A964"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486" w:type="dxa"/>
            <w:tcBorders>
              <w:top w:val="nil"/>
              <w:left w:val="nil"/>
              <w:bottom w:val="nil"/>
              <w:right w:val="nil"/>
            </w:tcBorders>
            <w:shd w:val="clear" w:color="auto" w:fill="auto"/>
            <w:vAlign w:val="center"/>
            <w:hideMark/>
          </w:tcPr>
          <w:p w14:paraId="49F7224A" w14:textId="365842D5" w:rsidR="00AA7440" w:rsidRPr="00AA7440" w:rsidRDefault="00142460">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260,875</w:t>
            </w:r>
          </w:p>
        </w:tc>
      </w:tr>
      <w:tr w:rsidR="00AA7440" w:rsidRPr="00AA7440" w14:paraId="2511A0F8" w14:textId="77777777" w:rsidTr="0041394A">
        <w:trPr>
          <w:trHeight w:val="177"/>
          <w:jc w:val="center"/>
        </w:trPr>
        <w:tc>
          <w:tcPr>
            <w:tcW w:w="1504" w:type="dxa"/>
            <w:tcBorders>
              <w:top w:val="single" w:sz="8" w:space="0" w:color="000000"/>
              <w:left w:val="nil"/>
              <w:bottom w:val="single" w:sz="12" w:space="0" w:color="000000"/>
              <w:right w:val="nil"/>
            </w:tcBorders>
            <w:shd w:val="clear" w:color="auto" w:fill="auto"/>
            <w:vAlign w:val="center"/>
            <w:hideMark/>
          </w:tcPr>
          <w:p w14:paraId="686483F0" w14:textId="77777777"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267,698</w:t>
            </w:r>
          </w:p>
        </w:tc>
        <w:tc>
          <w:tcPr>
            <w:tcW w:w="1304" w:type="dxa"/>
            <w:tcBorders>
              <w:top w:val="single" w:sz="8" w:space="0" w:color="000000"/>
              <w:left w:val="nil"/>
              <w:bottom w:val="single" w:sz="12" w:space="0" w:color="000000"/>
              <w:right w:val="nil"/>
            </w:tcBorders>
            <w:shd w:val="clear" w:color="auto" w:fill="auto"/>
            <w:vAlign w:val="center"/>
            <w:hideMark/>
          </w:tcPr>
          <w:p w14:paraId="7326706A" w14:textId="77777777"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(14,144)</w:t>
            </w:r>
          </w:p>
        </w:tc>
        <w:tc>
          <w:tcPr>
            <w:tcW w:w="1269" w:type="dxa"/>
            <w:tcBorders>
              <w:top w:val="single" w:sz="8" w:space="0" w:color="000000"/>
              <w:left w:val="nil"/>
              <w:bottom w:val="single" w:sz="12" w:space="0" w:color="000000"/>
              <w:right w:val="nil"/>
            </w:tcBorders>
            <w:shd w:val="clear" w:color="auto" w:fill="auto"/>
            <w:vAlign w:val="center"/>
            <w:hideMark/>
          </w:tcPr>
          <w:p w14:paraId="24B397BB" w14:textId="77777777"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253,554</w:t>
            </w:r>
          </w:p>
        </w:tc>
        <w:tc>
          <w:tcPr>
            <w:tcW w:w="5279" w:type="dxa"/>
            <w:tcBorders>
              <w:top w:val="single" w:sz="8" w:space="0" w:color="000000"/>
              <w:left w:val="nil"/>
              <w:bottom w:val="single" w:sz="12" w:space="0" w:color="000000"/>
              <w:right w:val="nil"/>
            </w:tcBorders>
            <w:shd w:val="clear" w:color="auto" w:fill="auto"/>
            <w:vAlign w:val="center"/>
            <w:hideMark/>
          </w:tcPr>
          <w:p w14:paraId="18D0B947" w14:textId="77777777" w:rsidR="00AA7440" w:rsidRPr="00AA7440" w:rsidRDefault="00AA7440" w:rsidP="00AA7440">
            <w:pPr>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Net Cost of Services</w:t>
            </w:r>
          </w:p>
        </w:tc>
        <w:tc>
          <w:tcPr>
            <w:tcW w:w="1559" w:type="dxa"/>
            <w:tcBorders>
              <w:top w:val="single" w:sz="8" w:space="0" w:color="000000"/>
              <w:left w:val="nil"/>
              <w:bottom w:val="single" w:sz="12" w:space="0" w:color="000000"/>
              <w:right w:val="nil"/>
            </w:tcBorders>
            <w:shd w:val="clear" w:color="auto" w:fill="auto"/>
            <w:vAlign w:val="center"/>
            <w:hideMark/>
          </w:tcPr>
          <w:p w14:paraId="1A609231" w14:textId="58B0EB64" w:rsidR="00AA7440" w:rsidRPr="00AA7440" w:rsidRDefault="00142460" w:rsidP="00AA7440">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282,528</w:t>
            </w:r>
          </w:p>
        </w:tc>
        <w:tc>
          <w:tcPr>
            <w:tcW w:w="1559" w:type="dxa"/>
            <w:tcBorders>
              <w:top w:val="single" w:sz="8" w:space="0" w:color="000000"/>
              <w:left w:val="nil"/>
              <w:bottom w:val="single" w:sz="12" w:space="0" w:color="000000"/>
              <w:right w:val="nil"/>
            </w:tcBorders>
            <w:shd w:val="clear" w:color="auto" w:fill="auto"/>
            <w:vAlign w:val="center"/>
            <w:hideMark/>
          </w:tcPr>
          <w:p w14:paraId="05D51A86" w14:textId="2DEDC6AE" w:rsidR="00AA7440" w:rsidRPr="00AA7440" w:rsidRDefault="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(1</w:t>
            </w:r>
            <w:r w:rsidR="007C5EF1">
              <w:rPr>
                <w:rFonts w:eastAsia="Times New Roman" w:cs="Calibri"/>
                <w:b/>
                <w:bCs/>
                <w:color w:val="000000"/>
                <w:sz w:val="16"/>
                <w:szCs w:val="16"/>
                <w:lang w:val="en-GB" w:eastAsia="en-GB"/>
              </w:rPr>
              <w:t>9,0</w:t>
            </w:r>
            <w:r w:rsidR="00142460">
              <w:rPr>
                <w:rFonts w:eastAsia="Times New Roman" w:cs="Calibri"/>
                <w:b/>
                <w:bCs/>
                <w:color w:val="000000"/>
                <w:sz w:val="16"/>
                <w:szCs w:val="16"/>
                <w:lang w:val="en-GB" w:eastAsia="en-GB"/>
              </w:rPr>
              <w:t>59</w:t>
            </w:r>
            <w:r w:rsidRPr="00AA7440">
              <w:rPr>
                <w:rFonts w:eastAsia="Times New Roman" w:cs="Calibri"/>
                <w:b/>
                <w:bCs/>
                <w:color w:val="000000"/>
                <w:sz w:val="16"/>
                <w:szCs w:val="16"/>
                <w:lang w:val="en-GB" w:eastAsia="en-GB"/>
              </w:rPr>
              <w:t>)</w:t>
            </w:r>
          </w:p>
        </w:tc>
        <w:tc>
          <w:tcPr>
            <w:tcW w:w="1486" w:type="dxa"/>
            <w:tcBorders>
              <w:top w:val="single" w:sz="8" w:space="0" w:color="000000"/>
              <w:left w:val="nil"/>
              <w:bottom w:val="single" w:sz="12" w:space="0" w:color="000000"/>
              <w:right w:val="nil"/>
            </w:tcBorders>
            <w:shd w:val="clear" w:color="auto" w:fill="auto"/>
            <w:vAlign w:val="center"/>
            <w:hideMark/>
          </w:tcPr>
          <w:p w14:paraId="5B674D69" w14:textId="26539B64" w:rsidR="00AA7440" w:rsidRPr="00AA7440" w:rsidRDefault="00142460" w:rsidP="00AB60F7">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263,469</w:t>
            </w:r>
          </w:p>
        </w:tc>
      </w:tr>
      <w:tr w:rsidR="00AA7440" w:rsidRPr="00AA7440" w14:paraId="1F6DC064" w14:textId="77777777" w:rsidTr="0041394A">
        <w:trPr>
          <w:trHeight w:hRule="exact" w:val="177"/>
          <w:jc w:val="center"/>
        </w:trPr>
        <w:tc>
          <w:tcPr>
            <w:tcW w:w="1504" w:type="dxa"/>
            <w:tcBorders>
              <w:top w:val="nil"/>
              <w:left w:val="nil"/>
              <w:bottom w:val="nil"/>
              <w:right w:val="nil"/>
            </w:tcBorders>
            <w:shd w:val="clear" w:color="auto" w:fill="auto"/>
            <w:vAlign w:val="center"/>
            <w:hideMark/>
          </w:tcPr>
          <w:p w14:paraId="30590C2F"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 xml:space="preserve"> </w:t>
            </w:r>
          </w:p>
        </w:tc>
        <w:tc>
          <w:tcPr>
            <w:tcW w:w="1304" w:type="dxa"/>
            <w:tcBorders>
              <w:top w:val="nil"/>
              <w:left w:val="nil"/>
              <w:bottom w:val="nil"/>
              <w:right w:val="nil"/>
            </w:tcBorders>
            <w:shd w:val="clear" w:color="auto" w:fill="auto"/>
            <w:vAlign w:val="center"/>
            <w:hideMark/>
          </w:tcPr>
          <w:p w14:paraId="6335227E"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 xml:space="preserve"> </w:t>
            </w:r>
          </w:p>
        </w:tc>
        <w:tc>
          <w:tcPr>
            <w:tcW w:w="1269" w:type="dxa"/>
            <w:tcBorders>
              <w:top w:val="nil"/>
              <w:left w:val="nil"/>
              <w:bottom w:val="nil"/>
              <w:right w:val="nil"/>
            </w:tcBorders>
            <w:shd w:val="clear" w:color="auto" w:fill="auto"/>
            <w:vAlign w:val="center"/>
            <w:hideMark/>
          </w:tcPr>
          <w:p w14:paraId="08791731"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 xml:space="preserve"> </w:t>
            </w:r>
          </w:p>
        </w:tc>
        <w:tc>
          <w:tcPr>
            <w:tcW w:w="5279" w:type="dxa"/>
            <w:tcBorders>
              <w:top w:val="nil"/>
              <w:left w:val="nil"/>
              <w:bottom w:val="nil"/>
              <w:right w:val="nil"/>
            </w:tcBorders>
            <w:shd w:val="clear" w:color="auto" w:fill="auto"/>
            <w:vAlign w:val="center"/>
            <w:hideMark/>
          </w:tcPr>
          <w:p w14:paraId="287B56FE" w14:textId="77777777" w:rsidR="00AA7440" w:rsidRPr="00AA7440" w:rsidRDefault="00AA7440" w:rsidP="00AA7440">
            <w:pPr>
              <w:jc w:val="center"/>
              <w:rPr>
                <w:rFonts w:eastAsia="Times New Roman" w:cs="Calibri"/>
                <w:color w:val="000000"/>
                <w:sz w:val="2"/>
                <w:szCs w:val="2"/>
                <w:lang w:val="en-GB" w:eastAsia="en-GB"/>
              </w:rPr>
            </w:pPr>
            <w:r w:rsidRPr="00AA7440">
              <w:rPr>
                <w:rFonts w:eastAsia="Times New Roman" w:cs="Calibri"/>
                <w:color w:val="000000"/>
                <w:sz w:val="2"/>
                <w:szCs w:val="2"/>
                <w:lang w:val="en-GB" w:eastAsia="en-GB"/>
              </w:rPr>
              <w:t xml:space="preserve"> </w:t>
            </w:r>
          </w:p>
        </w:tc>
        <w:tc>
          <w:tcPr>
            <w:tcW w:w="1559" w:type="dxa"/>
            <w:tcBorders>
              <w:top w:val="nil"/>
              <w:left w:val="nil"/>
              <w:bottom w:val="nil"/>
              <w:right w:val="nil"/>
            </w:tcBorders>
            <w:shd w:val="clear" w:color="auto" w:fill="auto"/>
            <w:vAlign w:val="center"/>
            <w:hideMark/>
          </w:tcPr>
          <w:p w14:paraId="1EC51DDA" w14:textId="77777777" w:rsidR="00AA7440" w:rsidRPr="00AA7440" w:rsidRDefault="00AA7440" w:rsidP="00AA7440">
            <w:pPr>
              <w:jc w:val="center"/>
              <w:rPr>
                <w:rFonts w:eastAsia="Times New Roman" w:cs="Calibri"/>
                <w:color w:val="000000"/>
                <w:sz w:val="2"/>
                <w:szCs w:val="2"/>
                <w:lang w:val="en-GB" w:eastAsia="en-GB"/>
              </w:rPr>
            </w:pPr>
            <w:r w:rsidRPr="00AA7440">
              <w:rPr>
                <w:rFonts w:eastAsia="Times New Roman" w:cs="Calibri"/>
                <w:color w:val="000000"/>
                <w:sz w:val="2"/>
                <w:szCs w:val="2"/>
                <w:lang w:val="en-GB" w:eastAsia="en-GB"/>
              </w:rPr>
              <w:t xml:space="preserve"> </w:t>
            </w:r>
          </w:p>
        </w:tc>
        <w:tc>
          <w:tcPr>
            <w:tcW w:w="1559" w:type="dxa"/>
            <w:tcBorders>
              <w:top w:val="nil"/>
              <w:left w:val="nil"/>
              <w:bottom w:val="nil"/>
              <w:right w:val="nil"/>
            </w:tcBorders>
            <w:shd w:val="clear" w:color="auto" w:fill="auto"/>
            <w:vAlign w:val="center"/>
            <w:hideMark/>
          </w:tcPr>
          <w:p w14:paraId="0B16E3EE" w14:textId="77777777" w:rsidR="00AA7440" w:rsidRPr="00AA7440" w:rsidRDefault="00AA7440" w:rsidP="00AA7440">
            <w:pPr>
              <w:jc w:val="center"/>
              <w:rPr>
                <w:rFonts w:eastAsia="Times New Roman" w:cs="Calibri"/>
                <w:color w:val="000000"/>
                <w:sz w:val="2"/>
                <w:szCs w:val="2"/>
                <w:lang w:val="en-GB" w:eastAsia="en-GB"/>
              </w:rPr>
            </w:pPr>
            <w:r w:rsidRPr="00AA7440">
              <w:rPr>
                <w:rFonts w:eastAsia="Times New Roman" w:cs="Calibri"/>
                <w:color w:val="000000"/>
                <w:sz w:val="2"/>
                <w:szCs w:val="2"/>
                <w:lang w:val="en-GB" w:eastAsia="en-GB"/>
              </w:rPr>
              <w:t xml:space="preserve"> </w:t>
            </w:r>
          </w:p>
        </w:tc>
        <w:tc>
          <w:tcPr>
            <w:tcW w:w="1486" w:type="dxa"/>
            <w:tcBorders>
              <w:top w:val="nil"/>
              <w:left w:val="nil"/>
              <w:bottom w:val="nil"/>
              <w:right w:val="nil"/>
            </w:tcBorders>
            <w:shd w:val="clear" w:color="auto" w:fill="auto"/>
            <w:vAlign w:val="center"/>
            <w:hideMark/>
          </w:tcPr>
          <w:p w14:paraId="0832C9A0" w14:textId="77777777" w:rsidR="00AA7440" w:rsidRPr="00AA7440" w:rsidRDefault="00AA7440" w:rsidP="00AA7440">
            <w:pPr>
              <w:jc w:val="center"/>
              <w:rPr>
                <w:rFonts w:eastAsia="Times New Roman" w:cs="Calibri"/>
                <w:color w:val="000000"/>
                <w:sz w:val="2"/>
                <w:szCs w:val="2"/>
                <w:lang w:val="en-GB" w:eastAsia="en-GB"/>
              </w:rPr>
            </w:pPr>
            <w:r w:rsidRPr="00AA7440">
              <w:rPr>
                <w:rFonts w:eastAsia="Times New Roman" w:cs="Calibri"/>
                <w:color w:val="000000"/>
                <w:sz w:val="2"/>
                <w:szCs w:val="2"/>
                <w:lang w:val="en-GB" w:eastAsia="en-GB"/>
              </w:rPr>
              <w:t xml:space="preserve"> </w:t>
            </w:r>
          </w:p>
        </w:tc>
      </w:tr>
      <w:tr w:rsidR="00AA7440" w:rsidRPr="00AA7440" w14:paraId="04558248" w14:textId="77777777" w:rsidTr="0041394A">
        <w:trPr>
          <w:trHeight w:val="169"/>
          <w:jc w:val="center"/>
        </w:trPr>
        <w:tc>
          <w:tcPr>
            <w:tcW w:w="1504" w:type="dxa"/>
            <w:tcBorders>
              <w:top w:val="nil"/>
              <w:left w:val="nil"/>
              <w:bottom w:val="nil"/>
              <w:right w:val="nil"/>
            </w:tcBorders>
            <w:shd w:val="clear" w:color="auto" w:fill="auto"/>
            <w:vAlign w:val="center"/>
            <w:hideMark/>
          </w:tcPr>
          <w:p w14:paraId="507A77D2"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(14)</w:t>
            </w:r>
          </w:p>
        </w:tc>
        <w:tc>
          <w:tcPr>
            <w:tcW w:w="1304" w:type="dxa"/>
            <w:tcBorders>
              <w:top w:val="nil"/>
              <w:left w:val="nil"/>
              <w:bottom w:val="nil"/>
              <w:right w:val="nil"/>
            </w:tcBorders>
            <w:shd w:val="clear" w:color="auto" w:fill="auto"/>
            <w:vAlign w:val="center"/>
            <w:hideMark/>
          </w:tcPr>
          <w:p w14:paraId="055395AC"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269" w:type="dxa"/>
            <w:tcBorders>
              <w:top w:val="nil"/>
              <w:left w:val="nil"/>
              <w:bottom w:val="nil"/>
              <w:right w:val="nil"/>
            </w:tcBorders>
            <w:shd w:val="clear" w:color="auto" w:fill="auto"/>
            <w:vAlign w:val="center"/>
            <w:hideMark/>
          </w:tcPr>
          <w:p w14:paraId="72A1ADEA"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(14)</w:t>
            </w:r>
          </w:p>
        </w:tc>
        <w:tc>
          <w:tcPr>
            <w:tcW w:w="5279" w:type="dxa"/>
            <w:tcBorders>
              <w:top w:val="nil"/>
              <w:left w:val="nil"/>
              <w:bottom w:val="nil"/>
              <w:right w:val="nil"/>
            </w:tcBorders>
            <w:shd w:val="clear" w:color="auto" w:fill="auto"/>
            <w:vAlign w:val="center"/>
            <w:hideMark/>
          </w:tcPr>
          <w:p w14:paraId="3F99E052" w14:textId="77777777" w:rsidR="00AA7440" w:rsidRPr="00AA7440" w:rsidRDefault="00AA7440" w:rsidP="00AA7440">
            <w:pPr>
              <w:rPr>
                <w:rFonts w:eastAsia="Times New Roman" w:cs="Calibri"/>
                <w:color w:val="000000"/>
                <w:sz w:val="16"/>
                <w:szCs w:val="16"/>
                <w:lang w:val="en-GB" w:eastAsia="en-GB"/>
              </w:rPr>
            </w:pPr>
            <w:r w:rsidRPr="00AA7440">
              <w:rPr>
                <w:rFonts w:eastAsia="Times New Roman" w:cs="Calibri"/>
                <w:color w:val="000000"/>
                <w:sz w:val="16"/>
                <w:szCs w:val="16"/>
                <w:lang w:val="en-GB" w:eastAsia="en-GB"/>
              </w:rPr>
              <w:t>Other Operating Expenditure</w:t>
            </w:r>
          </w:p>
        </w:tc>
        <w:tc>
          <w:tcPr>
            <w:tcW w:w="1559" w:type="dxa"/>
            <w:tcBorders>
              <w:top w:val="nil"/>
              <w:left w:val="nil"/>
              <w:bottom w:val="nil"/>
              <w:right w:val="nil"/>
            </w:tcBorders>
            <w:shd w:val="clear" w:color="auto" w:fill="auto"/>
            <w:vAlign w:val="center"/>
            <w:hideMark/>
          </w:tcPr>
          <w:p w14:paraId="0D3F7C70" w14:textId="707D0CD0" w:rsidR="00AA7440" w:rsidRPr="00AA7440" w:rsidRDefault="00774FFA" w:rsidP="00AA7440">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556</w:t>
            </w:r>
          </w:p>
        </w:tc>
        <w:tc>
          <w:tcPr>
            <w:tcW w:w="1559" w:type="dxa"/>
            <w:tcBorders>
              <w:top w:val="nil"/>
              <w:left w:val="nil"/>
              <w:bottom w:val="nil"/>
              <w:right w:val="nil"/>
            </w:tcBorders>
            <w:shd w:val="clear" w:color="auto" w:fill="auto"/>
            <w:vAlign w:val="center"/>
            <w:hideMark/>
          </w:tcPr>
          <w:p w14:paraId="57959593"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486" w:type="dxa"/>
            <w:tcBorders>
              <w:top w:val="nil"/>
              <w:left w:val="nil"/>
              <w:bottom w:val="nil"/>
              <w:right w:val="nil"/>
            </w:tcBorders>
            <w:shd w:val="clear" w:color="auto" w:fill="auto"/>
            <w:vAlign w:val="center"/>
            <w:hideMark/>
          </w:tcPr>
          <w:p w14:paraId="20980DC8" w14:textId="08617E54" w:rsidR="00AA7440" w:rsidRPr="00AA7440" w:rsidRDefault="00774FFA" w:rsidP="00AA7440">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556</w:t>
            </w:r>
          </w:p>
        </w:tc>
      </w:tr>
      <w:tr w:rsidR="00AA7440" w:rsidRPr="00AA7440" w14:paraId="07B2F568" w14:textId="77777777" w:rsidTr="0041394A">
        <w:trPr>
          <w:trHeight w:val="237"/>
          <w:jc w:val="center"/>
        </w:trPr>
        <w:tc>
          <w:tcPr>
            <w:tcW w:w="1504" w:type="dxa"/>
            <w:tcBorders>
              <w:top w:val="nil"/>
              <w:left w:val="nil"/>
              <w:bottom w:val="nil"/>
              <w:right w:val="nil"/>
            </w:tcBorders>
            <w:shd w:val="clear" w:color="auto" w:fill="auto"/>
            <w:vAlign w:val="center"/>
            <w:hideMark/>
          </w:tcPr>
          <w:p w14:paraId="5F73C8B7"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397</w:t>
            </w:r>
          </w:p>
        </w:tc>
        <w:tc>
          <w:tcPr>
            <w:tcW w:w="1304" w:type="dxa"/>
            <w:tcBorders>
              <w:top w:val="nil"/>
              <w:left w:val="nil"/>
              <w:bottom w:val="nil"/>
              <w:right w:val="nil"/>
            </w:tcBorders>
            <w:shd w:val="clear" w:color="auto" w:fill="auto"/>
            <w:vAlign w:val="center"/>
            <w:hideMark/>
          </w:tcPr>
          <w:p w14:paraId="77E7F609"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(275)</w:t>
            </w:r>
          </w:p>
        </w:tc>
        <w:tc>
          <w:tcPr>
            <w:tcW w:w="1269" w:type="dxa"/>
            <w:tcBorders>
              <w:top w:val="nil"/>
              <w:left w:val="nil"/>
              <w:bottom w:val="nil"/>
              <w:right w:val="nil"/>
            </w:tcBorders>
            <w:shd w:val="clear" w:color="auto" w:fill="auto"/>
            <w:vAlign w:val="center"/>
            <w:hideMark/>
          </w:tcPr>
          <w:p w14:paraId="18D6A425"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122</w:t>
            </w:r>
          </w:p>
        </w:tc>
        <w:tc>
          <w:tcPr>
            <w:tcW w:w="5279" w:type="dxa"/>
            <w:tcBorders>
              <w:top w:val="nil"/>
              <w:left w:val="nil"/>
              <w:bottom w:val="nil"/>
              <w:right w:val="nil"/>
            </w:tcBorders>
            <w:shd w:val="clear" w:color="auto" w:fill="auto"/>
            <w:vAlign w:val="center"/>
            <w:hideMark/>
          </w:tcPr>
          <w:p w14:paraId="7D63D011" w14:textId="1F380C3F" w:rsidR="00AA7440" w:rsidRPr="00AA7440" w:rsidRDefault="00AA7440">
            <w:pPr>
              <w:rPr>
                <w:rFonts w:eastAsia="Times New Roman" w:cs="Calibri"/>
                <w:color w:val="000000"/>
                <w:sz w:val="16"/>
                <w:szCs w:val="16"/>
                <w:lang w:val="en-GB" w:eastAsia="en-GB"/>
              </w:rPr>
            </w:pPr>
            <w:r w:rsidRPr="00AA7440">
              <w:rPr>
                <w:rFonts w:eastAsia="Times New Roman" w:cs="Calibri"/>
                <w:color w:val="000000"/>
                <w:sz w:val="16"/>
                <w:szCs w:val="16"/>
                <w:lang w:val="en-GB" w:eastAsia="en-GB"/>
              </w:rPr>
              <w:t xml:space="preserve">Financing and Investment Income </w:t>
            </w:r>
            <w:r w:rsidR="00951A60">
              <w:rPr>
                <w:rFonts w:eastAsia="Times New Roman" w:cs="Calibri"/>
                <w:color w:val="000000"/>
                <w:sz w:val="16"/>
                <w:szCs w:val="16"/>
                <w:lang w:val="en-GB" w:eastAsia="en-GB"/>
              </w:rPr>
              <w:t>&amp;</w:t>
            </w:r>
            <w:r w:rsidR="00951A60" w:rsidRPr="00AA7440">
              <w:rPr>
                <w:rFonts w:eastAsia="Times New Roman" w:cs="Calibri"/>
                <w:color w:val="000000"/>
                <w:sz w:val="16"/>
                <w:szCs w:val="16"/>
                <w:lang w:val="en-GB" w:eastAsia="en-GB"/>
              </w:rPr>
              <w:t xml:space="preserve"> </w:t>
            </w:r>
            <w:r w:rsidRPr="00AA7440">
              <w:rPr>
                <w:rFonts w:eastAsia="Times New Roman" w:cs="Calibri"/>
                <w:color w:val="000000"/>
                <w:sz w:val="16"/>
                <w:szCs w:val="16"/>
                <w:lang w:val="en-GB" w:eastAsia="en-GB"/>
              </w:rPr>
              <w:t>Expenditure</w:t>
            </w:r>
          </w:p>
        </w:tc>
        <w:tc>
          <w:tcPr>
            <w:tcW w:w="1559" w:type="dxa"/>
            <w:tcBorders>
              <w:top w:val="nil"/>
              <w:left w:val="nil"/>
              <w:bottom w:val="nil"/>
              <w:right w:val="nil"/>
            </w:tcBorders>
            <w:shd w:val="clear" w:color="auto" w:fill="auto"/>
            <w:vAlign w:val="center"/>
            <w:hideMark/>
          </w:tcPr>
          <w:p w14:paraId="793217F4"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464</w:t>
            </w:r>
          </w:p>
        </w:tc>
        <w:tc>
          <w:tcPr>
            <w:tcW w:w="1559" w:type="dxa"/>
            <w:tcBorders>
              <w:top w:val="nil"/>
              <w:left w:val="nil"/>
              <w:bottom w:val="nil"/>
              <w:right w:val="nil"/>
            </w:tcBorders>
            <w:shd w:val="clear" w:color="auto" w:fill="auto"/>
            <w:vAlign w:val="center"/>
            <w:hideMark/>
          </w:tcPr>
          <w:p w14:paraId="11CDEE8B"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(103)</w:t>
            </w:r>
          </w:p>
        </w:tc>
        <w:tc>
          <w:tcPr>
            <w:tcW w:w="1486" w:type="dxa"/>
            <w:tcBorders>
              <w:top w:val="nil"/>
              <w:left w:val="nil"/>
              <w:bottom w:val="nil"/>
              <w:right w:val="nil"/>
            </w:tcBorders>
            <w:shd w:val="clear" w:color="auto" w:fill="auto"/>
            <w:vAlign w:val="center"/>
            <w:hideMark/>
          </w:tcPr>
          <w:p w14:paraId="24450A90"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361</w:t>
            </w:r>
          </w:p>
        </w:tc>
      </w:tr>
      <w:tr w:rsidR="00AA7440" w:rsidRPr="00AA7440" w14:paraId="2D2A696D" w14:textId="77777777" w:rsidTr="0041394A">
        <w:trPr>
          <w:trHeight w:val="245"/>
          <w:jc w:val="center"/>
        </w:trPr>
        <w:tc>
          <w:tcPr>
            <w:tcW w:w="1504" w:type="dxa"/>
            <w:tcBorders>
              <w:top w:val="nil"/>
              <w:left w:val="nil"/>
              <w:bottom w:val="nil"/>
              <w:right w:val="nil"/>
            </w:tcBorders>
            <w:shd w:val="clear" w:color="auto" w:fill="auto"/>
            <w:vAlign w:val="center"/>
            <w:hideMark/>
          </w:tcPr>
          <w:p w14:paraId="777D4802"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304" w:type="dxa"/>
            <w:tcBorders>
              <w:top w:val="nil"/>
              <w:left w:val="nil"/>
              <w:bottom w:val="nil"/>
              <w:right w:val="nil"/>
            </w:tcBorders>
            <w:shd w:val="clear" w:color="auto" w:fill="auto"/>
            <w:vAlign w:val="center"/>
            <w:hideMark/>
          </w:tcPr>
          <w:p w14:paraId="1C405B88"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(252,817)</w:t>
            </w:r>
          </w:p>
        </w:tc>
        <w:tc>
          <w:tcPr>
            <w:tcW w:w="1269" w:type="dxa"/>
            <w:tcBorders>
              <w:top w:val="nil"/>
              <w:left w:val="nil"/>
              <w:bottom w:val="nil"/>
              <w:right w:val="nil"/>
            </w:tcBorders>
            <w:shd w:val="clear" w:color="auto" w:fill="auto"/>
            <w:vAlign w:val="center"/>
            <w:hideMark/>
          </w:tcPr>
          <w:p w14:paraId="6C042BF9"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(252,817)</w:t>
            </w:r>
          </w:p>
        </w:tc>
        <w:tc>
          <w:tcPr>
            <w:tcW w:w="5279" w:type="dxa"/>
            <w:tcBorders>
              <w:top w:val="nil"/>
              <w:left w:val="nil"/>
              <w:bottom w:val="nil"/>
              <w:right w:val="nil"/>
            </w:tcBorders>
            <w:shd w:val="clear" w:color="auto" w:fill="auto"/>
            <w:vAlign w:val="center"/>
            <w:hideMark/>
          </w:tcPr>
          <w:p w14:paraId="7717D8CE" w14:textId="77777777" w:rsidR="00AA7440" w:rsidRPr="00AA7440" w:rsidRDefault="00AA7440" w:rsidP="00AA7440">
            <w:pPr>
              <w:rPr>
                <w:rFonts w:eastAsia="Times New Roman" w:cs="Calibri"/>
                <w:color w:val="000000"/>
                <w:sz w:val="16"/>
                <w:szCs w:val="16"/>
                <w:lang w:val="en-GB" w:eastAsia="en-GB"/>
              </w:rPr>
            </w:pPr>
            <w:r w:rsidRPr="00AA7440">
              <w:rPr>
                <w:rFonts w:eastAsia="Times New Roman" w:cs="Calibri"/>
                <w:color w:val="000000"/>
                <w:sz w:val="16"/>
                <w:szCs w:val="16"/>
                <w:lang w:val="en-GB" w:eastAsia="en-GB"/>
              </w:rPr>
              <w:t>Taxation and Non Specific Grant Income</w:t>
            </w:r>
          </w:p>
        </w:tc>
        <w:tc>
          <w:tcPr>
            <w:tcW w:w="1559" w:type="dxa"/>
            <w:tcBorders>
              <w:top w:val="nil"/>
              <w:left w:val="nil"/>
              <w:bottom w:val="nil"/>
              <w:right w:val="nil"/>
            </w:tcBorders>
            <w:shd w:val="clear" w:color="auto" w:fill="auto"/>
            <w:vAlign w:val="center"/>
            <w:hideMark/>
          </w:tcPr>
          <w:p w14:paraId="68E53FA9"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0</w:t>
            </w:r>
          </w:p>
        </w:tc>
        <w:tc>
          <w:tcPr>
            <w:tcW w:w="1559" w:type="dxa"/>
            <w:tcBorders>
              <w:top w:val="nil"/>
              <w:left w:val="nil"/>
              <w:bottom w:val="nil"/>
              <w:right w:val="nil"/>
            </w:tcBorders>
            <w:shd w:val="clear" w:color="auto" w:fill="auto"/>
            <w:vAlign w:val="center"/>
            <w:hideMark/>
          </w:tcPr>
          <w:p w14:paraId="3DC814BB" w14:textId="1768F2C6" w:rsidR="00AA7440" w:rsidRPr="00AA7440" w:rsidRDefault="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(26</w:t>
            </w:r>
            <w:r w:rsidR="00774FFA">
              <w:rPr>
                <w:rFonts w:eastAsia="Times New Roman" w:cs="Calibri"/>
                <w:color w:val="000000"/>
                <w:sz w:val="16"/>
                <w:szCs w:val="16"/>
                <w:lang w:val="en-GB" w:eastAsia="en-GB"/>
              </w:rPr>
              <w:t>0</w:t>
            </w:r>
            <w:r w:rsidRPr="00AA7440">
              <w:rPr>
                <w:rFonts w:eastAsia="Times New Roman" w:cs="Calibri"/>
                <w:color w:val="000000"/>
                <w:sz w:val="16"/>
                <w:szCs w:val="16"/>
                <w:lang w:val="en-GB" w:eastAsia="en-GB"/>
              </w:rPr>
              <w:t>,</w:t>
            </w:r>
            <w:r w:rsidR="00774FFA">
              <w:rPr>
                <w:rFonts w:eastAsia="Times New Roman" w:cs="Calibri"/>
                <w:color w:val="000000"/>
                <w:sz w:val="16"/>
                <w:szCs w:val="16"/>
                <w:lang w:val="en-GB" w:eastAsia="en-GB"/>
              </w:rPr>
              <w:t>342</w:t>
            </w:r>
            <w:r w:rsidRPr="00AA7440">
              <w:rPr>
                <w:rFonts w:eastAsia="Times New Roman" w:cs="Calibri"/>
                <w:color w:val="000000"/>
                <w:sz w:val="16"/>
                <w:szCs w:val="16"/>
                <w:lang w:val="en-GB" w:eastAsia="en-GB"/>
              </w:rPr>
              <w:t>)</w:t>
            </w:r>
          </w:p>
        </w:tc>
        <w:tc>
          <w:tcPr>
            <w:tcW w:w="1486" w:type="dxa"/>
            <w:tcBorders>
              <w:top w:val="nil"/>
              <w:left w:val="nil"/>
              <w:bottom w:val="nil"/>
              <w:right w:val="nil"/>
            </w:tcBorders>
            <w:shd w:val="clear" w:color="auto" w:fill="auto"/>
            <w:vAlign w:val="center"/>
            <w:hideMark/>
          </w:tcPr>
          <w:p w14:paraId="3FD017B6" w14:textId="3036516D"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(26</w:t>
            </w:r>
            <w:r w:rsidR="00774FFA">
              <w:rPr>
                <w:rFonts w:eastAsia="Times New Roman" w:cs="Calibri"/>
                <w:color w:val="000000"/>
                <w:sz w:val="16"/>
                <w:szCs w:val="16"/>
                <w:lang w:val="en-GB" w:eastAsia="en-GB"/>
              </w:rPr>
              <w:t>0,342</w:t>
            </w:r>
            <w:r w:rsidRPr="00AA7440">
              <w:rPr>
                <w:rFonts w:eastAsia="Times New Roman" w:cs="Calibri"/>
                <w:color w:val="000000"/>
                <w:sz w:val="16"/>
                <w:szCs w:val="16"/>
                <w:lang w:val="en-GB" w:eastAsia="en-GB"/>
              </w:rPr>
              <w:t>)</w:t>
            </w:r>
          </w:p>
        </w:tc>
      </w:tr>
      <w:tr w:rsidR="00AA7440" w:rsidRPr="00AA7440" w14:paraId="52C6A3AF" w14:textId="77777777" w:rsidTr="0041394A">
        <w:trPr>
          <w:trHeight w:val="245"/>
          <w:jc w:val="center"/>
        </w:trPr>
        <w:tc>
          <w:tcPr>
            <w:tcW w:w="1504" w:type="dxa"/>
            <w:tcBorders>
              <w:top w:val="single" w:sz="8" w:space="0" w:color="000000"/>
              <w:left w:val="nil"/>
              <w:bottom w:val="single" w:sz="12" w:space="0" w:color="000000"/>
              <w:right w:val="nil"/>
            </w:tcBorders>
            <w:shd w:val="clear" w:color="auto" w:fill="auto"/>
            <w:vAlign w:val="center"/>
            <w:hideMark/>
          </w:tcPr>
          <w:p w14:paraId="4F1B38F0" w14:textId="77777777"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268,081</w:t>
            </w:r>
          </w:p>
        </w:tc>
        <w:tc>
          <w:tcPr>
            <w:tcW w:w="1304" w:type="dxa"/>
            <w:tcBorders>
              <w:top w:val="single" w:sz="8" w:space="0" w:color="000000"/>
              <w:left w:val="nil"/>
              <w:bottom w:val="single" w:sz="12" w:space="0" w:color="000000"/>
              <w:right w:val="nil"/>
            </w:tcBorders>
            <w:shd w:val="clear" w:color="auto" w:fill="auto"/>
            <w:vAlign w:val="center"/>
            <w:hideMark/>
          </w:tcPr>
          <w:p w14:paraId="62642DD2" w14:textId="77777777"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(267,236)</w:t>
            </w:r>
          </w:p>
        </w:tc>
        <w:tc>
          <w:tcPr>
            <w:tcW w:w="1269" w:type="dxa"/>
            <w:tcBorders>
              <w:top w:val="single" w:sz="8" w:space="0" w:color="000000"/>
              <w:left w:val="nil"/>
              <w:bottom w:val="single" w:sz="12" w:space="0" w:color="000000"/>
              <w:right w:val="nil"/>
            </w:tcBorders>
            <w:shd w:val="clear" w:color="auto" w:fill="auto"/>
            <w:vAlign w:val="center"/>
            <w:hideMark/>
          </w:tcPr>
          <w:p w14:paraId="383EBAF0" w14:textId="77777777"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845</w:t>
            </w:r>
          </w:p>
        </w:tc>
        <w:tc>
          <w:tcPr>
            <w:tcW w:w="5279" w:type="dxa"/>
            <w:tcBorders>
              <w:top w:val="single" w:sz="8" w:space="0" w:color="000000"/>
              <w:left w:val="nil"/>
              <w:bottom w:val="single" w:sz="12" w:space="0" w:color="000000"/>
              <w:right w:val="nil"/>
            </w:tcBorders>
            <w:shd w:val="clear" w:color="auto" w:fill="auto"/>
            <w:vAlign w:val="center"/>
            <w:hideMark/>
          </w:tcPr>
          <w:p w14:paraId="5996675F" w14:textId="7D579337" w:rsidR="00AA7440" w:rsidRPr="00AA7440" w:rsidRDefault="005503D2" w:rsidP="00AA7440">
            <w:pPr>
              <w:rPr>
                <w:rFonts w:eastAsia="Times New Roman" w:cs="Calibri"/>
                <w:b/>
                <w:bCs/>
                <w:color w:val="000000"/>
                <w:sz w:val="16"/>
                <w:szCs w:val="16"/>
                <w:lang w:val="en-GB" w:eastAsia="en-GB"/>
              </w:rPr>
            </w:pPr>
            <w:r>
              <w:rPr>
                <w:rFonts w:eastAsia="Times New Roman" w:cs="Calibri"/>
                <w:b/>
                <w:bCs/>
                <w:color w:val="000000"/>
                <w:sz w:val="16"/>
                <w:szCs w:val="16"/>
                <w:lang w:val="en-GB" w:eastAsia="en-GB"/>
              </w:rPr>
              <w:t>(</w:t>
            </w:r>
            <w:r w:rsidR="00AA7440" w:rsidRPr="00AA7440">
              <w:rPr>
                <w:rFonts w:eastAsia="Times New Roman" w:cs="Calibri"/>
                <w:b/>
                <w:bCs/>
                <w:color w:val="000000"/>
                <w:sz w:val="16"/>
                <w:szCs w:val="16"/>
                <w:lang w:val="en-GB" w:eastAsia="en-GB"/>
              </w:rPr>
              <w:t>Surplus</w:t>
            </w:r>
            <w:r>
              <w:rPr>
                <w:rFonts w:eastAsia="Times New Roman" w:cs="Calibri"/>
                <w:b/>
                <w:bCs/>
                <w:color w:val="000000"/>
                <w:sz w:val="16"/>
                <w:szCs w:val="16"/>
                <w:lang w:val="en-GB" w:eastAsia="en-GB"/>
              </w:rPr>
              <w:t>)</w:t>
            </w:r>
            <w:r w:rsidR="00AA7440" w:rsidRPr="00AA7440">
              <w:rPr>
                <w:rFonts w:eastAsia="Times New Roman" w:cs="Calibri"/>
                <w:b/>
                <w:bCs/>
                <w:color w:val="000000"/>
                <w:sz w:val="16"/>
                <w:szCs w:val="16"/>
                <w:lang w:val="en-GB" w:eastAsia="en-GB"/>
              </w:rPr>
              <w:t xml:space="preserve"> or Deficit on Provision of Services</w:t>
            </w:r>
          </w:p>
        </w:tc>
        <w:tc>
          <w:tcPr>
            <w:tcW w:w="1559" w:type="dxa"/>
            <w:tcBorders>
              <w:top w:val="single" w:sz="8" w:space="0" w:color="000000"/>
              <w:left w:val="nil"/>
              <w:bottom w:val="single" w:sz="12" w:space="0" w:color="000000"/>
              <w:right w:val="nil"/>
            </w:tcBorders>
            <w:shd w:val="clear" w:color="auto" w:fill="auto"/>
            <w:vAlign w:val="center"/>
            <w:hideMark/>
          </w:tcPr>
          <w:p w14:paraId="7A088DB6" w14:textId="2EDE7E9E" w:rsidR="00AA7440" w:rsidRPr="00AA7440" w:rsidRDefault="00142460" w:rsidP="00AA7440">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283,548</w:t>
            </w:r>
          </w:p>
        </w:tc>
        <w:tc>
          <w:tcPr>
            <w:tcW w:w="1559" w:type="dxa"/>
            <w:tcBorders>
              <w:top w:val="single" w:sz="8" w:space="0" w:color="000000"/>
              <w:left w:val="nil"/>
              <w:bottom w:val="single" w:sz="12" w:space="0" w:color="000000"/>
              <w:right w:val="nil"/>
            </w:tcBorders>
            <w:shd w:val="clear" w:color="auto" w:fill="auto"/>
            <w:vAlign w:val="center"/>
            <w:hideMark/>
          </w:tcPr>
          <w:p w14:paraId="35317608" w14:textId="6CF4416C" w:rsidR="00AA7440" w:rsidRPr="00AA7440" w:rsidRDefault="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w:t>
            </w:r>
            <w:r w:rsidR="0099694F">
              <w:rPr>
                <w:rFonts w:eastAsia="Times New Roman" w:cs="Calibri"/>
                <w:b/>
                <w:bCs/>
                <w:color w:val="000000"/>
                <w:sz w:val="16"/>
                <w:szCs w:val="16"/>
                <w:lang w:val="en-GB" w:eastAsia="en-GB"/>
              </w:rPr>
              <w:t>279,504</w:t>
            </w:r>
            <w:r w:rsidRPr="00AA7440">
              <w:rPr>
                <w:rFonts w:eastAsia="Times New Roman" w:cs="Calibri"/>
                <w:b/>
                <w:bCs/>
                <w:color w:val="000000"/>
                <w:sz w:val="16"/>
                <w:szCs w:val="16"/>
                <w:lang w:val="en-GB" w:eastAsia="en-GB"/>
              </w:rPr>
              <w:t>)</w:t>
            </w:r>
          </w:p>
        </w:tc>
        <w:tc>
          <w:tcPr>
            <w:tcW w:w="1486" w:type="dxa"/>
            <w:tcBorders>
              <w:top w:val="single" w:sz="8" w:space="0" w:color="000000"/>
              <w:left w:val="nil"/>
              <w:bottom w:val="single" w:sz="12" w:space="0" w:color="000000"/>
              <w:right w:val="nil"/>
            </w:tcBorders>
            <w:shd w:val="clear" w:color="auto" w:fill="auto"/>
            <w:vAlign w:val="center"/>
            <w:hideMark/>
          </w:tcPr>
          <w:p w14:paraId="4589CE92" w14:textId="272565A4" w:rsidR="00AA7440" w:rsidRPr="00AA7440" w:rsidRDefault="00142460" w:rsidP="00AA7440">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4,044</w:t>
            </w:r>
          </w:p>
        </w:tc>
      </w:tr>
      <w:tr w:rsidR="00AA7440" w:rsidRPr="00AA7440" w14:paraId="07780930" w14:textId="77777777" w:rsidTr="0041394A">
        <w:trPr>
          <w:trHeight w:hRule="exact" w:val="177"/>
          <w:jc w:val="center"/>
        </w:trPr>
        <w:tc>
          <w:tcPr>
            <w:tcW w:w="1504" w:type="dxa"/>
            <w:tcBorders>
              <w:top w:val="nil"/>
              <w:left w:val="nil"/>
              <w:bottom w:val="nil"/>
              <w:right w:val="nil"/>
            </w:tcBorders>
            <w:shd w:val="clear" w:color="auto" w:fill="auto"/>
            <w:vAlign w:val="center"/>
            <w:hideMark/>
          </w:tcPr>
          <w:p w14:paraId="298258F3"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304" w:type="dxa"/>
            <w:tcBorders>
              <w:top w:val="nil"/>
              <w:left w:val="nil"/>
              <w:bottom w:val="nil"/>
              <w:right w:val="nil"/>
            </w:tcBorders>
            <w:shd w:val="clear" w:color="auto" w:fill="auto"/>
            <w:vAlign w:val="center"/>
            <w:hideMark/>
          </w:tcPr>
          <w:p w14:paraId="089B3D18"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269" w:type="dxa"/>
            <w:tcBorders>
              <w:top w:val="nil"/>
              <w:left w:val="nil"/>
              <w:bottom w:val="nil"/>
              <w:right w:val="nil"/>
            </w:tcBorders>
            <w:shd w:val="clear" w:color="auto" w:fill="auto"/>
            <w:vAlign w:val="center"/>
            <w:hideMark/>
          </w:tcPr>
          <w:p w14:paraId="46837AE4"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5279" w:type="dxa"/>
            <w:tcBorders>
              <w:top w:val="nil"/>
              <w:left w:val="nil"/>
              <w:bottom w:val="nil"/>
              <w:right w:val="nil"/>
            </w:tcBorders>
            <w:shd w:val="clear" w:color="auto" w:fill="auto"/>
            <w:vAlign w:val="center"/>
            <w:hideMark/>
          </w:tcPr>
          <w:p w14:paraId="3D0E4702"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559" w:type="dxa"/>
            <w:tcBorders>
              <w:top w:val="nil"/>
              <w:left w:val="nil"/>
              <w:bottom w:val="nil"/>
              <w:right w:val="nil"/>
            </w:tcBorders>
            <w:shd w:val="clear" w:color="auto" w:fill="auto"/>
            <w:vAlign w:val="center"/>
            <w:hideMark/>
          </w:tcPr>
          <w:p w14:paraId="67C6EAD2"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559" w:type="dxa"/>
            <w:tcBorders>
              <w:top w:val="nil"/>
              <w:left w:val="nil"/>
              <w:bottom w:val="nil"/>
              <w:right w:val="nil"/>
            </w:tcBorders>
            <w:shd w:val="clear" w:color="auto" w:fill="auto"/>
            <w:vAlign w:val="center"/>
            <w:hideMark/>
          </w:tcPr>
          <w:p w14:paraId="552B64FC"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486" w:type="dxa"/>
            <w:tcBorders>
              <w:top w:val="nil"/>
              <w:left w:val="nil"/>
              <w:bottom w:val="nil"/>
              <w:right w:val="nil"/>
            </w:tcBorders>
            <w:shd w:val="clear" w:color="auto" w:fill="auto"/>
            <w:vAlign w:val="center"/>
            <w:hideMark/>
          </w:tcPr>
          <w:p w14:paraId="7CCE0A8F"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r>
      <w:tr w:rsidR="00AA7440" w:rsidRPr="00AA7440" w14:paraId="011CB39B" w14:textId="77777777" w:rsidTr="0041394A">
        <w:trPr>
          <w:trHeight w:val="237"/>
          <w:jc w:val="center"/>
        </w:trPr>
        <w:tc>
          <w:tcPr>
            <w:tcW w:w="1504" w:type="dxa"/>
            <w:tcBorders>
              <w:top w:val="nil"/>
              <w:left w:val="nil"/>
              <w:bottom w:val="nil"/>
              <w:right w:val="nil"/>
            </w:tcBorders>
            <w:shd w:val="clear" w:color="auto" w:fill="auto"/>
            <w:vAlign w:val="center"/>
            <w:hideMark/>
          </w:tcPr>
          <w:p w14:paraId="23052605" w14:textId="77777777" w:rsidR="00AA7440" w:rsidRPr="00AA7440" w:rsidRDefault="00AA7440" w:rsidP="00AA7440">
            <w:pPr>
              <w:jc w:val="center"/>
              <w:rPr>
                <w:rFonts w:eastAsia="Times New Roman" w:cs="Calibri"/>
                <w:color w:val="000000"/>
                <w:sz w:val="2"/>
                <w:szCs w:val="2"/>
                <w:lang w:val="en-GB" w:eastAsia="en-GB"/>
              </w:rPr>
            </w:pPr>
            <w:r w:rsidRPr="00AA7440">
              <w:rPr>
                <w:rFonts w:eastAsia="Times New Roman" w:cs="Calibri"/>
                <w:color w:val="000000"/>
                <w:sz w:val="2"/>
                <w:szCs w:val="2"/>
                <w:lang w:val="en-GB" w:eastAsia="en-GB"/>
              </w:rPr>
              <w:t xml:space="preserve"> </w:t>
            </w:r>
          </w:p>
        </w:tc>
        <w:tc>
          <w:tcPr>
            <w:tcW w:w="1304" w:type="dxa"/>
            <w:tcBorders>
              <w:top w:val="nil"/>
              <w:left w:val="nil"/>
              <w:bottom w:val="nil"/>
              <w:right w:val="nil"/>
            </w:tcBorders>
            <w:shd w:val="clear" w:color="auto" w:fill="auto"/>
            <w:vAlign w:val="center"/>
            <w:hideMark/>
          </w:tcPr>
          <w:p w14:paraId="17904E68" w14:textId="77777777" w:rsidR="00AA7440" w:rsidRPr="00AA7440" w:rsidRDefault="00AA7440" w:rsidP="00AA7440">
            <w:pPr>
              <w:jc w:val="center"/>
              <w:rPr>
                <w:rFonts w:eastAsia="Times New Roman" w:cs="Calibri"/>
                <w:color w:val="000000"/>
                <w:sz w:val="2"/>
                <w:szCs w:val="2"/>
                <w:lang w:val="en-GB" w:eastAsia="en-GB"/>
              </w:rPr>
            </w:pPr>
            <w:r w:rsidRPr="00AA7440">
              <w:rPr>
                <w:rFonts w:eastAsia="Times New Roman" w:cs="Calibri"/>
                <w:color w:val="000000"/>
                <w:sz w:val="2"/>
                <w:szCs w:val="2"/>
                <w:lang w:val="en-GB" w:eastAsia="en-GB"/>
              </w:rPr>
              <w:t xml:space="preserve"> </w:t>
            </w:r>
          </w:p>
        </w:tc>
        <w:tc>
          <w:tcPr>
            <w:tcW w:w="1269" w:type="dxa"/>
            <w:tcBorders>
              <w:top w:val="nil"/>
              <w:left w:val="nil"/>
              <w:bottom w:val="nil"/>
              <w:right w:val="nil"/>
            </w:tcBorders>
            <w:shd w:val="clear" w:color="auto" w:fill="auto"/>
            <w:vAlign w:val="center"/>
            <w:hideMark/>
          </w:tcPr>
          <w:p w14:paraId="161CB54A"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(9,459)</w:t>
            </w:r>
          </w:p>
        </w:tc>
        <w:tc>
          <w:tcPr>
            <w:tcW w:w="5279" w:type="dxa"/>
            <w:tcBorders>
              <w:top w:val="nil"/>
              <w:left w:val="nil"/>
              <w:bottom w:val="nil"/>
              <w:right w:val="nil"/>
            </w:tcBorders>
            <w:shd w:val="clear" w:color="auto" w:fill="auto"/>
            <w:vAlign w:val="center"/>
            <w:hideMark/>
          </w:tcPr>
          <w:p w14:paraId="666392A0" w14:textId="60B91B6B" w:rsidR="00AA7440" w:rsidRPr="00AA7440" w:rsidRDefault="00AA7440" w:rsidP="00AA7440">
            <w:pPr>
              <w:rPr>
                <w:rFonts w:eastAsia="Times New Roman" w:cs="Calibri"/>
                <w:color w:val="000000"/>
                <w:sz w:val="16"/>
                <w:szCs w:val="16"/>
                <w:lang w:val="en-GB" w:eastAsia="en-GB"/>
              </w:rPr>
            </w:pPr>
            <w:r w:rsidRPr="00AA7440">
              <w:rPr>
                <w:rFonts w:eastAsia="Times New Roman" w:cs="Calibri"/>
                <w:color w:val="000000"/>
                <w:sz w:val="16"/>
                <w:szCs w:val="16"/>
                <w:lang w:val="en-GB" w:eastAsia="en-GB"/>
              </w:rPr>
              <w:t>Surplus</w:t>
            </w:r>
            <w:r w:rsidR="00951A60">
              <w:rPr>
                <w:rFonts w:eastAsia="Times New Roman" w:cs="Calibri"/>
                <w:color w:val="000000"/>
                <w:sz w:val="16"/>
                <w:szCs w:val="16"/>
                <w:lang w:val="en-GB" w:eastAsia="en-GB"/>
              </w:rPr>
              <w:t>/</w:t>
            </w:r>
            <w:r w:rsidRPr="00AA7440">
              <w:rPr>
                <w:rFonts w:eastAsia="Times New Roman" w:cs="Calibri"/>
                <w:color w:val="000000"/>
                <w:sz w:val="16"/>
                <w:szCs w:val="16"/>
                <w:lang w:val="en-GB" w:eastAsia="en-GB"/>
              </w:rPr>
              <w:t>deficit on revaluation of Property, Plant and Equipment</w:t>
            </w:r>
          </w:p>
        </w:tc>
        <w:tc>
          <w:tcPr>
            <w:tcW w:w="1559" w:type="dxa"/>
            <w:tcBorders>
              <w:top w:val="nil"/>
              <w:left w:val="nil"/>
              <w:bottom w:val="nil"/>
              <w:right w:val="nil"/>
            </w:tcBorders>
            <w:shd w:val="clear" w:color="auto" w:fill="auto"/>
            <w:vAlign w:val="center"/>
            <w:hideMark/>
          </w:tcPr>
          <w:p w14:paraId="14FCED8D" w14:textId="77777777" w:rsidR="00AA7440" w:rsidRPr="00AA7440" w:rsidRDefault="00AA7440" w:rsidP="00AA7440">
            <w:pPr>
              <w:jc w:val="center"/>
              <w:rPr>
                <w:rFonts w:eastAsia="Times New Roman" w:cs="Calibri"/>
                <w:color w:val="000000"/>
                <w:sz w:val="2"/>
                <w:szCs w:val="2"/>
                <w:lang w:val="en-GB" w:eastAsia="en-GB"/>
              </w:rPr>
            </w:pPr>
            <w:r w:rsidRPr="00AA7440">
              <w:rPr>
                <w:rFonts w:eastAsia="Times New Roman" w:cs="Calibri"/>
                <w:color w:val="000000"/>
                <w:sz w:val="2"/>
                <w:szCs w:val="2"/>
                <w:lang w:val="en-GB" w:eastAsia="en-GB"/>
              </w:rPr>
              <w:t xml:space="preserve"> </w:t>
            </w:r>
          </w:p>
        </w:tc>
        <w:tc>
          <w:tcPr>
            <w:tcW w:w="1559" w:type="dxa"/>
            <w:tcBorders>
              <w:top w:val="nil"/>
              <w:left w:val="nil"/>
              <w:bottom w:val="nil"/>
              <w:right w:val="nil"/>
            </w:tcBorders>
            <w:shd w:val="clear" w:color="auto" w:fill="auto"/>
            <w:vAlign w:val="center"/>
            <w:hideMark/>
          </w:tcPr>
          <w:p w14:paraId="46320381" w14:textId="77777777" w:rsidR="00AA7440" w:rsidRPr="00AA7440" w:rsidRDefault="00AA7440" w:rsidP="00AA7440">
            <w:pPr>
              <w:jc w:val="center"/>
              <w:rPr>
                <w:rFonts w:eastAsia="Times New Roman" w:cs="Calibri"/>
                <w:color w:val="000000"/>
                <w:sz w:val="2"/>
                <w:szCs w:val="2"/>
                <w:lang w:val="en-GB" w:eastAsia="en-GB"/>
              </w:rPr>
            </w:pPr>
            <w:r w:rsidRPr="00AA7440">
              <w:rPr>
                <w:rFonts w:eastAsia="Times New Roman" w:cs="Calibri"/>
                <w:color w:val="000000"/>
                <w:sz w:val="2"/>
                <w:szCs w:val="2"/>
                <w:lang w:val="en-GB" w:eastAsia="en-GB"/>
              </w:rPr>
              <w:t xml:space="preserve"> </w:t>
            </w:r>
          </w:p>
        </w:tc>
        <w:tc>
          <w:tcPr>
            <w:tcW w:w="1486" w:type="dxa"/>
            <w:tcBorders>
              <w:top w:val="nil"/>
              <w:left w:val="nil"/>
              <w:bottom w:val="nil"/>
              <w:right w:val="nil"/>
            </w:tcBorders>
            <w:shd w:val="clear" w:color="auto" w:fill="auto"/>
            <w:vAlign w:val="center"/>
            <w:hideMark/>
          </w:tcPr>
          <w:p w14:paraId="07BD3812"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(2,330)</w:t>
            </w:r>
          </w:p>
        </w:tc>
      </w:tr>
      <w:tr w:rsidR="00AA7440" w:rsidRPr="00AA7440" w14:paraId="7782DBB9" w14:textId="77777777" w:rsidTr="0041394A">
        <w:trPr>
          <w:trHeight w:val="245"/>
          <w:jc w:val="center"/>
        </w:trPr>
        <w:tc>
          <w:tcPr>
            <w:tcW w:w="1504" w:type="dxa"/>
            <w:tcBorders>
              <w:top w:val="nil"/>
              <w:left w:val="nil"/>
              <w:bottom w:val="nil"/>
              <w:right w:val="nil"/>
            </w:tcBorders>
            <w:shd w:val="clear" w:color="auto" w:fill="auto"/>
            <w:vAlign w:val="center"/>
            <w:hideMark/>
          </w:tcPr>
          <w:p w14:paraId="4522E31A"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304" w:type="dxa"/>
            <w:tcBorders>
              <w:top w:val="nil"/>
              <w:left w:val="nil"/>
              <w:bottom w:val="nil"/>
              <w:right w:val="nil"/>
            </w:tcBorders>
            <w:shd w:val="clear" w:color="auto" w:fill="auto"/>
            <w:vAlign w:val="center"/>
            <w:hideMark/>
          </w:tcPr>
          <w:p w14:paraId="666F3336"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269" w:type="dxa"/>
            <w:tcBorders>
              <w:top w:val="nil"/>
              <w:left w:val="nil"/>
              <w:bottom w:val="nil"/>
              <w:right w:val="nil"/>
            </w:tcBorders>
            <w:shd w:val="clear" w:color="auto" w:fill="auto"/>
            <w:vAlign w:val="center"/>
            <w:hideMark/>
          </w:tcPr>
          <w:p w14:paraId="530C90F5" w14:textId="77777777" w:rsidR="00AA7440" w:rsidRPr="00AA7440" w:rsidRDefault="00AA7440" w:rsidP="00AA7440">
            <w:pPr>
              <w:jc w:val="right"/>
              <w:rPr>
                <w:rFonts w:eastAsia="Times New Roman" w:cs="Calibri"/>
                <w:color w:val="000000"/>
                <w:sz w:val="16"/>
                <w:szCs w:val="16"/>
                <w:lang w:val="en-GB" w:eastAsia="en-GB"/>
              </w:rPr>
            </w:pPr>
            <w:r w:rsidRPr="00AA7440">
              <w:rPr>
                <w:rFonts w:eastAsia="Times New Roman" w:cs="Calibri"/>
                <w:color w:val="000000"/>
                <w:sz w:val="16"/>
                <w:szCs w:val="16"/>
                <w:lang w:val="en-GB" w:eastAsia="en-GB"/>
              </w:rPr>
              <w:t>1,262</w:t>
            </w:r>
          </w:p>
        </w:tc>
        <w:tc>
          <w:tcPr>
            <w:tcW w:w="5279" w:type="dxa"/>
            <w:tcBorders>
              <w:top w:val="nil"/>
              <w:left w:val="nil"/>
              <w:bottom w:val="nil"/>
              <w:right w:val="nil"/>
            </w:tcBorders>
            <w:shd w:val="clear" w:color="auto" w:fill="auto"/>
            <w:vAlign w:val="center"/>
            <w:hideMark/>
          </w:tcPr>
          <w:p w14:paraId="2421E7E3" w14:textId="6BD2E394" w:rsidR="00AA7440" w:rsidRPr="00AA7440" w:rsidRDefault="00AA7440">
            <w:pPr>
              <w:rPr>
                <w:rFonts w:eastAsia="Times New Roman" w:cs="Calibri"/>
                <w:color w:val="000000"/>
                <w:sz w:val="16"/>
                <w:szCs w:val="16"/>
                <w:lang w:val="en-GB" w:eastAsia="en-GB"/>
              </w:rPr>
            </w:pPr>
            <w:r w:rsidRPr="00AA7440">
              <w:rPr>
                <w:rFonts w:eastAsia="Times New Roman" w:cs="Calibri"/>
                <w:color w:val="000000"/>
                <w:sz w:val="16"/>
                <w:szCs w:val="16"/>
                <w:lang w:val="en-GB" w:eastAsia="en-GB"/>
              </w:rPr>
              <w:t>Re-measurement of net defined benefit liability/asset</w:t>
            </w:r>
          </w:p>
        </w:tc>
        <w:tc>
          <w:tcPr>
            <w:tcW w:w="1559" w:type="dxa"/>
            <w:tcBorders>
              <w:top w:val="nil"/>
              <w:left w:val="nil"/>
              <w:bottom w:val="nil"/>
              <w:right w:val="nil"/>
            </w:tcBorders>
            <w:shd w:val="clear" w:color="auto" w:fill="auto"/>
            <w:vAlign w:val="center"/>
            <w:hideMark/>
          </w:tcPr>
          <w:p w14:paraId="43C9C3FC" w14:textId="77777777" w:rsidR="00AA7440" w:rsidRPr="00AA7440" w:rsidRDefault="00AA7440" w:rsidP="00AA7440">
            <w:pPr>
              <w:jc w:val="center"/>
              <w:rPr>
                <w:rFonts w:eastAsia="Times New Roman" w:cs="Calibri"/>
                <w:color w:val="000000"/>
                <w:sz w:val="2"/>
                <w:szCs w:val="2"/>
                <w:lang w:val="en-GB" w:eastAsia="en-GB"/>
              </w:rPr>
            </w:pPr>
            <w:r w:rsidRPr="00AA7440">
              <w:rPr>
                <w:rFonts w:eastAsia="Times New Roman" w:cs="Calibri"/>
                <w:color w:val="000000"/>
                <w:sz w:val="2"/>
                <w:szCs w:val="2"/>
                <w:lang w:val="en-GB" w:eastAsia="en-GB"/>
              </w:rPr>
              <w:t xml:space="preserve"> </w:t>
            </w:r>
          </w:p>
        </w:tc>
        <w:tc>
          <w:tcPr>
            <w:tcW w:w="1559" w:type="dxa"/>
            <w:tcBorders>
              <w:top w:val="nil"/>
              <w:left w:val="nil"/>
              <w:bottom w:val="nil"/>
              <w:right w:val="nil"/>
            </w:tcBorders>
            <w:shd w:val="clear" w:color="auto" w:fill="auto"/>
            <w:vAlign w:val="center"/>
            <w:hideMark/>
          </w:tcPr>
          <w:p w14:paraId="2E707031" w14:textId="77777777" w:rsidR="00AA7440" w:rsidRPr="00AA7440" w:rsidRDefault="00AA7440" w:rsidP="00AA7440">
            <w:pPr>
              <w:jc w:val="center"/>
              <w:rPr>
                <w:rFonts w:eastAsia="Times New Roman" w:cs="Calibri"/>
                <w:color w:val="000000"/>
                <w:sz w:val="2"/>
                <w:szCs w:val="2"/>
                <w:lang w:val="en-GB" w:eastAsia="en-GB"/>
              </w:rPr>
            </w:pPr>
            <w:r w:rsidRPr="00AA7440">
              <w:rPr>
                <w:rFonts w:eastAsia="Times New Roman" w:cs="Calibri"/>
                <w:color w:val="000000"/>
                <w:sz w:val="2"/>
                <w:szCs w:val="2"/>
                <w:lang w:val="en-GB" w:eastAsia="en-GB"/>
              </w:rPr>
              <w:t xml:space="preserve"> </w:t>
            </w:r>
          </w:p>
        </w:tc>
        <w:tc>
          <w:tcPr>
            <w:tcW w:w="1486" w:type="dxa"/>
            <w:tcBorders>
              <w:top w:val="nil"/>
              <w:left w:val="nil"/>
              <w:bottom w:val="nil"/>
              <w:right w:val="nil"/>
            </w:tcBorders>
            <w:shd w:val="clear" w:color="auto" w:fill="auto"/>
            <w:vAlign w:val="center"/>
            <w:hideMark/>
          </w:tcPr>
          <w:p w14:paraId="2A8CD2E1" w14:textId="77777777" w:rsidR="00AA7440" w:rsidRPr="00AA7440" w:rsidRDefault="00BA7A2B" w:rsidP="00AA7440">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924</w:t>
            </w:r>
          </w:p>
        </w:tc>
      </w:tr>
      <w:tr w:rsidR="00AA7440" w:rsidRPr="00AA7440" w14:paraId="3FA5232C" w14:textId="77777777" w:rsidTr="0041394A">
        <w:trPr>
          <w:trHeight w:val="245"/>
          <w:jc w:val="center"/>
        </w:trPr>
        <w:tc>
          <w:tcPr>
            <w:tcW w:w="1504" w:type="dxa"/>
            <w:tcBorders>
              <w:top w:val="nil"/>
              <w:left w:val="nil"/>
              <w:bottom w:val="nil"/>
              <w:right w:val="nil"/>
            </w:tcBorders>
            <w:shd w:val="clear" w:color="auto" w:fill="auto"/>
            <w:vAlign w:val="center"/>
            <w:hideMark/>
          </w:tcPr>
          <w:p w14:paraId="72344E2D"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304" w:type="dxa"/>
            <w:tcBorders>
              <w:top w:val="nil"/>
              <w:left w:val="nil"/>
              <w:bottom w:val="nil"/>
              <w:right w:val="nil"/>
            </w:tcBorders>
            <w:shd w:val="clear" w:color="auto" w:fill="auto"/>
            <w:vAlign w:val="center"/>
            <w:hideMark/>
          </w:tcPr>
          <w:p w14:paraId="5BA80BDB"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269" w:type="dxa"/>
            <w:tcBorders>
              <w:top w:val="single" w:sz="8" w:space="0" w:color="000000"/>
              <w:left w:val="nil"/>
              <w:bottom w:val="single" w:sz="12" w:space="0" w:color="000000"/>
              <w:right w:val="nil"/>
            </w:tcBorders>
            <w:shd w:val="clear" w:color="auto" w:fill="auto"/>
            <w:vAlign w:val="center"/>
            <w:hideMark/>
          </w:tcPr>
          <w:p w14:paraId="58DBC5F8" w14:textId="77777777"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(8,197)</w:t>
            </w:r>
          </w:p>
        </w:tc>
        <w:tc>
          <w:tcPr>
            <w:tcW w:w="5279" w:type="dxa"/>
            <w:tcBorders>
              <w:top w:val="single" w:sz="8" w:space="0" w:color="000000"/>
              <w:left w:val="nil"/>
              <w:bottom w:val="single" w:sz="12" w:space="0" w:color="000000"/>
              <w:right w:val="nil"/>
            </w:tcBorders>
            <w:shd w:val="clear" w:color="auto" w:fill="auto"/>
            <w:vAlign w:val="center"/>
            <w:hideMark/>
          </w:tcPr>
          <w:p w14:paraId="0246AD24" w14:textId="14718A4C" w:rsidR="00AA7440" w:rsidRPr="00AA7440" w:rsidRDefault="00AA7440">
            <w:pPr>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 xml:space="preserve">Other Comprehensive Income </w:t>
            </w:r>
            <w:r w:rsidR="00951A60">
              <w:rPr>
                <w:rFonts w:eastAsia="Times New Roman" w:cs="Calibri"/>
                <w:b/>
                <w:bCs/>
                <w:color w:val="000000"/>
                <w:sz w:val="16"/>
                <w:szCs w:val="16"/>
                <w:lang w:val="en-GB" w:eastAsia="en-GB"/>
              </w:rPr>
              <w:t>&amp;</w:t>
            </w:r>
            <w:r w:rsidR="00951A60" w:rsidRPr="00AA7440">
              <w:rPr>
                <w:rFonts w:eastAsia="Times New Roman" w:cs="Calibri"/>
                <w:b/>
                <w:bCs/>
                <w:color w:val="000000"/>
                <w:sz w:val="16"/>
                <w:szCs w:val="16"/>
                <w:lang w:val="en-GB" w:eastAsia="en-GB"/>
              </w:rPr>
              <w:t xml:space="preserve"> </w:t>
            </w:r>
            <w:r w:rsidRPr="00AA7440">
              <w:rPr>
                <w:rFonts w:eastAsia="Times New Roman" w:cs="Calibri"/>
                <w:b/>
                <w:bCs/>
                <w:color w:val="000000"/>
                <w:sz w:val="16"/>
                <w:szCs w:val="16"/>
                <w:lang w:val="en-GB" w:eastAsia="en-GB"/>
              </w:rPr>
              <w:t>Expenditure</w:t>
            </w:r>
          </w:p>
        </w:tc>
        <w:tc>
          <w:tcPr>
            <w:tcW w:w="1559" w:type="dxa"/>
            <w:tcBorders>
              <w:top w:val="nil"/>
              <w:left w:val="nil"/>
              <w:bottom w:val="nil"/>
              <w:right w:val="nil"/>
            </w:tcBorders>
            <w:shd w:val="clear" w:color="auto" w:fill="auto"/>
            <w:vAlign w:val="center"/>
            <w:hideMark/>
          </w:tcPr>
          <w:p w14:paraId="6C6CDCB9"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559" w:type="dxa"/>
            <w:tcBorders>
              <w:top w:val="nil"/>
              <w:left w:val="nil"/>
              <w:bottom w:val="nil"/>
              <w:right w:val="nil"/>
            </w:tcBorders>
            <w:shd w:val="clear" w:color="auto" w:fill="auto"/>
            <w:vAlign w:val="center"/>
            <w:hideMark/>
          </w:tcPr>
          <w:p w14:paraId="275C8A37"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486" w:type="dxa"/>
            <w:tcBorders>
              <w:top w:val="single" w:sz="8" w:space="0" w:color="000000"/>
              <w:left w:val="nil"/>
              <w:bottom w:val="single" w:sz="12" w:space="0" w:color="000000"/>
              <w:right w:val="nil"/>
            </w:tcBorders>
            <w:shd w:val="clear" w:color="auto" w:fill="auto"/>
            <w:vAlign w:val="center"/>
            <w:hideMark/>
          </w:tcPr>
          <w:p w14:paraId="242F24D7" w14:textId="77777777" w:rsidR="00AA7440" w:rsidRPr="00AA7440" w:rsidRDefault="00FC3148" w:rsidP="00AA7440">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(1,406</w:t>
            </w:r>
            <w:r w:rsidR="00AA7440" w:rsidRPr="00AA7440">
              <w:rPr>
                <w:rFonts w:eastAsia="Times New Roman" w:cs="Calibri"/>
                <w:b/>
                <w:bCs/>
                <w:color w:val="000000"/>
                <w:sz w:val="16"/>
                <w:szCs w:val="16"/>
                <w:lang w:val="en-GB" w:eastAsia="en-GB"/>
              </w:rPr>
              <w:t>)</w:t>
            </w:r>
          </w:p>
        </w:tc>
      </w:tr>
      <w:tr w:rsidR="00AA7440" w:rsidRPr="00AA7440" w14:paraId="34E704FE" w14:textId="77777777" w:rsidTr="0041394A">
        <w:trPr>
          <w:trHeight w:hRule="exact" w:val="186"/>
          <w:jc w:val="center"/>
        </w:trPr>
        <w:tc>
          <w:tcPr>
            <w:tcW w:w="1504" w:type="dxa"/>
            <w:tcBorders>
              <w:top w:val="nil"/>
              <w:left w:val="nil"/>
              <w:bottom w:val="nil"/>
              <w:right w:val="nil"/>
            </w:tcBorders>
            <w:shd w:val="clear" w:color="auto" w:fill="auto"/>
            <w:vAlign w:val="center"/>
            <w:hideMark/>
          </w:tcPr>
          <w:p w14:paraId="3D432B5F"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304" w:type="dxa"/>
            <w:tcBorders>
              <w:top w:val="nil"/>
              <w:left w:val="nil"/>
              <w:bottom w:val="nil"/>
              <w:right w:val="nil"/>
            </w:tcBorders>
            <w:shd w:val="clear" w:color="auto" w:fill="auto"/>
            <w:vAlign w:val="center"/>
            <w:hideMark/>
          </w:tcPr>
          <w:p w14:paraId="54E3B3ED"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269" w:type="dxa"/>
            <w:tcBorders>
              <w:top w:val="nil"/>
              <w:left w:val="nil"/>
              <w:bottom w:val="nil"/>
              <w:right w:val="nil"/>
            </w:tcBorders>
            <w:shd w:val="clear" w:color="auto" w:fill="auto"/>
            <w:vAlign w:val="center"/>
            <w:hideMark/>
          </w:tcPr>
          <w:p w14:paraId="3E7A71D3"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5279" w:type="dxa"/>
            <w:tcBorders>
              <w:top w:val="nil"/>
              <w:left w:val="nil"/>
              <w:bottom w:val="nil"/>
              <w:right w:val="nil"/>
            </w:tcBorders>
            <w:shd w:val="clear" w:color="auto" w:fill="auto"/>
            <w:vAlign w:val="center"/>
            <w:hideMark/>
          </w:tcPr>
          <w:p w14:paraId="7A6D869D"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559" w:type="dxa"/>
            <w:tcBorders>
              <w:top w:val="nil"/>
              <w:left w:val="nil"/>
              <w:bottom w:val="nil"/>
              <w:right w:val="nil"/>
            </w:tcBorders>
            <w:shd w:val="clear" w:color="auto" w:fill="auto"/>
            <w:vAlign w:val="center"/>
            <w:hideMark/>
          </w:tcPr>
          <w:p w14:paraId="56D22281"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559" w:type="dxa"/>
            <w:tcBorders>
              <w:top w:val="nil"/>
              <w:left w:val="nil"/>
              <w:bottom w:val="nil"/>
              <w:right w:val="nil"/>
            </w:tcBorders>
            <w:shd w:val="clear" w:color="auto" w:fill="auto"/>
            <w:vAlign w:val="center"/>
            <w:hideMark/>
          </w:tcPr>
          <w:p w14:paraId="5682973D"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486" w:type="dxa"/>
            <w:tcBorders>
              <w:top w:val="nil"/>
              <w:left w:val="nil"/>
              <w:bottom w:val="nil"/>
              <w:right w:val="nil"/>
            </w:tcBorders>
            <w:shd w:val="clear" w:color="auto" w:fill="auto"/>
            <w:vAlign w:val="center"/>
            <w:hideMark/>
          </w:tcPr>
          <w:p w14:paraId="6AF0D9F9" w14:textId="77777777" w:rsidR="00AA7440" w:rsidRPr="00AA7440" w:rsidRDefault="00AA7440" w:rsidP="00AA7440">
            <w:pPr>
              <w:jc w:val="center"/>
              <w:rPr>
                <w:rFonts w:ascii="Calibri" w:eastAsia="Times New Roman" w:hAnsi="Calibri" w:cs="Calibri"/>
                <w:color w:val="000000"/>
                <w:sz w:val="2"/>
                <w:szCs w:val="2"/>
                <w:lang w:val="en-GB" w:eastAsia="en-GB"/>
              </w:rPr>
            </w:pPr>
          </w:p>
        </w:tc>
      </w:tr>
      <w:tr w:rsidR="00AA7440" w:rsidRPr="00AA7440" w14:paraId="050FC2AD" w14:textId="77777777" w:rsidTr="0041394A">
        <w:trPr>
          <w:trHeight w:val="245"/>
          <w:jc w:val="center"/>
        </w:trPr>
        <w:tc>
          <w:tcPr>
            <w:tcW w:w="1504" w:type="dxa"/>
            <w:tcBorders>
              <w:top w:val="nil"/>
              <w:left w:val="nil"/>
              <w:bottom w:val="nil"/>
              <w:right w:val="nil"/>
            </w:tcBorders>
            <w:shd w:val="clear" w:color="auto" w:fill="auto"/>
            <w:vAlign w:val="center"/>
            <w:hideMark/>
          </w:tcPr>
          <w:p w14:paraId="1DB74E88"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304" w:type="dxa"/>
            <w:tcBorders>
              <w:top w:val="nil"/>
              <w:left w:val="nil"/>
              <w:bottom w:val="nil"/>
              <w:right w:val="nil"/>
            </w:tcBorders>
            <w:shd w:val="clear" w:color="auto" w:fill="auto"/>
            <w:vAlign w:val="center"/>
            <w:hideMark/>
          </w:tcPr>
          <w:p w14:paraId="1C4C6B1C"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269" w:type="dxa"/>
            <w:tcBorders>
              <w:top w:val="single" w:sz="8" w:space="0" w:color="000000"/>
              <w:left w:val="nil"/>
              <w:bottom w:val="single" w:sz="12" w:space="0" w:color="000000"/>
              <w:right w:val="nil"/>
            </w:tcBorders>
            <w:shd w:val="clear" w:color="auto" w:fill="auto"/>
            <w:vAlign w:val="center"/>
            <w:hideMark/>
          </w:tcPr>
          <w:p w14:paraId="3AB5D163" w14:textId="77777777" w:rsidR="00AA7440" w:rsidRPr="00AA7440" w:rsidRDefault="00AA7440" w:rsidP="00AA7440">
            <w:pPr>
              <w:jc w:val="right"/>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(7,352)</w:t>
            </w:r>
          </w:p>
        </w:tc>
        <w:tc>
          <w:tcPr>
            <w:tcW w:w="5279" w:type="dxa"/>
            <w:tcBorders>
              <w:top w:val="single" w:sz="8" w:space="0" w:color="000000"/>
              <w:left w:val="nil"/>
              <w:bottom w:val="single" w:sz="12" w:space="0" w:color="000000"/>
              <w:right w:val="nil"/>
            </w:tcBorders>
            <w:shd w:val="clear" w:color="auto" w:fill="auto"/>
            <w:vAlign w:val="center"/>
            <w:hideMark/>
          </w:tcPr>
          <w:p w14:paraId="6C2E8FFD" w14:textId="62D3496B" w:rsidR="00AA7440" w:rsidRPr="00AA7440" w:rsidRDefault="00AA7440">
            <w:pPr>
              <w:rPr>
                <w:rFonts w:eastAsia="Times New Roman" w:cs="Calibri"/>
                <w:b/>
                <w:bCs/>
                <w:color w:val="000000"/>
                <w:sz w:val="16"/>
                <w:szCs w:val="16"/>
                <w:lang w:val="en-GB" w:eastAsia="en-GB"/>
              </w:rPr>
            </w:pPr>
            <w:r w:rsidRPr="00AA7440">
              <w:rPr>
                <w:rFonts w:eastAsia="Times New Roman" w:cs="Calibri"/>
                <w:b/>
                <w:bCs/>
                <w:color w:val="000000"/>
                <w:sz w:val="16"/>
                <w:szCs w:val="16"/>
                <w:lang w:val="en-GB" w:eastAsia="en-GB"/>
              </w:rPr>
              <w:t xml:space="preserve">Total Comprehensive Income </w:t>
            </w:r>
            <w:r w:rsidR="00951A60">
              <w:rPr>
                <w:rFonts w:eastAsia="Times New Roman" w:cs="Calibri"/>
                <w:b/>
                <w:bCs/>
                <w:color w:val="000000"/>
                <w:sz w:val="16"/>
                <w:szCs w:val="16"/>
                <w:lang w:val="en-GB" w:eastAsia="en-GB"/>
              </w:rPr>
              <w:t>&amp;</w:t>
            </w:r>
            <w:r w:rsidR="00951A60" w:rsidRPr="00AA7440">
              <w:rPr>
                <w:rFonts w:eastAsia="Times New Roman" w:cs="Calibri"/>
                <w:b/>
                <w:bCs/>
                <w:color w:val="000000"/>
                <w:sz w:val="16"/>
                <w:szCs w:val="16"/>
                <w:lang w:val="en-GB" w:eastAsia="en-GB"/>
              </w:rPr>
              <w:t xml:space="preserve"> </w:t>
            </w:r>
            <w:r w:rsidRPr="00AA7440">
              <w:rPr>
                <w:rFonts w:eastAsia="Times New Roman" w:cs="Calibri"/>
                <w:b/>
                <w:bCs/>
                <w:color w:val="000000"/>
                <w:sz w:val="16"/>
                <w:szCs w:val="16"/>
                <w:lang w:val="en-GB" w:eastAsia="en-GB"/>
              </w:rPr>
              <w:t>Expenditure</w:t>
            </w:r>
          </w:p>
        </w:tc>
        <w:tc>
          <w:tcPr>
            <w:tcW w:w="1559" w:type="dxa"/>
            <w:tcBorders>
              <w:top w:val="nil"/>
              <w:left w:val="nil"/>
              <w:bottom w:val="nil"/>
              <w:right w:val="nil"/>
            </w:tcBorders>
            <w:shd w:val="clear" w:color="auto" w:fill="auto"/>
            <w:vAlign w:val="center"/>
            <w:hideMark/>
          </w:tcPr>
          <w:p w14:paraId="5156D29F"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559" w:type="dxa"/>
            <w:tcBorders>
              <w:top w:val="nil"/>
              <w:left w:val="nil"/>
              <w:bottom w:val="nil"/>
              <w:right w:val="nil"/>
            </w:tcBorders>
            <w:shd w:val="clear" w:color="auto" w:fill="auto"/>
            <w:vAlign w:val="center"/>
            <w:hideMark/>
          </w:tcPr>
          <w:p w14:paraId="0ADB0564" w14:textId="77777777" w:rsidR="00AA7440" w:rsidRPr="00AA7440" w:rsidRDefault="00AA7440" w:rsidP="00AA7440">
            <w:pPr>
              <w:jc w:val="center"/>
              <w:rPr>
                <w:rFonts w:ascii="Calibri" w:eastAsia="Times New Roman" w:hAnsi="Calibri" w:cs="Calibri"/>
                <w:color w:val="000000"/>
                <w:sz w:val="2"/>
                <w:szCs w:val="2"/>
                <w:lang w:val="en-GB" w:eastAsia="en-GB"/>
              </w:rPr>
            </w:pPr>
            <w:r w:rsidRPr="00AA7440">
              <w:rPr>
                <w:rFonts w:ascii="Calibri" w:eastAsia="Times New Roman" w:hAnsi="Calibri" w:cs="Calibri"/>
                <w:color w:val="000000"/>
                <w:sz w:val="2"/>
                <w:szCs w:val="2"/>
                <w:lang w:val="en-GB" w:eastAsia="en-GB"/>
              </w:rPr>
              <w:t xml:space="preserve"> </w:t>
            </w:r>
          </w:p>
        </w:tc>
        <w:tc>
          <w:tcPr>
            <w:tcW w:w="1486" w:type="dxa"/>
            <w:tcBorders>
              <w:top w:val="single" w:sz="8" w:space="0" w:color="000000"/>
              <w:left w:val="nil"/>
              <w:bottom w:val="single" w:sz="12" w:space="0" w:color="000000"/>
              <w:right w:val="nil"/>
            </w:tcBorders>
            <w:shd w:val="clear" w:color="auto" w:fill="auto"/>
            <w:vAlign w:val="center"/>
            <w:hideMark/>
          </w:tcPr>
          <w:p w14:paraId="0F6A88D3" w14:textId="4C31C950" w:rsidR="00AA7440" w:rsidRPr="00AA7440" w:rsidRDefault="00142460" w:rsidP="00FC3148">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2,638</w:t>
            </w:r>
          </w:p>
        </w:tc>
      </w:tr>
    </w:tbl>
    <w:p w14:paraId="26145D5D" w14:textId="77777777" w:rsidR="00AA7440" w:rsidRDefault="00AA7440">
      <w:pPr>
        <w:pStyle w:val="Normal0"/>
        <w:spacing w:after="160"/>
        <w:rPr>
          <w:rFonts w:ascii="Verdana" w:eastAsia="Verdana" w:hAnsi="Verdana" w:cs="Verdana"/>
          <w:b/>
          <w:szCs w:val="22"/>
          <w:highlight w:val="yellow"/>
          <w:lang w:val="en-GB"/>
        </w:rPr>
      </w:pPr>
    </w:p>
    <w:p w14:paraId="764E72B4" w14:textId="77777777" w:rsidR="00CA6653" w:rsidRPr="003516A4" w:rsidRDefault="00CA6653" w:rsidP="00CA6653">
      <w:pPr>
        <w:pStyle w:val="Normal0"/>
        <w:spacing w:after="160"/>
        <w:rPr>
          <w:rFonts w:ascii="Verdana" w:hAnsi="Verdana"/>
          <w:sz w:val="22"/>
          <w:szCs w:val="22"/>
          <w:highlight w:val="yellow"/>
          <w:lang w:val="en-GB"/>
        </w:rPr>
        <w:sectPr w:rsidR="00CA6653" w:rsidRPr="003516A4" w:rsidSect="00EB0E41">
          <w:type w:val="nextColumn"/>
          <w:pgSz w:w="16840" w:h="11900" w:orient="landscape"/>
          <w:pgMar w:top="1440" w:right="1440" w:bottom="1440" w:left="1440" w:header="708" w:footer="708" w:gutter="0"/>
          <w:cols w:space="708"/>
          <w:docGrid w:linePitch="360"/>
        </w:sectPr>
      </w:pPr>
    </w:p>
    <w:p w14:paraId="3A934CE4" w14:textId="77777777" w:rsidR="00CA6653" w:rsidRPr="007A020F" w:rsidRDefault="00CA6653" w:rsidP="00A31A9E">
      <w:pPr>
        <w:pStyle w:val="Heading1"/>
      </w:pPr>
      <w:bookmarkStart w:id="13" w:name="_Toc75122767"/>
      <w:r w:rsidRPr="007A020F">
        <w:t>Balance Sheet</w:t>
      </w:r>
      <w:bookmarkEnd w:id="13"/>
      <w:r w:rsidRPr="007A020F">
        <w:t xml:space="preserve"> </w:t>
      </w:r>
    </w:p>
    <w:p w14:paraId="3FF99714" w14:textId="77777777" w:rsidR="0019417B" w:rsidRPr="00391280" w:rsidRDefault="0019417B" w:rsidP="00D91109">
      <w:pPr>
        <w:jc w:val="both"/>
        <w:rPr>
          <w:lang w:val="en-GB"/>
        </w:rPr>
      </w:pPr>
      <w:r w:rsidRPr="00391280">
        <w:rPr>
          <w:lang w:val="en-GB"/>
        </w:rPr>
        <w:t>The Balance Sheet shows the value as at the Balance Sheet date of the assets and liabilities recognised by the Police and Crime Commissioner. The net assets of the Police and Crime Commissioner (assets less liabilities) are matched by the reserves held by the Police and Crime Commissioner.</w:t>
      </w:r>
    </w:p>
    <w:p w14:paraId="6525A258" w14:textId="77777777" w:rsidR="009C625F" w:rsidRPr="007A020F" w:rsidRDefault="0074695B" w:rsidP="000D6EF8">
      <w:pPr>
        <w:rPr>
          <w:lang w:val="pt-BR"/>
        </w:rPr>
      </w:pPr>
      <w:r w:rsidRPr="0061718A">
        <w:rPr>
          <w:noProof/>
          <w:highlight w:val="yellow"/>
          <w:lang w:val="en-GB" w:eastAsia="en-GB"/>
        </w:rPr>
        <mc:AlternateContent>
          <mc:Choice Requires="wps">
            <w:drawing>
              <wp:anchor distT="0" distB="0" distL="114300" distR="114300" simplePos="0" relativeHeight="251662336" behindDoc="0" locked="0" layoutInCell="1" allowOverlap="1" wp14:anchorId="0C3FD9A2" wp14:editId="088CD254">
                <wp:simplePos x="0" y="0"/>
                <wp:positionH relativeFrom="column">
                  <wp:posOffset>6663487</wp:posOffset>
                </wp:positionH>
                <wp:positionV relativeFrom="paragraph">
                  <wp:posOffset>802532</wp:posOffset>
                </wp:positionV>
                <wp:extent cx="2505710" cy="3079700"/>
                <wp:effectExtent l="0" t="0" r="27940" b="2603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3079700"/>
                        </a:xfrm>
                        <a:prstGeom prst="rect">
                          <a:avLst/>
                        </a:prstGeom>
                        <a:solidFill>
                          <a:srgbClr val="FFFFFF"/>
                        </a:solidFill>
                        <a:ln w="9525">
                          <a:solidFill>
                            <a:srgbClr val="000000"/>
                          </a:solidFill>
                          <a:miter lim="800000"/>
                          <a:headEnd/>
                          <a:tailEnd/>
                        </a:ln>
                      </wps:spPr>
                      <wps:txbx>
                        <w:txbxContent>
                          <w:p w14:paraId="6784055C" w14:textId="77777777" w:rsidR="008C3196" w:rsidRDefault="008C3196" w:rsidP="0074695B">
                            <w:pPr>
                              <w:pStyle w:val="Normal0"/>
                              <w:rPr>
                                <w:rFonts w:eastAsia="Times New Roman" w:cs="Arial"/>
                                <w:sz w:val="18"/>
                                <w:szCs w:val="18"/>
                              </w:rPr>
                            </w:pPr>
                          </w:p>
                          <w:p w14:paraId="4ECE8319" w14:textId="1CF0D763" w:rsidR="008C3196" w:rsidRDefault="008C3196" w:rsidP="0074695B">
                            <w:pPr>
                              <w:pStyle w:val="Normal0"/>
                              <w:rPr>
                                <w:rFonts w:eastAsia="Times New Roman" w:cs="Arial"/>
                                <w:sz w:val="18"/>
                                <w:szCs w:val="18"/>
                              </w:rPr>
                            </w:pPr>
                            <w:r w:rsidRPr="00773980">
                              <w:rPr>
                                <w:rFonts w:eastAsia="Times New Roman" w:cs="Arial"/>
                                <w:sz w:val="18"/>
                                <w:szCs w:val="18"/>
                              </w:rPr>
                              <w:t xml:space="preserve">I certify that the </w:t>
                            </w:r>
                            <w:r>
                              <w:rPr>
                                <w:rFonts w:eastAsia="Times New Roman" w:cs="Arial"/>
                                <w:sz w:val="18"/>
                                <w:szCs w:val="18"/>
                              </w:rPr>
                              <w:t xml:space="preserve">Draft </w:t>
                            </w:r>
                            <w:r w:rsidRPr="00773980">
                              <w:rPr>
                                <w:rFonts w:eastAsia="Times New Roman" w:cs="Arial"/>
                                <w:sz w:val="18"/>
                                <w:szCs w:val="18"/>
                              </w:rPr>
                              <w:t xml:space="preserve">Statement of Accounts gives a true and fair view </w:t>
                            </w:r>
                            <w:r w:rsidRPr="00597AB3">
                              <w:rPr>
                                <w:rFonts w:eastAsia="Times New Roman" w:cs="Arial"/>
                                <w:sz w:val="18"/>
                                <w:szCs w:val="18"/>
                              </w:rPr>
                              <w:t xml:space="preserve">of the financial position of the </w:t>
                            </w:r>
                            <w:r>
                              <w:rPr>
                                <w:rFonts w:eastAsia="Times New Roman" w:cs="Arial"/>
                                <w:sz w:val="18"/>
                                <w:szCs w:val="18"/>
                              </w:rPr>
                              <w:t>Police and Crime Commissioner for Surrey and Chief Constable of Surrey Group</w:t>
                            </w:r>
                            <w:r w:rsidRPr="00597AB3">
                              <w:rPr>
                                <w:rFonts w:eastAsia="Times New Roman" w:cs="Arial"/>
                                <w:sz w:val="18"/>
                                <w:szCs w:val="18"/>
                              </w:rPr>
                              <w:t xml:space="preserve"> at the accounting date and of the income and expenditure for the year ended 31</w:t>
                            </w:r>
                            <w:r>
                              <w:rPr>
                                <w:rFonts w:eastAsia="Times New Roman" w:cs="Arial"/>
                                <w:sz w:val="18"/>
                                <w:szCs w:val="18"/>
                              </w:rPr>
                              <w:t xml:space="preserve"> March 2021</w:t>
                            </w:r>
                            <w:r w:rsidRPr="00597AB3">
                              <w:rPr>
                                <w:rFonts w:eastAsia="Times New Roman" w:cs="Arial"/>
                                <w:sz w:val="18"/>
                                <w:szCs w:val="18"/>
                              </w:rPr>
                              <w:t>.</w:t>
                            </w:r>
                            <w:r>
                              <w:rPr>
                                <w:rFonts w:eastAsia="Times New Roman" w:cs="Arial"/>
                                <w:sz w:val="18"/>
                                <w:szCs w:val="18"/>
                              </w:rPr>
                              <w:t xml:space="preserve"> These are unaudited accounts and may therefore change.</w:t>
                            </w:r>
                          </w:p>
                          <w:p w14:paraId="2D6BD6EA" w14:textId="1D20A9F9" w:rsidR="008C3196" w:rsidRDefault="008C3196" w:rsidP="0074695B">
                            <w:pPr>
                              <w:pStyle w:val="Normal0"/>
                              <w:rPr>
                                <w:rFonts w:eastAsia="Times New Roman" w:cs="Arial"/>
                                <w:sz w:val="18"/>
                                <w:szCs w:val="18"/>
                              </w:rPr>
                            </w:pPr>
                          </w:p>
                          <w:p w14:paraId="09257C91" w14:textId="7E28889C" w:rsidR="008C3196" w:rsidRDefault="008C3196" w:rsidP="0074695B">
                            <w:pPr>
                              <w:pStyle w:val="Normal0"/>
                              <w:rPr>
                                <w:rFonts w:eastAsia="Times New Roman" w:cs="Arial"/>
                                <w:sz w:val="18"/>
                                <w:szCs w:val="18"/>
                              </w:rPr>
                            </w:pPr>
                          </w:p>
                          <w:p w14:paraId="740DC2E1" w14:textId="77777777" w:rsidR="008C3196" w:rsidRPr="00597AB3" w:rsidRDefault="008C3196" w:rsidP="0074695B">
                            <w:pPr>
                              <w:pStyle w:val="Normal0"/>
                              <w:rPr>
                                <w:rFonts w:eastAsia="Times New Roman" w:cs="Arial"/>
                                <w:sz w:val="18"/>
                                <w:szCs w:val="18"/>
                              </w:rPr>
                            </w:pPr>
                          </w:p>
                          <w:p w14:paraId="63882667" w14:textId="77777777" w:rsidR="008C3196" w:rsidRDefault="008C3196" w:rsidP="0074695B">
                            <w:pPr>
                              <w:pStyle w:val="Normal0"/>
                              <w:rPr>
                                <w:rFonts w:eastAsia="Times New Roman" w:cs="Times New Roman"/>
                                <w:sz w:val="18"/>
                                <w:szCs w:val="18"/>
                              </w:rPr>
                            </w:pPr>
                          </w:p>
                          <w:p w14:paraId="793632D4" w14:textId="77777777" w:rsidR="008C3196" w:rsidRDefault="008C3196" w:rsidP="0074695B">
                            <w:pPr>
                              <w:rPr>
                                <w:noProof/>
                                <w:lang w:val="en-GB" w:eastAsia="en-GB"/>
                              </w:rPr>
                            </w:pPr>
                            <w:r>
                              <w:rPr>
                                <w:rFonts w:cs="Arial"/>
                                <w:b/>
                                <w:noProof/>
                                <w:lang w:val="en-GB" w:eastAsia="en-GB"/>
                              </w:rPr>
                              <w:t xml:space="preserve">   </w:t>
                            </w:r>
                          </w:p>
                          <w:p w14:paraId="2F48E10F" w14:textId="77777777" w:rsidR="008C3196" w:rsidRDefault="008C3196" w:rsidP="0074695B">
                            <w:pPr>
                              <w:rPr>
                                <w:noProof/>
                                <w:lang w:val="en-GB" w:eastAsia="en-GB"/>
                              </w:rPr>
                            </w:pPr>
                          </w:p>
                          <w:p w14:paraId="19EEC19C" w14:textId="77777777" w:rsidR="008C3196" w:rsidRDefault="008C3196" w:rsidP="0074695B">
                            <w:pPr>
                              <w:pStyle w:val="Normal0"/>
                              <w:rPr>
                                <w:rFonts w:eastAsia="Times New Roman" w:cs="Times New Roman"/>
                                <w:sz w:val="18"/>
                                <w:szCs w:val="18"/>
                              </w:rPr>
                            </w:pPr>
                          </w:p>
                          <w:p w14:paraId="77864A3F" w14:textId="77777777" w:rsidR="008C3196" w:rsidRPr="00597AB3" w:rsidRDefault="008C3196" w:rsidP="0074695B">
                            <w:pPr>
                              <w:pStyle w:val="Normal0"/>
                              <w:rPr>
                                <w:rFonts w:eastAsia="Times New Roman" w:cs="Times New Roman"/>
                                <w:sz w:val="18"/>
                                <w:szCs w:val="18"/>
                              </w:rPr>
                            </w:pPr>
                            <w:r>
                              <w:rPr>
                                <w:rFonts w:eastAsia="Times New Roman" w:cs="Times New Roman"/>
                                <w:sz w:val="18"/>
                                <w:szCs w:val="18"/>
                              </w:rPr>
                              <w:t>Kelvin Menon</w:t>
                            </w:r>
                            <w:r w:rsidRPr="00597AB3">
                              <w:rPr>
                                <w:rFonts w:eastAsia="Times New Roman" w:cs="Times New Roman"/>
                                <w:sz w:val="18"/>
                                <w:szCs w:val="18"/>
                              </w:rPr>
                              <w:t xml:space="preserve"> </w:t>
                            </w:r>
                            <w:r w:rsidRPr="003C04F6">
                              <w:rPr>
                                <w:rFonts w:eastAsia="Times New Roman" w:cs="Times New Roman"/>
                                <w:sz w:val="16"/>
                                <w:szCs w:val="16"/>
                              </w:rPr>
                              <w:t>FCPFA</w:t>
                            </w:r>
                          </w:p>
                          <w:p w14:paraId="75DB4526" w14:textId="77777777" w:rsidR="008C3196" w:rsidRPr="00597AB3" w:rsidRDefault="008C3196" w:rsidP="0074695B">
                            <w:pPr>
                              <w:pStyle w:val="Normal0"/>
                              <w:rPr>
                                <w:rFonts w:eastAsia="Times New Roman" w:cs="Times New Roman"/>
                                <w:sz w:val="18"/>
                                <w:szCs w:val="18"/>
                              </w:rPr>
                            </w:pPr>
                            <w:r>
                              <w:rPr>
                                <w:rFonts w:eastAsia="Times New Roman" w:cs="Times New Roman"/>
                                <w:sz w:val="18"/>
                                <w:szCs w:val="18"/>
                              </w:rPr>
                              <w:t>Chief Finance Officer</w:t>
                            </w:r>
                          </w:p>
                          <w:p w14:paraId="77F8C327" w14:textId="77777777" w:rsidR="008C3196" w:rsidRPr="00597AB3" w:rsidRDefault="008C3196" w:rsidP="0074695B">
                            <w:pPr>
                              <w:pStyle w:val="Normal0"/>
                              <w:rPr>
                                <w:rFonts w:eastAsia="Times New Roman" w:cs="Times New Roman"/>
                                <w:sz w:val="18"/>
                                <w:szCs w:val="18"/>
                              </w:rPr>
                            </w:pPr>
                            <w:r w:rsidRPr="00FE2FF5">
                              <w:rPr>
                                <w:rFonts w:eastAsia="Times New Roman" w:cs="Times New Roman"/>
                                <w:sz w:val="18"/>
                                <w:szCs w:val="18"/>
                              </w:rPr>
                              <w:t xml:space="preserve">Dated: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FD9A2" id="_x0000_t202" coordsize="21600,21600" o:spt="202" path="m,l,21600r21600,l21600,xe">
                <v:stroke joinstyle="miter"/>
                <v:path gradientshapeok="t" o:connecttype="rect"/>
              </v:shapetype>
              <v:shape id="Text Box 25" o:spid="_x0000_s1028" type="#_x0000_t202" style="position:absolute;margin-left:524.7pt;margin-top:63.2pt;width:197.3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">
                <v:textbox>
                  <w:txbxContent>
                    <w:p w14:paraId="6784055C" w14:textId="77777777" w:rsidR="008C3196" w:rsidRDefault="008C3196" w:rsidP="0074695B">
                      <w:pPr>
                        <w:pStyle w:val="Normal0"/>
                        <w:rPr>
                          <w:rFonts w:eastAsia="Times New Roman" w:cs="Arial"/>
                          <w:sz w:val="18"/>
                          <w:szCs w:val="18"/>
                        </w:rPr>
                      </w:pPr>
                    </w:p>
                    <w:p w14:paraId="4ECE8319" w14:textId="1CF0D763" w:rsidR="008C3196" w:rsidRDefault="008C3196" w:rsidP="0074695B">
                      <w:pPr>
                        <w:pStyle w:val="Normal0"/>
                        <w:rPr>
                          <w:rFonts w:eastAsia="Times New Roman" w:cs="Arial"/>
                          <w:sz w:val="18"/>
                          <w:szCs w:val="18"/>
                        </w:rPr>
                      </w:pPr>
                      <w:r w:rsidRPr="00773980">
                        <w:rPr>
                          <w:rFonts w:eastAsia="Times New Roman" w:cs="Arial"/>
                          <w:sz w:val="18"/>
                          <w:szCs w:val="18"/>
                        </w:rPr>
                        <w:t xml:space="preserve">I certify that the </w:t>
                      </w:r>
                      <w:r>
                        <w:rPr>
                          <w:rFonts w:eastAsia="Times New Roman" w:cs="Arial"/>
                          <w:sz w:val="18"/>
                          <w:szCs w:val="18"/>
                        </w:rPr>
                        <w:t xml:space="preserve">Draft </w:t>
                      </w:r>
                      <w:r w:rsidRPr="00773980">
                        <w:rPr>
                          <w:rFonts w:eastAsia="Times New Roman" w:cs="Arial"/>
                          <w:sz w:val="18"/>
                          <w:szCs w:val="18"/>
                        </w:rPr>
                        <w:t xml:space="preserve">Statement of Accounts gives a true and fair view </w:t>
                      </w:r>
                      <w:r w:rsidRPr="00597AB3">
                        <w:rPr>
                          <w:rFonts w:eastAsia="Times New Roman" w:cs="Arial"/>
                          <w:sz w:val="18"/>
                          <w:szCs w:val="18"/>
                        </w:rPr>
                        <w:t xml:space="preserve">of the financial position of the </w:t>
                      </w:r>
                      <w:r>
                        <w:rPr>
                          <w:rFonts w:eastAsia="Times New Roman" w:cs="Arial"/>
                          <w:sz w:val="18"/>
                          <w:szCs w:val="18"/>
                        </w:rPr>
                        <w:t>Police and Crime Commissioner for Surrey and Chief Constable of Surrey Group</w:t>
                      </w:r>
                      <w:r w:rsidRPr="00597AB3">
                        <w:rPr>
                          <w:rFonts w:eastAsia="Times New Roman" w:cs="Arial"/>
                          <w:sz w:val="18"/>
                          <w:szCs w:val="18"/>
                        </w:rPr>
                        <w:t xml:space="preserve"> at the accounting date and of the income and expenditure for the year ended 31</w:t>
                      </w:r>
                      <w:r>
                        <w:rPr>
                          <w:rFonts w:eastAsia="Times New Roman" w:cs="Arial"/>
                          <w:sz w:val="18"/>
                          <w:szCs w:val="18"/>
                        </w:rPr>
                        <w:t xml:space="preserve"> March 2021</w:t>
                      </w:r>
                      <w:r w:rsidRPr="00597AB3">
                        <w:rPr>
                          <w:rFonts w:eastAsia="Times New Roman" w:cs="Arial"/>
                          <w:sz w:val="18"/>
                          <w:szCs w:val="18"/>
                        </w:rPr>
                        <w:t>.</w:t>
                      </w:r>
                      <w:r>
                        <w:rPr>
                          <w:rFonts w:eastAsia="Times New Roman" w:cs="Arial"/>
                          <w:sz w:val="18"/>
                          <w:szCs w:val="18"/>
                        </w:rPr>
                        <w:t xml:space="preserve"> These are unaudited accounts and may therefore change.</w:t>
                      </w:r>
                    </w:p>
                    <w:p w14:paraId="2D6BD6EA" w14:textId="1D20A9F9" w:rsidR="008C3196" w:rsidRDefault="008C3196" w:rsidP="0074695B">
                      <w:pPr>
                        <w:pStyle w:val="Normal0"/>
                        <w:rPr>
                          <w:rFonts w:eastAsia="Times New Roman" w:cs="Arial"/>
                          <w:sz w:val="18"/>
                          <w:szCs w:val="18"/>
                        </w:rPr>
                      </w:pPr>
                    </w:p>
                    <w:p w14:paraId="09257C91" w14:textId="7E28889C" w:rsidR="008C3196" w:rsidRDefault="008C3196" w:rsidP="0074695B">
                      <w:pPr>
                        <w:pStyle w:val="Normal0"/>
                        <w:rPr>
                          <w:rFonts w:eastAsia="Times New Roman" w:cs="Arial"/>
                          <w:sz w:val="18"/>
                          <w:szCs w:val="18"/>
                        </w:rPr>
                      </w:pPr>
                    </w:p>
                    <w:p w14:paraId="740DC2E1" w14:textId="77777777" w:rsidR="008C3196" w:rsidRPr="00597AB3" w:rsidRDefault="008C3196" w:rsidP="0074695B">
                      <w:pPr>
                        <w:pStyle w:val="Normal0"/>
                        <w:rPr>
                          <w:rFonts w:eastAsia="Times New Roman" w:cs="Arial"/>
                          <w:sz w:val="18"/>
                          <w:szCs w:val="18"/>
                        </w:rPr>
                      </w:pPr>
                    </w:p>
                    <w:p w14:paraId="63882667" w14:textId="77777777" w:rsidR="008C3196" w:rsidRDefault="008C3196" w:rsidP="0074695B">
                      <w:pPr>
                        <w:pStyle w:val="Normal0"/>
                        <w:rPr>
                          <w:rFonts w:eastAsia="Times New Roman" w:cs="Times New Roman"/>
                          <w:sz w:val="18"/>
                          <w:szCs w:val="18"/>
                        </w:rPr>
                      </w:pPr>
                    </w:p>
                    <w:p w14:paraId="793632D4" w14:textId="77777777" w:rsidR="008C3196" w:rsidRDefault="008C3196" w:rsidP="0074695B">
                      <w:pPr>
                        <w:rPr>
                          <w:noProof/>
                          <w:lang w:val="en-GB" w:eastAsia="en-GB"/>
                        </w:rPr>
                      </w:pPr>
                      <w:r>
                        <w:rPr>
                          <w:rFonts w:cs="Arial"/>
                          <w:b/>
                          <w:noProof/>
                          <w:lang w:val="en-GB" w:eastAsia="en-GB"/>
                        </w:rPr>
                        <w:t xml:space="preserve">   </w:t>
                      </w:r>
                    </w:p>
                    <w:p w14:paraId="2F48E10F" w14:textId="77777777" w:rsidR="008C3196" w:rsidRDefault="008C3196" w:rsidP="0074695B">
                      <w:pPr>
                        <w:rPr>
                          <w:noProof/>
                          <w:lang w:val="en-GB" w:eastAsia="en-GB"/>
                        </w:rPr>
                      </w:pPr>
                    </w:p>
                    <w:p w14:paraId="19EEC19C" w14:textId="77777777" w:rsidR="008C3196" w:rsidRDefault="008C3196" w:rsidP="0074695B">
                      <w:pPr>
                        <w:pStyle w:val="Normal0"/>
                        <w:rPr>
                          <w:rFonts w:eastAsia="Times New Roman" w:cs="Times New Roman"/>
                          <w:sz w:val="18"/>
                          <w:szCs w:val="18"/>
                        </w:rPr>
                      </w:pPr>
                    </w:p>
                    <w:p w14:paraId="77864A3F" w14:textId="77777777" w:rsidR="008C3196" w:rsidRPr="00597AB3" w:rsidRDefault="008C3196" w:rsidP="0074695B">
                      <w:pPr>
                        <w:pStyle w:val="Normal0"/>
                        <w:rPr>
                          <w:rFonts w:eastAsia="Times New Roman" w:cs="Times New Roman"/>
                          <w:sz w:val="18"/>
                          <w:szCs w:val="18"/>
                        </w:rPr>
                      </w:pPr>
                      <w:r>
                        <w:rPr>
                          <w:rFonts w:eastAsia="Times New Roman" w:cs="Times New Roman"/>
                          <w:sz w:val="18"/>
                          <w:szCs w:val="18"/>
                        </w:rPr>
                        <w:t>Kelvin Menon</w:t>
                      </w:r>
                      <w:r w:rsidRPr="00597AB3">
                        <w:rPr>
                          <w:rFonts w:eastAsia="Times New Roman" w:cs="Times New Roman"/>
                          <w:sz w:val="18"/>
                          <w:szCs w:val="18"/>
                        </w:rPr>
                        <w:t xml:space="preserve"> </w:t>
                      </w:r>
                      <w:r w:rsidRPr="003C04F6">
                        <w:rPr>
                          <w:rFonts w:eastAsia="Times New Roman" w:cs="Times New Roman"/>
                          <w:sz w:val="16"/>
                          <w:szCs w:val="16"/>
                        </w:rPr>
                        <w:t>FCPFA</w:t>
                      </w:r>
                    </w:p>
                    <w:p w14:paraId="75DB4526" w14:textId="77777777" w:rsidR="008C3196" w:rsidRPr="00597AB3" w:rsidRDefault="008C3196" w:rsidP="0074695B">
                      <w:pPr>
                        <w:pStyle w:val="Normal0"/>
                        <w:rPr>
                          <w:rFonts w:eastAsia="Times New Roman" w:cs="Times New Roman"/>
                          <w:sz w:val="18"/>
                          <w:szCs w:val="18"/>
                        </w:rPr>
                      </w:pPr>
                      <w:r>
                        <w:rPr>
                          <w:rFonts w:eastAsia="Times New Roman" w:cs="Times New Roman"/>
                          <w:sz w:val="18"/>
                          <w:szCs w:val="18"/>
                        </w:rPr>
                        <w:t>Chief Finance Officer</w:t>
                      </w:r>
                    </w:p>
                    <w:p w14:paraId="77F8C327" w14:textId="77777777" w:rsidR="008C3196" w:rsidRPr="00597AB3" w:rsidRDefault="008C3196" w:rsidP="0074695B">
                      <w:pPr>
                        <w:pStyle w:val="Normal0"/>
                        <w:rPr>
                          <w:rFonts w:eastAsia="Times New Roman" w:cs="Times New Roman"/>
                          <w:sz w:val="18"/>
                          <w:szCs w:val="18"/>
                        </w:rPr>
                      </w:pPr>
                      <w:r w:rsidRPr="00FE2FF5">
                        <w:rPr>
                          <w:rFonts w:eastAsia="Times New Roman" w:cs="Times New Roman"/>
                          <w:sz w:val="18"/>
                          <w:szCs w:val="18"/>
                        </w:rPr>
                        <w:t xml:space="preserve">Dated:   </w:t>
                      </w:r>
                    </w:p>
                  </w:txbxContent>
                </v:textbox>
              </v:shape>
            </w:pict>
          </mc:Fallback>
        </mc:AlternateContent>
      </w:r>
    </w:p>
    <w:tbl>
      <w:tblPr>
        <w:tblW w:w="3299" w:type="pct"/>
        <w:tblLook w:val="04A0" w:firstRow="1" w:lastRow="0" w:firstColumn="1" w:lastColumn="0" w:noHBand="0" w:noVBand="1"/>
      </w:tblPr>
      <w:tblGrid>
        <w:gridCol w:w="1141"/>
        <w:gridCol w:w="1229"/>
        <w:gridCol w:w="46"/>
        <w:gridCol w:w="465"/>
        <w:gridCol w:w="2409"/>
        <w:gridCol w:w="2264"/>
        <w:gridCol w:w="2607"/>
      </w:tblGrid>
      <w:tr w:rsidR="0074695B" w:rsidRPr="007A020F" w14:paraId="52AE6A04" w14:textId="77777777" w:rsidTr="0074695B">
        <w:trPr>
          <w:trHeight w:val="200"/>
        </w:trPr>
        <w:tc>
          <w:tcPr>
            <w:tcW w:w="1499" w:type="pct"/>
            <w:gridSpan w:val="2"/>
            <w:shd w:val="clear" w:color="auto" w:fill="auto"/>
            <w:tcMar>
              <w:top w:w="20" w:type="dxa"/>
              <w:left w:w="20" w:type="dxa"/>
              <w:bottom w:w="20" w:type="dxa"/>
              <w:right w:w="20" w:type="dxa"/>
            </w:tcMar>
            <w:vAlign w:val="center"/>
          </w:tcPr>
          <w:p w14:paraId="6FD20021" w14:textId="77777777" w:rsidR="00CA6653" w:rsidRPr="007A020F" w:rsidRDefault="00CA6653" w:rsidP="00625FD6">
            <w:pPr>
              <w:pStyle w:val="T1TableStyle"/>
              <w:jc w:val="center"/>
              <w:rPr>
                <w:rFonts w:ascii="Verdana" w:eastAsia="Verdana" w:hAnsi="Verdana" w:cs="Verdana"/>
                <w:b/>
                <w:color w:val="000000"/>
                <w:sz w:val="16"/>
                <w:lang w:val="en-GB"/>
              </w:rPr>
            </w:pPr>
            <w:r w:rsidRPr="007A020F">
              <w:rPr>
                <w:rFonts w:ascii="Verdana" w:eastAsia="Verdana" w:hAnsi="Verdana" w:cs="Verdana"/>
                <w:b/>
                <w:color w:val="000000"/>
                <w:sz w:val="16"/>
                <w:lang w:val="en-GB"/>
              </w:rPr>
              <w:t>31 March 20</w:t>
            </w:r>
            <w:r w:rsidR="00625FD6" w:rsidRPr="007A020F">
              <w:rPr>
                <w:rFonts w:ascii="Verdana" w:eastAsia="Verdana" w:hAnsi="Verdana" w:cs="Verdana"/>
                <w:b/>
                <w:color w:val="000000"/>
                <w:sz w:val="16"/>
                <w:lang w:val="en-GB"/>
              </w:rPr>
              <w:t>20</w:t>
            </w:r>
          </w:p>
        </w:tc>
        <w:tc>
          <w:tcPr>
            <w:tcW w:w="119" w:type="pct"/>
            <w:shd w:val="clear" w:color="auto" w:fill="auto"/>
            <w:tcMar>
              <w:top w:w="20" w:type="dxa"/>
              <w:left w:w="20" w:type="dxa"/>
              <w:bottom w:w="20" w:type="dxa"/>
              <w:right w:w="20" w:type="dxa"/>
            </w:tcMar>
            <w:vAlign w:val="center"/>
          </w:tcPr>
          <w:p w14:paraId="665BDCFC" w14:textId="77777777" w:rsidR="00CA6653" w:rsidRPr="007A020F" w:rsidRDefault="00CA6653">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6D399812" w14:textId="77777777" w:rsidR="00CA6653" w:rsidRPr="007A020F" w:rsidRDefault="00CA6653">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1437" w:type="pct"/>
            <w:shd w:val="clear" w:color="auto" w:fill="auto"/>
            <w:tcMar>
              <w:top w:w="20" w:type="dxa"/>
              <w:left w:w="20" w:type="dxa"/>
              <w:bottom w:w="20" w:type="dxa"/>
              <w:right w:w="20" w:type="dxa"/>
            </w:tcMar>
            <w:vAlign w:val="center"/>
          </w:tcPr>
          <w:p w14:paraId="558BD34A" w14:textId="77777777" w:rsidR="00CA6653" w:rsidRPr="007A020F" w:rsidRDefault="00CA6653">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1565" w:type="pct"/>
            <w:gridSpan w:val="2"/>
            <w:shd w:val="clear" w:color="auto" w:fill="auto"/>
            <w:tcMar>
              <w:top w:w="20" w:type="dxa"/>
              <w:left w:w="20" w:type="dxa"/>
              <w:bottom w:w="20" w:type="dxa"/>
              <w:right w:w="20" w:type="dxa"/>
            </w:tcMar>
            <w:vAlign w:val="center"/>
          </w:tcPr>
          <w:p w14:paraId="70359552" w14:textId="77777777" w:rsidR="00CA6653" w:rsidRPr="007A020F" w:rsidRDefault="00CA6653" w:rsidP="00625FD6">
            <w:pPr>
              <w:pStyle w:val="T1TableStyle"/>
              <w:jc w:val="center"/>
              <w:rPr>
                <w:rFonts w:ascii="Verdana" w:eastAsia="Verdana" w:hAnsi="Verdana" w:cs="Verdana"/>
                <w:b/>
                <w:color w:val="000000"/>
                <w:sz w:val="16"/>
                <w:lang w:val="en-GB"/>
              </w:rPr>
            </w:pPr>
            <w:r w:rsidRPr="007A020F">
              <w:rPr>
                <w:rFonts w:ascii="Verdana" w:eastAsia="Verdana" w:hAnsi="Verdana" w:cs="Verdana"/>
                <w:b/>
                <w:color w:val="000000"/>
                <w:sz w:val="16"/>
                <w:lang w:val="en-GB"/>
              </w:rPr>
              <w:t>31 March 202</w:t>
            </w:r>
            <w:r w:rsidR="00625FD6" w:rsidRPr="007A020F">
              <w:rPr>
                <w:rFonts w:ascii="Verdana" w:eastAsia="Verdana" w:hAnsi="Verdana" w:cs="Verdana"/>
                <w:b/>
                <w:color w:val="000000"/>
                <w:sz w:val="16"/>
                <w:lang w:val="en-GB"/>
              </w:rPr>
              <w:t>1</w:t>
            </w:r>
          </w:p>
        </w:tc>
      </w:tr>
      <w:tr w:rsidR="0074695B" w:rsidRPr="007A020F" w14:paraId="1A8777A7" w14:textId="77777777" w:rsidTr="0074695B">
        <w:trPr>
          <w:trHeight w:val="200"/>
        </w:trPr>
        <w:tc>
          <w:tcPr>
            <w:tcW w:w="728" w:type="pct"/>
            <w:shd w:val="clear" w:color="auto" w:fill="auto"/>
            <w:tcMar>
              <w:top w:w="20" w:type="dxa"/>
              <w:left w:w="20" w:type="dxa"/>
              <w:bottom w:w="20" w:type="dxa"/>
              <w:right w:w="20" w:type="dxa"/>
            </w:tcMar>
            <w:vAlign w:val="center"/>
          </w:tcPr>
          <w:p w14:paraId="082605C8" w14:textId="77777777" w:rsidR="00CA6653" w:rsidRPr="007A020F" w:rsidRDefault="00CA6653">
            <w:pPr>
              <w:pStyle w:val="T1TableStyle"/>
              <w:jc w:val="center"/>
              <w:rPr>
                <w:rFonts w:ascii="Verdana" w:eastAsia="Verdana" w:hAnsi="Verdana" w:cs="Verdana"/>
                <w:b/>
                <w:color w:val="000000"/>
                <w:sz w:val="16"/>
                <w:lang w:val="en-GB"/>
              </w:rPr>
            </w:pPr>
            <w:r w:rsidRPr="007A020F">
              <w:rPr>
                <w:rFonts w:ascii="Verdana" w:eastAsia="Verdana" w:hAnsi="Verdana" w:cs="Verdana"/>
                <w:b/>
                <w:color w:val="000000"/>
                <w:sz w:val="16"/>
                <w:lang w:val="en-GB"/>
              </w:rPr>
              <w:t>PCC</w:t>
            </w:r>
          </w:p>
        </w:tc>
        <w:tc>
          <w:tcPr>
            <w:tcW w:w="771" w:type="pct"/>
            <w:shd w:val="clear" w:color="auto" w:fill="auto"/>
            <w:tcMar>
              <w:top w:w="20" w:type="dxa"/>
              <w:left w:w="20" w:type="dxa"/>
              <w:bottom w:w="20" w:type="dxa"/>
              <w:right w:w="20" w:type="dxa"/>
            </w:tcMar>
            <w:vAlign w:val="center"/>
          </w:tcPr>
          <w:p w14:paraId="35B87378" w14:textId="77777777" w:rsidR="00CA6653" w:rsidRPr="007A020F" w:rsidRDefault="00CA6653">
            <w:pPr>
              <w:pStyle w:val="T1TableStyle"/>
              <w:jc w:val="center"/>
              <w:rPr>
                <w:rFonts w:ascii="Verdana" w:eastAsia="Verdana" w:hAnsi="Verdana" w:cs="Verdana"/>
                <w:b/>
                <w:color w:val="000000"/>
                <w:sz w:val="16"/>
                <w:lang w:val="en-GB"/>
              </w:rPr>
            </w:pPr>
            <w:r w:rsidRPr="007A020F">
              <w:rPr>
                <w:rFonts w:ascii="Verdana" w:eastAsia="Verdana" w:hAnsi="Verdana" w:cs="Verdana"/>
                <w:b/>
                <w:color w:val="000000"/>
                <w:sz w:val="16"/>
                <w:lang w:val="en-GB"/>
              </w:rPr>
              <w:t>Group</w:t>
            </w:r>
          </w:p>
        </w:tc>
        <w:tc>
          <w:tcPr>
            <w:tcW w:w="119" w:type="pct"/>
            <w:shd w:val="clear" w:color="auto" w:fill="auto"/>
            <w:tcMar>
              <w:top w:w="20" w:type="dxa"/>
              <w:left w:w="20" w:type="dxa"/>
              <w:bottom w:w="20" w:type="dxa"/>
              <w:right w:w="20" w:type="dxa"/>
            </w:tcMar>
            <w:vAlign w:val="center"/>
          </w:tcPr>
          <w:p w14:paraId="003283B6" w14:textId="77777777" w:rsidR="00CA6653" w:rsidRPr="007A020F" w:rsidRDefault="00CA6653">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2CF38AAD" w14:textId="77777777" w:rsidR="00CA6653" w:rsidRPr="007A020F" w:rsidRDefault="00CA6653">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1437" w:type="pct"/>
            <w:shd w:val="clear" w:color="auto" w:fill="auto"/>
            <w:tcMar>
              <w:top w:w="20" w:type="dxa"/>
              <w:left w:w="20" w:type="dxa"/>
              <w:bottom w:w="20" w:type="dxa"/>
              <w:right w:w="20" w:type="dxa"/>
            </w:tcMar>
            <w:vAlign w:val="center"/>
          </w:tcPr>
          <w:p w14:paraId="161BD31D" w14:textId="77777777" w:rsidR="00CA6653" w:rsidRPr="007A020F" w:rsidRDefault="00CA6653">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839" w:type="pct"/>
            <w:shd w:val="clear" w:color="auto" w:fill="auto"/>
            <w:tcMar>
              <w:top w:w="20" w:type="dxa"/>
              <w:left w:w="20" w:type="dxa"/>
              <w:bottom w:w="20" w:type="dxa"/>
              <w:right w:w="20" w:type="dxa"/>
            </w:tcMar>
            <w:vAlign w:val="center"/>
          </w:tcPr>
          <w:p w14:paraId="447EAD3E" w14:textId="77777777" w:rsidR="00CA6653" w:rsidRPr="007A020F" w:rsidRDefault="00CA6653">
            <w:pPr>
              <w:pStyle w:val="T1TableStyle"/>
              <w:jc w:val="center"/>
              <w:rPr>
                <w:rFonts w:ascii="Verdana" w:eastAsia="Verdana" w:hAnsi="Verdana" w:cs="Verdana"/>
                <w:b/>
                <w:color w:val="000000"/>
                <w:sz w:val="16"/>
                <w:lang w:val="en-GB"/>
              </w:rPr>
            </w:pPr>
            <w:r w:rsidRPr="007A020F">
              <w:rPr>
                <w:rFonts w:ascii="Verdana" w:eastAsia="Verdana" w:hAnsi="Verdana" w:cs="Verdana"/>
                <w:b/>
                <w:color w:val="000000"/>
                <w:sz w:val="16"/>
                <w:lang w:val="en-GB"/>
              </w:rPr>
              <w:t>PCC</w:t>
            </w:r>
          </w:p>
        </w:tc>
        <w:tc>
          <w:tcPr>
            <w:tcW w:w="725" w:type="pct"/>
            <w:shd w:val="clear" w:color="auto" w:fill="auto"/>
            <w:tcMar>
              <w:top w:w="20" w:type="dxa"/>
              <w:left w:w="20" w:type="dxa"/>
              <w:bottom w:w="20" w:type="dxa"/>
              <w:right w:w="20" w:type="dxa"/>
            </w:tcMar>
            <w:vAlign w:val="center"/>
          </w:tcPr>
          <w:p w14:paraId="4AC8F5B8" w14:textId="77777777" w:rsidR="00CA6653" w:rsidRPr="007A020F" w:rsidRDefault="00CA6653">
            <w:pPr>
              <w:pStyle w:val="T1TableStyle"/>
              <w:jc w:val="center"/>
              <w:rPr>
                <w:rFonts w:ascii="Verdana" w:eastAsia="Verdana" w:hAnsi="Verdana" w:cs="Verdana"/>
                <w:b/>
                <w:color w:val="000000"/>
                <w:sz w:val="16"/>
                <w:lang w:val="en-GB"/>
              </w:rPr>
            </w:pPr>
            <w:r w:rsidRPr="007A020F">
              <w:rPr>
                <w:rFonts w:ascii="Verdana" w:eastAsia="Verdana" w:hAnsi="Verdana" w:cs="Verdana"/>
                <w:b/>
                <w:color w:val="000000"/>
                <w:sz w:val="16"/>
                <w:lang w:val="en-GB"/>
              </w:rPr>
              <w:t>Group</w:t>
            </w:r>
          </w:p>
        </w:tc>
      </w:tr>
      <w:tr w:rsidR="0074695B" w:rsidRPr="007A020F" w14:paraId="5CE28A56" w14:textId="77777777" w:rsidTr="0074695B">
        <w:trPr>
          <w:trHeight w:val="200"/>
        </w:trPr>
        <w:tc>
          <w:tcPr>
            <w:tcW w:w="728" w:type="pct"/>
            <w:tcBorders>
              <w:bottom w:val="single" w:sz="2" w:space="0" w:color="000000"/>
            </w:tcBorders>
            <w:shd w:val="clear" w:color="auto" w:fill="auto"/>
            <w:tcMar>
              <w:top w:w="20" w:type="dxa"/>
              <w:left w:w="20" w:type="dxa"/>
              <w:bottom w:w="20" w:type="dxa"/>
              <w:right w:w="20" w:type="dxa"/>
            </w:tcMar>
            <w:vAlign w:val="center"/>
          </w:tcPr>
          <w:p w14:paraId="5A05F30B" w14:textId="77777777" w:rsidR="00CA6653" w:rsidRPr="007A020F" w:rsidRDefault="00CA6653">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£000</w:t>
            </w:r>
          </w:p>
        </w:tc>
        <w:tc>
          <w:tcPr>
            <w:tcW w:w="771" w:type="pct"/>
            <w:tcBorders>
              <w:bottom w:val="single" w:sz="2" w:space="0" w:color="000000"/>
            </w:tcBorders>
            <w:shd w:val="clear" w:color="auto" w:fill="auto"/>
            <w:tcMar>
              <w:top w:w="20" w:type="dxa"/>
              <w:left w:w="20" w:type="dxa"/>
              <w:bottom w:w="20" w:type="dxa"/>
              <w:right w:w="20" w:type="dxa"/>
            </w:tcMar>
            <w:vAlign w:val="center"/>
          </w:tcPr>
          <w:p w14:paraId="3149E1BC" w14:textId="77777777" w:rsidR="00CA6653" w:rsidRPr="007A020F" w:rsidRDefault="00CA6653">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£000</w:t>
            </w:r>
          </w:p>
        </w:tc>
        <w:tc>
          <w:tcPr>
            <w:tcW w:w="119" w:type="pct"/>
            <w:tcBorders>
              <w:bottom w:val="single" w:sz="2" w:space="0" w:color="000000"/>
            </w:tcBorders>
            <w:shd w:val="clear" w:color="auto" w:fill="auto"/>
            <w:tcMar>
              <w:top w:w="20" w:type="dxa"/>
              <w:left w:w="20" w:type="dxa"/>
              <w:bottom w:w="20" w:type="dxa"/>
              <w:right w:w="20" w:type="dxa"/>
            </w:tcMar>
            <w:vAlign w:val="center"/>
          </w:tcPr>
          <w:p w14:paraId="7A65C2FC" w14:textId="77777777" w:rsidR="00CA6653" w:rsidRPr="007A020F" w:rsidRDefault="00CA6653">
            <w:pPr>
              <w:pStyle w:val="T1TableStyle"/>
              <w:jc w:val="right"/>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380" w:type="pct"/>
            <w:tcBorders>
              <w:bottom w:val="single" w:sz="2" w:space="0" w:color="000000"/>
            </w:tcBorders>
            <w:shd w:val="clear" w:color="auto" w:fill="auto"/>
            <w:tcMar>
              <w:top w:w="20" w:type="dxa"/>
              <w:left w:w="20" w:type="dxa"/>
              <w:bottom w:w="20" w:type="dxa"/>
              <w:right w:w="20" w:type="dxa"/>
            </w:tcMar>
            <w:vAlign w:val="center"/>
          </w:tcPr>
          <w:p w14:paraId="2CF627A6" w14:textId="77777777" w:rsidR="00CA6653" w:rsidRPr="007A020F" w:rsidRDefault="00CA6653">
            <w:pPr>
              <w:pStyle w:val="T1TableStyle"/>
              <w:jc w:val="center"/>
              <w:rPr>
                <w:rFonts w:ascii="Verdana" w:eastAsia="Verdana" w:hAnsi="Verdana" w:cs="Verdana"/>
                <w:b/>
                <w:i/>
                <w:color w:val="595959" w:themeColor="text1" w:themeTint="A6"/>
                <w:sz w:val="16"/>
                <w:lang w:val="en-GB"/>
              </w:rPr>
            </w:pPr>
            <w:r w:rsidRPr="007A020F">
              <w:rPr>
                <w:rFonts w:ascii="Verdana" w:eastAsia="Verdana" w:hAnsi="Verdana" w:cs="Verdana"/>
                <w:b/>
                <w:i/>
                <w:color w:val="595959" w:themeColor="text1" w:themeTint="A6"/>
                <w:sz w:val="16"/>
                <w:lang w:val="en-GB"/>
              </w:rPr>
              <w:t>Note</w:t>
            </w:r>
          </w:p>
        </w:tc>
        <w:tc>
          <w:tcPr>
            <w:tcW w:w="1437" w:type="pct"/>
            <w:tcBorders>
              <w:bottom w:val="single" w:sz="2" w:space="0" w:color="000000"/>
            </w:tcBorders>
            <w:shd w:val="clear" w:color="auto" w:fill="auto"/>
            <w:tcMar>
              <w:top w:w="20" w:type="dxa"/>
              <w:left w:w="20" w:type="dxa"/>
              <w:bottom w:w="20" w:type="dxa"/>
              <w:right w:w="20" w:type="dxa"/>
            </w:tcMar>
            <w:vAlign w:val="center"/>
          </w:tcPr>
          <w:p w14:paraId="7A5BC692" w14:textId="77777777" w:rsidR="00CA6653" w:rsidRPr="007A020F" w:rsidRDefault="00CA6653">
            <w:pPr>
              <w:pStyle w:val="T1TableStyle"/>
              <w:jc w:val="right"/>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839" w:type="pct"/>
            <w:tcBorders>
              <w:bottom w:val="single" w:sz="2" w:space="0" w:color="000000"/>
            </w:tcBorders>
            <w:shd w:val="clear" w:color="auto" w:fill="auto"/>
            <w:tcMar>
              <w:top w:w="20" w:type="dxa"/>
              <w:left w:w="20" w:type="dxa"/>
              <w:bottom w:w="20" w:type="dxa"/>
              <w:right w:w="20" w:type="dxa"/>
            </w:tcMar>
            <w:vAlign w:val="center"/>
          </w:tcPr>
          <w:p w14:paraId="2DDDC2E1" w14:textId="77777777" w:rsidR="00CA6653" w:rsidRPr="007A020F" w:rsidRDefault="00CA6653">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£000</w:t>
            </w:r>
          </w:p>
        </w:tc>
        <w:tc>
          <w:tcPr>
            <w:tcW w:w="725" w:type="pct"/>
            <w:tcBorders>
              <w:bottom w:val="single" w:sz="2" w:space="0" w:color="000000"/>
            </w:tcBorders>
            <w:shd w:val="clear" w:color="auto" w:fill="auto"/>
            <w:tcMar>
              <w:top w:w="20" w:type="dxa"/>
              <w:left w:w="20" w:type="dxa"/>
              <w:bottom w:w="20" w:type="dxa"/>
              <w:right w:w="20" w:type="dxa"/>
            </w:tcMar>
            <w:vAlign w:val="center"/>
          </w:tcPr>
          <w:p w14:paraId="2F8A04AF" w14:textId="77777777" w:rsidR="00CA6653" w:rsidRPr="007A020F" w:rsidRDefault="00CA6653">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£000</w:t>
            </w:r>
          </w:p>
        </w:tc>
      </w:tr>
      <w:tr w:rsidR="0074695B" w:rsidRPr="007A020F" w14:paraId="1AC46035" w14:textId="77777777" w:rsidTr="0074695B">
        <w:trPr>
          <w:trHeight w:val="200"/>
        </w:trPr>
        <w:tc>
          <w:tcPr>
            <w:tcW w:w="728" w:type="pct"/>
            <w:shd w:val="clear" w:color="auto" w:fill="auto"/>
            <w:tcMar>
              <w:top w:w="20" w:type="dxa"/>
              <w:left w:w="20" w:type="dxa"/>
              <w:bottom w:w="20" w:type="dxa"/>
              <w:right w:w="20" w:type="dxa"/>
            </w:tcMar>
            <w:vAlign w:val="center"/>
          </w:tcPr>
          <w:p w14:paraId="79E1DA22"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129,529</w:t>
            </w:r>
          </w:p>
        </w:tc>
        <w:tc>
          <w:tcPr>
            <w:tcW w:w="771" w:type="pct"/>
            <w:shd w:val="clear" w:color="auto" w:fill="auto"/>
            <w:tcMar>
              <w:top w:w="20" w:type="dxa"/>
              <w:left w:w="20" w:type="dxa"/>
              <w:bottom w:w="20" w:type="dxa"/>
              <w:right w:w="20" w:type="dxa"/>
            </w:tcMar>
            <w:vAlign w:val="center"/>
          </w:tcPr>
          <w:p w14:paraId="687A42D6"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129,529</w:t>
            </w:r>
          </w:p>
        </w:tc>
        <w:tc>
          <w:tcPr>
            <w:tcW w:w="119" w:type="pct"/>
            <w:shd w:val="clear" w:color="auto" w:fill="auto"/>
            <w:tcMar>
              <w:top w:w="20" w:type="dxa"/>
              <w:left w:w="20" w:type="dxa"/>
              <w:bottom w:w="20" w:type="dxa"/>
              <w:right w:w="20" w:type="dxa"/>
            </w:tcMar>
            <w:vAlign w:val="center"/>
          </w:tcPr>
          <w:p w14:paraId="3562E894"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2E8151A1" w14:textId="77777777" w:rsidR="00625FD6" w:rsidRPr="007A020F" w:rsidRDefault="00625FD6" w:rsidP="00625FD6">
            <w:pPr>
              <w:pStyle w:val="T1TableStyle"/>
              <w:jc w:val="center"/>
              <w:rPr>
                <w:rFonts w:ascii="Verdana" w:eastAsia="Verdana" w:hAnsi="Verdana" w:cs="Verdana"/>
                <w:i/>
                <w:color w:val="595959" w:themeColor="text1" w:themeTint="A6"/>
                <w:sz w:val="16"/>
                <w:szCs w:val="16"/>
                <w:lang w:val="en-GB"/>
              </w:rPr>
            </w:pPr>
            <w:r w:rsidRPr="007A020F">
              <w:rPr>
                <w:rFonts w:ascii="Verdana" w:eastAsia="Verdana" w:hAnsi="Verdana" w:cs="Verdana"/>
                <w:i/>
                <w:color w:val="595959" w:themeColor="text1" w:themeTint="A6"/>
                <w:sz w:val="16"/>
                <w:szCs w:val="16"/>
                <w:lang w:val="en-GB"/>
              </w:rPr>
              <w:t>11</w:t>
            </w:r>
          </w:p>
        </w:tc>
        <w:tc>
          <w:tcPr>
            <w:tcW w:w="1437" w:type="pct"/>
            <w:shd w:val="clear" w:color="auto" w:fill="auto"/>
            <w:tcMar>
              <w:top w:w="20" w:type="dxa"/>
              <w:left w:w="20" w:type="dxa"/>
              <w:bottom w:w="20" w:type="dxa"/>
              <w:right w:w="20" w:type="dxa"/>
            </w:tcMar>
            <w:vAlign w:val="center"/>
          </w:tcPr>
          <w:p w14:paraId="32255B7D" w14:textId="77777777" w:rsidR="00625FD6" w:rsidRPr="007A020F" w:rsidRDefault="00625FD6" w:rsidP="00625FD6">
            <w:pPr>
              <w:pStyle w:val="T1TableStyle"/>
              <w:rPr>
                <w:rFonts w:ascii="Verdana" w:eastAsia="Verdana" w:hAnsi="Verdana" w:cs="Verdana"/>
                <w:color w:val="000000"/>
                <w:sz w:val="16"/>
                <w:lang w:val="en-GB"/>
              </w:rPr>
            </w:pPr>
            <w:r w:rsidRPr="007A020F">
              <w:rPr>
                <w:rFonts w:ascii="Verdana" w:eastAsia="Verdana" w:hAnsi="Verdana" w:cs="Verdana"/>
                <w:color w:val="000000"/>
                <w:sz w:val="16"/>
                <w:lang w:val="en-GB"/>
              </w:rPr>
              <w:t>Property, Plant and Equipment</w:t>
            </w:r>
          </w:p>
        </w:tc>
        <w:tc>
          <w:tcPr>
            <w:tcW w:w="839" w:type="pct"/>
            <w:shd w:val="clear" w:color="auto" w:fill="auto"/>
            <w:tcMar>
              <w:top w:w="20" w:type="dxa"/>
              <w:left w:w="20" w:type="dxa"/>
              <w:bottom w:w="20" w:type="dxa"/>
              <w:right w:w="20" w:type="dxa"/>
            </w:tcMar>
            <w:vAlign w:val="center"/>
          </w:tcPr>
          <w:p w14:paraId="5E33A79F" w14:textId="77777777" w:rsidR="00625FD6" w:rsidRPr="007A020F" w:rsidRDefault="0097526A"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131,024</w:t>
            </w:r>
          </w:p>
        </w:tc>
        <w:tc>
          <w:tcPr>
            <w:tcW w:w="725" w:type="pct"/>
            <w:shd w:val="clear" w:color="auto" w:fill="auto"/>
            <w:tcMar>
              <w:top w:w="20" w:type="dxa"/>
              <w:left w:w="20" w:type="dxa"/>
              <w:bottom w:w="20" w:type="dxa"/>
              <w:right w:w="20" w:type="dxa"/>
            </w:tcMar>
            <w:vAlign w:val="center"/>
          </w:tcPr>
          <w:p w14:paraId="7EB25719" w14:textId="77777777" w:rsidR="00625FD6" w:rsidRPr="007A020F" w:rsidRDefault="0097526A"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131,024</w:t>
            </w:r>
          </w:p>
        </w:tc>
      </w:tr>
      <w:tr w:rsidR="0074695B" w:rsidRPr="007A020F" w14:paraId="5C4B4E3E" w14:textId="77777777" w:rsidTr="0074695B">
        <w:trPr>
          <w:trHeight w:val="200"/>
        </w:trPr>
        <w:tc>
          <w:tcPr>
            <w:tcW w:w="728" w:type="pct"/>
            <w:shd w:val="clear" w:color="auto" w:fill="auto"/>
            <w:tcMar>
              <w:top w:w="20" w:type="dxa"/>
              <w:left w:w="20" w:type="dxa"/>
              <w:bottom w:w="20" w:type="dxa"/>
              <w:right w:w="20" w:type="dxa"/>
            </w:tcMar>
            <w:vAlign w:val="center"/>
          </w:tcPr>
          <w:p w14:paraId="7AAB8A1F"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1,355</w:t>
            </w:r>
          </w:p>
        </w:tc>
        <w:tc>
          <w:tcPr>
            <w:tcW w:w="771" w:type="pct"/>
            <w:shd w:val="clear" w:color="auto" w:fill="auto"/>
            <w:tcMar>
              <w:top w:w="20" w:type="dxa"/>
              <w:left w:w="20" w:type="dxa"/>
              <w:bottom w:w="20" w:type="dxa"/>
              <w:right w:w="20" w:type="dxa"/>
            </w:tcMar>
            <w:vAlign w:val="center"/>
          </w:tcPr>
          <w:p w14:paraId="21DEC24C"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1,355</w:t>
            </w:r>
          </w:p>
        </w:tc>
        <w:tc>
          <w:tcPr>
            <w:tcW w:w="119" w:type="pct"/>
            <w:shd w:val="clear" w:color="auto" w:fill="auto"/>
            <w:tcMar>
              <w:top w:w="20" w:type="dxa"/>
              <w:left w:w="20" w:type="dxa"/>
              <w:bottom w:w="20" w:type="dxa"/>
              <w:right w:w="20" w:type="dxa"/>
            </w:tcMar>
            <w:vAlign w:val="center"/>
          </w:tcPr>
          <w:p w14:paraId="79D09AF9" w14:textId="77777777" w:rsidR="00625FD6" w:rsidRPr="007A020F" w:rsidRDefault="00625FD6" w:rsidP="00625FD6">
            <w:pPr>
              <w:pStyle w:val="T1TableStyle"/>
              <w:jc w:val="center"/>
              <w:rPr>
                <w:rFonts w:ascii="Verdana" w:eastAsia="Verdana" w:hAnsi="Verdana" w:cs="Verdana"/>
                <w:color w:val="000000"/>
                <w:sz w:val="2"/>
                <w:lang w:val="en-GB"/>
              </w:rPr>
            </w:pPr>
          </w:p>
        </w:tc>
        <w:tc>
          <w:tcPr>
            <w:tcW w:w="380" w:type="pct"/>
            <w:shd w:val="clear" w:color="auto" w:fill="auto"/>
            <w:tcMar>
              <w:top w:w="20" w:type="dxa"/>
              <w:left w:w="20" w:type="dxa"/>
              <w:bottom w:w="20" w:type="dxa"/>
              <w:right w:w="20" w:type="dxa"/>
            </w:tcMar>
            <w:vAlign w:val="center"/>
          </w:tcPr>
          <w:p w14:paraId="52D63998" w14:textId="77777777" w:rsidR="00625FD6" w:rsidRPr="007A020F" w:rsidRDefault="00625FD6" w:rsidP="00625FD6">
            <w:pPr>
              <w:pStyle w:val="T1TableStyle"/>
              <w:jc w:val="center"/>
              <w:rPr>
                <w:rFonts w:ascii="Verdana" w:eastAsia="Verdana" w:hAnsi="Verdana" w:cs="Verdana"/>
                <w:i/>
                <w:color w:val="595959" w:themeColor="text1" w:themeTint="A6"/>
                <w:sz w:val="16"/>
                <w:szCs w:val="16"/>
                <w:lang w:val="en-GB"/>
              </w:rPr>
            </w:pPr>
            <w:r w:rsidRPr="007A020F">
              <w:rPr>
                <w:rFonts w:ascii="Verdana" w:eastAsia="Verdana" w:hAnsi="Verdana" w:cs="Verdana"/>
                <w:i/>
                <w:color w:val="595959" w:themeColor="text1" w:themeTint="A6"/>
                <w:sz w:val="16"/>
                <w:szCs w:val="16"/>
                <w:lang w:val="en-GB"/>
              </w:rPr>
              <w:t>16</w:t>
            </w:r>
          </w:p>
        </w:tc>
        <w:tc>
          <w:tcPr>
            <w:tcW w:w="1437" w:type="pct"/>
            <w:shd w:val="clear" w:color="auto" w:fill="auto"/>
            <w:tcMar>
              <w:top w:w="20" w:type="dxa"/>
              <w:left w:w="20" w:type="dxa"/>
              <w:bottom w:w="20" w:type="dxa"/>
              <w:right w:w="20" w:type="dxa"/>
            </w:tcMar>
            <w:vAlign w:val="center"/>
          </w:tcPr>
          <w:p w14:paraId="7F6C4EDC" w14:textId="77777777" w:rsidR="00625FD6" w:rsidRPr="007A020F" w:rsidRDefault="00625FD6" w:rsidP="00625FD6">
            <w:pPr>
              <w:pStyle w:val="T1TableStyle"/>
              <w:rPr>
                <w:rFonts w:ascii="Verdana" w:eastAsia="Verdana" w:hAnsi="Verdana" w:cs="Verdana"/>
                <w:color w:val="000000"/>
                <w:sz w:val="16"/>
                <w:lang w:val="en-GB"/>
              </w:rPr>
            </w:pPr>
            <w:r w:rsidRPr="007A020F">
              <w:rPr>
                <w:rFonts w:ascii="Verdana" w:eastAsia="Verdana" w:hAnsi="Verdana" w:cs="Verdana"/>
                <w:color w:val="000000"/>
                <w:sz w:val="16"/>
                <w:lang w:val="en-GB"/>
              </w:rPr>
              <w:t>Investment Property</w:t>
            </w:r>
          </w:p>
        </w:tc>
        <w:tc>
          <w:tcPr>
            <w:tcW w:w="839" w:type="pct"/>
            <w:shd w:val="clear" w:color="auto" w:fill="auto"/>
            <w:tcMar>
              <w:top w:w="20" w:type="dxa"/>
              <w:left w:w="20" w:type="dxa"/>
              <w:bottom w:w="20" w:type="dxa"/>
              <w:right w:w="20" w:type="dxa"/>
            </w:tcMar>
            <w:vAlign w:val="center"/>
          </w:tcPr>
          <w:p w14:paraId="791A5B88" w14:textId="77777777" w:rsidR="00625FD6" w:rsidRPr="007A020F" w:rsidRDefault="0097526A"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1,203</w:t>
            </w:r>
          </w:p>
        </w:tc>
        <w:tc>
          <w:tcPr>
            <w:tcW w:w="725" w:type="pct"/>
            <w:shd w:val="clear" w:color="auto" w:fill="auto"/>
            <w:tcMar>
              <w:top w:w="20" w:type="dxa"/>
              <w:left w:w="20" w:type="dxa"/>
              <w:bottom w:w="20" w:type="dxa"/>
              <w:right w:w="20" w:type="dxa"/>
            </w:tcMar>
            <w:vAlign w:val="center"/>
          </w:tcPr>
          <w:p w14:paraId="03367C4D" w14:textId="77777777" w:rsidR="00625FD6" w:rsidRPr="007A020F" w:rsidRDefault="0097526A"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1,203</w:t>
            </w:r>
          </w:p>
        </w:tc>
      </w:tr>
      <w:tr w:rsidR="0074695B" w:rsidRPr="007A020F" w14:paraId="2D14B799" w14:textId="77777777" w:rsidTr="0074695B">
        <w:trPr>
          <w:trHeight w:val="200"/>
        </w:trPr>
        <w:tc>
          <w:tcPr>
            <w:tcW w:w="728" w:type="pct"/>
            <w:shd w:val="clear" w:color="auto" w:fill="auto"/>
            <w:tcMar>
              <w:top w:w="20" w:type="dxa"/>
              <w:left w:w="20" w:type="dxa"/>
              <w:bottom w:w="20" w:type="dxa"/>
              <w:right w:w="20" w:type="dxa"/>
            </w:tcMar>
            <w:vAlign w:val="center"/>
          </w:tcPr>
          <w:p w14:paraId="50058A2D"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3,614</w:t>
            </w:r>
          </w:p>
        </w:tc>
        <w:tc>
          <w:tcPr>
            <w:tcW w:w="771" w:type="pct"/>
            <w:shd w:val="clear" w:color="auto" w:fill="auto"/>
            <w:tcMar>
              <w:top w:w="20" w:type="dxa"/>
              <w:left w:w="20" w:type="dxa"/>
              <w:bottom w:w="20" w:type="dxa"/>
              <w:right w:w="20" w:type="dxa"/>
            </w:tcMar>
            <w:vAlign w:val="center"/>
          </w:tcPr>
          <w:p w14:paraId="7F92AF2B"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3,614</w:t>
            </w:r>
          </w:p>
        </w:tc>
        <w:tc>
          <w:tcPr>
            <w:tcW w:w="119" w:type="pct"/>
            <w:shd w:val="clear" w:color="auto" w:fill="auto"/>
            <w:tcMar>
              <w:top w:w="20" w:type="dxa"/>
              <w:left w:w="20" w:type="dxa"/>
              <w:bottom w:w="20" w:type="dxa"/>
              <w:right w:w="20" w:type="dxa"/>
            </w:tcMar>
            <w:vAlign w:val="center"/>
          </w:tcPr>
          <w:p w14:paraId="3957081F"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5ADF5EB5" w14:textId="77777777" w:rsidR="00625FD6" w:rsidRPr="007A020F" w:rsidRDefault="00625FD6" w:rsidP="00625FD6">
            <w:pPr>
              <w:pStyle w:val="T1TableStyle"/>
              <w:jc w:val="center"/>
              <w:rPr>
                <w:rFonts w:ascii="Verdana" w:eastAsia="Verdana" w:hAnsi="Verdana" w:cs="Verdana"/>
                <w:i/>
                <w:color w:val="595959" w:themeColor="text1" w:themeTint="A6"/>
                <w:sz w:val="16"/>
                <w:szCs w:val="16"/>
                <w:lang w:val="en-GB"/>
              </w:rPr>
            </w:pPr>
            <w:r w:rsidRPr="007A020F">
              <w:rPr>
                <w:rFonts w:ascii="Verdana" w:eastAsia="Verdana" w:hAnsi="Verdana" w:cs="Verdana"/>
                <w:i/>
                <w:color w:val="595959" w:themeColor="text1" w:themeTint="A6"/>
                <w:sz w:val="16"/>
                <w:szCs w:val="16"/>
                <w:lang w:val="en-GB"/>
              </w:rPr>
              <w:t>12</w:t>
            </w:r>
          </w:p>
        </w:tc>
        <w:tc>
          <w:tcPr>
            <w:tcW w:w="1437" w:type="pct"/>
            <w:shd w:val="clear" w:color="auto" w:fill="auto"/>
            <w:tcMar>
              <w:top w:w="20" w:type="dxa"/>
              <w:left w:w="20" w:type="dxa"/>
              <w:bottom w:w="20" w:type="dxa"/>
              <w:right w:w="20" w:type="dxa"/>
            </w:tcMar>
            <w:vAlign w:val="center"/>
          </w:tcPr>
          <w:p w14:paraId="4641309A" w14:textId="77777777" w:rsidR="00625FD6" w:rsidRPr="007A020F" w:rsidRDefault="00625FD6" w:rsidP="00625FD6">
            <w:pPr>
              <w:pStyle w:val="T1TableStyle"/>
              <w:rPr>
                <w:rFonts w:ascii="Verdana" w:eastAsia="Verdana" w:hAnsi="Verdana" w:cs="Verdana"/>
                <w:color w:val="000000"/>
                <w:sz w:val="16"/>
                <w:lang w:val="en-GB"/>
              </w:rPr>
            </w:pPr>
            <w:r w:rsidRPr="007A020F">
              <w:rPr>
                <w:rFonts w:ascii="Verdana" w:eastAsia="Verdana" w:hAnsi="Verdana" w:cs="Verdana"/>
                <w:color w:val="000000"/>
                <w:sz w:val="16"/>
                <w:lang w:val="en-GB"/>
              </w:rPr>
              <w:t>Intangible Assets</w:t>
            </w:r>
          </w:p>
        </w:tc>
        <w:tc>
          <w:tcPr>
            <w:tcW w:w="839" w:type="pct"/>
            <w:shd w:val="clear" w:color="auto" w:fill="auto"/>
            <w:tcMar>
              <w:top w:w="20" w:type="dxa"/>
              <w:left w:w="20" w:type="dxa"/>
              <w:bottom w:w="20" w:type="dxa"/>
              <w:right w:w="20" w:type="dxa"/>
            </w:tcMar>
            <w:vAlign w:val="center"/>
          </w:tcPr>
          <w:p w14:paraId="4DF25E88" w14:textId="77777777" w:rsidR="00625FD6" w:rsidRPr="007A020F" w:rsidRDefault="0097526A"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4,826</w:t>
            </w:r>
          </w:p>
        </w:tc>
        <w:tc>
          <w:tcPr>
            <w:tcW w:w="725" w:type="pct"/>
            <w:shd w:val="clear" w:color="auto" w:fill="auto"/>
            <w:tcMar>
              <w:top w:w="20" w:type="dxa"/>
              <w:left w:w="20" w:type="dxa"/>
              <w:bottom w:w="20" w:type="dxa"/>
              <w:right w:w="20" w:type="dxa"/>
            </w:tcMar>
            <w:vAlign w:val="center"/>
          </w:tcPr>
          <w:p w14:paraId="66217865" w14:textId="77777777" w:rsidR="00625FD6" w:rsidRPr="007A020F" w:rsidRDefault="0097526A"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4,826</w:t>
            </w:r>
          </w:p>
        </w:tc>
      </w:tr>
      <w:tr w:rsidR="0074695B" w:rsidRPr="007A020F" w14:paraId="4A6B0757" w14:textId="77777777" w:rsidTr="0074695B">
        <w:trPr>
          <w:trHeight w:val="200"/>
        </w:trPr>
        <w:tc>
          <w:tcPr>
            <w:tcW w:w="728" w:type="pct"/>
            <w:shd w:val="clear" w:color="auto" w:fill="auto"/>
            <w:tcMar>
              <w:top w:w="20" w:type="dxa"/>
              <w:left w:w="20" w:type="dxa"/>
              <w:bottom w:w="20" w:type="dxa"/>
              <w:right w:w="20" w:type="dxa"/>
            </w:tcMar>
            <w:vAlign w:val="center"/>
          </w:tcPr>
          <w:p w14:paraId="0ED43A8F"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586</w:t>
            </w:r>
          </w:p>
        </w:tc>
        <w:tc>
          <w:tcPr>
            <w:tcW w:w="771" w:type="pct"/>
            <w:shd w:val="clear" w:color="auto" w:fill="auto"/>
            <w:tcMar>
              <w:top w:w="20" w:type="dxa"/>
              <w:left w:w="20" w:type="dxa"/>
              <w:bottom w:w="20" w:type="dxa"/>
              <w:right w:w="20" w:type="dxa"/>
            </w:tcMar>
            <w:vAlign w:val="center"/>
          </w:tcPr>
          <w:p w14:paraId="7ED7287B"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586</w:t>
            </w:r>
          </w:p>
        </w:tc>
        <w:tc>
          <w:tcPr>
            <w:tcW w:w="119" w:type="pct"/>
            <w:shd w:val="clear" w:color="auto" w:fill="auto"/>
            <w:tcMar>
              <w:top w:w="20" w:type="dxa"/>
              <w:left w:w="20" w:type="dxa"/>
              <w:bottom w:w="20" w:type="dxa"/>
              <w:right w:w="20" w:type="dxa"/>
            </w:tcMar>
            <w:vAlign w:val="center"/>
          </w:tcPr>
          <w:p w14:paraId="1F390127"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68EE026B" w14:textId="77777777" w:rsidR="00625FD6" w:rsidRPr="007A020F" w:rsidRDefault="00625FD6" w:rsidP="00625FD6">
            <w:pPr>
              <w:pStyle w:val="T1TableStyle"/>
              <w:jc w:val="center"/>
              <w:rPr>
                <w:rFonts w:ascii="Verdana" w:eastAsia="Verdana" w:hAnsi="Verdana" w:cs="Verdana"/>
                <w:i/>
                <w:color w:val="595959" w:themeColor="text1" w:themeTint="A6"/>
                <w:sz w:val="16"/>
                <w:szCs w:val="16"/>
                <w:lang w:val="en-GB"/>
              </w:rPr>
            </w:pPr>
          </w:p>
        </w:tc>
        <w:tc>
          <w:tcPr>
            <w:tcW w:w="1437" w:type="pct"/>
            <w:shd w:val="clear" w:color="auto" w:fill="auto"/>
            <w:tcMar>
              <w:top w:w="20" w:type="dxa"/>
              <w:left w:w="20" w:type="dxa"/>
              <w:bottom w:w="20" w:type="dxa"/>
              <w:right w:w="20" w:type="dxa"/>
            </w:tcMar>
            <w:vAlign w:val="center"/>
          </w:tcPr>
          <w:p w14:paraId="0DDFA721" w14:textId="77777777" w:rsidR="00625FD6" w:rsidRPr="007A020F" w:rsidRDefault="00625FD6" w:rsidP="00625FD6">
            <w:pPr>
              <w:pStyle w:val="T1TableStyle"/>
              <w:rPr>
                <w:rFonts w:ascii="Verdana" w:eastAsia="Verdana" w:hAnsi="Verdana" w:cs="Verdana"/>
                <w:color w:val="000000"/>
                <w:sz w:val="16"/>
                <w:lang w:val="en-GB"/>
              </w:rPr>
            </w:pPr>
            <w:r w:rsidRPr="007A020F">
              <w:rPr>
                <w:rFonts w:ascii="Verdana" w:eastAsia="Verdana" w:hAnsi="Verdana" w:cs="Verdana"/>
                <w:color w:val="000000"/>
                <w:sz w:val="16"/>
                <w:lang w:val="en-GB"/>
              </w:rPr>
              <w:t>Long-Term Debtors</w:t>
            </w:r>
          </w:p>
        </w:tc>
        <w:tc>
          <w:tcPr>
            <w:tcW w:w="839" w:type="pct"/>
            <w:shd w:val="clear" w:color="auto" w:fill="auto"/>
            <w:tcMar>
              <w:top w:w="20" w:type="dxa"/>
              <w:left w:w="20" w:type="dxa"/>
              <w:bottom w:w="20" w:type="dxa"/>
              <w:right w:w="20" w:type="dxa"/>
            </w:tcMar>
            <w:vAlign w:val="center"/>
          </w:tcPr>
          <w:p w14:paraId="581B51D0" w14:textId="77777777" w:rsidR="00625FD6" w:rsidRPr="007A020F" w:rsidRDefault="0097526A"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586</w:t>
            </w:r>
          </w:p>
        </w:tc>
        <w:tc>
          <w:tcPr>
            <w:tcW w:w="725" w:type="pct"/>
            <w:shd w:val="clear" w:color="auto" w:fill="auto"/>
            <w:tcMar>
              <w:top w:w="20" w:type="dxa"/>
              <w:left w:w="20" w:type="dxa"/>
              <w:bottom w:w="20" w:type="dxa"/>
              <w:right w:w="20" w:type="dxa"/>
            </w:tcMar>
            <w:vAlign w:val="center"/>
          </w:tcPr>
          <w:p w14:paraId="2B1E7493" w14:textId="77777777" w:rsidR="00625FD6" w:rsidRPr="007A020F" w:rsidRDefault="0097526A"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586</w:t>
            </w:r>
          </w:p>
        </w:tc>
      </w:tr>
      <w:tr w:rsidR="0074695B" w:rsidRPr="007A020F" w14:paraId="09C8D309" w14:textId="77777777" w:rsidTr="0074695B">
        <w:trPr>
          <w:trHeight w:val="200"/>
        </w:trPr>
        <w:tc>
          <w:tcPr>
            <w:tcW w:w="728" w:type="pct"/>
            <w:tcBorders>
              <w:top w:val="single" w:sz="2" w:space="0" w:color="000000"/>
            </w:tcBorders>
            <w:shd w:val="clear" w:color="auto" w:fill="auto"/>
            <w:tcMar>
              <w:top w:w="20" w:type="dxa"/>
              <w:left w:w="20" w:type="dxa"/>
              <w:bottom w:w="20" w:type="dxa"/>
              <w:right w:w="20" w:type="dxa"/>
            </w:tcMar>
            <w:vAlign w:val="center"/>
          </w:tcPr>
          <w:p w14:paraId="07056994" w14:textId="77777777" w:rsidR="00625FD6" w:rsidRPr="007A020F" w:rsidRDefault="00625FD6" w:rsidP="00625FD6">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135,084</w:t>
            </w:r>
          </w:p>
        </w:tc>
        <w:tc>
          <w:tcPr>
            <w:tcW w:w="771" w:type="pct"/>
            <w:tcBorders>
              <w:top w:val="single" w:sz="2" w:space="0" w:color="000000"/>
            </w:tcBorders>
            <w:shd w:val="clear" w:color="auto" w:fill="auto"/>
            <w:tcMar>
              <w:top w:w="20" w:type="dxa"/>
              <w:left w:w="20" w:type="dxa"/>
              <w:bottom w:w="20" w:type="dxa"/>
              <w:right w:w="20" w:type="dxa"/>
            </w:tcMar>
            <w:vAlign w:val="center"/>
          </w:tcPr>
          <w:p w14:paraId="75B0057D" w14:textId="77777777" w:rsidR="00625FD6" w:rsidRPr="007A020F" w:rsidRDefault="00625FD6" w:rsidP="00625FD6">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135,084</w:t>
            </w:r>
          </w:p>
        </w:tc>
        <w:tc>
          <w:tcPr>
            <w:tcW w:w="119" w:type="pct"/>
            <w:tcBorders>
              <w:top w:val="single" w:sz="2" w:space="0" w:color="000000"/>
            </w:tcBorders>
            <w:shd w:val="clear" w:color="auto" w:fill="auto"/>
            <w:tcMar>
              <w:top w:w="20" w:type="dxa"/>
              <w:left w:w="20" w:type="dxa"/>
              <w:bottom w:w="20" w:type="dxa"/>
              <w:right w:w="20" w:type="dxa"/>
            </w:tcMar>
            <w:vAlign w:val="center"/>
          </w:tcPr>
          <w:p w14:paraId="7CCF8B7C"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380" w:type="pct"/>
            <w:tcBorders>
              <w:top w:val="single" w:sz="2" w:space="0" w:color="000000"/>
            </w:tcBorders>
            <w:shd w:val="clear" w:color="auto" w:fill="auto"/>
            <w:tcMar>
              <w:top w:w="20" w:type="dxa"/>
              <w:left w:w="20" w:type="dxa"/>
              <w:bottom w:w="20" w:type="dxa"/>
              <w:right w:w="20" w:type="dxa"/>
            </w:tcMar>
            <w:vAlign w:val="center"/>
          </w:tcPr>
          <w:p w14:paraId="412716A6" w14:textId="77777777" w:rsidR="00625FD6" w:rsidRPr="007A020F" w:rsidRDefault="00625FD6" w:rsidP="00625FD6">
            <w:pPr>
              <w:pStyle w:val="T1TableStyle"/>
              <w:jc w:val="center"/>
              <w:rPr>
                <w:rFonts w:ascii="Verdana" w:eastAsia="Verdana" w:hAnsi="Verdana" w:cs="Verdana"/>
                <w:b/>
                <w:i/>
                <w:color w:val="595959" w:themeColor="text1" w:themeTint="A6"/>
                <w:sz w:val="16"/>
                <w:szCs w:val="16"/>
                <w:lang w:val="en-GB"/>
              </w:rPr>
            </w:pPr>
          </w:p>
        </w:tc>
        <w:tc>
          <w:tcPr>
            <w:tcW w:w="1437" w:type="pct"/>
            <w:tcBorders>
              <w:top w:val="single" w:sz="2" w:space="0" w:color="000000"/>
            </w:tcBorders>
            <w:shd w:val="clear" w:color="auto" w:fill="auto"/>
            <w:tcMar>
              <w:top w:w="20" w:type="dxa"/>
              <w:left w:w="20" w:type="dxa"/>
              <w:bottom w:w="20" w:type="dxa"/>
              <w:right w:w="20" w:type="dxa"/>
            </w:tcMar>
            <w:vAlign w:val="center"/>
          </w:tcPr>
          <w:p w14:paraId="139CA8DD" w14:textId="77777777" w:rsidR="00625FD6" w:rsidRPr="007A020F" w:rsidRDefault="00625FD6" w:rsidP="00625FD6">
            <w:pPr>
              <w:pStyle w:val="T1TableStyle"/>
              <w:rPr>
                <w:rFonts w:ascii="Verdana" w:eastAsia="Verdana" w:hAnsi="Verdana" w:cs="Verdana"/>
                <w:b/>
                <w:color w:val="000000"/>
                <w:sz w:val="16"/>
                <w:lang w:val="en-GB"/>
              </w:rPr>
            </w:pPr>
            <w:r w:rsidRPr="007A020F">
              <w:rPr>
                <w:rFonts w:ascii="Verdana" w:eastAsia="Verdana" w:hAnsi="Verdana" w:cs="Verdana"/>
                <w:b/>
                <w:color w:val="000000"/>
                <w:sz w:val="16"/>
                <w:lang w:val="en-GB"/>
              </w:rPr>
              <w:t>Long Term Assets</w:t>
            </w:r>
          </w:p>
        </w:tc>
        <w:tc>
          <w:tcPr>
            <w:tcW w:w="839" w:type="pct"/>
            <w:tcBorders>
              <w:top w:val="single" w:sz="2" w:space="0" w:color="000000"/>
            </w:tcBorders>
            <w:shd w:val="clear" w:color="auto" w:fill="auto"/>
            <w:tcMar>
              <w:top w:w="20" w:type="dxa"/>
              <w:left w:w="20" w:type="dxa"/>
              <w:bottom w:w="20" w:type="dxa"/>
              <w:right w:w="20" w:type="dxa"/>
            </w:tcMar>
            <w:vAlign w:val="center"/>
          </w:tcPr>
          <w:p w14:paraId="7C06CF7E" w14:textId="77777777" w:rsidR="00625FD6" w:rsidRPr="007A020F" w:rsidRDefault="0097526A" w:rsidP="00625FD6">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137,639</w:t>
            </w:r>
          </w:p>
        </w:tc>
        <w:tc>
          <w:tcPr>
            <w:tcW w:w="725" w:type="pct"/>
            <w:tcBorders>
              <w:top w:val="single" w:sz="2" w:space="0" w:color="000000"/>
            </w:tcBorders>
            <w:shd w:val="clear" w:color="auto" w:fill="auto"/>
            <w:tcMar>
              <w:top w:w="20" w:type="dxa"/>
              <w:left w:w="20" w:type="dxa"/>
              <w:bottom w:w="20" w:type="dxa"/>
              <w:right w:w="20" w:type="dxa"/>
            </w:tcMar>
            <w:vAlign w:val="center"/>
          </w:tcPr>
          <w:p w14:paraId="2C53113B" w14:textId="77777777" w:rsidR="00625FD6" w:rsidRPr="007A020F" w:rsidRDefault="0097526A" w:rsidP="00625FD6">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137,639</w:t>
            </w:r>
          </w:p>
        </w:tc>
      </w:tr>
      <w:tr w:rsidR="0074695B" w:rsidRPr="007A020F" w14:paraId="03DE5714" w14:textId="77777777" w:rsidTr="0074695B">
        <w:trPr>
          <w:trHeight w:val="200"/>
        </w:trPr>
        <w:tc>
          <w:tcPr>
            <w:tcW w:w="728" w:type="pct"/>
            <w:shd w:val="clear" w:color="auto" w:fill="auto"/>
            <w:tcMar>
              <w:top w:w="20" w:type="dxa"/>
              <w:left w:w="20" w:type="dxa"/>
              <w:bottom w:w="20" w:type="dxa"/>
              <w:right w:w="20" w:type="dxa"/>
            </w:tcMar>
            <w:vAlign w:val="center"/>
          </w:tcPr>
          <w:p w14:paraId="7854C87F"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771" w:type="pct"/>
            <w:shd w:val="clear" w:color="auto" w:fill="auto"/>
            <w:tcMar>
              <w:top w:w="20" w:type="dxa"/>
              <w:left w:w="20" w:type="dxa"/>
              <w:bottom w:w="20" w:type="dxa"/>
              <w:right w:w="20" w:type="dxa"/>
            </w:tcMar>
            <w:vAlign w:val="center"/>
          </w:tcPr>
          <w:p w14:paraId="679CB43C"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119" w:type="pct"/>
            <w:shd w:val="clear" w:color="auto" w:fill="auto"/>
            <w:tcMar>
              <w:top w:w="20" w:type="dxa"/>
              <w:left w:w="20" w:type="dxa"/>
              <w:bottom w:w="20" w:type="dxa"/>
              <w:right w:w="20" w:type="dxa"/>
            </w:tcMar>
            <w:vAlign w:val="center"/>
          </w:tcPr>
          <w:p w14:paraId="01BB44A2"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08449E5F" w14:textId="77777777" w:rsidR="00625FD6" w:rsidRPr="007A020F" w:rsidRDefault="00625FD6" w:rsidP="00625FD6">
            <w:pPr>
              <w:pStyle w:val="T1TableStyle"/>
              <w:jc w:val="center"/>
              <w:rPr>
                <w:rFonts w:ascii="Verdana" w:eastAsia="Verdana" w:hAnsi="Verdana" w:cs="Verdana"/>
                <w:i/>
                <w:color w:val="595959" w:themeColor="text1" w:themeTint="A6"/>
                <w:sz w:val="16"/>
                <w:szCs w:val="16"/>
                <w:lang w:val="en-GB"/>
              </w:rPr>
            </w:pPr>
          </w:p>
        </w:tc>
        <w:tc>
          <w:tcPr>
            <w:tcW w:w="1437" w:type="pct"/>
            <w:shd w:val="clear" w:color="auto" w:fill="auto"/>
            <w:tcMar>
              <w:top w:w="20" w:type="dxa"/>
              <w:left w:w="20" w:type="dxa"/>
              <w:bottom w:w="20" w:type="dxa"/>
              <w:right w:w="20" w:type="dxa"/>
            </w:tcMar>
            <w:vAlign w:val="center"/>
          </w:tcPr>
          <w:p w14:paraId="4B7C59BC"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839" w:type="pct"/>
            <w:shd w:val="clear" w:color="auto" w:fill="auto"/>
            <w:tcMar>
              <w:top w:w="20" w:type="dxa"/>
              <w:left w:w="20" w:type="dxa"/>
              <w:bottom w:w="20" w:type="dxa"/>
              <w:right w:w="20" w:type="dxa"/>
            </w:tcMar>
            <w:vAlign w:val="center"/>
          </w:tcPr>
          <w:p w14:paraId="7C8B6D1B"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725" w:type="pct"/>
            <w:shd w:val="clear" w:color="auto" w:fill="auto"/>
            <w:tcMar>
              <w:top w:w="20" w:type="dxa"/>
              <w:left w:w="20" w:type="dxa"/>
              <w:bottom w:w="20" w:type="dxa"/>
              <w:right w:w="20" w:type="dxa"/>
            </w:tcMar>
            <w:vAlign w:val="center"/>
          </w:tcPr>
          <w:p w14:paraId="0BE5A457"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r>
      <w:tr w:rsidR="0074695B" w:rsidRPr="007A020F" w14:paraId="3B2D048E" w14:textId="77777777" w:rsidTr="0074695B">
        <w:trPr>
          <w:trHeight w:val="200"/>
        </w:trPr>
        <w:tc>
          <w:tcPr>
            <w:tcW w:w="728" w:type="pct"/>
            <w:shd w:val="clear" w:color="auto" w:fill="auto"/>
            <w:tcMar>
              <w:top w:w="20" w:type="dxa"/>
              <w:left w:w="20" w:type="dxa"/>
              <w:bottom w:w="20" w:type="dxa"/>
              <w:right w:w="20" w:type="dxa"/>
            </w:tcMar>
            <w:vAlign w:val="center"/>
          </w:tcPr>
          <w:p w14:paraId="03BF59F5"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964</w:t>
            </w:r>
          </w:p>
        </w:tc>
        <w:tc>
          <w:tcPr>
            <w:tcW w:w="771" w:type="pct"/>
            <w:shd w:val="clear" w:color="auto" w:fill="auto"/>
            <w:tcMar>
              <w:top w:w="20" w:type="dxa"/>
              <w:left w:w="20" w:type="dxa"/>
              <w:bottom w:w="20" w:type="dxa"/>
              <w:right w:w="20" w:type="dxa"/>
            </w:tcMar>
            <w:vAlign w:val="center"/>
          </w:tcPr>
          <w:p w14:paraId="5EEACE9D"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964</w:t>
            </w:r>
          </w:p>
        </w:tc>
        <w:tc>
          <w:tcPr>
            <w:tcW w:w="119" w:type="pct"/>
            <w:shd w:val="clear" w:color="auto" w:fill="auto"/>
            <w:tcMar>
              <w:top w:w="20" w:type="dxa"/>
              <w:left w:w="20" w:type="dxa"/>
              <w:bottom w:w="20" w:type="dxa"/>
              <w:right w:w="20" w:type="dxa"/>
            </w:tcMar>
            <w:vAlign w:val="center"/>
          </w:tcPr>
          <w:p w14:paraId="7105493B"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72D7415C" w14:textId="77777777" w:rsidR="00625FD6" w:rsidRPr="007A020F" w:rsidRDefault="00625FD6" w:rsidP="00625FD6">
            <w:pPr>
              <w:pStyle w:val="T1TableStyle"/>
              <w:jc w:val="center"/>
              <w:rPr>
                <w:rFonts w:ascii="Verdana" w:eastAsia="Verdana" w:hAnsi="Verdana" w:cs="Verdana"/>
                <w:i/>
                <w:color w:val="595959" w:themeColor="text1" w:themeTint="A6"/>
                <w:sz w:val="16"/>
                <w:szCs w:val="16"/>
                <w:lang w:val="en-GB"/>
              </w:rPr>
            </w:pPr>
            <w:r w:rsidRPr="007A020F">
              <w:rPr>
                <w:rFonts w:ascii="Verdana" w:eastAsia="Verdana" w:hAnsi="Verdana" w:cs="Verdana"/>
                <w:i/>
                <w:color w:val="595959" w:themeColor="text1" w:themeTint="A6"/>
                <w:sz w:val="16"/>
                <w:szCs w:val="16"/>
                <w:lang w:val="en-GB"/>
              </w:rPr>
              <w:t>15</w:t>
            </w:r>
          </w:p>
        </w:tc>
        <w:tc>
          <w:tcPr>
            <w:tcW w:w="1437" w:type="pct"/>
            <w:shd w:val="clear" w:color="auto" w:fill="auto"/>
            <w:tcMar>
              <w:top w:w="20" w:type="dxa"/>
              <w:left w:w="20" w:type="dxa"/>
              <w:bottom w:w="20" w:type="dxa"/>
              <w:right w:w="20" w:type="dxa"/>
            </w:tcMar>
            <w:vAlign w:val="center"/>
          </w:tcPr>
          <w:p w14:paraId="46F35A09" w14:textId="77777777" w:rsidR="00625FD6" w:rsidRPr="007A020F" w:rsidRDefault="00625FD6" w:rsidP="00625FD6">
            <w:pPr>
              <w:pStyle w:val="T1TableStyle"/>
              <w:rPr>
                <w:rFonts w:ascii="Verdana" w:eastAsia="Verdana" w:hAnsi="Verdana" w:cs="Verdana"/>
                <w:color w:val="000000"/>
                <w:sz w:val="16"/>
                <w:lang w:val="en-GB"/>
              </w:rPr>
            </w:pPr>
            <w:r w:rsidRPr="007A020F">
              <w:rPr>
                <w:rFonts w:ascii="Verdana" w:eastAsia="Verdana" w:hAnsi="Verdana" w:cs="Verdana"/>
                <w:color w:val="000000"/>
                <w:sz w:val="16"/>
                <w:lang w:val="en-GB"/>
              </w:rPr>
              <w:t>Assets Held for Sale</w:t>
            </w:r>
          </w:p>
        </w:tc>
        <w:tc>
          <w:tcPr>
            <w:tcW w:w="839" w:type="pct"/>
            <w:shd w:val="clear" w:color="auto" w:fill="auto"/>
            <w:tcMar>
              <w:top w:w="20" w:type="dxa"/>
              <w:left w:w="20" w:type="dxa"/>
              <w:bottom w:w="20" w:type="dxa"/>
              <w:right w:w="20" w:type="dxa"/>
            </w:tcMar>
            <w:vAlign w:val="center"/>
          </w:tcPr>
          <w:p w14:paraId="00D1EF9A" w14:textId="77777777" w:rsidR="00625FD6" w:rsidRPr="007A020F" w:rsidRDefault="0097526A"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0</w:t>
            </w:r>
          </w:p>
        </w:tc>
        <w:tc>
          <w:tcPr>
            <w:tcW w:w="725" w:type="pct"/>
            <w:shd w:val="clear" w:color="auto" w:fill="auto"/>
            <w:tcMar>
              <w:top w:w="20" w:type="dxa"/>
              <w:left w:w="20" w:type="dxa"/>
              <w:bottom w:w="20" w:type="dxa"/>
              <w:right w:w="20" w:type="dxa"/>
            </w:tcMar>
            <w:vAlign w:val="center"/>
          </w:tcPr>
          <w:p w14:paraId="10E1A2BE" w14:textId="77777777" w:rsidR="00625FD6" w:rsidRPr="007A020F" w:rsidRDefault="0097526A"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0</w:t>
            </w:r>
          </w:p>
        </w:tc>
      </w:tr>
      <w:tr w:rsidR="0074695B" w:rsidRPr="007A020F" w14:paraId="5E8D9D8F" w14:textId="77777777" w:rsidTr="0074695B">
        <w:trPr>
          <w:trHeight w:val="200"/>
        </w:trPr>
        <w:tc>
          <w:tcPr>
            <w:tcW w:w="728" w:type="pct"/>
            <w:shd w:val="clear" w:color="auto" w:fill="auto"/>
            <w:tcMar>
              <w:top w:w="20" w:type="dxa"/>
              <w:left w:w="20" w:type="dxa"/>
              <w:bottom w:w="20" w:type="dxa"/>
              <w:right w:w="20" w:type="dxa"/>
            </w:tcMar>
            <w:vAlign w:val="center"/>
          </w:tcPr>
          <w:p w14:paraId="49147D09"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972</w:t>
            </w:r>
          </w:p>
        </w:tc>
        <w:tc>
          <w:tcPr>
            <w:tcW w:w="771" w:type="pct"/>
            <w:shd w:val="clear" w:color="auto" w:fill="auto"/>
            <w:tcMar>
              <w:top w:w="20" w:type="dxa"/>
              <w:left w:w="20" w:type="dxa"/>
              <w:bottom w:w="20" w:type="dxa"/>
              <w:right w:w="20" w:type="dxa"/>
            </w:tcMar>
            <w:vAlign w:val="center"/>
          </w:tcPr>
          <w:p w14:paraId="320DA254"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972</w:t>
            </w:r>
          </w:p>
        </w:tc>
        <w:tc>
          <w:tcPr>
            <w:tcW w:w="119" w:type="pct"/>
            <w:shd w:val="clear" w:color="auto" w:fill="auto"/>
            <w:tcMar>
              <w:top w:w="20" w:type="dxa"/>
              <w:left w:w="20" w:type="dxa"/>
              <w:bottom w:w="20" w:type="dxa"/>
              <w:right w:w="20" w:type="dxa"/>
            </w:tcMar>
            <w:vAlign w:val="center"/>
          </w:tcPr>
          <w:p w14:paraId="5019451C"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747D1FC8" w14:textId="77777777" w:rsidR="00625FD6" w:rsidRPr="007A020F" w:rsidRDefault="00625FD6" w:rsidP="00625FD6">
            <w:pPr>
              <w:pStyle w:val="T1TableStyle"/>
              <w:jc w:val="center"/>
              <w:rPr>
                <w:rFonts w:ascii="Verdana" w:eastAsia="Verdana" w:hAnsi="Verdana" w:cs="Verdana"/>
                <w:i/>
                <w:color w:val="595959" w:themeColor="text1" w:themeTint="A6"/>
                <w:sz w:val="16"/>
                <w:szCs w:val="16"/>
                <w:lang w:val="en-GB"/>
              </w:rPr>
            </w:pPr>
          </w:p>
        </w:tc>
        <w:tc>
          <w:tcPr>
            <w:tcW w:w="1437" w:type="pct"/>
            <w:shd w:val="clear" w:color="auto" w:fill="auto"/>
            <w:tcMar>
              <w:top w:w="20" w:type="dxa"/>
              <w:left w:w="20" w:type="dxa"/>
              <w:bottom w:w="20" w:type="dxa"/>
              <w:right w:w="20" w:type="dxa"/>
            </w:tcMar>
            <w:vAlign w:val="center"/>
          </w:tcPr>
          <w:p w14:paraId="7F3928F9" w14:textId="77777777" w:rsidR="00625FD6" w:rsidRPr="007A020F" w:rsidRDefault="00625FD6" w:rsidP="00625FD6">
            <w:pPr>
              <w:pStyle w:val="T1TableStyle"/>
              <w:rPr>
                <w:rFonts w:ascii="Verdana" w:eastAsia="Verdana" w:hAnsi="Verdana" w:cs="Verdana"/>
                <w:color w:val="000000"/>
                <w:sz w:val="16"/>
                <w:lang w:val="en-GB"/>
              </w:rPr>
            </w:pPr>
            <w:r w:rsidRPr="007A020F">
              <w:rPr>
                <w:rFonts w:ascii="Verdana" w:eastAsia="Verdana" w:hAnsi="Verdana" w:cs="Verdana"/>
                <w:color w:val="000000"/>
                <w:sz w:val="16"/>
                <w:lang w:val="en-GB"/>
              </w:rPr>
              <w:t>Inventories</w:t>
            </w:r>
          </w:p>
        </w:tc>
        <w:tc>
          <w:tcPr>
            <w:tcW w:w="839" w:type="pct"/>
            <w:shd w:val="clear" w:color="auto" w:fill="auto"/>
            <w:tcMar>
              <w:top w:w="20" w:type="dxa"/>
              <w:left w:w="20" w:type="dxa"/>
              <w:bottom w:w="20" w:type="dxa"/>
              <w:right w:w="20" w:type="dxa"/>
            </w:tcMar>
            <w:vAlign w:val="center"/>
          </w:tcPr>
          <w:p w14:paraId="4EE5D942" w14:textId="77777777" w:rsidR="00625FD6" w:rsidRPr="007A020F" w:rsidRDefault="0097526A"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1,096</w:t>
            </w:r>
          </w:p>
        </w:tc>
        <w:tc>
          <w:tcPr>
            <w:tcW w:w="725" w:type="pct"/>
            <w:shd w:val="clear" w:color="auto" w:fill="auto"/>
            <w:tcMar>
              <w:top w:w="20" w:type="dxa"/>
              <w:left w:w="20" w:type="dxa"/>
              <w:bottom w:w="20" w:type="dxa"/>
              <w:right w:w="20" w:type="dxa"/>
            </w:tcMar>
            <w:vAlign w:val="center"/>
          </w:tcPr>
          <w:p w14:paraId="62CC9C1B" w14:textId="77777777" w:rsidR="00625FD6" w:rsidRPr="007A020F" w:rsidRDefault="0097526A"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1,096</w:t>
            </w:r>
          </w:p>
        </w:tc>
      </w:tr>
      <w:tr w:rsidR="0074695B" w:rsidRPr="007A020F" w14:paraId="1990B2B3" w14:textId="77777777" w:rsidTr="0074695B">
        <w:trPr>
          <w:trHeight w:val="200"/>
        </w:trPr>
        <w:tc>
          <w:tcPr>
            <w:tcW w:w="728" w:type="pct"/>
            <w:shd w:val="clear" w:color="auto" w:fill="auto"/>
            <w:tcMar>
              <w:top w:w="20" w:type="dxa"/>
              <w:left w:w="20" w:type="dxa"/>
              <w:bottom w:w="20" w:type="dxa"/>
              <w:right w:w="20" w:type="dxa"/>
            </w:tcMar>
            <w:vAlign w:val="center"/>
          </w:tcPr>
          <w:p w14:paraId="79E26A69"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24,320</w:t>
            </w:r>
          </w:p>
        </w:tc>
        <w:tc>
          <w:tcPr>
            <w:tcW w:w="771" w:type="pct"/>
            <w:shd w:val="clear" w:color="auto" w:fill="auto"/>
            <w:tcMar>
              <w:top w:w="20" w:type="dxa"/>
              <w:left w:w="20" w:type="dxa"/>
              <w:bottom w:w="20" w:type="dxa"/>
              <w:right w:w="20" w:type="dxa"/>
            </w:tcMar>
            <w:vAlign w:val="center"/>
          </w:tcPr>
          <w:p w14:paraId="7E193AD2"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24,430</w:t>
            </w:r>
          </w:p>
        </w:tc>
        <w:tc>
          <w:tcPr>
            <w:tcW w:w="119" w:type="pct"/>
            <w:shd w:val="clear" w:color="auto" w:fill="auto"/>
            <w:tcMar>
              <w:top w:w="20" w:type="dxa"/>
              <w:left w:w="20" w:type="dxa"/>
              <w:bottom w:w="20" w:type="dxa"/>
              <w:right w:w="20" w:type="dxa"/>
            </w:tcMar>
            <w:vAlign w:val="center"/>
          </w:tcPr>
          <w:p w14:paraId="28F29415"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7D27C4F7" w14:textId="77777777" w:rsidR="00625FD6" w:rsidRPr="007A020F" w:rsidRDefault="00625FD6" w:rsidP="00625FD6">
            <w:pPr>
              <w:pStyle w:val="T1TableStyle"/>
              <w:jc w:val="center"/>
              <w:rPr>
                <w:rFonts w:ascii="Verdana" w:eastAsia="Verdana" w:hAnsi="Verdana" w:cs="Verdana"/>
                <w:i/>
                <w:color w:val="595959" w:themeColor="text1" w:themeTint="A6"/>
                <w:sz w:val="16"/>
                <w:szCs w:val="16"/>
                <w:lang w:val="en-GB"/>
              </w:rPr>
            </w:pPr>
            <w:r w:rsidRPr="007A020F">
              <w:rPr>
                <w:rFonts w:ascii="Verdana" w:eastAsia="Verdana" w:hAnsi="Verdana" w:cs="Verdana"/>
                <w:i/>
                <w:color w:val="595959" w:themeColor="text1" w:themeTint="A6"/>
                <w:sz w:val="16"/>
                <w:szCs w:val="16"/>
                <w:lang w:val="en-GB"/>
              </w:rPr>
              <w:t>13</w:t>
            </w:r>
          </w:p>
        </w:tc>
        <w:tc>
          <w:tcPr>
            <w:tcW w:w="1437" w:type="pct"/>
            <w:shd w:val="clear" w:color="auto" w:fill="auto"/>
            <w:tcMar>
              <w:top w:w="20" w:type="dxa"/>
              <w:left w:w="20" w:type="dxa"/>
              <w:bottom w:w="20" w:type="dxa"/>
              <w:right w:w="20" w:type="dxa"/>
            </w:tcMar>
            <w:vAlign w:val="center"/>
          </w:tcPr>
          <w:p w14:paraId="79BC21AD" w14:textId="77777777" w:rsidR="00625FD6" w:rsidRPr="007A020F" w:rsidRDefault="00625FD6" w:rsidP="00625FD6">
            <w:pPr>
              <w:pStyle w:val="T1TableStyle"/>
              <w:rPr>
                <w:rFonts w:ascii="Verdana" w:eastAsia="Verdana" w:hAnsi="Verdana" w:cs="Verdana"/>
                <w:color w:val="000000"/>
                <w:sz w:val="16"/>
                <w:lang w:val="en-GB"/>
              </w:rPr>
            </w:pPr>
            <w:r w:rsidRPr="007A020F">
              <w:rPr>
                <w:rFonts w:ascii="Verdana" w:eastAsia="Verdana" w:hAnsi="Verdana" w:cs="Verdana"/>
                <w:color w:val="000000"/>
                <w:sz w:val="16"/>
                <w:lang w:val="en-GB"/>
              </w:rPr>
              <w:t>Short-Term Debtors</w:t>
            </w:r>
          </w:p>
        </w:tc>
        <w:tc>
          <w:tcPr>
            <w:tcW w:w="839" w:type="pct"/>
            <w:shd w:val="clear" w:color="auto" w:fill="auto"/>
            <w:tcMar>
              <w:top w:w="20" w:type="dxa"/>
              <w:left w:w="20" w:type="dxa"/>
              <w:bottom w:w="20" w:type="dxa"/>
              <w:right w:w="20" w:type="dxa"/>
            </w:tcMar>
            <w:vAlign w:val="center"/>
          </w:tcPr>
          <w:p w14:paraId="4164E40E" w14:textId="02DCEFFB" w:rsidR="00625FD6" w:rsidRPr="007A020F" w:rsidRDefault="00BE4D3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w:t>
            </w:r>
            <w:r w:rsidR="004F2F60">
              <w:rPr>
                <w:rFonts w:ascii="Verdana" w:eastAsia="Verdana" w:hAnsi="Verdana" w:cs="Verdana"/>
                <w:color w:val="000000"/>
                <w:sz w:val="16"/>
                <w:lang w:val="en-GB"/>
              </w:rPr>
              <w:t>2</w:t>
            </w:r>
            <w:r>
              <w:rPr>
                <w:rFonts w:ascii="Verdana" w:eastAsia="Verdana" w:hAnsi="Verdana" w:cs="Verdana"/>
                <w:color w:val="000000"/>
                <w:sz w:val="16"/>
                <w:lang w:val="en-GB"/>
              </w:rPr>
              <w:t>,</w:t>
            </w:r>
            <w:r w:rsidR="004F2F60">
              <w:rPr>
                <w:rFonts w:ascii="Verdana" w:eastAsia="Verdana" w:hAnsi="Verdana" w:cs="Verdana"/>
                <w:color w:val="000000"/>
                <w:sz w:val="16"/>
                <w:lang w:val="en-GB"/>
              </w:rPr>
              <w:t>314</w:t>
            </w:r>
          </w:p>
        </w:tc>
        <w:tc>
          <w:tcPr>
            <w:tcW w:w="725" w:type="pct"/>
            <w:shd w:val="clear" w:color="auto" w:fill="auto"/>
            <w:tcMar>
              <w:top w:w="20" w:type="dxa"/>
              <w:left w:w="20" w:type="dxa"/>
              <w:bottom w:w="20" w:type="dxa"/>
              <w:right w:w="20" w:type="dxa"/>
            </w:tcMar>
            <w:vAlign w:val="center"/>
          </w:tcPr>
          <w:p w14:paraId="568DD0D0" w14:textId="0ECE0245" w:rsidR="00625FD6" w:rsidRPr="007A020F" w:rsidRDefault="004F2F6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22,424</w:t>
            </w:r>
          </w:p>
        </w:tc>
      </w:tr>
      <w:tr w:rsidR="0074695B" w:rsidRPr="007A020F" w14:paraId="1FB99D28" w14:textId="77777777" w:rsidTr="0074695B">
        <w:trPr>
          <w:trHeight w:val="141"/>
        </w:trPr>
        <w:tc>
          <w:tcPr>
            <w:tcW w:w="728" w:type="pct"/>
            <w:shd w:val="clear" w:color="auto" w:fill="auto"/>
            <w:tcMar>
              <w:top w:w="20" w:type="dxa"/>
              <w:left w:w="20" w:type="dxa"/>
              <w:bottom w:w="20" w:type="dxa"/>
              <w:right w:w="20" w:type="dxa"/>
            </w:tcMar>
            <w:vAlign w:val="center"/>
          </w:tcPr>
          <w:p w14:paraId="5F244F86"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12,408</w:t>
            </w:r>
          </w:p>
        </w:tc>
        <w:tc>
          <w:tcPr>
            <w:tcW w:w="771" w:type="pct"/>
            <w:shd w:val="clear" w:color="auto" w:fill="auto"/>
            <w:tcMar>
              <w:top w:w="20" w:type="dxa"/>
              <w:left w:w="20" w:type="dxa"/>
              <w:bottom w:w="20" w:type="dxa"/>
              <w:right w:w="20" w:type="dxa"/>
            </w:tcMar>
            <w:vAlign w:val="center"/>
          </w:tcPr>
          <w:p w14:paraId="0F0BA0FF"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12,408</w:t>
            </w:r>
          </w:p>
        </w:tc>
        <w:tc>
          <w:tcPr>
            <w:tcW w:w="119" w:type="pct"/>
            <w:shd w:val="clear" w:color="auto" w:fill="auto"/>
            <w:tcMar>
              <w:top w:w="20" w:type="dxa"/>
              <w:left w:w="20" w:type="dxa"/>
              <w:bottom w:w="20" w:type="dxa"/>
              <w:right w:w="20" w:type="dxa"/>
            </w:tcMar>
            <w:vAlign w:val="center"/>
          </w:tcPr>
          <w:p w14:paraId="4C2C1DE5"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5383AA10" w14:textId="77777777" w:rsidR="00625FD6" w:rsidRPr="007A020F" w:rsidRDefault="00625FD6" w:rsidP="00625FD6">
            <w:pPr>
              <w:pStyle w:val="T1TableStyle"/>
              <w:jc w:val="center"/>
              <w:rPr>
                <w:rFonts w:ascii="Verdana" w:eastAsia="Verdana" w:hAnsi="Verdana" w:cs="Verdana"/>
                <w:i/>
                <w:color w:val="595959" w:themeColor="text1" w:themeTint="A6"/>
                <w:sz w:val="16"/>
                <w:szCs w:val="16"/>
                <w:lang w:val="en-GB"/>
              </w:rPr>
            </w:pPr>
            <w:r w:rsidRPr="007A020F">
              <w:rPr>
                <w:rFonts w:ascii="Verdana" w:eastAsia="Verdana" w:hAnsi="Verdana" w:cs="Verdana"/>
                <w:i/>
                <w:color w:val="595959" w:themeColor="text1" w:themeTint="A6"/>
                <w:sz w:val="16"/>
                <w:szCs w:val="16"/>
                <w:lang w:val="en-GB"/>
              </w:rPr>
              <w:t>14</w:t>
            </w:r>
          </w:p>
        </w:tc>
        <w:tc>
          <w:tcPr>
            <w:tcW w:w="1437" w:type="pct"/>
            <w:shd w:val="clear" w:color="auto" w:fill="auto"/>
            <w:tcMar>
              <w:top w:w="20" w:type="dxa"/>
              <w:left w:w="20" w:type="dxa"/>
              <w:bottom w:w="20" w:type="dxa"/>
              <w:right w:w="20" w:type="dxa"/>
            </w:tcMar>
            <w:vAlign w:val="center"/>
          </w:tcPr>
          <w:p w14:paraId="7D2019C6" w14:textId="77777777" w:rsidR="00625FD6" w:rsidRPr="007A020F" w:rsidRDefault="00625FD6" w:rsidP="00625FD6">
            <w:pPr>
              <w:pStyle w:val="T1TableStyle"/>
              <w:rPr>
                <w:rFonts w:ascii="Verdana" w:eastAsia="Verdana" w:hAnsi="Verdana" w:cs="Verdana"/>
                <w:color w:val="000000"/>
                <w:sz w:val="16"/>
                <w:lang w:val="en-GB"/>
              </w:rPr>
            </w:pPr>
            <w:r w:rsidRPr="007A020F">
              <w:rPr>
                <w:rFonts w:ascii="Verdana" w:eastAsia="Verdana" w:hAnsi="Verdana" w:cs="Verdana"/>
                <w:color w:val="000000"/>
                <w:sz w:val="16"/>
                <w:lang w:val="en-GB"/>
              </w:rPr>
              <w:t>Cash and Cash Equivalents</w:t>
            </w:r>
          </w:p>
        </w:tc>
        <w:tc>
          <w:tcPr>
            <w:tcW w:w="839" w:type="pct"/>
            <w:shd w:val="clear" w:color="auto" w:fill="auto"/>
            <w:tcMar>
              <w:top w:w="20" w:type="dxa"/>
              <w:left w:w="20" w:type="dxa"/>
              <w:bottom w:w="20" w:type="dxa"/>
              <w:right w:w="20" w:type="dxa"/>
            </w:tcMar>
            <w:vAlign w:val="center"/>
          </w:tcPr>
          <w:p w14:paraId="5389CBB2" w14:textId="77777777" w:rsidR="00625FD6" w:rsidRPr="007A020F" w:rsidRDefault="0097526A"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12,680</w:t>
            </w:r>
          </w:p>
        </w:tc>
        <w:tc>
          <w:tcPr>
            <w:tcW w:w="725" w:type="pct"/>
            <w:shd w:val="clear" w:color="auto" w:fill="auto"/>
            <w:tcMar>
              <w:top w:w="20" w:type="dxa"/>
              <w:left w:w="20" w:type="dxa"/>
              <w:bottom w:w="20" w:type="dxa"/>
              <w:right w:w="20" w:type="dxa"/>
            </w:tcMar>
            <w:vAlign w:val="center"/>
          </w:tcPr>
          <w:p w14:paraId="685854C9" w14:textId="77777777" w:rsidR="00625FD6" w:rsidRPr="007A020F" w:rsidRDefault="0097526A"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12,680</w:t>
            </w:r>
          </w:p>
        </w:tc>
      </w:tr>
      <w:tr w:rsidR="0074695B" w:rsidRPr="007A020F" w14:paraId="5DF00616" w14:textId="77777777" w:rsidTr="0074695B">
        <w:trPr>
          <w:trHeight w:val="200"/>
        </w:trPr>
        <w:tc>
          <w:tcPr>
            <w:tcW w:w="728" w:type="pct"/>
            <w:tcBorders>
              <w:top w:val="single" w:sz="2" w:space="0" w:color="000000"/>
            </w:tcBorders>
            <w:shd w:val="clear" w:color="auto" w:fill="auto"/>
            <w:tcMar>
              <w:top w:w="20" w:type="dxa"/>
              <w:left w:w="20" w:type="dxa"/>
              <w:bottom w:w="20" w:type="dxa"/>
              <w:right w:w="20" w:type="dxa"/>
            </w:tcMar>
            <w:vAlign w:val="center"/>
          </w:tcPr>
          <w:p w14:paraId="2ECEBDDB" w14:textId="77777777" w:rsidR="00625FD6" w:rsidRPr="007A020F" w:rsidRDefault="00625FD6" w:rsidP="00625FD6">
            <w:pPr>
              <w:pStyle w:val="T1TableStyle"/>
              <w:jc w:val="right"/>
              <w:rPr>
                <w:rFonts w:ascii="Verdana" w:eastAsia="Verdana" w:hAnsi="Verdana" w:cs="Verdana"/>
                <w:b/>
                <w:color w:val="000000"/>
                <w:sz w:val="16"/>
                <w:lang w:val="en-GB"/>
              </w:rPr>
            </w:pPr>
          </w:p>
          <w:p w14:paraId="4C56487C" w14:textId="77777777" w:rsidR="00625FD6" w:rsidRPr="007A020F" w:rsidRDefault="00625FD6" w:rsidP="00625FD6">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38,664</w:t>
            </w:r>
          </w:p>
          <w:p w14:paraId="2527934B" w14:textId="77777777" w:rsidR="00625FD6" w:rsidRPr="007A020F" w:rsidRDefault="00625FD6" w:rsidP="00625FD6">
            <w:pPr>
              <w:pStyle w:val="T1TableStyle"/>
              <w:jc w:val="right"/>
              <w:rPr>
                <w:rFonts w:ascii="Verdana" w:eastAsia="Verdana" w:hAnsi="Verdana" w:cs="Verdana"/>
                <w:b/>
                <w:color w:val="000000"/>
                <w:sz w:val="16"/>
                <w:lang w:val="en-GB"/>
              </w:rPr>
            </w:pPr>
          </w:p>
        </w:tc>
        <w:tc>
          <w:tcPr>
            <w:tcW w:w="771" w:type="pct"/>
            <w:tcBorders>
              <w:top w:val="single" w:sz="2" w:space="0" w:color="000000"/>
            </w:tcBorders>
            <w:shd w:val="clear" w:color="auto" w:fill="auto"/>
            <w:tcMar>
              <w:top w:w="20" w:type="dxa"/>
              <w:left w:w="20" w:type="dxa"/>
              <w:bottom w:w="20" w:type="dxa"/>
              <w:right w:w="20" w:type="dxa"/>
            </w:tcMar>
            <w:vAlign w:val="center"/>
          </w:tcPr>
          <w:p w14:paraId="7A4A5A57" w14:textId="77777777" w:rsidR="00625FD6" w:rsidRPr="007A020F" w:rsidRDefault="00625FD6" w:rsidP="00625FD6">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38,774</w:t>
            </w:r>
          </w:p>
        </w:tc>
        <w:tc>
          <w:tcPr>
            <w:tcW w:w="119" w:type="pct"/>
            <w:tcBorders>
              <w:top w:val="single" w:sz="2" w:space="0" w:color="000000"/>
            </w:tcBorders>
            <w:shd w:val="clear" w:color="auto" w:fill="auto"/>
            <w:tcMar>
              <w:top w:w="20" w:type="dxa"/>
              <w:left w:w="20" w:type="dxa"/>
              <w:bottom w:w="20" w:type="dxa"/>
              <w:right w:w="20" w:type="dxa"/>
            </w:tcMar>
            <w:vAlign w:val="center"/>
          </w:tcPr>
          <w:p w14:paraId="1178C15B"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380" w:type="pct"/>
            <w:tcBorders>
              <w:top w:val="single" w:sz="2" w:space="0" w:color="000000"/>
            </w:tcBorders>
            <w:shd w:val="clear" w:color="auto" w:fill="auto"/>
            <w:tcMar>
              <w:top w:w="20" w:type="dxa"/>
              <w:left w:w="20" w:type="dxa"/>
              <w:bottom w:w="20" w:type="dxa"/>
              <w:right w:w="20" w:type="dxa"/>
            </w:tcMar>
            <w:vAlign w:val="center"/>
          </w:tcPr>
          <w:p w14:paraId="609E7C60" w14:textId="77777777" w:rsidR="00625FD6" w:rsidRPr="007A020F" w:rsidRDefault="00625FD6" w:rsidP="00625FD6">
            <w:pPr>
              <w:pStyle w:val="T1TableStyle"/>
              <w:jc w:val="center"/>
              <w:rPr>
                <w:rFonts w:ascii="Verdana" w:eastAsia="Verdana" w:hAnsi="Verdana" w:cs="Verdana"/>
                <w:b/>
                <w:i/>
                <w:color w:val="595959" w:themeColor="text1" w:themeTint="A6"/>
                <w:sz w:val="16"/>
                <w:szCs w:val="16"/>
                <w:lang w:val="en-GB"/>
              </w:rPr>
            </w:pPr>
          </w:p>
        </w:tc>
        <w:tc>
          <w:tcPr>
            <w:tcW w:w="1437" w:type="pct"/>
            <w:tcBorders>
              <w:top w:val="single" w:sz="2" w:space="0" w:color="000000"/>
            </w:tcBorders>
            <w:shd w:val="clear" w:color="auto" w:fill="auto"/>
            <w:tcMar>
              <w:top w:w="20" w:type="dxa"/>
              <w:left w:w="20" w:type="dxa"/>
              <w:bottom w:w="20" w:type="dxa"/>
              <w:right w:w="20" w:type="dxa"/>
            </w:tcMar>
            <w:vAlign w:val="center"/>
          </w:tcPr>
          <w:p w14:paraId="3B16512E" w14:textId="77777777" w:rsidR="00625FD6" w:rsidRPr="007A020F" w:rsidRDefault="00625FD6" w:rsidP="00625FD6">
            <w:pPr>
              <w:pStyle w:val="T1TableStyle"/>
              <w:rPr>
                <w:rFonts w:ascii="Verdana" w:eastAsia="Verdana" w:hAnsi="Verdana" w:cs="Verdana"/>
                <w:b/>
                <w:color w:val="000000"/>
                <w:sz w:val="16"/>
                <w:lang w:val="en-GB"/>
              </w:rPr>
            </w:pPr>
            <w:r w:rsidRPr="007A020F">
              <w:rPr>
                <w:rFonts w:ascii="Verdana" w:eastAsia="Verdana" w:hAnsi="Verdana" w:cs="Verdana"/>
                <w:b/>
                <w:color w:val="000000"/>
                <w:sz w:val="16"/>
                <w:lang w:val="en-GB"/>
              </w:rPr>
              <w:t>Current Assets</w:t>
            </w:r>
          </w:p>
        </w:tc>
        <w:tc>
          <w:tcPr>
            <w:tcW w:w="839" w:type="pct"/>
            <w:tcBorders>
              <w:top w:val="single" w:sz="2" w:space="0" w:color="000000"/>
            </w:tcBorders>
            <w:shd w:val="clear" w:color="auto" w:fill="auto"/>
            <w:tcMar>
              <w:top w:w="20" w:type="dxa"/>
              <w:left w:w="20" w:type="dxa"/>
              <w:bottom w:w="20" w:type="dxa"/>
              <w:right w:w="20" w:type="dxa"/>
            </w:tcMar>
            <w:vAlign w:val="center"/>
          </w:tcPr>
          <w:p w14:paraId="62353789" w14:textId="4C4FFB13" w:rsidR="00625FD6" w:rsidRPr="007A020F" w:rsidRDefault="004F2F6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36,090</w:t>
            </w:r>
          </w:p>
        </w:tc>
        <w:tc>
          <w:tcPr>
            <w:tcW w:w="725" w:type="pct"/>
            <w:tcBorders>
              <w:top w:val="single" w:sz="2" w:space="0" w:color="000000"/>
            </w:tcBorders>
            <w:shd w:val="clear" w:color="auto" w:fill="auto"/>
            <w:tcMar>
              <w:top w:w="20" w:type="dxa"/>
              <w:left w:w="20" w:type="dxa"/>
              <w:bottom w:w="20" w:type="dxa"/>
              <w:right w:w="20" w:type="dxa"/>
            </w:tcMar>
            <w:vAlign w:val="center"/>
          </w:tcPr>
          <w:p w14:paraId="2EA07D34" w14:textId="6A29413D" w:rsidR="00625FD6" w:rsidRPr="007A020F" w:rsidRDefault="004F2F6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36,200</w:t>
            </w:r>
          </w:p>
        </w:tc>
      </w:tr>
      <w:tr w:rsidR="0074695B" w:rsidRPr="007A020F" w14:paraId="46E4EFEE" w14:textId="77777777" w:rsidTr="0074695B">
        <w:trPr>
          <w:trHeight w:val="200"/>
        </w:trPr>
        <w:tc>
          <w:tcPr>
            <w:tcW w:w="728" w:type="pct"/>
            <w:shd w:val="clear" w:color="auto" w:fill="auto"/>
            <w:tcMar>
              <w:top w:w="20" w:type="dxa"/>
              <w:left w:w="20" w:type="dxa"/>
              <w:bottom w:w="20" w:type="dxa"/>
              <w:right w:w="20" w:type="dxa"/>
            </w:tcMar>
            <w:vAlign w:val="center"/>
          </w:tcPr>
          <w:p w14:paraId="5C265DCC"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771" w:type="pct"/>
            <w:shd w:val="clear" w:color="auto" w:fill="auto"/>
            <w:tcMar>
              <w:top w:w="20" w:type="dxa"/>
              <w:left w:w="20" w:type="dxa"/>
              <w:bottom w:w="20" w:type="dxa"/>
              <w:right w:w="20" w:type="dxa"/>
            </w:tcMar>
            <w:vAlign w:val="center"/>
          </w:tcPr>
          <w:p w14:paraId="46E932DA"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119" w:type="pct"/>
            <w:shd w:val="clear" w:color="auto" w:fill="auto"/>
            <w:tcMar>
              <w:top w:w="20" w:type="dxa"/>
              <w:left w:w="20" w:type="dxa"/>
              <w:bottom w:w="20" w:type="dxa"/>
              <w:right w:w="20" w:type="dxa"/>
            </w:tcMar>
            <w:vAlign w:val="center"/>
          </w:tcPr>
          <w:p w14:paraId="7B50A391"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5F9FF1BA" w14:textId="77777777" w:rsidR="00625FD6" w:rsidRPr="007A020F" w:rsidRDefault="00625FD6" w:rsidP="00625FD6">
            <w:pPr>
              <w:pStyle w:val="T1TableStyle"/>
              <w:jc w:val="center"/>
              <w:rPr>
                <w:rFonts w:ascii="Verdana" w:eastAsia="Verdana" w:hAnsi="Verdana" w:cs="Verdana"/>
                <w:b/>
                <w:i/>
                <w:color w:val="595959" w:themeColor="text1" w:themeTint="A6"/>
                <w:sz w:val="16"/>
                <w:szCs w:val="16"/>
                <w:lang w:val="en-GB"/>
              </w:rPr>
            </w:pPr>
          </w:p>
        </w:tc>
        <w:tc>
          <w:tcPr>
            <w:tcW w:w="1437" w:type="pct"/>
            <w:shd w:val="clear" w:color="auto" w:fill="auto"/>
            <w:tcMar>
              <w:top w:w="20" w:type="dxa"/>
              <w:left w:w="20" w:type="dxa"/>
              <w:bottom w:w="20" w:type="dxa"/>
              <w:right w:w="20" w:type="dxa"/>
            </w:tcMar>
            <w:vAlign w:val="center"/>
          </w:tcPr>
          <w:p w14:paraId="160956BF"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839" w:type="pct"/>
            <w:shd w:val="clear" w:color="auto" w:fill="auto"/>
            <w:tcMar>
              <w:top w:w="20" w:type="dxa"/>
              <w:left w:w="20" w:type="dxa"/>
              <w:bottom w:w="20" w:type="dxa"/>
              <w:right w:w="20" w:type="dxa"/>
            </w:tcMar>
            <w:vAlign w:val="center"/>
          </w:tcPr>
          <w:p w14:paraId="7F519F9F"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725" w:type="pct"/>
            <w:shd w:val="clear" w:color="auto" w:fill="auto"/>
            <w:tcMar>
              <w:top w:w="20" w:type="dxa"/>
              <w:left w:w="20" w:type="dxa"/>
              <w:bottom w:w="20" w:type="dxa"/>
              <w:right w:w="20" w:type="dxa"/>
            </w:tcMar>
            <w:vAlign w:val="center"/>
          </w:tcPr>
          <w:p w14:paraId="7965867A"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r>
      <w:tr w:rsidR="0074695B" w:rsidRPr="007A020F" w14:paraId="0FE974A9" w14:textId="77777777" w:rsidTr="0074695B">
        <w:trPr>
          <w:trHeight w:val="200"/>
        </w:trPr>
        <w:tc>
          <w:tcPr>
            <w:tcW w:w="728" w:type="pct"/>
            <w:shd w:val="clear" w:color="auto" w:fill="auto"/>
            <w:tcMar>
              <w:top w:w="20" w:type="dxa"/>
              <w:left w:w="20" w:type="dxa"/>
              <w:bottom w:w="20" w:type="dxa"/>
              <w:right w:w="20" w:type="dxa"/>
            </w:tcMar>
            <w:vAlign w:val="center"/>
          </w:tcPr>
          <w:p w14:paraId="57D54FCE"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(25,443)</w:t>
            </w:r>
          </w:p>
        </w:tc>
        <w:tc>
          <w:tcPr>
            <w:tcW w:w="771" w:type="pct"/>
            <w:shd w:val="clear" w:color="auto" w:fill="auto"/>
            <w:tcMar>
              <w:top w:w="20" w:type="dxa"/>
              <w:left w:w="20" w:type="dxa"/>
              <w:bottom w:w="20" w:type="dxa"/>
              <w:right w:w="20" w:type="dxa"/>
            </w:tcMar>
            <w:vAlign w:val="center"/>
          </w:tcPr>
          <w:p w14:paraId="2D638394"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(26,496)</w:t>
            </w:r>
          </w:p>
        </w:tc>
        <w:tc>
          <w:tcPr>
            <w:tcW w:w="119" w:type="pct"/>
            <w:shd w:val="clear" w:color="auto" w:fill="auto"/>
            <w:tcMar>
              <w:top w:w="20" w:type="dxa"/>
              <w:left w:w="20" w:type="dxa"/>
              <w:bottom w:w="20" w:type="dxa"/>
              <w:right w:w="20" w:type="dxa"/>
            </w:tcMar>
            <w:vAlign w:val="center"/>
          </w:tcPr>
          <w:p w14:paraId="5DBB9443"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0033C3D5" w14:textId="77777777" w:rsidR="00625FD6" w:rsidRPr="007A020F" w:rsidRDefault="00625FD6" w:rsidP="00625FD6">
            <w:pPr>
              <w:pStyle w:val="T1TableStyle"/>
              <w:jc w:val="center"/>
              <w:rPr>
                <w:rFonts w:ascii="Verdana" w:eastAsia="Verdana" w:hAnsi="Verdana" w:cs="Verdana"/>
                <w:i/>
                <w:color w:val="595959" w:themeColor="text1" w:themeTint="A6"/>
                <w:sz w:val="16"/>
                <w:szCs w:val="16"/>
                <w:lang w:val="en-GB"/>
              </w:rPr>
            </w:pPr>
            <w:r w:rsidRPr="007A020F">
              <w:rPr>
                <w:rFonts w:ascii="Verdana" w:eastAsia="Verdana" w:hAnsi="Verdana" w:cs="Verdana"/>
                <w:i/>
                <w:color w:val="595959" w:themeColor="text1" w:themeTint="A6"/>
                <w:sz w:val="16"/>
                <w:szCs w:val="16"/>
                <w:lang w:val="en-GB"/>
              </w:rPr>
              <w:t>17</w:t>
            </w:r>
          </w:p>
        </w:tc>
        <w:tc>
          <w:tcPr>
            <w:tcW w:w="1437" w:type="pct"/>
            <w:shd w:val="clear" w:color="auto" w:fill="auto"/>
            <w:tcMar>
              <w:top w:w="20" w:type="dxa"/>
              <w:left w:w="20" w:type="dxa"/>
              <w:bottom w:w="20" w:type="dxa"/>
              <w:right w:w="20" w:type="dxa"/>
            </w:tcMar>
            <w:vAlign w:val="center"/>
          </w:tcPr>
          <w:p w14:paraId="5CEC6EA9" w14:textId="77777777" w:rsidR="00625FD6" w:rsidRPr="007A020F" w:rsidRDefault="00625FD6" w:rsidP="00625FD6">
            <w:pPr>
              <w:pStyle w:val="T1TableStyle"/>
              <w:rPr>
                <w:rFonts w:ascii="Verdana" w:eastAsia="Verdana" w:hAnsi="Verdana" w:cs="Verdana"/>
                <w:color w:val="000000"/>
                <w:sz w:val="16"/>
                <w:lang w:val="en-GB"/>
              </w:rPr>
            </w:pPr>
            <w:r w:rsidRPr="007A020F">
              <w:rPr>
                <w:rFonts w:ascii="Verdana" w:eastAsia="Verdana" w:hAnsi="Verdana" w:cs="Verdana"/>
                <w:color w:val="000000"/>
                <w:sz w:val="16"/>
                <w:lang w:val="en-GB"/>
              </w:rPr>
              <w:t>Short-Term Creditors</w:t>
            </w:r>
          </w:p>
        </w:tc>
        <w:tc>
          <w:tcPr>
            <w:tcW w:w="839" w:type="pct"/>
            <w:shd w:val="clear" w:color="auto" w:fill="auto"/>
            <w:tcMar>
              <w:top w:w="20" w:type="dxa"/>
              <w:left w:w="20" w:type="dxa"/>
              <w:bottom w:w="20" w:type="dxa"/>
              <w:right w:w="20" w:type="dxa"/>
            </w:tcMar>
            <w:vAlign w:val="center"/>
          </w:tcPr>
          <w:p w14:paraId="755E30A5" w14:textId="5724FBE8" w:rsidR="00625FD6" w:rsidRPr="007A020F" w:rsidRDefault="0097526A">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w:t>
            </w:r>
            <w:r w:rsidR="004F2F60">
              <w:rPr>
                <w:rFonts w:ascii="Verdana" w:eastAsia="Verdana" w:hAnsi="Verdana" w:cs="Verdana"/>
                <w:color w:val="000000"/>
                <w:sz w:val="16"/>
                <w:lang w:val="en-GB"/>
              </w:rPr>
              <w:t>25,593</w:t>
            </w:r>
            <w:r w:rsidRPr="007A020F">
              <w:rPr>
                <w:rFonts w:ascii="Verdana" w:eastAsia="Verdana" w:hAnsi="Verdana" w:cs="Verdana"/>
                <w:color w:val="000000"/>
                <w:sz w:val="16"/>
                <w:lang w:val="en-GB"/>
              </w:rPr>
              <w:t>)</w:t>
            </w:r>
          </w:p>
        </w:tc>
        <w:tc>
          <w:tcPr>
            <w:tcW w:w="725" w:type="pct"/>
            <w:shd w:val="clear" w:color="auto" w:fill="auto"/>
            <w:tcMar>
              <w:top w:w="20" w:type="dxa"/>
              <w:left w:w="20" w:type="dxa"/>
              <w:bottom w:w="20" w:type="dxa"/>
              <w:right w:w="20" w:type="dxa"/>
            </w:tcMar>
            <w:vAlign w:val="center"/>
          </w:tcPr>
          <w:p w14:paraId="397D1DB5" w14:textId="35CDE78A" w:rsidR="00625FD6" w:rsidRPr="007A020F" w:rsidRDefault="006703F1">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w:t>
            </w:r>
            <w:r w:rsidR="004F2F60">
              <w:rPr>
                <w:rFonts w:ascii="Verdana" w:eastAsia="Verdana" w:hAnsi="Verdana" w:cs="Verdana"/>
                <w:color w:val="000000"/>
                <w:sz w:val="16"/>
                <w:lang w:val="en-GB"/>
              </w:rPr>
              <w:t>27,544</w:t>
            </w:r>
            <w:r w:rsidRPr="007A020F">
              <w:rPr>
                <w:rFonts w:ascii="Verdana" w:eastAsia="Verdana" w:hAnsi="Verdana" w:cs="Verdana"/>
                <w:color w:val="000000"/>
                <w:sz w:val="16"/>
                <w:lang w:val="en-GB"/>
              </w:rPr>
              <w:t>)</w:t>
            </w:r>
          </w:p>
        </w:tc>
      </w:tr>
      <w:tr w:rsidR="0074695B" w:rsidRPr="007A020F" w14:paraId="05F35DE1" w14:textId="77777777" w:rsidTr="0074695B">
        <w:trPr>
          <w:trHeight w:val="200"/>
        </w:trPr>
        <w:tc>
          <w:tcPr>
            <w:tcW w:w="728" w:type="pct"/>
            <w:shd w:val="clear" w:color="auto" w:fill="auto"/>
            <w:tcMar>
              <w:top w:w="20" w:type="dxa"/>
              <w:left w:w="20" w:type="dxa"/>
              <w:bottom w:w="20" w:type="dxa"/>
              <w:right w:w="20" w:type="dxa"/>
            </w:tcMar>
            <w:vAlign w:val="center"/>
          </w:tcPr>
          <w:p w14:paraId="0A2D2AF3"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(998)</w:t>
            </w:r>
          </w:p>
        </w:tc>
        <w:tc>
          <w:tcPr>
            <w:tcW w:w="771" w:type="pct"/>
            <w:shd w:val="clear" w:color="auto" w:fill="auto"/>
            <w:tcMar>
              <w:top w:w="20" w:type="dxa"/>
              <w:left w:w="20" w:type="dxa"/>
              <w:bottom w:w="20" w:type="dxa"/>
              <w:right w:w="20" w:type="dxa"/>
            </w:tcMar>
            <w:vAlign w:val="center"/>
          </w:tcPr>
          <w:p w14:paraId="01D55E8F"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(1,108)</w:t>
            </w:r>
          </w:p>
        </w:tc>
        <w:tc>
          <w:tcPr>
            <w:tcW w:w="119" w:type="pct"/>
            <w:shd w:val="clear" w:color="auto" w:fill="auto"/>
            <w:tcMar>
              <w:top w:w="20" w:type="dxa"/>
              <w:left w:w="20" w:type="dxa"/>
              <w:bottom w:w="20" w:type="dxa"/>
              <w:right w:w="20" w:type="dxa"/>
            </w:tcMar>
            <w:vAlign w:val="center"/>
          </w:tcPr>
          <w:p w14:paraId="719942DA"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1FA69A2A" w14:textId="77777777" w:rsidR="00625FD6" w:rsidRPr="007A020F" w:rsidRDefault="00625FD6" w:rsidP="00625FD6">
            <w:pPr>
              <w:pStyle w:val="T1TableStyle"/>
              <w:jc w:val="center"/>
              <w:rPr>
                <w:rFonts w:ascii="Verdana" w:eastAsia="Verdana" w:hAnsi="Verdana" w:cs="Verdana"/>
                <w:i/>
                <w:color w:val="595959" w:themeColor="text1" w:themeTint="A6"/>
                <w:sz w:val="16"/>
                <w:szCs w:val="16"/>
                <w:lang w:val="en-GB"/>
              </w:rPr>
            </w:pPr>
            <w:r w:rsidRPr="007A020F">
              <w:rPr>
                <w:rFonts w:ascii="Verdana" w:eastAsia="Verdana" w:hAnsi="Verdana" w:cs="Verdana"/>
                <w:i/>
                <w:color w:val="595959" w:themeColor="text1" w:themeTint="A6"/>
                <w:sz w:val="16"/>
                <w:szCs w:val="16"/>
                <w:lang w:val="en-GB"/>
              </w:rPr>
              <w:t>18</w:t>
            </w:r>
          </w:p>
        </w:tc>
        <w:tc>
          <w:tcPr>
            <w:tcW w:w="1437" w:type="pct"/>
            <w:shd w:val="clear" w:color="auto" w:fill="auto"/>
            <w:tcMar>
              <w:top w:w="20" w:type="dxa"/>
              <w:left w:w="20" w:type="dxa"/>
              <w:bottom w:w="20" w:type="dxa"/>
              <w:right w:w="20" w:type="dxa"/>
            </w:tcMar>
            <w:vAlign w:val="center"/>
          </w:tcPr>
          <w:p w14:paraId="5574F621" w14:textId="77777777" w:rsidR="00625FD6" w:rsidRPr="007A020F" w:rsidRDefault="00625FD6" w:rsidP="00625FD6">
            <w:pPr>
              <w:pStyle w:val="T1TableStyle"/>
              <w:rPr>
                <w:rFonts w:ascii="Verdana" w:eastAsia="Verdana" w:hAnsi="Verdana" w:cs="Verdana"/>
                <w:color w:val="000000"/>
                <w:sz w:val="16"/>
                <w:lang w:val="en-GB"/>
              </w:rPr>
            </w:pPr>
            <w:r w:rsidRPr="007A020F">
              <w:rPr>
                <w:rFonts w:ascii="Verdana" w:eastAsia="Verdana" w:hAnsi="Verdana" w:cs="Verdana"/>
                <w:color w:val="000000"/>
                <w:sz w:val="16"/>
                <w:lang w:val="en-GB"/>
              </w:rPr>
              <w:t>Provisions</w:t>
            </w:r>
          </w:p>
        </w:tc>
        <w:tc>
          <w:tcPr>
            <w:tcW w:w="839" w:type="pct"/>
            <w:shd w:val="clear" w:color="auto" w:fill="auto"/>
            <w:tcMar>
              <w:top w:w="20" w:type="dxa"/>
              <w:left w:w="20" w:type="dxa"/>
              <w:bottom w:w="20" w:type="dxa"/>
              <w:right w:w="20" w:type="dxa"/>
            </w:tcMar>
            <w:vAlign w:val="center"/>
          </w:tcPr>
          <w:p w14:paraId="031324A9" w14:textId="77777777" w:rsidR="00625FD6" w:rsidRPr="007A020F" w:rsidRDefault="0097526A"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(2,930)</w:t>
            </w:r>
          </w:p>
        </w:tc>
        <w:tc>
          <w:tcPr>
            <w:tcW w:w="725" w:type="pct"/>
            <w:shd w:val="clear" w:color="auto" w:fill="auto"/>
            <w:tcMar>
              <w:top w:w="20" w:type="dxa"/>
              <w:left w:w="20" w:type="dxa"/>
              <w:bottom w:w="20" w:type="dxa"/>
              <w:right w:w="20" w:type="dxa"/>
            </w:tcMar>
            <w:vAlign w:val="center"/>
          </w:tcPr>
          <w:p w14:paraId="1072249D" w14:textId="77777777" w:rsidR="00625FD6" w:rsidRPr="007A020F" w:rsidRDefault="006703F1"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(3,040)</w:t>
            </w:r>
          </w:p>
        </w:tc>
      </w:tr>
      <w:tr w:rsidR="0074695B" w:rsidRPr="007A020F" w14:paraId="0195E48C" w14:textId="77777777" w:rsidTr="0074695B">
        <w:trPr>
          <w:trHeight w:val="200"/>
        </w:trPr>
        <w:tc>
          <w:tcPr>
            <w:tcW w:w="728" w:type="pct"/>
            <w:tcBorders>
              <w:top w:val="single" w:sz="2" w:space="0" w:color="000000"/>
            </w:tcBorders>
            <w:shd w:val="clear" w:color="auto" w:fill="auto"/>
            <w:tcMar>
              <w:top w:w="20" w:type="dxa"/>
              <w:left w:w="20" w:type="dxa"/>
              <w:bottom w:w="20" w:type="dxa"/>
              <w:right w:w="20" w:type="dxa"/>
            </w:tcMar>
            <w:vAlign w:val="center"/>
          </w:tcPr>
          <w:p w14:paraId="646525C0" w14:textId="77777777" w:rsidR="00625FD6" w:rsidRPr="007A020F" w:rsidRDefault="00625FD6" w:rsidP="00625FD6">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(26,441)</w:t>
            </w:r>
          </w:p>
        </w:tc>
        <w:tc>
          <w:tcPr>
            <w:tcW w:w="771" w:type="pct"/>
            <w:tcBorders>
              <w:top w:val="single" w:sz="2" w:space="0" w:color="000000"/>
            </w:tcBorders>
            <w:shd w:val="clear" w:color="auto" w:fill="auto"/>
            <w:tcMar>
              <w:top w:w="20" w:type="dxa"/>
              <w:left w:w="20" w:type="dxa"/>
              <w:bottom w:w="20" w:type="dxa"/>
              <w:right w:w="20" w:type="dxa"/>
            </w:tcMar>
            <w:vAlign w:val="center"/>
          </w:tcPr>
          <w:p w14:paraId="17662C9D" w14:textId="77777777" w:rsidR="00625FD6" w:rsidRPr="007A020F" w:rsidRDefault="00625FD6" w:rsidP="00625FD6">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(27,604)</w:t>
            </w:r>
          </w:p>
        </w:tc>
        <w:tc>
          <w:tcPr>
            <w:tcW w:w="119" w:type="pct"/>
            <w:tcBorders>
              <w:top w:val="single" w:sz="2" w:space="0" w:color="000000"/>
            </w:tcBorders>
            <w:shd w:val="clear" w:color="auto" w:fill="auto"/>
            <w:tcMar>
              <w:top w:w="20" w:type="dxa"/>
              <w:left w:w="20" w:type="dxa"/>
              <w:bottom w:w="20" w:type="dxa"/>
              <w:right w:w="20" w:type="dxa"/>
            </w:tcMar>
            <w:vAlign w:val="center"/>
          </w:tcPr>
          <w:p w14:paraId="45CA5229"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380" w:type="pct"/>
            <w:tcBorders>
              <w:top w:val="single" w:sz="2" w:space="0" w:color="000000"/>
            </w:tcBorders>
            <w:shd w:val="clear" w:color="auto" w:fill="auto"/>
            <w:tcMar>
              <w:top w:w="20" w:type="dxa"/>
              <w:left w:w="20" w:type="dxa"/>
              <w:bottom w:w="20" w:type="dxa"/>
              <w:right w:w="20" w:type="dxa"/>
            </w:tcMar>
            <w:vAlign w:val="center"/>
          </w:tcPr>
          <w:p w14:paraId="7DBEC189" w14:textId="77777777" w:rsidR="00625FD6" w:rsidRPr="007A020F" w:rsidRDefault="00625FD6" w:rsidP="00625FD6">
            <w:pPr>
              <w:pStyle w:val="T1TableStyle"/>
              <w:jc w:val="center"/>
              <w:rPr>
                <w:rFonts w:ascii="Verdana" w:eastAsia="Verdana" w:hAnsi="Verdana" w:cs="Verdana"/>
                <w:b/>
                <w:i/>
                <w:color w:val="595959" w:themeColor="text1" w:themeTint="A6"/>
                <w:sz w:val="16"/>
                <w:szCs w:val="16"/>
                <w:lang w:val="en-GB"/>
              </w:rPr>
            </w:pPr>
          </w:p>
        </w:tc>
        <w:tc>
          <w:tcPr>
            <w:tcW w:w="1437" w:type="pct"/>
            <w:tcBorders>
              <w:top w:val="single" w:sz="2" w:space="0" w:color="000000"/>
            </w:tcBorders>
            <w:shd w:val="clear" w:color="auto" w:fill="auto"/>
            <w:tcMar>
              <w:top w:w="20" w:type="dxa"/>
              <w:left w:w="20" w:type="dxa"/>
              <w:bottom w:w="20" w:type="dxa"/>
              <w:right w:w="20" w:type="dxa"/>
            </w:tcMar>
            <w:vAlign w:val="center"/>
          </w:tcPr>
          <w:p w14:paraId="1A13B263" w14:textId="77777777" w:rsidR="00625FD6" w:rsidRPr="007A020F" w:rsidRDefault="00625FD6" w:rsidP="00625FD6">
            <w:pPr>
              <w:pStyle w:val="T1TableStyle"/>
              <w:rPr>
                <w:rFonts w:ascii="Verdana" w:eastAsia="Verdana" w:hAnsi="Verdana" w:cs="Verdana"/>
                <w:b/>
                <w:color w:val="000000"/>
                <w:sz w:val="16"/>
                <w:lang w:val="en-GB"/>
              </w:rPr>
            </w:pPr>
            <w:r w:rsidRPr="007A020F">
              <w:rPr>
                <w:rFonts w:ascii="Verdana" w:eastAsia="Verdana" w:hAnsi="Verdana" w:cs="Verdana"/>
                <w:b/>
                <w:color w:val="000000"/>
                <w:sz w:val="16"/>
                <w:lang w:val="en-GB"/>
              </w:rPr>
              <w:t>Current Liabilities</w:t>
            </w:r>
          </w:p>
        </w:tc>
        <w:tc>
          <w:tcPr>
            <w:tcW w:w="839" w:type="pct"/>
            <w:tcBorders>
              <w:top w:val="single" w:sz="2" w:space="0" w:color="000000"/>
            </w:tcBorders>
            <w:shd w:val="clear" w:color="auto" w:fill="auto"/>
            <w:tcMar>
              <w:top w:w="20" w:type="dxa"/>
              <w:left w:w="20" w:type="dxa"/>
              <w:bottom w:w="20" w:type="dxa"/>
              <w:right w:w="20" w:type="dxa"/>
            </w:tcMar>
            <w:vAlign w:val="center"/>
          </w:tcPr>
          <w:p w14:paraId="00AF3F22" w14:textId="12641F36" w:rsidR="00625FD6" w:rsidRPr="007A020F" w:rsidRDefault="0097526A">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w:t>
            </w:r>
            <w:r w:rsidR="004F2F60">
              <w:rPr>
                <w:rFonts w:ascii="Verdana" w:eastAsia="Verdana" w:hAnsi="Verdana" w:cs="Verdana"/>
                <w:b/>
                <w:color w:val="000000"/>
                <w:sz w:val="16"/>
                <w:lang w:val="en-GB"/>
              </w:rPr>
              <w:t>28,523</w:t>
            </w:r>
            <w:r w:rsidRPr="007A020F">
              <w:rPr>
                <w:rFonts w:ascii="Verdana" w:eastAsia="Verdana" w:hAnsi="Verdana" w:cs="Verdana"/>
                <w:b/>
                <w:color w:val="000000"/>
                <w:sz w:val="16"/>
                <w:lang w:val="en-GB"/>
              </w:rPr>
              <w:t>)</w:t>
            </w:r>
          </w:p>
        </w:tc>
        <w:tc>
          <w:tcPr>
            <w:tcW w:w="725" w:type="pct"/>
            <w:tcBorders>
              <w:top w:val="single" w:sz="2" w:space="0" w:color="000000"/>
            </w:tcBorders>
            <w:shd w:val="clear" w:color="auto" w:fill="auto"/>
            <w:tcMar>
              <w:top w:w="20" w:type="dxa"/>
              <w:left w:w="20" w:type="dxa"/>
              <w:bottom w:w="20" w:type="dxa"/>
              <w:right w:w="20" w:type="dxa"/>
            </w:tcMar>
            <w:vAlign w:val="center"/>
          </w:tcPr>
          <w:p w14:paraId="5E15B38C" w14:textId="1C718FD3" w:rsidR="00625FD6" w:rsidRPr="007A020F" w:rsidRDefault="006703F1">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w:t>
            </w:r>
            <w:r w:rsidR="004F2F60">
              <w:rPr>
                <w:rFonts w:ascii="Verdana" w:eastAsia="Verdana" w:hAnsi="Verdana" w:cs="Verdana"/>
                <w:b/>
                <w:color w:val="000000"/>
                <w:sz w:val="16"/>
                <w:lang w:val="en-GB"/>
              </w:rPr>
              <w:t>30,584</w:t>
            </w:r>
            <w:r w:rsidRPr="007A020F">
              <w:rPr>
                <w:rFonts w:ascii="Verdana" w:eastAsia="Verdana" w:hAnsi="Verdana" w:cs="Verdana"/>
                <w:b/>
                <w:color w:val="000000"/>
                <w:sz w:val="16"/>
                <w:lang w:val="en-GB"/>
              </w:rPr>
              <w:t>)</w:t>
            </w:r>
          </w:p>
        </w:tc>
      </w:tr>
      <w:tr w:rsidR="0074695B" w:rsidRPr="007A020F" w14:paraId="18395457" w14:textId="77777777" w:rsidTr="0074695B">
        <w:trPr>
          <w:trHeight w:val="200"/>
        </w:trPr>
        <w:tc>
          <w:tcPr>
            <w:tcW w:w="728" w:type="pct"/>
            <w:shd w:val="clear" w:color="auto" w:fill="auto"/>
            <w:tcMar>
              <w:top w:w="20" w:type="dxa"/>
              <w:left w:w="20" w:type="dxa"/>
              <w:bottom w:w="20" w:type="dxa"/>
              <w:right w:w="20" w:type="dxa"/>
            </w:tcMar>
            <w:vAlign w:val="center"/>
          </w:tcPr>
          <w:p w14:paraId="6E6D6FE6"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771" w:type="pct"/>
            <w:shd w:val="clear" w:color="auto" w:fill="auto"/>
            <w:tcMar>
              <w:top w:w="20" w:type="dxa"/>
              <w:left w:w="20" w:type="dxa"/>
              <w:bottom w:w="20" w:type="dxa"/>
              <w:right w:w="20" w:type="dxa"/>
            </w:tcMar>
            <w:vAlign w:val="center"/>
          </w:tcPr>
          <w:p w14:paraId="776ACEBA"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119" w:type="pct"/>
            <w:shd w:val="clear" w:color="auto" w:fill="auto"/>
            <w:tcMar>
              <w:top w:w="20" w:type="dxa"/>
              <w:left w:w="20" w:type="dxa"/>
              <w:bottom w:w="20" w:type="dxa"/>
              <w:right w:w="20" w:type="dxa"/>
            </w:tcMar>
            <w:vAlign w:val="center"/>
          </w:tcPr>
          <w:p w14:paraId="5789AAD5"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576B918F" w14:textId="77777777" w:rsidR="00625FD6" w:rsidRPr="007A020F" w:rsidRDefault="00625FD6" w:rsidP="00625FD6">
            <w:pPr>
              <w:pStyle w:val="T1TableStyle"/>
              <w:jc w:val="center"/>
              <w:rPr>
                <w:rFonts w:ascii="Verdana" w:eastAsia="Verdana" w:hAnsi="Verdana" w:cs="Verdana"/>
                <w:i/>
                <w:color w:val="595959" w:themeColor="text1" w:themeTint="A6"/>
                <w:sz w:val="16"/>
                <w:szCs w:val="16"/>
                <w:lang w:val="en-GB"/>
              </w:rPr>
            </w:pPr>
          </w:p>
        </w:tc>
        <w:tc>
          <w:tcPr>
            <w:tcW w:w="1437" w:type="pct"/>
            <w:shd w:val="clear" w:color="auto" w:fill="auto"/>
            <w:tcMar>
              <w:top w:w="20" w:type="dxa"/>
              <w:left w:w="20" w:type="dxa"/>
              <w:bottom w:w="20" w:type="dxa"/>
              <w:right w:w="20" w:type="dxa"/>
            </w:tcMar>
            <w:vAlign w:val="center"/>
          </w:tcPr>
          <w:p w14:paraId="54BBEF2B"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839" w:type="pct"/>
            <w:shd w:val="clear" w:color="auto" w:fill="auto"/>
            <w:tcMar>
              <w:top w:w="20" w:type="dxa"/>
              <w:left w:w="20" w:type="dxa"/>
              <w:bottom w:w="20" w:type="dxa"/>
              <w:right w:w="20" w:type="dxa"/>
            </w:tcMar>
            <w:vAlign w:val="center"/>
          </w:tcPr>
          <w:p w14:paraId="48D324C1"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c>
          <w:tcPr>
            <w:tcW w:w="725" w:type="pct"/>
            <w:shd w:val="clear" w:color="auto" w:fill="auto"/>
            <w:tcMar>
              <w:top w:w="20" w:type="dxa"/>
              <w:left w:w="20" w:type="dxa"/>
              <w:bottom w:w="20" w:type="dxa"/>
              <w:right w:w="20" w:type="dxa"/>
            </w:tcMar>
            <w:vAlign w:val="center"/>
          </w:tcPr>
          <w:p w14:paraId="6735DBAC" w14:textId="77777777" w:rsidR="00625FD6" w:rsidRPr="007A020F" w:rsidRDefault="00625FD6" w:rsidP="00625FD6">
            <w:pPr>
              <w:pStyle w:val="T1TableStyle"/>
              <w:jc w:val="center"/>
              <w:rPr>
                <w:rFonts w:ascii="Verdana" w:eastAsia="Verdana" w:hAnsi="Verdana" w:cs="Verdana"/>
                <w:color w:val="000000"/>
                <w:sz w:val="2"/>
                <w:lang w:val="en-GB"/>
              </w:rPr>
            </w:pPr>
            <w:r w:rsidRPr="007A020F">
              <w:rPr>
                <w:rFonts w:ascii="Verdana" w:eastAsia="Verdana" w:hAnsi="Verdana" w:cs="Verdana"/>
                <w:color w:val="000000"/>
                <w:sz w:val="2"/>
                <w:lang w:val="en-GB"/>
              </w:rPr>
              <w:t xml:space="preserve"> </w:t>
            </w:r>
          </w:p>
        </w:tc>
      </w:tr>
      <w:tr w:rsidR="0074695B" w:rsidRPr="007A020F" w14:paraId="6E0DFFC0" w14:textId="77777777" w:rsidTr="0074695B">
        <w:trPr>
          <w:trHeight w:val="200"/>
        </w:trPr>
        <w:tc>
          <w:tcPr>
            <w:tcW w:w="728" w:type="pct"/>
            <w:shd w:val="clear" w:color="auto" w:fill="auto"/>
            <w:tcMar>
              <w:top w:w="20" w:type="dxa"/>
              <w:left w:w="20" w:type="dxa"/>
              <w:bottom w:w="20" w:type="dxa"/>
              <w:right w:w="20" w:type="dxa"/>
            </w:tcMar>
            <w:vAlign w:val="center"/>
          </w:tcPr>
          <w:p w14:paraId="6A6554EF"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(15,084)</w:t>
            </w:r>
          </w:p>
        </w:tc>
        <w:tc>
          <w:tcPr>
            <w:tcW w:w="771" w:type="pct"/>
            <w:shd w:val="clear" w:color="auto" w:fill="auto"/>
            <w:tcMar>
              <w:top w:w="20" w:type="dxa"/>
              <w:left w:w="20" w:type="dxa"/>
              <w:bottom w:w="20" w:type="dxa"/>
              <w:right w:w="20" w:type="dxa"/>
            </w:tcMar>
            <w:vAlign w:val="center"/>
          </w:tcPr>
          <w:p w14:paraId="4C785207"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(15,084)</w:t>
            </w:r>
          </w:p>
        </w:tc>
        <w:tc>
          <w:tcPr>
            <w:tcW w:w="119" w:type="pct"/>
            <w:shd w:val="clear" w:color="auto" w:fill="auto"/>
            <w:tcMar>
              <w:top w:w="20" w:type="dxa"/>
              <w:left w:w="20" w:type="dxa"/>
              <w:bottom w:w="20" w:type="dxa"/>
              <w:right w:w="20" w:type="dxa"/>
            </w:tcMar>
            <w:vAlign w:val="center"/>
          </w:tcPr>
          <w:p w14:paraId="3EEFC463"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0F4DEEBF" w14:textId="77777777" w:rsidR="00625FD6" w:rsidRPr="007A020F" w:rsidRDefault="00625FD6" w:rsidP="00625FD6">
            <w:pPr>
              <w:pStyle w:val="T1TableStyle"/>
              <w:jc w:val="center"/>
              <w:rPr>
                <w:rFonts w:ascii="Verdana" w:eastAsia="Verdana" w:hAnsi="Verdana" w:cs="Verdana"/>
                <w:i/>
                <w:color w:val="595959" w:themeColor="text1" w:themeTint="A6"/>
                <w:sz w:val="16"/>
                <w:szCs w:val="16"/>
                <w:lang w:val="en-GB"/>
              </w:rPr>
            </w:pPr>
            <w:r w:rsidRPr="007A020F">
              <w:rPr>
                <w:rFonts w:ascii="Verdana" w:eastAsia="Verdana" w:hAnsi="Verdana" w:cs="Verdana"/>
                <w:i/>
                <w:color w:val="595959" w:themeColor="text1" w:themeTint="A6"/>
                <w:sz w:val="16"/>
                <w:szCs w:val="16"/>
                <w:lang w:val="en-GB"/>
              </w:rPr>
              <w:t>38</w:t>
            </w:r>
          </w:p>
        </w:tc>
        <w:tc>
          <w:tcPr>
            <w:tcW w:w="1437" w:type="pct"/>
            <w:shd w:val="clear" w:color="auto" w:fill="auto"/>
            <w:tcMar>
              <w:top w:w="20" w:type="dxa"/>
              <w:left w:w="20" w:type="dxa"/>
              <w:bottom w:w="20" w:type="dxa"/>
              <w:right w:w="20" w:type="dxa"/>
            </w:tcMar>
            <w:vAlign w:val="center"/>
          </w:tcPr>
          <w:p w14:paraId="3BCCD4A0" w14:textId="77777777" w:rsidR="00625FD6" w:rsidRPr="007A020F" w:rsidRDefault="00625FD6" w:rsidP="00625FD6">
            <w:pPr>
              <w:pStyle w:val="T1TableStyle"/>
              <w:rPr>
                <w:rFonts w:ascii="Verdana" w:eastAsia="Verdana" w:hAnsi="Verdana" w:cs="Verdana"/>
                <w:color w:val="000000"/>
                <w:sz w:val="16"/>
                <w:lang w:val="en-GB"/>
              </w:rPr>
            </w:pPr>
            <w:r w:rsidRPr="007A020F">
              <w:rPr>
                <w:rFonts w:ascii="Verdana" w:eastAsia="Verdana" w:hAnsi="Verdana" w:cs="Verdana"/>
                <w:color w:val="000000"/>
                <w:sz w:val="16"/>
                <w:lang w:val="en-GB"/>
              </w:rPr>
              <w:t>Long-Term Borrowing</w:t>
            </w:r>
          </w:p>
        </w:tc>
        <w:tc>
          <w:tcPr>
            <w:tcW w:w="839" w:type="pct"/>
            <w:shd w:val="clear" w:color="auto" w:fill="auto"/>
            <w:tcMar>
              <w:top w:w="20" w:type="dxa"/>
              <w:left w:w="20" w:type="dxa"/>
              <w:bottom w:w="20" w:type="dxa"/>
              <w:right w:w="20" w:type="dxa"/>
            </w:tcMar>
            <w:vAlign w:val="center"/>
          </w:tcPr>
          <w:p w14:paraId="3C05E3A7" w14:textId="77777777" w:rsidR="00625FD6" w:rsidRPr="007A020F" w:rsidRDefault="0097526A"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(14,562)</w:t>
            </w:r>
          </w:p>
        </w:tc>
        <w:tc>
          <w:tcPr>
            <w:tcW w:w="725" w:type="pct"/>
            <w:shd w:val="clear" w:color="auto" w:fill="auto"/>
            <w:tcMar>
              <w:top w:w="20" w:type="dxa"/>
              <w:left w:w="20" w:type="dxa"/>
              <w:bottom w:w="20" w:type="dxa"/>
              <w:right w:w="20" w:type="dxa"/>
            </w:tcMar>
            <w:vAlign w:val="center"/>
          </w:tcPr>
          <w:p w14:paraId="48FB5C3A" w14:textId="77777777" w:rsidR="00625FD6" w:rsidRPr="007A020F" w:rsidRDefault="006703F1"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(14,562)</w:t>
            </w:r>
          </w:p>
        </w:tc>
      </w:tr>
      <w:tr w:rsidR="0074695B" w:rsidRPr="007A020F" w14:paraId="35FA9141" w14:textId="77777777" w:rsidTr="0074695B">
        <w:trPr>
          <w:trHeight w:val="200"/>
        </w:trPr>
        <w:tc>
          <w:tcPr>
            <w:tcW w:w="728" w:type="pct"/>
            <w:shd w:val="clear" w:color="auto" w:fill="auto"/>
            <w:tcMar>
              <w:top w:w="20" w:type="dxa"/>
              <w:left w:w="20" w:type="dxa"/>
              <w:bottom w:w="20" w:type="dxa"/>
              <w:right w:w="20" w:type="dxa"/>
            </w:tcMar>
            <w:vAlign w:val="center"/>
          </w:tcPr>
          <w:p w14:paraId="2A194B0F"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(1,403)</w:t>
            </w:r>
          </w:p>
        </w:tc>
        <w:tc>
          <w:tcPr>
            <w:tcW w:w="771" w:type="pct"/>
            <w:shd w:val="clear" w:color="auto" w:fill="auto"/>
            <w:tcMar>
              <w:top w:w="20" w:type="dxa"/>
              <w:left w:w="20" w:type="dxa"/>
              <w:bottom w:w="20" w:type="dxa"/>
              <w:right w:w="20" w:type="dxa"/>
            </w:tcMar>
            <w:vAlign w:val="center"/>
          </w:tcPr>
          <w:p w14:paraId="27613DEA"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(2,027,958)</w:t>
            </w:r>
          </w:p>
        </w:tc>
        <w:tc>
          <w:tcPr>
            <w:tcW w:w="119" w:type="pct"/>
            <w:shd w:val="clear" w:color="auto" w:fill="auto"/>
            <w:tcMar>
              <w:top w:w="20" w:type="dxa"/>
              <w:left w:w="20" w:type="dxa"/>
              <w:bottom w:w="20" w:type="dxa"/>
              <w:right w:w="20" w:type="dxa"/>
            </w:tcMar>
            <w:vAlign w:val="center"/>
          </w:tcPr>
          <w:p w14:paraId="58910E14"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4FD5E776" w14:textId="77777777" w:rsidR="00625FD6" w:rsidRPr="007A020F" w:rsidRDefault="00625FD6" w:rsidP="00625FD6">
            <w:pPr>
              <w:pStyle w:val="T1TableStyle"/>
              <w:jc w:val="center"/>
              <w:rPr>
                <w:rFonts w:ascii="Verdana" w:eastAsia="Verdana" w:hAnsi="Verdana" w:cs="Verdana"/>
                <w:i/>
                <w:color w:val="595959" w:themeColor="text1" w:themeTint="A6"/>
                <w:sz w:val="16"/>
                <w:szCs w:val="16"/>
                <w:lang w:val="en-GB"/>
              </w:rPr>
            </w:pPr>
            <w:r w:rsidRPr="007A020F">
              <w:rPr>
                <w:rFonts w:ascii="Verdana" w:eastAsia="Verdana" w:hAnsi="Verdana" w:cs="Verdana"/>
                <w:i/>
                <w:color w:val="595959" w:themeColor="text1" w:themeTint="A6"/>
                <w:sz w:val="16"/>
                <w:szCs w:val="16"/>
                <w:lang w:val="en-GB"/>
              </w:rPr>
              <w:t>26</w:t>
            </w:r>
          </w:p>
        </w:tc>
        <w:tc>
          <w:tcPr>
            <w:tcW w:w="1437" w:type="pct"/>
            <w:shd w:val="clear" w:color="auto" w:fill="auto"/>
            <w:tcMar>
              <w:top w:w="20" w:type="dxa"/>
              <w:left w:w="20" w:type="dxa"/>
              <w:bottom w:w="20" w:type="dxa"/>
              <w:right w:w="20" w:type="dxa"/>
            </w:tcMar>
            <w:vAlign w:val="center"/>
          </w:tcPr>
          <w:p w14:paraId="5C1D7DAC" w14:textId="77777777" w:rsidR="00625FD6" w:rsidRPr="007A020F" w:rsidRDefault="00625FD6" w:rsidP="00625FD6">
            <w:pPr>
              <w:pStyle w:val="T1TableStyle"/>
              <w:rPr>
                <w:rFonts w:ascii="Verdana" w:eastAsia="Verdana" w:hAnsi="Verdana" w:cs="Verdana"/>
                <w:color w:val="000000"/>
                <w:sz w:val="16"/>
                <w:lang w:val="en-GB"/>
              </w:rPr>
            </w:pPr>
            <w:r w:rsidRPr="007A020F">
              <w:rPr>
                <w:rFonts w:ascii="Verdana" w:eastAsia="Verdana" w:hAnsi="Verdana" w:cs="Verdana"/>
                <w:color w:val="000000"/>
                <w:sz w:val="16"/>
                <w:lang w:val="en-GB"/>
              </w:rPr>
              <w:t>Other Long-Term Liabilities</w:t>
            </w:r>
          </w:p>
        </w:tc>
        <w:tc>
          <w:tcPr>
            <w:tcW w:w="839" w:type="pct"/>
            <w:shd w:val="clear" w:color="auto" w:fill="auto"/>
            <w:tcMar>
              <w:top w:w="20" w:type="dxa"/>
              <w:left w:w="20" w:type="dxa"/>
              <w:bottom w:w="20" w:type="dxa"/>
              <w:right w:w="20" w:type="dxa"/>
            </w:tcMar>
            <w:vAlign w:val="center"/>
          </w:tcPr>
          <w:p w14:paraId="726B0739" w14:textId="77777777" w:rsidR="00625FD6" w:rsidRPr="007A020F" w:rsidRDefault="0097526A"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(2,461)</w:t>
            </w:r>
          </w:p>
        </w:tc>
        <w:tc>
          <w:tcPr>
            <w:tcW w:w="725" w:type="pct"/>
            <w:shd w:val="clear" w:color="auto" w:fill="auto"/>
            <w:tcMar>
              <w:top w:w="20" w:type="dxa"/>
              <w:left w:w="20" w:type="dxa"/>
              <w:bottom w:w="20" w:type="dxa"/>
              <w:right w:w="20" w:type="dxa"/>
            </w:tcMar>
            <w:vAlign w:val="center"/>
          </w:tcPr>
          <w:p w14:paraId="0F010A73" w14:textId="77777777" w:rsidR="00625FD6" w:rsidRPr="007A020F" w:rsidRDefault="006703F1"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(2,176,507)</w:t>
            </w:r>
          </w:p>
        </w:tc>
      </w:tr>
      <w:tr w:rsidR="0074695B" w:rsidRPr="007A020F" w14:paraId="29C7F64E" w14:textId="77777777" w:rsidTr="0074695B">
        <w:trPr>
          <w:trHeight w:val="269"/>
        </w:trPr>
        <w:tc>
          <w:tcPr>
            <w:tcW w:w="728" w:type="pct"/>
            <w:tcBorders>
              <w:top w:val="single" w:sz="2" w:space="0" w:color="000000"/>
            </w:tcBorders>
            <w:shd w:val="clear" w:color="auto" w:fill="auto"/>
            <w:tcMar>
              <w:top w:w="20" w:type="dxa"/>
              <w:left w:w="20" w:type="dxa"/>
              <w:bottom w:w="20" w:type="dxa"/>
              <w:right w:w="20" w:type="dxa"/>
            </w:tcMar>
            <w:vAlign w:val="center"/>
          </w:tcPr>
          <w:p w14:paraId="68A33C48" w14:textId="77777777" w:rsidR="00625FD6" w:rsidRPr="007A020F" w:rsidRDefault="00625FD6" w:rsidP="00625FD6">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(16,487)</w:t>
            </w:r>
          </w:p>
        </w:tc>
        <w:tc>
          <w:tcPr>
            <w:tcW w:w="771" w:type="pct"/>
            <w:tcBorders>
              <w:top w:val="single" w:sz="2" w:space="0" w:color="000000"/>
            </w:tcBorders>
            <w:shd w:val="clear" w:color="auto" w:fill="auto"/>
            <w:tcMar>
              <w:top w:w="20" w:type="dxa"/>
              <w:left w:w="20" w:type="dxa"/>
              <w:bottom w:w="20" w:type="dxa"/>
              <w:right w:w="20" w:type="dxa"/>
            </w:tcMar>
            <w:vAlign w:val="center"/>
          </w:tcPr>
          <w:p w14:paraId="594C95E8" w14:textId="77777777" w:rsidR="00625FD6" w:rsidRPr="007A020F" w:rsidRDefault="00625FD6" w:rsidP="00625FD6">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(2,043,042)</w:t>
            </w:r>
          </w:p>
        </w:tc>
        <w:tc>
          <w:tcPr>
            <w:tcW w:w="119" w:type="pct"/>
            <w:tcBorders>
              <w:top w:val="single" w:sz="2" w:space="0" w:color="000000"/>
            </w:tcBorders>
            <w:shd w:val="clear" w:color="auto" w:fill="auto"/>
            <w:tcMar>
              <w:top w:w="20" w:type="dxa"/>
              <w:left w:w="20" w:type="dxa"/>
              <w:bottom w:w="20" w:type="dxa"/>
              <w:right w:w="20" w:type="dxa"/>
            </w:tcMar>
            <w:vAlign w:val="center"/>
          </w:tcPr>
          <w:p w14:paraId="6A1FD9DE"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380" w:type="pct"/>
            <w:tcBorders>
              <w:top w:val="single" w:sz="2" w:space="0" w:color="000000"/>
            </w:tcBorders>
            <w:shd w:val="clear" w:color="auto" w:fill="auto"/>
            <w:tcMar>
              <w:top w:w="20" w:type="dxa"/>
              <w:left w:w="20" w:type="dxa"/>
              <w:bottom w:w="20" w:type="dxa"/>
              <w:right w:w="20" w:type="dxa"/>
            </w:tcMar>
            <w:vAlign w:val="center"/>
          </w:tcPr>
          <w:p w14:paraId="62F60BC3" w14:textId="77777777" w:rsidR="00625FD6" w:rsidRPr="007A020F" w:rsidRDefault="00625FD6" w:rsidP="00625FD6">
            <w:pPr>
              <w:pStyle w:val="T1TableStyle"/>
              <w:jc w:val="center"/>
              <w:rPr>
                <w:rFonts w:ascii="Verdana" w:eastAsia="Verdana" w:hAnsi="Verdana" w:cs="Verdana"/>
                <w:b/>
                <w:i/>
                <w:color w:val="595959" w:themeColor="text1" w:themeTint="A6"/>
                <w:sz w:val="16"/>
                <w:szCs w:val="16"/>
                <w:lang w:val="en-GB"/>
              </w:rPr>
            </w:pPr>
          </w:p>
        </w:tc>
        <w:tc>
          <w:tcPr>
            <w:tcW w:w="1437" w:type="pct"/>
            <w:tcBorders>
              <w:top w:val="single" w:sz="2" w:space="0" w:color="000000"/>
            </w:tcBorders>
            <w:shd w:val="clear" w:color="auto" w:fill="auto"/>
            <w:tcMar>
              <w:top w:w="20" w:type="dxa"/>
              <w:left w:w="20" w:type="dxa"/>
              <w:bottom w:w="20" w:type="dxa"/>
              <w:right w:w="20" w:type="dxa"/>
            </w:tcMar>
            <w:vAlign w:val="center"/>
          </w:tcPr>
          <w:p w14:paraId="142E2A2F" w14:textId="77777777" w:rsidR="00625FD6" w:rsidRPr="007A020F" w:rsidRDefault="00625FD6" w:rsidP="00625FD6">
            <w:pPr>
              <w:pStyle w:val="T1TableStyle"/>
              <w:rPr>
                <w:rFonts w:ascii="Verdana" w:eastAsia="Verdana" w:hAnsi="Verdana" w:cs="Verdana"/>
                <w:b/>
                <w:color w:val="000000"/>
                <w:sz w:val="16"/>
                <w:lang w:val="en-GB"/>
              </w:rPr>
            </w:pPr>
            <w:r w:rsidRPr="007A020F">
              <w:rPr>
                <w:rFonts w:ascii="Verdana" w:eastAsia="Verdana" w:hAnsi="Verdana" w:cs="Verdana"/>
                <w:b/>
                <w:color w:val="000000"/>
                <w:sz w:val="16"/>
                <w:lang w:val="en-GB"/>
              </w:rPr>
              <w:t>Long Term Liabilities</w:t>
            </w:r>
          </w:p>
        </w:tc>
        <w:tc>
          <w:tcPr>
            <w:tcW w:w="839" w:type="pct"/>
            <w:tcBorders>
              <w:top w:val="single" w:sz="2" w:space="0" w:color="000000"/>
            </w:tcBorders>
            <w:shd w:val="clear" w:color="auto" w:fill="auto"/>
            <w:tcMar>
              <w:top w:w="20" w:type="dxa"/>
              <w:left w:w="20" w:type="dxa"/>
              <w:bottom w:w="20" w:type="dxa"/>
              <w:right w:w="20" w:type="dxa"/>
            </w:tcMar>
            <w:vAlign w:val="center"/>
          </w:tcPr>
          <w:p w14:paraId="4A150798" w14:textId="77777777" w:rsidR="00625FD6" w:rsidRPr="007A020F" w:rsidRDefault="0097526A" w:rsidP="00625FD6">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(17,023)</w:t>
            </w:r>
          </w:p>
        </w:tc>
        <w:tc>
          <w:tcPr>
            <w:tcW w:w="725" w:type="pct"/>
            <w:tcBorders>
              <w:top w:val="single" w:sz="2" w:space="0" w:color="000000"/>
            </w:tcBorders>
            <w:shd w:val="clear" w:color="auto" w:fill="auto"/>
            <w:tcMar>
              <w:top w:w="20" w:type="dxa"/>
              <w:left w:w="20" w:type="dxa"/>
              <w:bottom w:w="20" w:type="dxa"/>
              <w:right w:w="20" w:type="dxa"/>
            </w:tcMar>
            <w:vAlign w:val="center"/>
          </w:tcPr>
          <w:p w14:paraId="23D126BD" w14:textId="77777777" w:rsidR="00625FD6" w:rsidRPr="007A020F" w:rsidRDefault="006703F1" w:rsidP="00625FD6">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(2,191,069)</w:t>
            </w:r>
          </w:p>
        </w:tc>
      </w:tr>
      <w:tr w:rsidR="0074695B" w:rsidRPr="007A020F" w14:paraId="7ABF4D39" w14:textId="77777777" w:rsidTr="0074695B">
        <w:trPr>
          <w:trHeight w:val="200"/>
        </w:trPr>
        <w:tc>
          <w:tcPr>
            <w:tcW w:w="728"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740D969" w14:textId="77777777" w:rsidR="00625FD6" w:rsidRPr="007A020F" w:rsidRDefault="00625FD6" w:rsidP="00625FD6">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130,820</w:t>
            </w:r>
          </w:p>
        </w:tc>
        <w:tc>
          <w:tcPr>
            <w:tcW w:w="771"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DE19180" w14:textId="77777777" w:rsidR="00625FD6" w:rsidRPr="007A020F" w:rsidRDefault="00625FD6" w:rsidP="00625FD6">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(1,896,788)</w:t>
            </w:r>
          </w:p>
        </w:tc>
        <w:tc>
          <w:tcPr>
            <w:tcW w:w="119"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19794D3"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380"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F351467" w14:textId="77777777" w:rsidR="00625FD6" w:rsidRPr="007A020F" w:rsidRDefault="00625FD6" w:rsidP="00625FD6">
            <w:pPr>
              <w:pStyle w:val="T1TableStyle"/>
              <w:jc w:val="center"/>
              <w:rPr>
                <w:rFonts w:ascii="Verdana" w:eastAsia="Verdana" w:hAnsi="Verdana" w:cs="Verdana"/>
                <w:b/>
                <w:i/>
                <w:color w:val="595959" w:themeColor="text1" w:themeTint="A6"/>
                <w:sz w:val="16"/>
                <w:szCs w:val="16"/>
                <w:lang w:val="en-GB"/>
              </w:rPr>
            </w:pPr>
          </w:p>
        </w:tc>
        <w:tc>
          <w:tcPr>
            <w:tcW w:w="1437"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25CA4A3" w14:textId="77777777" w:rsidR="00625FD6" w:rsidRPr="007A020F" w:rsidRDefault="00625FD6" w:rsidP="00625FD6">
            <w:pPr>
              <w:pStyle w:val="T1TableStyle"/>
              <w:rPr>
                <w:rFonts w:ascii="Verdana" w:eastAsia="Verdana" w:hAnsi="Verdana" w:cs="Verdana"/>
                <w:b/>
                <w:color w:val="000000"/>
                <w:sz w:val="16"/>
                <w:lang w:val="en-GB"/>
              </w:rPr>
            </w:pPr>
            <w:r w:rsidRPr="007A020F">
              <w:rPr>
                <w:rFonts w:ascii="Verdana" w:eastAsia="Verdana" w:hAnsi="Verdana" w:cs="Verdana"/>
                <w:b/>
                <w:color w:val="000000"/>
                <w:sz w:val="16"/>
                <w:lang w:val="en-GB"/>
              </w:rPr>
              <w:t>Net Assets</w:t>
            </w:r>
          </w:p>
        </w:tc>
        <w:tc>
          <w:tcPr>
            <w:tcW w:w="839"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724C64C" w14:textId="186C238A" w:rsidR="00625FD6" w:rsidRPr="007A020F" w:rsidRDefault="00BE4D3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128,183</w:t>
            </w:r>
          </w:p>
        </w:tc>
        <w:tc>
          <w:tcPr>
            <w:tcW w:w="725"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8D83D94" w14:textId="7AAB1D2B" w:rsidR="00625FD6" w:rsidRPr="007A020F" w:rsidRDefault="006703F1">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w:t>
            </w:r>
            <w:r w:rsidR="00412D71">
              <w:rPr>
                <w:rFonts w:ascii="Verdana" w:eastAsia="Verdana" w:hAnsi="Verdana" w:cs="Verdana"/>
                <w:b/>
                <w:color w:val="000000"/>
                <w:sz w:val="16"/>
                <w:lang w:val="en-GB"/>
              </w:rPr>
              <w:t>2,047,814</w:t>
            </w:r>
            <w:r w:rsidRPr="007A020F">
              <w:rPr>
                <w:rFonts w:ascii="Verdana" w:eastAsia="Verdana" w:hAnsi="Verdana" w:cs="Verdana"/>
                <w:b/>
                <w:color w:val="000000"/>
                <w:sz w:val="16"/>
                <w:lang w:val="en-GB"/>
              </w:rPr>
              <w:t>)</w:t>
            </w:r>
          </w:p>
        </w:tc>
      </w:tr>
      <w:tr w:rsidR="0074695B" w:rsidRPr="007A020F" w14:paraId="76CD04D2" w14:textId="77777777" w:rsidTr="0074695B">
        <w:trPr>
          <w:trHeight w:val="200"/>
        </w:trPr>
        <w:tc>
          <w:tcPr>
            <w:tcW w:w="728" w:type="pct"/>
            <w:shd w:val="clear" w:color="auto" w:fill="auto"/>
            <w:tcMar>
              <w:top w:w="20" w:type="dxa"/>
              <w:left w:w="20" w:type="dxa"/>
              <w:bottom w:w="20" w:type="dxa"/>
              <w:right w:w="20" w:type="dxa"/>
            </w:tcMar>
            <w:vAlign w:val="center"/>
          </w:tcPr>
          <w:p w14:paraId="18028A95"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771" w:type="pct"/>
            <w:shd w:val="clear" w:color="auto" w:fill="auto"/>
            <w:tcMar>
              <w:top w:w="20" w:type="dxa"/>
              <w:left w:w="20" w:type="dxa"/>
              <w:bottom w:w="20" w:type="dxa"/>
              <w:right w:w="20" w:type="dxa"/>
            </w:tcMar>
            <w:vAlign w:val="center"/>
          </w:tcPr>
          <w:p w14:paraId="348B27CF"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119" w:type="pct"/>
            <w:shd w:val="clear" w:color="auto" w:fill="auto"/>
            <w:tcMar>
              <w:top w:w="20" w:type="dxa"/>
              <w:left w:w="20" w:type="dxa"/>
              <w:bottom w:w="20" w:type="dxa"/>
              <w:right w:w="20" w:type="dxa"/>
            </w:tcMar>
            <w:vAlign w:val="center"/>
          </w:tcPr>
          <w:p w14:paraId="5982F415"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0FDAB933" w14:textId="77777777" w:rsidR="00625FD6" w:rsidRPr="007A020F" w:rsidRDefault="00625FD6" w:rsidP="00625FD6">
            <w:pPr>
              <w:pStyle w:val="T1TableStyle"/>
              <w:jc w:val="center"/>
              <w:rPr>
                <w:rFonts w:ascii="Verdana" w:eastAsia="Verdana" w:hAnsi="Verdana" w:cs="Verdana"/>
                <w:b/>
                <w:i/>
                <w:color w:val="595959" w:themeColor="text1" w:themeTint="A6"/>
                <w:sz w:val="16"/>
                <w:szCs w:val="16"/>
                <w:lang w:val="en-GB"/>
              </w:rPr>
            </w:pPr>
          </w:p>
        </w:tc>
        <w:tc>
          <w:tcPr>
            <w:tcW w:w="1437" w:type="pct"/>
            <w:shd w:val="clear" w:color="auto" w:fill="auto"/>
            <w:tcMar>
              <w:top w:w="20" w:type="dxa"/>
              <w:left w:w="20" w:type="dxa"/>
              <w:bottom w:w="20" w:type="dxa"/>
              <w:right w:w="20" w:type="dxa"/>
            </w:tcMar>
            <w:vAlign w:val="center"/>
          </w:tcPr>
          <w:p w14:paraId="54FF9EC3"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839" w:type="pct"/>
            <w:shd w:val="clear" w:color="auto" w:fill="auto"/>
            <w:tcMar>
              <w:top w:w="20" w:type="dxa"/>
              <w:left w:w="20" w:type="dxa"/>
              <w:bottom w:w="20" w:type="dxa"/>
              <w:right w:w="20" w:type="dxa"/>
            </w:tcMar>
            <w:vAlign w:val="center"/>
          </w:tcPr>
          <w:p w14:paraId="6D7A7262"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725" w:type="pct"/>
            <w:shd w:val="clear" w:color="auto" w:fill="auto"/>
            <w:tcMar>
              <w:top w:w="20" w:type="dxa"/>
              <w:left w:w="20" w:type="dxa"/>
              <w:bottom w:w="20" w:type="dxa"/>
              <w:right w:w="20" w:type="dxa"/>
            </w:tcMar>
            <w:vAlign w:val="center"/>
          </w:tcPr>
          <w:p w14:paraId="0D8307C0"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r>
      <w:tr w:rsidR="0074695B" w:rsidRPr="007A020F" w14:paraId="57C60B97" w14:textId="77777777" w:rsidTr="0074695B">
        <w:trPr>
          <w:trHeight w:val="200"/>
        </w:trPr>
        <w:tc>
          <w:tcPr>
            <w:tcW w:w="728" w:type="pct"/>
            <w:shd w:val="clear" w:color="auto" w:fill="auto"/>
            <w:tcMar>
              <w:top w:w="20" w:type="dxa"/>
              <w:left w:w="20" w:type="dxa"/>
              <w:bottom w:w="20" w:type="dxa"/>
              <w:right w:w="20" w:type="dxa"/>
            </w:tcMar>
            <w:vAlign w:val="center"/>
          </w:tcPr>
          <w:p w14:paraId="323EF5B5"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(22,644)</w:t>
            </w:r>
          </w:p>
        </w:tc>
        <w:tc>
          <w:tcPr>
            <w:tcW w:w="771" w:type="pct"/>
            <w:shd w:val="clear" w:color="auto" w:fill="auto"/>
            <w:tcMar>
              <w:top w:w="20" w:type="dxa"/>
              <w:left w:w="20" w:type="dxa"/>
              <w:bottom w:w="20" w:type="dxa"/>
              <w:right w:w="20" w:type="dxa"/>
            </w:tcMar>
            <w:vAlign w:val="center"/>
          </w:tcPr>
          <w:p w14:paraId="3464FFB0"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(22,644)</w:t>
            </w:r>
          </w:p>
        </w:tc>
        <w:tc>
          <w:tcPr>
            <w:tcW w:w="119" w:type="pct"/>
            <w:shd w:val="clear" w:color="auto" w:fill="auto"/>
            <w:tcMar>
              <w:top w:w="20" w:type="dxa"/>
              <w:left w:w="20" w:type="dxa"/>
              <w:bottom w:w="20" w:type="dxa"/>
              <w:right w:w="20" w:type="dxa"/>
            </w:tcMar>
            <w:vAlign w:val="center"/>
          </w:tcPr>
          <w:p w14:paraId="21B1E219"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403BA6C8" w14:textId="77777777" w:rsidR="00625FD6" w:rsidRPr="007A020F" w:rsidRDefault="00625FD6" w:rsidP="00625FD6">
            <w:pPr>
              <w:pStyle w:val="T1TableStyle"/>
              <w:jc w:val="center"/>
              <w:rPr>
                <w:rFonts w:ascii="Verdana" w:eastAsia="Verdana" w:hAnsi="Verdana" w:cs="Verdana"/>
                <w:i/>
                <w:color w:val="595959" w:themeColor="text1" w:themeTint="A6"/>
                <w:sz w:val="16"/>
                <w:szCs w:val="16"/>
                <w:lang w:val="en-GB"/>
              </w:rPr>
            </w:pPr>
            <w:r w:rsidRPr="007A020F">
              <w:rPr>
                <w:rFonts w:ascii="Verdana" w:eastAsia="Verdana" w:hAnsi="Verdana" w:cs="Verdana"/>
                <w:i/>
                <w:color w:val="595959" w:themeColor="text1" w:themeTint="A6"/>
                <w:sz w:val="16"/>
                <w:szCs w:val="16"/>
                <w:lang w:val="en-GB"/>
              </w:rPr>
              <w:t>19</w:t>
            </w:r>
          </w:p>
        </w:tc>
        <w:tc>
          <w:tcPr>
            <w:tcW w:w="1437" w:type="pct"/>
            <w:shd w:val="clear" w:color="auto" w:fill="auto"/>
            <w:tcMar>
              <w:top w:w="20" w:type="dxa"/>
              <w:left w:w="20" w:type="dxa"/>
              <w:bottom w:w="20" w:type="dxa"/>
              <w:right w:w="20" w:type="dxa"/>
            </w:tcMar>
            <w:vAlign w:val="center"/>
          </w:tcPr>
          <w:p w14:paraId="4B7A2E5B" w14:textId="77777777" w:rsidR="00625FD6" w:rsidRPr="007A020F" w:rsidRDefault="00625FD6" w:rsidP="00625FD6">
            <w:pPr>
              <w:pStyle w:val="T1TableStyle"/>
              <w:rPr>
                <w:rFonts w:ascii="Verdana" w:eastAsia="Verdana" w:hAnsi="Verdana" w:cs="Verdana"/>
                <w:color w:val="000000"/>
                <w:sz w:val="16"/>
                <w:lang w:val="en-GB"/>
              </w:rPr>
            </w:pPr>
            <w:r w:rsidRPr="007A020F">
              <w:rPr>
                <w:rFonts w:ascii="Verdana" w:eastAsia="Verdana" w:hAnsi="Verdana" w:cs="Verdana"/>
                <w:color w:val="000000"/>
                <w:sz w:val="16"/>
                <w:lang w:val="en-GB"/>
              </w:rPr>
              <w:t>Usable Reserves</w:t>
            </w:r>
          </w:p>
        </w:tc>
        <w:tc>
          <w:tcPr>
            <w:tcW w:w="839" w:type="pct"/>
            <w:shd w:val="clear" w:color="auto" w:fill="auto"/>
            <w:tcMar>
              <w:top w:w="20" w:type="dxa"/>
              <w:left w:w="20" w:type="dxa"/>
              <w:bottom w:w="20" w:type="dxa"/>
              <w:right w:w="20" w:type="dxa"/>
            </w:tcMar>
            <w:vAlign w:val="center"/>
          </w:tcPr>
          <w:p w14:paraId="295141E3" w14:textId="3085ACB3" w:rsidR="00625FD6" w:rsidRPr="007A020F" w:rsidRDefault="0097526A">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w:t>
            </w:r>
            <w:r w:rsidR="00BE4D31">
              <w:rPr>
                <w:rFonts w:ascii="Verdana" w:eastAsia="Verdana" w:hAnsi="Verdana" w:cs="Verdana"/>
                <w:color w:val="000000"/>
                <w:sz w:val="16"/>
                <w:lang w:val="en-GB"/>
              </w:rPr>
              <w:t>21,627</w:t>
            </w:r>
            <w:r w:rsidRPr="007A020F">
              <w:rPr>
                <w:rFonts w:ascii="Verdana" w:eastAsia="Verdana" w:hAnsi="Verdana" w:cs="Verdana"/>
                <w:color w:val="000000"/>
                <w:sz w:val="16"/>
                <w:lang w:val="en-GB"/>
              </w:rPr>
              <w:t>)</w:t>
            </w:r>
          </w:p>
        </w:tc>
        <w:tc>
          <w:tcPr>
            <w:tcW w:w="725" w:type="pct"/>
            <w:shd w:val="clear" w:color="auto" w:fill="auto"/>
            <w:tcMar>
              <w:top w:w="20" w:type="dxa"/>
              <w:left w:w="20" w:type="dxa"/>
              <w:bottom w:w="20" w:type="dxa"/>
              <w:right w:w="20" w:type="dxa"/>
            </w:tcMar>
            <w:vAlign w:val="center"/>
          </w:tcPr>
          <w:p w14:paraId="2D59595D" w14:textId="2827C8F9" w:rsidR="00625FD6" w:rsidRPr="007A020F" w:rsidRDefault="006703F1">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w:t>
            </w:r>
            <w:r w:rsidR="007E77FA">
              <w:rPr>
                <w:rFonts w:ascii="Verdana" w:eastAsia="Verdana" w:hAnsi="Verdana" w:cs="Verdana"/>
                <w:color w:val="000000"/>
                <w:sz w:val="16"/>
                <w:lang w:val="en-GB"/>
              </w:rPr>
              <w:t>21,627</w:t>
            </w:r>
            <w:r w:rsidRPr="007A020F">
              <w:rPr>
                <w:rFonts w:ascii="Verdana" w:eastAsia="Verdana" w:hAnsi="Verdana" w:cs="Verdana"/>
                <w:color w:val="000000"/>
                <w:sz w:val="16"/>
                <w:lang w:val="en-GB"/>
              </w:rPr>
              <w:t>)</w:t>
            </w:r>
          </w:p>
        </w:tc>
      </w:tr>
      <w:tr w:rsidR="0074695B" w:rsidRPr="007A020F" w14:paraId="24EF0667" w14:textId="77777777" w:rsidTr="0074695B">
        <w:trPr>
          <w:trHeight w:val="200"/>
        </w:trPr>
        <w:tc>
          <w:tcPr>
            <w:tcW w:w="728" w:type="pct"/>
            <w:shd w:val="clear" w:color="auto" w:fill="auto"/>
            <w:tcMar>
              <w:top w:w="20" w:type="dxa"/>
              <w:left w:w="20" w:type="dxa"/>
              <w:bottom w:w="20" w:type="dxa"/>
              <w:right w:w="20" w:type="dxa"/>
            </w:tcMar>
            <w:vAlign w:val="center"/>
          </w:tcPr>
          <w:p w14:paraId="63B792A5"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(108,176)</w:t>
            </w:r>
          </w:p>
        </w:tc>
        <w:tc>
          <w:tcPr>
            <w:tcW w:w="771" w:type="pct"/>
            <w:shd w:val="clear" w:color="auto" w:fill="auto"/>
            <w:tcMar>
              <w:top w:w="20" w:type="dxa"/>
              <w:left w:w="20" w:type="dxa"/>
              <w:bottom w:w="20" w:type="dxa"/>
              <w:right w:w="20" w:type="dxa"/>
            </w:tcMar>
            <w:vAlign w:val="center"/>
          </w:tcPr>
          <w:p w14:paraId="1481A846" w14:textId="77777777" w:rsidR="00625FD6" w:rsidRPr="007A020F" w:rsidRDefault="00625FD6" w:rsidP="00625FD6">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1,919,432</w:t>
            </w:r>
          </w:p>
        </w:tc>
        <w:tc>
          <w:tcPr>
            <w:tcW w:w="119" w:type="pct"/>
            <w:shd w:val="clear" w:color="auto" w:fill="auto"/>
            <w:tcMar>
              <w:top w:w="20" w:type="dxa"/>
              <w:left w:w="20" w:type="dxa"/>
              <w:bottom w:w="20" w:type="dxa"/>
              <w:right w:w="20" w:type="dxa"/>
            </w:tcMar>
            <w:vAlign w:val="center"/>
          </w:tcPr>
          <w:p w14:paraId="4D214139"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380" w:type="pct"/>
            <w:shd w:val="clear" w:color="auto" w:fill="auto"/>
            <w:tcMar>
              <w:top w:w="20" w:type="dxa"/>
              <w:left w:w="20" w:type="dxa"/>
              <w:bottom w:w="20" w:type="dxa"/>
              <w:right w:w="20" w:type="dxa"/>
            </w:tcMar>
            <w:vAlign w:val="center"/>
          </w:tcPr>
          <w:p w14:paraId="0FCFFF9A" w14:textId="77777777" w:rsidR="00625FD6" w:rsidRPr="007A020F" w:rsidRDefault="00625FD6" w:rsidP="00625FD6">
            <w:pPr>
              <w:pStyle w:val="T1TableStyle"/>
              <w:jc w:val="center"/>
              <w:rPr>
                <w:rFonts w:ascii="Verdana" w:eastAsia="Verdana" w:hAnsi="Verdana" w:cs="Verdana"/>
                <w:i/>
                <w:color w:val="595959" w:themeColor="text1" w:themeTint="A6"/>
                <w:sz w:val="16"/>
                <w:szCs w:val="16"/>
                <w:lang w:val="en-GB"/>
              </w:rPr>
            </w:pPr>
            <w:r w:rsidRPr="007A020F">
              <w:rPr>
                <w:rFonts w:ascii="Verdana" w:eastAsia="Verdana" w:hAnsi="Verdana" w:cs="Verdana"/>
                <w:i/>
                <w:color w:val="595959" w:themeColor="text1" w:themeTint="A6"/>
                <w:sz w:val="16"/>
                <w:szCs w:val="16"/>
                <w:lang w:val="en-GB"/>
              </w:rPr>
              <w:t>20</w:t>
            </w:r>
          </w:p>
        </w:tc>
        <w:tc>
          <w:tcPr>
            <w:tcW w:w="1437" w:type="pct"/>
            <w:shd w:val="clear" w:color="auto" w:fill="auto"/>
            <w:tcMar>
              <w:top w:w="20" w:type="dxa"/>
              <w:left w:w="20" w:type="dxa"/>
              <w:bottom w:w="20" w:type="dxa"/>
              <w:right w:w="20" w:type="dxa"/>
            </w:tcMar>
            <w:vAlign w:val="center"/>
          </w:tcPr>
          <w:p w14:paraId="398D6CE5" w14:textId="77777777" w:rsidR="00625FD6" w:rsidRPr="007A020F" w:rsidRDefault="00625FD6" w:rsidP="00625FD6">
            <w:pPr>
              <w:pStyle w:val="T1TableStyle"/>
              <w:rPr>
                <w:rFonts w:ascii="Verdana" w:eastAsia="Verdana" w:hAnsi="Verdana" w:cs="Verdana"/>
                <w:color w:val="000000"/>
                <w:sz w:val="16"/>
                <w:lang w:val="en-GB"/>
              </w:rPr>
            </w:pPr>
            <w:r w:rsidRPr="007A020F">
              <w:rPr>
                <w:rFonts w:ascii="Verdana" w:eastAsia="Verdana" w:hAnsi="Verdana" w:cs="Verdana"/>
                <w:color w:val="000000"/>
                <w:sz w:val="16"/>
                <w:lang w:val="en-GB"/>
              </w:rPr>
              <w:t>Unusable Reserves</w:t>
            </w:r>
          </w:p>
        </w:tc>
        <w:tc>
          <w:tcPr>
            <w:tcW w:w="839" w:type="pct"/>
            <w:shd w:val="clear" w:color="auto" w:fill="auto"/>
            <w:tcMar>
              <w:top w:w="20" w:type="dxa"/>
              <w:left w:w="20" w:type="dxa"/>
              <w:bottom w:w="20" w:type="dxa"/>
              <w:right w:w="20" w:type="dxa"/>
            </w:tcMar>
            <w:vAlign w:val="center"/>
          </w:tcPr>
          <w:p w14:paraId="01975EA5" w14:textId="07587A00" w:rsidR="00625FD6" w:rsidRPr="007A020F" w:rsidRDefault="0097526A">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(10</w:t>
            </w:r>
            <w:r w:rsidR="00217EBB">
              <w:rPr>
                <w:rFonts w:ascii="Verdana" w:eastAsia="Verdana" w:hAnsi="Verdana" w:cs="Verdana"/>
                <w:color w:val="000000"/>
                <w:sz w:val="16"/>
                <w:lang w:val="en-GB"/>
              </w:rPr>
              <w:t>6</w:t>
            </w:r>
            <w:r w:rsidRPr="007A020F">
              <w:rPr>
                <w:rFonts w:ascii="Verdana" w:eastAsia="Verdana" w:hAnsi="Verdana" w:cs="Verdana"/>
                <w:color w:val="000000"/>
                <w:sz w:val="16"/>
                <w:lang w:val="en-GB"/>
              </w:rPr>
              <w:t>,</w:t>
            </w:r>
            <w:r w:rsidR="00217EBB">
              <w:rPr>
                <w:rFonts w:ascii="Verdana" w:eastAsia="Verdana" w:hAnsi="Verdana" w:cs="Verdana"/>
                <w:color w:val="000000"/>
                <w:sz w:val="16"/>
                <w:lang w:val="en-GB"/>
              </w:rPr>
              <w:t>556</w:t>
            </w:r>
            <w:r w:rsidRPr="007A020F">
              <w:rPr>
                <w:rFonts w:ascii="Verdana" w:eastAsia="Verdana" w:hAnsi="Verdana" w:cs="Verdana"/>
                <w:color w:val="000000"/>
                <w:sz w:val="16"/>
                <w:lang w:val="en-GB"/>
              </w:rPr>
              <w:t>)</w:t>
            </w:r>
          </w:p>
        </w:tc>
        <w:tc>
          <w:tcPr>
            <w:tcW w:w="725" w:type="pct"/>
            <w:shd w:val="clear" w:color="auto" w:fill="auto"/>
            <w:tcMar>
              <w:top w:w="20" w:type="dxa"/>
              <w:left w:w="20" w:type="dxa"/>
              <w:bottom w:w="20" w:type="dxa"/>
              <w:right w:w="20" w:type="dxa"/>
            </w:tcMar>
            <w:vAlign w:val="center"/>
          </w:tcPr>
          <w:p w14:paraId="27167E10" w14:textId="6C737B07" w:rsidR="00625FD6" w:rsidRPr="007A020F" w:rsidRDefault="006703F1">
            <w:pPr>
              <w:pStyle w:val="T1TableStyle"/>
              <w:jc w:val="right"/>
              <w:rPr>
                <w:rFonts w:ascii="Verdana" w:eastAsia="Verdana" w:hAnsi="Verdana" w:cs="Verdana"/>
                <w:color w:val="000000"/>
                <w:sz w:val="16"/>
                <w:lang w:val="en-GB"/>
              </w:rPr>
            </w:pPr>
            <w:r w:rsidRPr="007A020F">
              <w:rPr>
                <w:rFonts w:ascii="Verdana" w:eastAsia="Verdana" w:hAnsi="Verdana" w:cs="Verdana"/>
                <w:color w:val="000000"/>
                <w:sz w:val="16"/>
                <w:lang w:val="en-GB"/>
              </w:rPr>
              <w:t>2,06</w:t>
            </w:r>
            <w:r w:rsidR="00217EBB">
              <w:rPr>
                <w:rFonts w:ascii="Verdana" w:eastAsia="Verdana" w:hAnsi="Verdana" w:cs="Verdana"/>
                <w:color w:val="000000"/>
                <w:sz w:val="16"/>
                <w:lang w:val="en-GB"/>
              </w:rPr>
              <w:t>9</w:t>
            </w:r>
            <w:r w:rsidRPr="007A020F">
              <w:rPr>
                <w:rFonts w:ascii="Verdana" w:eastAsia="Verdana" w:hAnsi="Verdana" w:cs="Verdana"/>
                <w:color w:val="000000"/>
                <w:sz w:val="16"/>
                <w:lang w:val="en-GB"/>
              </w:rPr>
              <w:t>,</w:t>
            </w:r>
            <w:r w:rsidR="00217EBB">
              <w:rPr>
                <w:rFonts w:ascii="Verdana" w:eastAsia="Verdana" w:hAnsi="Verdana" w:cs="Verdana"/>
                <w:color w:val="000000"/>
                <w:sz w:val="16"/>
                <w:lang w:val="en-GB"/>
              </w:rPr>
              <w:t>441</w:t>
            </w:r>
          </w:p>
        </w:tc>
      </w:tr>
      <w:tr w:rsidR="0074695B" w:rsidRPr="007A020F" w14:paraId="34298745" w14:textId="77777777" w:rsidTr="0074695B">
        <w:trPr>
          <w:trHeight w:val="200"/>
        </w:trPr>
        <w:tc>
          <w:tcPr>
            <w:tcW w:w="728"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0D5738D" w14:textId="77777777" w:rsidR="00625FD6" w:rsidRPr="007A020F" w:rsidRDefault="00625FD6" w:rsidP="00625FD6">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(130,820)</w:t>
            </w:r>
          </w:p>
        </w:tc>
        <w:tc>
          <w:tcPr>
            <w:tcW w:w="771"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7BEA70E" w14:textId="77777777" w:rsidR="00625FD6" w:rsidRPr="007A020F" w:rsidRDefault="00625FD6" w:rsidP="00625FD6">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1,896,788</w:t>
            </w:r>
          </w:p>
        </w:tc>
        <w:tc>
          <w:tcPr>
            <w:tcW w:w="119"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81B701C" w14:textId="77777777" w:rsidR="00625FD6" w:rsidRPr="007A020F" w:rsidRDefault="00625FD6" w:rsidP="00625FD6">
            <w:pPr>
              <w:pStyle w:val="T1TableStyle"/>
              <w:jc w:val="center"/>
              <w:rPr>
                <w:rFonts w:ascii="Verdana" w:eastAsia="Verdana" w:hAnsi="Verdana" w:cs="Verdana"/>
                <w:b/>
                <w:color w:val="000000"/>
                <w:sz w:val="2"/>
                <w:lang w:val="en-GB"/>
              </w:rPr>
            </w:pPr>
            <w:r w:rsidRPr="007A020F">
              <w:rPr>
                <w:rFonts w:ascii="Verdana" w:eastAsia="Verdana" w:hAnsi="Verdana" w:cs="Verdana"/>
                <w:b/>
                <w:color w:val="000000"/>
                <w:sz w:val="2"/>
                <w:lang w:val="en-GB"/>
              </w:rPr>
              <w:t xml:space="preserve"> </w:t>
            </w:r>
          </w:p>
        </w:tc>
        <w:tc>
          <w:tcPr>
            <w:tcW w:w="380"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FA8A95B" w14:textId="77777777" w:rsidR="00625FD6" w:rsidRPr="007A020F" w:rsidRDefault="00625FD6" w:rsidP="00625FD6">
            <w:pPr>
              <w:pStyle w:val="T1TableStyle"/>
              <w:jc w:val="center"/>
              <w:rPr>
                <w:rFonts w:ascii="Verdana" w:eastAsia="Verdana" w:hAnsi="Verdana" w:cs="Verdana"/>
                <w:b/>
                <w:i/>
                <w:color w:val="595959" w:themeColor="text1" w:themeTint="A6"/>
                <w:sz w:val="16"/>
                <w:szCs w:val="16"/>
                <w:lang w:val="en-GB"/>
              </w:rPr>
            </w:pPr>
          </w:p>
        </w:tc>
        <w:tc>
          <w:tcPr>
            <w:tcW w:w="1437"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475D0F7" w14:textId="77777777" w:rsidR="00625FD6" w:rsidRPr="007A020F" w:rsidRDefault="00625FD6" w:rsidP="00625FD6">
            <w:pPr>
              <w:pStyle w:val="T1TableStyle"/>
              <w:rPr>
                <w:rFonts w:ascii="Verdana" w:eastAsia="Verdana" w:hAnsi="Verdana" w:cs="Verdana"/>
                <w:b/>
                <w:color w:val="000000"/>
                <w:sz w:val="16"/>
                <w:lang w:val="en-GB"/>
              </w:rPr>
            </w:pPr>
            <w:r w:rsidRPr="007A020F">
              <w:rPr>
                <w:rFonts w:ascii="Verdana" w:eastAsia="Verdana" w:hAnsi="Verdana" w:cs="Verdana"/>
                <w:b/>
                <w:color w:val="000000"/>
                <w:sz w:val="16"/>
                <w:lang w:val="en-GB"/>
              </w:rPr>
              <w:t>Total Reserves</w:t>
            </w:r>
          </w:p>
        </w:tc>
        <w:tc>
          <w:tcPr>
            <w:tcW w:w="839"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6DE6374" w14:textId="656CEE48" w:rsidR="00625FD6" w:rsidRPr="007A020F" w:rsidRDefault="0097526A">
            <w:pPr>
              <w:pStyle w:val="T1TableStyle"/>
              <w:jc w:val="right"/>
              <w:rPr>
                <w:rFonts w:ascii="Verdana" w:eastAsia="Verdana" w:hAnsi="Verdana" w:cs="Verdana"/>
                <w:b/>
                <w:color w:val="000000"/>
                <w:sz w:val="16"/>
                <w:lang w:val="en-GB"/>
              </w:rPr>
            </w:pPr>
            <w:r w:rsidRPr="007A020F">
              <w:rPr>
                <w:rFonts w:ascii="Verdana" w:eastAsia="Verdana" w:hAnsi="Verdana" w:cs="Verdana"/>
                <w:b/>
                <w:color w:val="000000"/>
                <w:sz w:val="16"/>
                <w:lang w:val="en-GB"/>
              </w:rPr>
              <w:t>(</w:t>
            </w:r>
            <w:r w:rsidR="00BE4D31">
              <w:rPr>
                <w:rFonts w:ascii="Verdana" w:eastAsia="Verdana" w:hAnsi="Verdana" w:cs="Verdana"/>
                <w:b/>
                <w:color w:val="000000"/>
                <w:sz w:val="16"/>
                <w:lang w:val="en-GB"/>
              </w:rPr>
              <w:t>128,183</w:t>
            </w:r>
            <w:r w:rsidRPr="007A020F">
              <w:rPr>
                <w:rFonts w:ascii="Verdana" w:eastAsia="Verdana" w:hAnsi="Verdana" w:cs="Verdana"/>
                <w:b/>
                <w:color w:val="000000"/>
                <w:sz w:val="16"/>
                <w:lang w:val="en-GB"/>
              </w:rPr>
              <w:t>)</w:t>
            </w:r>
          </w:p>
        </w:tc>
        <w:tc>
          <w:tcPr>
            <w:tcW w:w="725"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C9A3D2C" w14:textId="0BAEBF69" w:rsidR="00625FD6" w:rsidRPr="007A020F" w:rsidRDefault="007E77FA">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2,047,814</w:t>
            </w:r>
          </w:p>
        </w:tc>
      </w:tr>
    </w:tbl>
    <w:p w14:paraId="38372414" w14:textId="77777777" w:rsidR="00CA6653" w:rsidRPr="007A020F" w:rsidRDefault="00CA6653">
      <w:pPr>
        <w:pStyle w:val="T1TableStyle"/>
        <w:rPr>
          <w:lang w:val="en-GB"/>
        </w:rPr>
      </w:pPr>
    </w:p>
    <w:p w14:paraId="366FEE14" w14:textId="77777777" w:rsidR="00763D21" w:rsidRPr="00FA6DFD" w:rsidRDefault="00763D21" w:rsidP="00763D21">
      <w:pPr>
        <w:pStyle w:val="Normal0"/>
        <w:spacing w:after="160"/>
        <w:jc w:val="both"/>
        <w:rPr>
          <w:rFonts w:ascii="Verdana" w:eastAsia="Verdana" w:hAnsi="Verdana" w:cs="Verdana"/>
          <w:sz w:val="22"/>
          <w:szCs w:val="22"/>
          <w:lang w:val="en-GB"/>
        </w:rPr>
      </w:pPr>
      <w:r w:rsidRPr="007A020F">
        <w:rPr>
          <w:rFonts w:ascii="Verdana" w:eastAsia="Verdana" w:hAnsi="Verdana" w:cs="Verdana"/>
          <w:sz w:val="22"/>
          <w:szCs w:val="22"/>
          <w:lang w:val="en-GB"/>
        </w:rPr>
        <w:t>Balance Sheet Reserves are reported in two categories. The first category of reserves are usable reserves, i.e. those reserves that the Police and Crime Commissioner may use to provide services, subject to the need to maintain</w:t>
      </w:r>
      <w:r w:rsidRPr="00FA6DFD">
        <w:rPr>
          <w:rFonts w:ascii="Verdana" w:eastAsia="Verdana" w:hAnsi="Verdana" w:cs="Verdana"/>
          <w:sz w:val="22"/>
          <w:szCs w:val="22"/>
          <w:lang w:val="en-GB"/>
        </w:rPr>
        <w:t xml:space="preserve"> a prudent level of reserves and any statutory limitations on their use (for example the Capital Receipts Reserve that may only be used to fund capital expenditure or repay debt). The second category of reserves is those that the Police and Crime Commissioner is not able to use to provide services. This category of reserves includes reserves that hold unrealised gains and losses (for example the Revaluation Reserve), where amounts would only become available to provide services if the assets are sold; and reserves that recognise the impact of timing differences shown in the Movement in Reserves Statement line 'Adjustments between accounting basis and funding basis under regulations’.</w:t>
      </w:r>
    </w:p>
    <w:p w14:paraId="7F0D54CC" w14:textId="77777777" w:rsidR="00763D21" w:rsidRPr="00FA6DFD" w:rsidRDefault="00763D21" w:rsidP="00763D21">
      <w:pPr>
        <w:pStyle w:val="Normal0"/>
        <w:spacing w:after="160"/>
        <w:jc w:val="both"/>
        <w:rPr>
          <w:rFonts w:ascii="Verdana" w:eastAsia="Verdana" w:hAnsi="Verdana" w:cs="Verdana"/>
          <w:sz w:val="22"/>
          <w:szCs w:val="22"/>
          <w:lang w:val="en-GB"/>
        </w:rPr>
      </w:pPr>
      <w:r w:rsidRPr="00FA6DFD">
        <w:rPr>
          <w:rFonts w:ascii="Verdana" w:eastAsia="Verdana" w:hAnsi="Verdana" w:cs="Verdana"/>
          <w:sz w:val="22"/>
          <w:szCs w:val="22"/>
          <w:lang w:val="en-GB"/>
        </w:rPr>
        <w:t xml:space="preserve">The Balance Sheet tables show the value as at 31 March 2021 of the assets and liabilities recognised by the Group and the Police and Crime Commissioner (PCC).  The net liabilities of the Group (assets less liabilities) are matched by the reserves held by the Group.  </w:t>
      </w:r>
    </w:p>
    <w:p w14:paraId="3D7B06A7" w14:textId="77777777" w:rsidR="00763D21" w:rsidRPr="00FA6DFD" w:rsidRDefault="00763D21" w:rsidP="00763D21">
      <w:pPr>
        <w:pStyle w:val="Normal0"/>
        <w:spacing w:after="160"/>
        <w:jc w:val="both"/>
        <w:rPr>
          <w:rFonts w:ascii="Verdana" w:eastAsia="Verdana" w:hAnsi="Verdana" w:cs="Verdana"/>
          <w:sz w:val="22"/>
          <w:szCs w:val="22"/>
          <w:lang w:val="en-GB"/>
        </w:rPr>
      </w:pPr>
      <w:r w:rsidRPr="00FA6DFD">
        <w:rPr>
          <w:rFonts w:ascii="Verdana" w:eastAsia="Verdana" w:hAnsi="Verdana" w:cs="Verdana"/>
          <w:sz w:val="22"/>
          <w:szCs w:val="22"/>
          <w:lang w:val="en-GB"/>
        </w:rPr>
        <w:t xml:space="preserve">The Chief Constable does not own any assets.  All assets are held by the PCC.  </w:t>
      </w:r>
    </w:p>
    <w:p w14:paraId="33BB07EA" w14:textId="77777777" w:rsidR="00763D21" w:rsidRPr="00FA6DFD" w:rsidRDefault="00763D21" w:rsidP="00763D21">
      <w:pPr>
        <w:pStyle w:val="Normal0"/>
        <w:spacing w:after="160"/>
        <w:jc w:val="both"/>
        <w:rPr>
          <w:rFonts w:ascii="Verdana" w:eastAsia="Verdana" w:hAnsi="Verdana" w:cs="Verdana"/>
          <w:sz w:val="22"/>
          <w:szCs w:val="22"/>
          <w:lang w:val="en-GB"/>
        </w:rPr>
      </w:pPr>
      <w:r w:rsidRPr="00FA6DFD">
        <w:rPr>
          <w:rFonts w:ascii="Verdana" w:eastAsia="Verdana" w:hAnsi="Verdana" w:cs="Verdana"/>
          <w:sz w:val="22"/>
          <w:szCs w:val="22"/>
          <w:lang w:val="en-GB"/>
        </w:rPr>
        <w:t xml:space="preserve">The Chief Constable’s Balance Sheet does include pension fund and employee benefit entries to show the reader its accounting for employee benefit and pension liabilities.  </w:t>
      </w:r>
    </w:p>
    <w:p w14:paraId="292B6E48" w14:textId="77777777" w:rsidR="00763D21" w:rsidRPr="00FA6DFD" w:rsidRDefault="00763D21" w:rsidP="00763D21">
      <w:pPr>
        <w:pStyle w:val="Normal0"/>
        <w:spacing w:after="160"/>
        <w:jc w:val="both"/>
        <w:rPr>
          <w:rFonts w:ascii="Verdana" w:eastAsia="Verdana" w:hAnsi="Verdana" w:cs="Verdana"/>
          <w:sz w:val="22"/>
          <w:szCs w:val="22"/>
          <w:lang w:val="en-GB"/>
        </w:rPr>
      </w:pPr>
      <w:r w:rsidRPr="00FA6DFD">
        <w:rPr>
          <w:rFonts w:ascii="Verdana" w:eastAsia="Verdana" w:hAnsi="Verdana" w:cs="Verdana"/>
          <w:sz w:val="22"/>
          <w:szCs w:val="22"/>
          <w:lang w:val="en-GB"/>
        </w:rPr>
        <w:t>Separate statements for the Group and the PCC have therefore been included to reflect the intra-group adjustments with the Chief Constable’s Balance Sheet.</w:t>
      </w:r>
    </w:p>
    <w:p w14:paraId="02328492" w14:textId="77777777" w:rsidR="00763D21" w:rsidRDefault="00763D21">
      <w:pPr>
        <w:pStyle w:val="T1TableStyle"/>
        <w:rPr>
          <w:highlight w:val="yellow"/>
          <w:lang w:val="en-GB"/>
        </w:rPr>
      </w:pPr>
    </w:p>
    <w:p w14:paraId="6714824B" w14:textId="77777777" w:rsidR="00763D21" w:rsidRDefault="00763D21">
      <w:pPr>
        <w:rPr>
          <w:rFonts w:asciiTheme="majorHAnsi" w:eastAsiaTheme="majorEastAsia" w:hAnsiTheme="majorHAnsi" w:cstheme="majorBidi"/>
          <w:color w:val="2E74B5" w:themeColor="accent1" w:themeShade="BF"/>
          <w:sz w:val="32"/>
          <w:szCs w:val="32"/>
          <w:highlight w:val="yellow"/>
          <w:lang w:val="pt-BR"/>
        </w:rPr>
      </w:pPr>
      <w:r>
        <w:rPr>
          <w:highlight w:val="yellow"/>
        </w:rPr>
        <w:br w:type="page"/>
      </w:r>
    </w:p>
    <w:p w14:paraId="18D76C5D" w14:textId="77777777" w:rsidR="00CA6653" w:rsidRPr="007A020F" w:rsidRDefault="00CA6653" w:rsidP="00A31A9E">
      <w:pPr>
        <w:pStyle w:val="Heading1"/>
      </w:pPr>
      <w:bookmarkStart w:id="14" w:name="_Toc75122768"/>
      <w:r w:rsidRPr="007A020F">
        <w:t>Cash Flow Statement</w:t>
      </w:r>
      <w:bookmarkEnd w:id="14"/>
    </w:p>
    <w:p w14:paraId="1B64F298" w14:textId="77777777" w:rsidR="00CA6653" w:rsidRPr="007A020F" w:rsidRDefault="00CA6653" w:rsidP="00A02D19">
      <w:pPr>
        <w:pStyle w:val="Normal0"/>
        <w:spacing w:after="160" w:line="259" w:lineRule="auto"/>
        <w:jc w:val="both"/>
        <w:rPr>
          <w:rFonts w:ascii="Verdana" w:hAnsi="Verdana"/>
          <w:sz w:val="22"/>
          <w:szCs w:val="22"/>
          <w:lang w:val="pt-BR"/>
        </w:rPr>
      </w:pPr>
      <w:r w:rsidRPr="007A020F">
        <w:rPr>
          <w:rFonts w:ascii="Verdana" w:eastAsia="Calibri" w:hAnsi="Verdana" w:cs="Arial"/>
          <w:sz w:val="22"/>
          <w:szCs w:val="22"/>
          <w:lang w:val="pt-BR"/>
        </w:rPr>
        <w:t>The Cash Flow Statement shows the changes in cash and cash equivalents of the of the Group during the reporting period.</w:t>
      </w:r>
    </w:p>
    <w:p w14:paraId="0ABB7DA6" w14:textId="77777777" w:rsidR="00CA6653" w:rsidRPr="007A020F" w:rsidRDefault="00CA6653" w:rsidP="00A02D19">
      <w:pPr>
        <w:pStyle w:val="Normal0"/>
        <w:spacing w:after="160" w:line="259" w:lineRule="auto"/>
        <w:jc w:val="both"/>
        <w:rPr>
          <w:rFonts w:ascii="Verdana" w:hAnsi="Verdana"/>
          <w:sz w:val="22"/>
          <w:szCs w:val="22"/>
          <w:lang w:val="pt-BR"/>
        </w:rPr>
      </w:pPr>
      <w:r w:rsidRPr="007A020F">
        <w:rPr>
          <w:rFonts w:ascii="Verdana" w:eastAsia="Calibri" w:hAnsi="Verdana" w:cs="Arial"/>
          <w:sz w:val="22"/>
          <w:szCs w:val="22"/>
          <w:lang w:val="pt-BR"/>
        </w:rPr>
        <w:t>The statement shows how the Group generates and uses cash and cash equivalents by classifying cash flows as operating, investing and financing activities. The amount of net cash flows arising from operating activities is a key indicator of the extent to which the operations of the Group are funded by way of taxation and grant income or from the recipients of services provided by the Group.  Investing activities represent the extent to which cash outflows have been made for resources which are intended to contribute to the Group's future service delivery.  Cash flows arising from financing activities are useful in predicting claims on future cash flows by providers of capital (i.e. borrowing)  to the Group.</w:t>
      </w:r>
    </w:p>
    <w:tbl>
      <w:tblPr>
        <w:tblW w:w="0" w:type="auto"/>
        <w:jc w:val="center"/>
        <w:tblLayout w:type="fixed"/>
        <w:tblLook w:val="04A0" w:firstRow="1" w:lastRow="0" w:firstColumn="1" w:lastColumn="0" w:noHBand="0" w:noVBand="1"/>
      </w:tblPr>
      <w:tblGrid>
        <w:gridCol w:w="1684"/>
        <w:gridCol w:w="1607"/>
        <w:gridCol w:w="323"/>
        <w:gridCol w:w="850"/>
        <w:gridCol w:w="5656"/>
        <w:gridCol w:w="1684"/>
        <w:gridCol w:w="1911"/>
      </w:tblGrid>
      <w:tr w:rsidR="00430754" w:rsidRPr="007E7F8F" w14:paraId="3C687110" w14:textId="77777777" w:rsidTr="0074695B">
        <w:trPr>
          <w:trHeight w:val="221"/>
          <w:jc w:val="center"/>
        </w:trPr>
        <w:tc>
          <w:tcPr>
            <w:tcW w:w="3291" w:type="dxa"/>
            <w:gridSpan w:val="2"/>
            <w:shd w:val="clear" w:color="auto" w:fill="auto"/>
            <w:tcMar>
              <w:top w:w="20" w:type="dxa"/>
              <w:left w:w="20" w:type="dxa"/>
              <w:bottom w:w="20" w:type="dxa"/>
              <w:right w:w="20" w:type="dxa"/>
            </w:tcMar>
            <w:vAlign w:val="bottom"/>
          </w:tcPr>
          <w:p w14:paraId="55D00745" w14:textId="77777777" w:rsidR="00430754" w:rsidRPr="007E7F8F" w:rsidRDefault="00430754" w:rsidP="00932EB3">
            <w:pPr>
              <w:pStyle w:val="T1TableStyle"/>
              <w:jc w:val="center"/>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201</w:t>
            </w:r>
            <w:r w:rsidR="00932EB3" w:rsidRPr="007E7F8F">
              <w:rPr>
                <w:rFonts w:ascii="Verdana" w:eastAsia="Verdana" w:hAnsi="Verdana" w:cs="Verdana"/>
                <w:b/>
                <w:color w:val="000000"/>
                <w:sz w:val="16"/>
                <w:szCs w:val="22"/>
                <w:lang w:val="en-GB"/>
              </w:rPr>
              <w:t>9</w:t>
            </w:r>
            <w:r w:rsidRPr="007E7F8F">
              <w:rPr>
                <w:rFonts w:ascii="Verdana" w:eastAsia="Verdana" w:hAnsi="Verdana" w:cs="Verdana"/>
                <w:b/>
                <w:color w:val="000000"/>
                <w:sz w:val="16"/>
                <w:szCs w:val="22"/>
                <w:lang w:val="en-GB"/>
              </w:rPr>
              <w:t>/</w:t>
            </w:r>
            <w:r w:rsidR="00932EB3" w:rsidRPr="007E7F8F">
              <w:rPr>
                <w:rFonts w:ascii="Verdana" w:eastAsia="Verdana" w:hAnsi="Verdana" w:cs="Verdana"/>
                <w:b/>
                <w:color w:val="000000"/>
                <w:sz w:val="16"/>
                <w:szCs w:val="22"/>
                <w:lang w:val="en-GB"/>
              </w:rPr>
              <w:t>20</w:t>
            </w:r>
          </w:p>
        </w:tc>
        <w:tc>
          <w:tcPr>
            <w:tcW w:w="323" w:type="dxa"/>
          </w:tcPr>
          <w:p w14:paraId="28B3C439" w14:textId="77777777" w:rsidR="00430754" w:rsidRPr="007E7F8F" w:rsidRDefault="00430754" w:rsidP="00CA6653">
            <w:pPr>
              <w:pStyle w:val="T1TableStyle"/>
              <w:jc w:val="center"/>
              <w:rPr>
                <w:rFonts w:ascii="Calibri" w:eastAsia="Calibri" w:hAnsi="Calibri" w:cs="Calibri"/>
                <w:color w:val="000000"/>
                <w:sz w:val="2"/>
                <w:szCs w:val="22"/>
                <w:lang w:val="en-GB"/>
              </w:rPr>
            </w:pPr>
          </w:p>
        </w:tc>
        <w:tc>
          <w:tcPr>
            <w:tcW w:w="850" w:type="dxa"/>
            <w:shd w:val="clear" w:color="auto" w:fill="auto"/>
            <w:tcMar>
              <w:top w:w="20" w:type="dxa"/>
              <w:left w:w="20" w:type="dxa"/>
              <w:bottom w:w="20" w:type="dxa"/>
              <w:right w:w="20" w:type="dxa"/>
            </w:tcMar>
            <w:vAlign w:val="center"/>
          </w:tcPr>
          <w:p w14:paraId="137B969A" w14:textId="77777777" w:rsidR="00430754" w:rsidRPr="007E7F8F" w:rsidRDefault="00430754">
            <w:pPr>
              <w:pStyle w:val="T1TableStyle"/>
              <w:jc w:val="center"/>
              <w:rPr>
                <w:rFonts w:ascii="Verdana" w:eastAsia="Calibri" w:hAnsi="Verdana" w:cs="Calibri"/>
                <w:color w:val="000000"/>
                <w:sz w:val="16"/>
                <w:szCs w:val="16"/>
                <w:lang w:val="en-GB"/>
              </w:rPr>
            </w:pPr>
          </w:p>
        </w:tc>
        <w:tc>
          <w:tcPr>
            <w:tcW w:w="5656" w:type="dxa"/>
            <w:shd w:val="clear" w:color="auto" w:fill="auto"/>
            <w:tcMar>
              <w:top w:w="20" w:type="dxa"/>
              <w:left w:w="20" w:type="dxa"/>
              <w:bottom w:w="20" w:type="dxa"/>
              <w:right w:w="20" w:type="dxa"/>
            </w:tcMar>
            <w:vAlign w:val="center"/>
          </w:tcPr>
          <w:p w14:paraId="074D47E6" w14:textId="77777777" w:rsidR="00430754" w:rsidRPr="007E7F8F" w:rsidRDefault="00430754" w:rsidP="00CA6653">
            <w:pPr>
              <w:pStyle w:val="T1TableStyle"/>
              <w:jc w:val="center"/>
              <w:rPr>
                <w:rFonts w:ascii="Calibri" w:eastAsia="Calibri" w:hAnsi="Calibri" w:cs="Calibri"/>
                <w:color w:val="000000"/>
                <w:sz w:val="2"/>
                <w:szCs w:val="22"/>
                <w:lang w:val="en-GB"/>
              </w:rPr>
            </w:pPr>
            <w:r w:rsidRPr="007E7F8F">
              <w:rPr>
                <w:rFonts w:ascii="Calibri" w:eastAsia="Calibri" w:hAnsi="Calibri" w:cs="Calibri"/>
                <w:color w:val="000000"/>
                <w:sz w:val="2"/>
                <w:szCs w:val="22"/>
                <w:lang w:val="en-GB"/>
              </w:rPr>
              <w:t xml:space="preserve"> </w:t>
            </w:r>
          </w:p>
        </w:tc>
        <w:tc>
          <w:tcPr>
            <w:tcW w:w="3595" w:type="dxa"/>
            <w:gridSpan w:val="2"/>
            <w:shd w:val="clear" w:color="auto" w:fill="auto"/>
            <w:tcMar>
              <w:top w:w="20" w:type="dxa"/>
              <w:left w:w="20" w:type="dxa"/>
              <w:bottom w:w="20" w:type="dxa"/>
              <w:right w:w="20" w:type="dxa"/>
            </w:tcMar>
            <w:vAlign w:val="bottom"/>
          </w:tcPr>
          <w:p w14:paraId="3ACBEDA4" w14:textId="77777777" w:rsidR="00430754" w:rsidRPr="007E7F8F" w:rsidRDefault="00430754" w:rsidP="00932EB3">
            <w:pPr>
              <w:pStyle w:val="T1TableStyle"/>
              <w:jc w:val="center"/>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20</w:t>
            </w:r>
            <w:r w:rsidR="00932EB3" w:rsidRPr="007E7F8F">
              <w:rPr>
                <w:rFonts w:ascii="Verdana" w:eastAsia="Verdana" w:hAnsi="Verdana" w:cs="Verdana"/>
                <w:b/>
                <w:color w:val="000000"/>
                <w:sz w:val="16"/>
                <w:szCs w:val="22"/>
                <w:lang w:val="en-GB"/>
              </w:rPr>
              <w:t>20</w:t>
            </w:r>
            <w:r w:rsidRPr="007E7F8F">
              <w:rPr>
                <w:rFonts w:ascii="Verdana" w:eastAsia="Verdana" w:hAnsi="Verdana" w:cs="Verdana"/>
                <w:b/>
                <w:color w:val="000000"/>
                <w:sz w:val="16"/>
                <w:szCs w:val="22"/>
                <w:lang w:val="en-GB"/>
              </w:rPr>
              <w:t>/2</w:t>
            </w:r>
            <w:r w:rsidR="00932EB3" w:rsidRPr="007E7F8F">
              <w:rPr>
                <w:rFonts w:ascii="Verdana" w:eastAsia="Verdana" w:hAnsi="Verdana" w:cs="Verdana"/>
                <w:b/>
                <w:color w:val="000000"/>
                <w:sz w:val="16"/>
                <w:szCs w:val="22"/>
                <w:lang w:val="en-GB"/>
              </w:rPr>
              <w:t>1</w:t>
            </w:r>
          </w:p>
        </w:tc>
      </w:tr>
      <w:tr w:rsidR="00430754" w:rsidRPr="007E7F8F" w14:paraId="2DF8C156" w14:textId="77777777" w:rsidTr="0074695B">
        <w:trPr>
          <w:trHeight w:val="221"/>
          <w:jc w:val="center"/>
        </w:trPr>
        <w:tc>
          <w:tcPr>
            <w:tcW w:w="1684" w:type="dxa"/>
            <w:shd w:val="clear" w:color="auto" w:fill="auto"/>
            <w:tcMar>
              <w:top w:w="20" w:type="dxa"/>
              <w:left w:w="20" w:type="dxa"/>
              <w:bottom w:w="20" w:type="dxa"/>
              <w:right w:w="20" w:type="dxa"/>
            </w:tcMar>
            <w:vAlign w:val="bottom"/>
          </w:tcPr>
          <w:p w14:paraId="0DC64D67" w14:textId="77777777" w:rsidR="00430754" w:rsidRPr="007E7F8F" w:rsidRDefault="00430754" w:rsidP="00CA6653">
            <w:pPr>
              <w:pStyle w:val="T1TableStyle"/>
              <w:jc w:val="center"/>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PCC</w:t>
            </w:r>
          </w:p>
        </w:tc>
        <w:tc>
          <w:tcPr>
            <w:tcW w:w="1607" w:type="dxa"/>
            <w:shd w:val="clear" w:color="auto" w:fill="auto"/>
            <w:tcMar>
              <w:top w:w="20" w:type="dxa"/>
              <w:left w:w="20" w:type="dxa"/>
              <w:bottom w:w="20" w:type="dxa"/>
              <w:right w:w="20" w:type="dxa"/>
            </w:tcMar>
            <w:vAlign w:val="bottom"/>
          </w:tcPr>
          <w:p w14:paraId="0B94330D" w14:textId="77777777" w:rsidR="00430754" w:rsidRPr="007E7F8F" w:rsidRDefault="00430754" w:rsidP="00CA6653">
            <w:pPr>
              <w:pStyle w:val="T1TableStyle"/>
              <w:jc w:val="center"/>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Group</w:t>
            </w:r>
          </w:p>
        </w:tc>
        <w:tc>
          <w:tcPr>
            <w:tcW w:w="323" w:type="dxa"/>
          </w:tcPr>
          <w:p w14:paraId="4F7729E7" w14:textId="77777777" w:rsidR="00430754" w:rsidRPr="007E7F8F" w:rsidRDefault="00430754" w:rsidP="00CA6653">
            <w:pPr>
              <w:pStyle w:val="T1TableStyle"/>
              <w:jc w:val="center"/>
              <w:rPr>
                <w:rFonts w:ascii="Verdana" w:eastAsia="Verdana" w:hAnsi="Verdana" w:cs="Verdana"/>
                <w:b/>
                <w:color w:val="000000"/>
                <w:sz w:val="2"/>
                <w:szCs w:val="22"/>
                <w:lang w:val="en-GB"/>
              </w:rPr>
            </w:pPr>
          </w:p>
        </w:tc>
        <w:tc>
          <w:tcPr>
            <w:tcW w:w="850" w:type="dxa"/>
            <w:shd w:val="clear" w:color="auto" w:fill="auto"/>
            <w:tcMar>
              <w:top w:w="20" w:type="dxa"/>
              <w:left w:w="20" w:type="dxa"/>
              <w:bottom w:w="20" w:type="dxa"/>
              <w:right w:w="20" w:type="dxa"/>
            </w:tcMar>
            <w:vAlign w:val="bottom"/>
          </w:tcPr>
          <w:p w14:paraId="298F54E4" w14:textId="77777777" w:rsidR="00430754" w:rsidRPr="007E7F8F" w:rsidRDefault="00430754">
            <w:pPr>
              <w:pStyle w:val="T1TableStyle"/>
              <w:jc w:val="center"/>
              <w:rPr>
                <w:rFonts w:ascii="Verdana" w:eastAsia="Verdana" w:hAnsi="Verdana" w:cs="Verdana"/>
                <w:b/>
                <w:color w:val="000000"/>
                <w:sz w:val="16"/>
                <w:szCs w:val="16"/>
                <w:lang w:val="en-GB"/>
              </w:rPr>
            </w:pPr>
          </w:p>
        </w:tc>
        <w:tc>
          <w:tcPr>
            <w:tcW w:w="5656" w:type="dxa"/>
            <w:shd w:val="clear" w:color="auto" w:fill="auto"/>
            <w:tcMar>
              <w:top w:w="20" w:type="dxa"/>
              <w:left w:w="20" w:type="dxa"/>
              <w:bottom w:w="20" w:type="dxa"/>
              <w:right w:w="20" w:type="dxa"/>
            </w:tcMar>
            <w:vAlign w:val="bottom"/>
          </w:tcPr>
          <w:p w14:paraId="7AB87DB9" w14:textId="77777777" w:rsidR="00430754" w:rsidRPr="007E7F8F" w:rsidRDefault="00430754" w:rsidP="00CA6653">
            <w:pPr>
              <w:pStyle w:val="T1TableStyle"/>
              <w:jc w:val="center"/>
              <w:rPr>
                <w:rFonts w:ascii="Verdana" w:eastAsia="Verdana" w:hAnsi="Verdana" w:cs="Verdana"/>
                <w:b/>
                <w:color w:val="000000"/>
                <w:sz w:val="2"/>
                <w:szCs w:val="22"/>
                <w:lang w:val="en-GB"/>
              </w:rPr>
            </w:pPr>
            <w:r w:rsidRPr="007E7F8F">
              <w:rPr>
                <w:rFonts w:ascii="Verdana" w:eastAsia="Verdana" w:hAnsi="Verdana" w:cs="Verdana"/>
                <w:b/>
                <w:color w:val="000000"/>
                <w:sz w:val="2"/>
                <w:szCs w:val="22"/>
                <w:lang w:val="en-GB"/>
              </w:rPr>
              <w:t xml:space="preserve"> </w:t>
            </w:r>
          </w:p>
        </w:tc>
        <w:tc>
          <w:tcPr>
            <w:tcW w:w="1684" w:type="dxa"/>
            <w:shd w:val="clear" w:color="auto" w:fill="auto"/>
            <w:tcMar>
              <w:top w:w="20" w:type="dxa"/>
              <w:left w:w="20" w:type="dxa"/>
              <w:bottom w:w="20" w:type="dxa"/>
              <w:right w:w="20" w:type="dxa"/>
            </w:tcMar>
            <w:vAlign w:val="bottom"/>
          </w:tcPr>
          <w:p w14:paraId="12BC2CAD" w14:textId="77777777" w:rsidR="00430754" w:rsidRPr="007E7F8F" w:rsidRDefault="00430754" w:rsidP="00CA6653">
            <w:pPr>
              <w:pStyle w:val="T1TableStyle"/>
              <w:jc w:val="center"/>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PCC</w:t>
            </w:r>
          </w:p>
        </w:tc>
        <w:tc>
          <w:tcPr>
            <w:tcW w:w="1911" w:type="dxa"/>
            <w:shd w:val="clear" w:color="auto" w:fill="auto"/>
            <w:tcMar>
              <w:top w:w="20" w:type="dxa"/>
              <w:left w:w="20" w:type="dxa"/>
              <w:bottom w:w="20" w:type="dxa"/>
              <w:right w:w="20" w:type="dxa"/>
            </w:tcMar>
            <w:vAlign w:val="bottom"/>
          </w:tcPr>
          <w:p w14:paraId="580AB619" w14:textId="77777777" w:rsidR="00430754" w:rsidRPr="007E7F8F" w:rsidRDefault="00430754" w:rsidP="00CA6653">
            <w:pPr>
              <w:pStyle w:val="T1TableStyle"/>
              <w:jc w:val="center"/>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Group</w:t>
            </w:r>
          </w:p>
        </w:tc>
      </w:tr>
      <w:tr w:rsidR="00430754" w:rsidRPr="007E7F8F" w14:paraId="1849B4BF" w14:textId="77777777" w:rsidTr="0074695B">
        <w:trPr>
          <w:trHeight w:val="221"/>
          <w:jc w:val="center"/>
        </w:trPr>
        <w:tc>
          <w:tcPr>
            <w:tcW w:w="1684" w:type="dxa"/>
            <w:tcBorders>
              <w:bottom w:val="single" w:sz="2" w:space="0" w:color="000000"/>
            </w:tcBorders>
            <w:shd w:val="clear" w:color="auto" w:fill="auto"/>
            <w:tcMar>
              <w:top w:w="20" w:type="dxa"/>
              <w:left w:w="20" w:type="dxa"/>
              <w:bottom w:w="20" w:type="dxa"/>
              <w:right w:w="20" w:type="dxa"/>
            </w:tcMar>
            <w:vAlign w:val="bottom"/>
          </w:tcPr>
          <w:p w14:paraId="3B1DDB6E" w14:textId="77777777" w:rsidR="00430754" w:rsidRPr="007E7F8F" w:rsidRDefault="00430754" w:rsidP="00CA6653">
            <w:pPr>
              <w:pStyle w:val="T1TableStyle"/>
              <w:jc w:val="right"/>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£000</w:t>
            </w:r>
          </w:p>
        </w:tc>
        <w:tc>
          <w:tcPr>
            <w:tcW w:w="1607" w:type="dxa"/>
            <w:tcBorders>
              <w:bottom w:val="single" w:sz="2" w:space="0" w:color="000000"/>
            </w:tcBorders>
            <w:shd w:val="clear" w:color="auto" w:fill="auto"/>
            <w:tcMar>
              <w:top w:w="20" w:type="dxa"/>
              <w:left w:w="20" w:type="dxa"/>
              <w:bottom w:w="20" w:type="dxa"/>
              <w:right w:w="20" w:type="dxa"/>
            </w:tcMar>
            <w:vAlign w:val="bottom"/>
          </w:tcPr>
          <w:p w14:paraId="0377E6FA" w14:textId="77777777" w:rsidR="00430754" w:rsidRPr="007E7F8F" w:rsidRDefault="00430754" w:rsidP="00CA6653">
            <w:pPr>
              <w:pStyle w:val="T1TableStyle"/>
              <w:jc w:val="right"/>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£000</w:t>
            </w:r>
          </w:p>
        </w:tc>
        <w:tc>
          <w:tcPr>
            <w:tcW w:w="323" w:type="dxa"/>
            <w:tcBorders>
              <w:bottom w:val="single" w:sz="2" w:space="0" w:color="000000"/>
            </w:tcBorders>
          </w:tcPr>
          <w:p w14:paraId="29E4BA65" w14:textId="77777777" w:rsidR="00430754" w:rsidRPr="007E7F8F" w:rsidRDefault="00430754" w:rsidP="00CA6653">
            <w:pPr>
              <w:pStyle w:val="T1TableStyle"/>
              <w:jc w:val="right"/>
              <w:rPr>
                <w:rFonts w:ascii="Verdana" w:eastAsia="Verdana" w:hAnsi="Verdana" w:cs="Verdana"/>
                <w:b/>
                <w:color w:val="000000"/>
                <w:sz w:val="2"/>
                <w:szCs w:val="22"/>
                <w:lang w:val="en-GB"/>
              </w:rPr>
            </w:pPr>
          </w:p>
        </w:tc>
        <w:tc>
          <w:tcPr>
            <w:tcW w:w="850" w:type="dxa"/>
            <w:tcBorders>
              <w:bottom w:val="single" w:sz="2" w:space="0" w:color="000000"/>
            </w:tcBorders>
            <w:shd w:val="clear" w:color="auto" w:fill="auto"/>
            <w:tcMar>
              <w:top w:w="20" w:type="dxa"/>
              <w:left w:w="20" w:type="dxa"/>
              <w:bottom w:w="20" w:type="dxa"/>
              <w:right w:w="20" w:type="dxa"/>
            </w:tcMar>
            <w:vAlign w:val="bottom"/>
          </w:tcPr>
          <w:p w14:paraId="46CF89A9" w14:textId="77777777" w:rsidR="00430754" w:rsidRPr="007E7F8F" w:rsidRDefault="00430754" w:rsidP="00D91109">
            <w:pPr>
              <w:pStyle w:val="T1TableStyle"/>
              <w:jc w:val="center"/>
              <w:rPr>
                <w:rFonts w:ascii="Verdana" w:eastAsia="Verdana" w:hAnsi="Verdana" w:cs="Verdana"/>
                <w:b/>
                <w:color w:val="595959" w:themeColor="text1" w:themeTint="A6"/>
                <w:sz w:val="16"/>
                <w:szCs w:val="16"/>
                <w:lang w:val="en-GB"/>
              </w:rPr>
            </w:pPr>
            <w:r w:rsidRPr="007E7F8F">
              <w:rPr>
                <w:rFonts w:ascii="Verdana" w:eastAsia="Verdana" w:hAnsi="Verdana" w:cs="Verdana"/>
                <w:b/>
                <w:i/>
                <w:color w:val="595959" w:themeColor="text1" w:themeTint="A6"/>
                <w:sz w:val="16"/>
                <w:szCs w:val="16"/>
                <w:lang w:val="en-GB"/>
              </w:rPr>
              <w:t>Note</w:t>
            </w:r>
          </w:p>
        </w:tc>
        <w:tc>
          <w:tcPr>
            <w:tcW w:w="5656" w:type="dxa"/>
            <w:tcBorders>
              <w:bottom w:val="single" w:sz="2" w:space="0" w:color="000000"/>
            </w:tcBorders>
            <w:shd w:val="clear" w:color="auto" w:fill="auto"/>
            <w:tcMar>
              <w:top w:w="20" w:type="dxa"/>
              <w:left w:w="20" w:type="dxa"/>
              <w:bottom w:w="20" w:type="dxa"/>
              <w:right w:w="20" w:type="dxa"/>
            </w:tcMar>
            <w:vAlign w:val="bottom"/>
          </w:tcPr>
          <w:p w14:paraId="22E0F17D" w14:textId="77777777" w:rsidR="00430754" w:rsidRPr="007E7F8F" w:rsidRDefault="00430754" w:rsidP="00CA6653">
            <w:pPr>
              <w:pStyle w:val="T1TableStyle"/>
              <w:jc w:val="right"/>
              <w:rPr>
                <w:rFonts w:ascii="Verdana" w:eastAsia="Verdana" w:hAnsi="Verdana" w:cs="Verdana"/>
                <w:b/>
                <w:color w:val="000000"/>
                <w:sz w:val="2"/>
                <w:szCs w:val="22"/>
                <w:lang w:val="en-GB"/>
              </w:rPr>
            </w:pPr>
            <w:r w:rsidRPr="007E7F8F">
              <w:rPr>
                <w:rFonts w:ascii="Verdana" w:eastAsia="Verdana" w:hAnsi="Verdana" w:cs="Verdana"/>
                <w:b/>
                <w:color w:val="000000"/>
                <w:sz w:val="2"/>
                <w:szCs w:val="22"/>
                <w:lang w:val="en-GB"/>
              </w:rPr>
              <w:t xml:space="preserve"> </w:t>
            </w:r>
          </w:p>
        </w:tc>
        <w:tc>
          <w:tcPr>
            <w:tcW w:w="1684" w:type="dxa"/>
            <w:tcBorders>
              <w:bottom w:val="single" w:sz="2" w:space="0" w:color="000000"/>
            </w:tcBorders>
            <w:shd w:val="clear" w:color="auto" w:fill="auto"/>
            <w:tcMar>
              <w:top w:w="20" w:type="dxa"/>
              <w:left w:w="20" w:type="dxa"/>
              <w:bottom w:w="20" w:type="dxa"/>
              <w:right w:w="20" w:type="dxa"/>
            </w:tcMar>
            <w:vAlign w:val="bottom"/>
          </w:tcPr>
          <w:p w14:paraId="2A9CFAC3" w14:textId="77777777" w:rsidR="00430754" w:rsidRPr="007E7F8F" w:rsidRDefault="00430754" w:rsidP="00CA6653">
            <w:pPr>
              <w:pStyle w:val="T1TableStyle"/>
              <w:jc w:val="right"/>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£000</w:t>
            </w:r>
          </w:p>
        </w:tc>
        <w:tc>
          <w:tcPr>
            <w:tcW w:w="1911" w:type="dxa"/>
            <w:tcBorders>
              <w:bottom w:val="single" w:sz="2" w:space="0" w:color="000000"/>
            </w:tcBorders>
            <w:shd w:val="clear" w:color="auto" w:fill="auto"/>
            <w:tcMar>
              <w:top w:w="20" w:type="dxa"/>
              <w:left w:w="20" w:type="dxa"/>
              <w:bottom w:w="20" w:type="dxa"/>
              <w:right w:w="20" w:type="dxa"/>
            </w:tcMar>
            <w:vAlign w:val="bottom"/>
          </w:tcPr>
          <w:p w14:paraId="634CE713" w14:textId="77777777" w:rsidR="00430754" w:rsidRPr="007E7F8F" w:rsidRDefault="00430754" w:rsidP="00CA6653">
            <w:pPr>
              <w:pStyle w:val="T1TableStyle"/>
              <w:jc w:val="right"/>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£000</w:t>
            </w:r>
          </w:p>
        </w:tc>
      </w:tr>
      <w:tr w:rsidR="00932EB3" w:rsidRPr="007E7F8F" w14:paraId="502B46BD" w14:textId="77777777" w:rsidTr="0074695B">
        <w:trPr>
          <w:trHeight w:val="309"/>
          <w:jc w:val="center"/>
        </w:trPr>
        <w:tc>
          <w:tcPr>
            <w:tcW w:w="1684" w:type="dxa"/>
            <w:shd w:val="clear" w:color="auto" w:fill="auto"/>
            <w:tcMar>
              <w:top w:w="20" w:type="dxa"/>
              <w:left w:w="20" w:type="dxa"/>
              <w:bottom w:w="20" w:type="dxa"/>
              <w:right w:w="20" w:type="dxa"/>
            </w:tcMar>
          </w:tcPr>
          <w:p w14:paraId="5EA7CBFE" w14:textId="77777777" w:rsidR="00932EB3" w:rsidRPr="007E7F8F" w:rsidRDefault="00932EB3" w:rsidP="00932EB3">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844</w:t>
            </w:r>
          </w:p>
        </w:tc>
        <w:tc>
          <w:tcPr>
            <w:tcW w:w="1607" w:type="dxa"/>
            <w:shd w:val="clear" w:color="auto" w:fill="auto"/>
            <w:tcMar>
              <w:top w:w="20" w:type="dxa"/>
              <w:left w:w="20" w:type="dxa"/>
              <w:bottom w:w="20" w:type="dxa"/>
              <w:right w:w="20" w:type="dxa"/>
            </w:tcMar>
          </w:tcPr>
          <w:p w14:paraId="6649A97C" w14:textId="77777777" w:rsidR="00932EB3" w:rsidRPr="007E7F8F" w:rsidRDefault="00932EB3" w:rsidP="00932EB3">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63,875</w:t>
            </w:r>
          </w:p>
        </w:tc>
        <w:tc>
          <w:tcPr>
            <w:tcW w:w="323" w:type="dxa"/>
          </w:tcPr>
          <w:p w14:paraId="32F7EE90" w14:textId="77777777" w:rsidR="00932EB3" w:rsidRPr="007E7F8F" w:rsidRDefault="00932EB3" w:rsidP="00932EB3">
            <w:pPr>
              <w:pStyle w:val="T1TableStyle"/>
              <w:jc w:val="center"/>
              <w:rPr>
                <w:rFonts w:ascii="Verdana" w:eastAsia="Verdana" w:hAnsi="Verdana" w:cs="Verdana"/>
                <w:color w:val="000000"/>
                <w:sz w:val="2"/>
                <w:szCs w:val="22"/>
                <w:lang w:val="en-GB"/>
              </w:rPr>
            </w:pPr>
          </w:p>
        </w:tc>
        <w:tc>
          <w:tcPr>
            <w:tcW w:w="850" w:type="dxa"/>
            <w:shd w:val="clear" w:color="auto" w:fill="auto"/>
            <w:tcMar>
              <w:top w:w="20" w:type="dxa"/>
              <w:left w:w="20" w:type="dxa"/>
              <w:bottom w:w="20" w:type="dxa"/>
              <w:right w:w="20" w:type="dxa"/>
            </w:tcMar>
          </w:tcPr>
          <w:p w14:paraId="6C87CF18" w14:textId="77777777" w:rsidR="00932EB3" w:rsidRPr="007E7F8F" w:rsidRDefault="00932EB3" w:rsidP="00932EB3">
            <w:pPr>
              <w:pStyle w:val="T1TableStyle"/>
              <w:jc w:val="center"/>
              <w:rPr>
                <w:rFonts w:ascii="Verdana" w:eastAsia="Verdana" w:hAnsi="Verdana" w:cs="Verdana"/>
                <w:color w:val="595959" w:themeColor="text1" w:themeTint="A6"/>
                <w:sz w:val="16"/>
                <w:szCs w:val="16"/>
                <w:lang w:val="en-GB"/>
              </w:rPr>
            </w:pPr>
          </w:p>
        </w:tc>
        <w:tc>
          <w:tcPr>
            <w:tcW w:w="5656" w:type="dxa"/>
            <w:shd w:val="clear" w:color="auto" w:fill="auto"/>
            <w:tcMar>
              <w:top w:w="20" w:type="dxa"/>
              <w:left w:w="20" w:type="dxa"/>
              <w:bottom w:w="20" w:type="dxa"/>
              <w:right w:w="20" w:type="dxa"/>
            </w:tcMar>
          </w:tcPr>
          <w:p w14:paraId="3120C22E" w14:textId="77777777" w:rsidR="00932EB3" w:rsidRPr="007E7F8F" w:rsidRDefault="00932EB3" w:rsidP="00932EB3">
            <w:pPr>
              <w:pStyle w:val="T1TableStyle"/>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Net (surplus) or deficit on the provision of services</w:t>
            </w:r>
          </w:p>
        </w:tc>
        <w:tc>
          <w:tcPr>
            <w:tcW w:w="1684" w:type="dxa"/>
            <w:shd w:val="clear" w:color="auto" w:fill="auto"/>
            <w:tcMar>
              <w:top w:w="20" w:type="dxa"/>
              <w:left w:w="20" w:type="dxa"/>
              <w:bottom w:w="20" w:type="dxa"/>
              <w:right w:w="20" w:type="dxa"/>
            </w:tcMar>
          </w:tcPr>
          <w:p w14:paraId="50C63F4B" w14:textId="5CFBF180" w:rsidR="00932EB3" w:rsidRPr="007E7F8F" w:rsidRDefault="00005729">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4,044</w:t>
            </w:r>
          </w:p>
        </w:tc>
        <w:tc>
          <w:tcPr>
            <w:tcW w:w="1911" w:type="dxa"/>
            <w:shd w:val="clear" w:color="auto" w:fill="auto"/>
            <w:tcMar>
              <w:top w:w="20" w:type="dxa"/>
              <w:left w:w="20" w:type="dxa"/>
              <w:bottom w:w="20" w:type="dxa"/>
              <w:right w:w="20" w:type="dxa"/>
            </w:tcMar>
          </w:tcPr>
          <w:p w14:paraId="6076FF41" w14:textId="486CB076" w:rsidR="00932EB3" w:rsidRPr="007E7F8F" w:rsidRDefault="00005729">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72,572</w:t>
            </w:r>
          </w:p>
        </w:tc>
      </w:tr>
      <w:tr w:rsidR="00932EB3" w:rsidRPr="007E7F8F" w14:paraId="4C639E39" w14:textId="77777777" w:rsidTr="0074695B">
        <w:trPr>
          <w:trHeight w:val="442"/>
          <w:jc w:val="center"/>
        </w:trPr>
        <w:tc>
          <w:tcPr>
            <w:tcW w:w="1684" w:type="dxa"/>
            <w:shd w:val="clear" w:color="auto" w:fill="auto"/>
            <w:tcMar>
              <w:top w:w="20" w:type="dxa"/>
              <w:left w:w="20" w:type="dxa"/>
              <w:bottom w:w="20" w:type="dxa"/>
              <w:right w:w="20" w:type="dxa"/>
            </w:tcMar>
          </w:tcPr>
          <w:p w14:paraId="2745B09B" w14:textId="77777777" w:rsidR="00932EB3" w:rsidRPr="007E7F8F" w:rsidRDefault="00932EB3" w:rsidP="00932EB3">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(8,274)</w:t>
            </w:r>
          </w:p>
        </w:tc>
        <w:tc>
          <w:tcPr>
            <w:tcW w:w="1607" w:type="dxa"/>
            <w:shd w:val="clear" w:color="auto" w:fill="auto"/>
            <w:tcMar>
              <w:top w:w="20" w:type="dxa"/>
              <w:left w:w="20" w:type="dxa"/>
              <w:bottom w:w="20" w:type="dxa"/>
              <w:right w:w="20" w:type="dxa"/>
            </w:tcMar>
          </w:tcPr>
          <w:p w14:paraId="3794EC06" w14:textId="77777777" w:rsidR="00932EB3" w:rsidRPr="007E7F8F" w:rsidRDefault="00932EB3" w:rsidP="00932EB3">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(71,305)</w:t>
            </w:r>
          </w:p>
        </w:tc>
        <w:tc>
          <w:tcPr>
            <w:tcW w:w="323" w:type="dxa"/>
          </w:tcPr>
          <w:p w14:paraId="672F611E" w14:textId="77777777" w:rsidR="00932EB3" w:rsidRPr="007E7F8F" w:rsidRDefault="00932EB3" w:rsidP="00932EB3">
            <w:pPr>
              <w:pStyle w:val="T1TableStyle"/>
              <w:jc w:val="center"/>
              <w:rPr>
                <w:rFonts w:ascii="Verdana" w:eastAsia="Verdana" w:hAnsi="Verdana" w:cs="Verdana"/>
                <w:color w:val="000000"/>
                <w:sz w:val="2"/>
                <w:szCs w:val="22"/>
                <w:lang w:val="en-GB"/>
              </w:rPr>
            </w:pPr>
          </w:p>
        </w:tc>
        <w:tc>
          <w:tcPr>
            <w:tcW w:w="850" w:type="dxa"/>
            <w:shd w:val="clear" w:color="auto" w:fill="auto"/>
            <w:tcMar>
              <w:top w:w="20" w:type="dxa"/>
              <w:left w:w="20" w:type="dxa"/>
              <w:bottom w:w="20" w:type="dxa"/>
              <w:right w:w="20" w:type="dxa"/>
            </w:tcMar>
          </w:tcPr>
          <w:p w14:paraId="1FADABEB" w14:textId="77777777" w:rsidR="00932EB3" w:rsidRPr="007E7F8F" w:rsidRDefault="00932EB3" w:rsidP="00932EB3">
            <w:pPr>
              <w:pStyle w:val="T1TableStyle"/>
              <w:jc w:val="center"/>
              <w:rPr>
                <w:rFonts w:ascii="Verdana" w:eastAsia="Verdana" w:hAnsi="Verdana" w:cs="Verdana"/>
                <w:color w:val="595959" w:themeColor="text1" w:themeTint="A6"/>
                <w:sz w:val="16"/>
                <w:szCs w:val="16"/>
                <w:lang w:val="en-GB"/>
              </w:rPr>
            </w:pPr>
          </w:p>
        </w:tc>
        <w:tc>
          <w:tcPr>
            <w:tcW w:w="5656" w:type="dxa"/>
            <w:shd w:val="clear" w:color="auto" w:fill="auto"/>
            <w:tcMar>
              <w:top w:w="20" w:type="dxa"/>
              <w:left w:w="20" w:type="dxa"/>
              <w:bottom w:w="20" w:type="dxa"/>
              <w:right w:w="20" w:type="dxa"/>
            </w:tcMar>
          </w:tcPr>
          <w:p w14:paraId="64A91F0D" w14:textId="77777777" w:rsidR="00932EB3" w:rsidRPr="007E7F8F" w:rsidRDefault="00932EB3" w:rsidP="00932EB3">
            <w:pPr>
              <w:pStyle w:val="T1TableStyle"/>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Adjustment to surplus or deficit on the provision of services for noncash movements</w:t>
            </w:r>
          </w:p>
        </w:tc>
        <w:tc>
          <w:tcPr>
            <w:tcW w:w="1684" w:type="dxa"/>
            <w:shd w:val="clear" w:color="auto" w:fill="auto"/>
            <w:tcMar>
              <w:top w:w="20" w:type="dxa"/>
              <w:left w:w="20" w:type="dxa"/>
              <w:bottom w:w="20" w:type="dxa"/>
              <w:right w:w="20" w:type="dxa"/>
            </w:tcMar>
          </w:tcPr>
          <w:p w14:paraId="471916E8" w14:textId="0CBA8D77" w:rsidR="00932EB3" w:rsidRPr="007E7F8F" w:rsidRDefault="007E7F8F">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w:t>
            </w:r>
            <w:r w:rsidR="00005729">
              <w:rPr>
                <w:rFonts w:ascii="Verdana" w:eastAsia="Verdana" w:hAnsi="Verdana" w:cs="Verdana"/>
                <w:color w:val="000000"/>
                <w:sz w:val="16"/>
                <w:szCs w:val="22"/>
                <w:lang w:val="en-GB"/>
              </w:rPr>
              <w:t>15,154</w:t>
            </w:r>
            <w:r w:rsidR="00932EB3" w:rsidRPr="007E7F8F">
              <w:rPr>
                <w:rFonts w:ascii="Verdana" w:eastAsia="Verdana" w:hAnsi="Verdana" w:cs="Verdana"/>
                <w:color w:val="000000"/>
                <w:sz w:val="16"/>
                <w:szCs w:val="22"/>
                <w:lang w:val="en-GB"/>
              </w:rPr>
              <w:t>)</w:t>
            </w:r>
          </w:p>
        </w:tc>
        <w:tc>
          <w:tcPr>
            <w:tcW w:w="1911" w:type="dxa"/>
            <w:shd w:val="clear" w:color="auto" w:fill="auto"/>
            <w:tcMar>
              <w:top w:w="20" w:type="dxa"/>
              <w:left w:w="20" w:type="dxa"/>
              <w:bottom w:w="20" w:type="dxa"/>
              <w:right w:w="20" w:type="dxa"/>
            </w:tcMar>
          </w:tcPr>
          <w:p w14:paraId="28908C50" w14:textId="699687B3" w:rsidR="00932EB3" w:rsidRPr="007E7F8F" w:rsidRDefault="007E7F8F">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w:t>
            </w:r>
            <w:r w:rsidR="00005729">
              <w:rPr>
                <w:rFonts w:ascii="Verdana" w:eastAsia="Verdana" w:hAnsi="Verdana" w:cs="Verdana"/>
                <w:color w:val="000000"/>
                <w:sz w:val="16"/>
                <w:szCs w:val="22"/>
                <w:lang w:val="en-GB"/>
              </w:rPr>
              <w:t>83,682</w:t>
            </w:r>
            <w:r w:rsidR="00932EB3" w:rsidRPr="007E7F8F">
              <w:rPr>
                <w:rFonts w:ascii="Verdana" w:eastAsia="Verdana" w:hAnsi="Verdana" w:cs="Verdana"/>
                <w:color w:val="000000"/>
                <w:sz w:val="16"/>
                <w:szCs w:val="22"/>
                <w:lang w:val="en-GB"/>
              </w:rPr>
              <w:t>)</w:t>
            </w:r>
          </w:p>
        </w:tc>
      </w:tr>
      <w:tr w:rsidR="00932EB3" w:rsidRPr="007E7F8F" w14:paraId="706E098A" w14:textId="77777777" w:rsidTr="0074695B">
        <w:trPr>
          <w:trHeight w:val="418"/>
          <w:jc w:val="center"/>
        </w:trPr>
        <w:tc>
          <w:tcPr>
            <w:tcW w:w="1684" w:type="dxa"/>
            <w:shd w:val="clear" w:color="auto" w:fill="auto"/>
            <w:tcMar>
              <w:top w:w="20" w:type="dxa"/>
              <w:left w:w="20" w:type="dxa"/>
              <w:bottom w:w="20" w:type="dxa"/>
              <w:right w:w="20" w:type="dxa"/>
            </w:tcMar>
          </w:tcPr>
          <w:p w14:paraId="24B9BD49" w14:textId="77777777" w:rsidR="00932EB3" w:rsidRPr="007E7F8F" w:rsidRDefault="00932EB3" w:rsidP="00932EB3">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1,418</w:t>
            </w:r>
          </w:p>
        </w:tc>
        <w:tc>
          <w:tcPr>
            <w:tcW w:w="1607" w:type="dxa"/>
            <w:shd w:val="clear" w:color="auto" w:fill="auto"/>
            <w:tcMar>
              <w:top w:w="20" w:type="dxa"/>
              <w:left w:w="20" w:type="dxa"/>
              <w:bottom w:w="20" w:type="dxa"/>
              <w:right w:w="20" w:type="dxa"/>
            </w:tcMar>
          </w:tcPr>
          <w:p w14:paraId="049F656D" w14:textId="77777777" w:rsidR="00932EB3" w:rsidRPr="007E7F8F" w:rsidRDefault="00932EB3" w:rsidP="00932EB3">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1,418</w:t>
            </w:r>
          </w:p>
        </w:tc>
        <w:tc>
          <w:tcPr>
            <w:tcW w:w="323" w:type="dxa"/>
          </w:tcPr>
          <w:p w14:paraId="7202BA25" w14:textId="77777777" w:rsidR="00932EB3" w:rsidRPr="007E7F8F" w:rsidRDefault="00932EB3" w:rsidP="00932EB3">
            <w:pPr>
              <w:pStyle w:val="T1TableStyle"/>
              <w:jc w:val="center"/>
              <w:rPr>
                <w:rFonts w:ascii="Verdana" w:eastAsia="Verdana" w:hAnsi="Verdana" w:cs="Verdana"/>
                <w:color w:val="000000"/>
                <w:sz w:val="2"/>
                <w:szCs w:val="22"/>
                <w:lang w:val="en-GB"/>
              </w:rPr>
            </w:pPr>
          </w:p>
        </w:tc>
        <w:tc>
          <w:tcPr>
            <w:tcW w:w="850" w:type="dxa"/>
            <w:shd w:val="clear" w:color="auto" w:fill="auto"/>
            <w:tcMar>
              <w:top w:w="20" w:type="dxa"/>
              <w:left w:w="20" w:type="dxa"/>
              <w:bottom w:w="20" w:type="dxa"/>
              <w:right w:w="20" w:type="dxa"/>
            </w:tcMar>
          </w:tcPr>
          <w:p w14:paraId="6DAC1C71" w14:textId="77777777" w:rsidR="00932EB3" w:rsidRPr="007E7F8F" w:rsidRDefault="00932EB3" w:rsidP="00932EB3">
            <w:pPr>
              <w:pStyle w:val="T1TableStyle"/>
              <w:jc w:val="center"/>
              <w:rPr>
                <w:rFonts w:ascii="Verdana" w:eastAsia="Verdana" w:hAnsi="Verdana" w:cs="Verdana"/>
                <w:color w:val="595959" w:themeColor="text1" w:themeTint="A6"/>
                <w:sz w:val="16"/>
                <w:szCs w:val="16"/>
                <w:lang w:val="en-GB"/>
              </w:rPr>
            </w:pPr>
          </w:p>
        </w:tc>
        <w:tc>
          <w:tcPr>
            <w:tcW w:w="5656" w:type="dxa"/>
            <w:shd w:val="clear" w:color="auto" w:fill="auto"/>
            <w:tcMar>
              <w:top w:w="20" w:type="dxa"/>
              <w:left w:w="20" w:type="dxa"/>
              <w:bottom w:w="20" w:type="dxa"/>
              <w:right w:w="20" w:type="dxa"/>
            </w:tcMar>
          </w:tcPr>
          <w:p w14:paraId="7ECC16C1" w14:textId="77777777" w:rsidR="00932EB3" w:rsidRPr="007E7F8F" w:rsidRDefault="00932EB3" w:rsidP="00932EB3">
            <w:pPr>
              <w:pStyle w:val="T1TableStyle"/>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Adjustment for items included in the net surplus or deficit on the provision of services that are investing or financing activities</w:t>
            </w:r>
          </w:p>
        </w:tc>
        <w:tc>
          <w:tcPr>
            <w:tcW w:w="1684" w:type="dxa"/>
            <w:shd w:val="clear" w:color="auto" w:fill="auto"/>
            <w:tcMar>
              <w:top w:w="20" w:type="dxa"/>
              <w:left w:w="20" w:type="dxa"/>
              <w:bottom w:w="20" w:type="dxa"/>
              <w:right w:w="20" w:type="dxa"/>
            </w:tcMar>
          </w:tcPr>
          <w:p w14:paraId="7691E61E" w14:textId="4EE0C773" w:rsidR="00932EB3" w:rsidRPr="007E7F8F" w:rsidRDefault="007A020F" w:rsidP="00932EB3">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2,</w:t>
            </w:r>
            <w:r w:rsidR="006F692F">
              <w:rPr>
                <w:rFonts w:ascii="Verdana" w:eastAsia="Verdana" w:hAnsi="Verdana" w:cs="Verdana"/>
                <w:color w:val="000000"/>
                <w:sz w:val="16"/>
                <w:szCs w:val="22"/>
                <w:lang w:val="en-GB"/>
              </w:rPr>
              <w:t>948</w:t>
            </w:r>
          </w:p>
        </w:tc>
        <w:tc>
          <w:tcPr>
            <w:tcW w:w="1911" w:type="dxa"/>
            <w:shd w:val="clear" w:color="auto" w:fill="auto"/>
            <w:tcMar>
              <w:top w:w="20" w:type="dxa"/>
              <w:left w:w="20" w:type="dxa"/>
              <w:bottom w:w="20" w:type="dxa"/>
              <w:right w:w="20" w:type="dxa"/>
            </w:tcMar>
          </w:tcPr>
          <w:p w14:paraId="5635FE6A" w14:textId="2050766C" w:rsidR="00932EB3" w:rsidRPr="007E7F8F" w:rsidRDefault="007E7F8F" w:rsidP="00932EB3">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2,</w:t>
            </w:r>
            <w:r w:rsidR="006F692F">
              <w:rPr>
                <w:rFonts w:ascii="Verdana" w:eastAsia="Verdana" w:hAnsi="Verdana" w:cs="Verdana"/>
                <w:color w:val="000000"/>
                <w:sz w:val="16"/>
                <w:szCs w:val="22"/>
                <w:lang w:val="en-GB"/>
              </w:rPr>
              <w:t>948</w:t>
            </w:r>
          </w:p>
        </w:tc>
      </w:tr>
      <w:tr w:rsidR="00932EB3" w:rsidRPr="007E7F8F" w14:paraId="2626034D" w14:textId="77777777" w:rsidTr="0074695B">
        <w:trPr>
          <w:trHeight w:val="232"/>
          <w:jc w:val="center"/>
        </w:trPr>
        <w:tc>
          <w:tcPr>
            <w:tcW w:w="1684" w:type="dxa"/>
            <w:tcBorders>
              <w:top w:val="single" w:sz="2" w:space="0" w:color="000000"/>
              <w:bottom w:val="single" w:sz="12" w:space="0" w:color="000000"/>
            </w:tcBorders>
            <w:shd w:val="clear" w:color="auto" w:fill="auto"/>
            <w:tcMar>
              <w:top w:w="20" w:type="dxa"/>
              <w:left w:w="20" w:type="dxa"/>
              <w:bottom w:w="20" w:type="dxa"/>
              <w:right w:w="20" w:type="dxa"/>
            </w:tcMar>
          </w:tcPr>
          <w:p w14:paraId="4870D597" w14:textId="77777777" w:rsidR="00932EB3" w:rsidRPr="007E7F8F" w:rsidRDefault="00932EB3" w:rsidP="00932EB3">
            <w:pPr>
              <w:pStyle w:val="T1TableStyle"/>
              <w:jc w:val="right"/>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(6,012)</w:t>
            </w:r>
          </w:p>
        </w:tc>
        <w:tc>
          <w:tcPr>
            <w:tcW w:w="1607" w:type="dxa"/>
            <w:tcBorders>
              <w:top w:val="single" w:sz="2" w:space="0" w:color="000000"/>
              <w:bottom w:val="single" w:sz="12" w:space="0" w:color="000000"/>
            </w:tcBorders>
            <w:shd w:val="clear" w:color="auto" w:fill="auto"/>
            <w:tcMar>
              <w:top w:w="20" w:type="dxa"/>
              <w:left w:w="20" w:type="dxa"/>
              <w:bottom w:w="20" w:type="dxa"/>
              <w:right w:w="20" w:type="dxa"/>
            </w:tcMar>
          </w:tcPr>
          <w:p w14:paraId="2BBECF68" w14:textId="77777777" w:rsidR="00932EB3" w:rsidRPr="007E7F8F" w:rsidRDefault="00932EB3" w:rsidP="00932EB3">
            <w:pPr>
              <w:pStyle w:val="T1TableStyle"/>
              <w:jc w:val="right"/>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(6,012)</w:t>
            </w:r>
          </w:p>
        </w:tc>
        <w:tc>
          <w:tcPr>
            <w:tcW w:w="323" w:type="dxa"/>
            <w:tcBorders>
              <w:top w:val="single" w:sz="2" w:space="0" w:color="000000"/>
              <w:bottom w:val="single" w:sz="12" w:space="0" w:color="000000"/>
            </w:tcBorders>
          </w:tcPr>
          <w:p w14:paraId="5227A28B" w14:textId="77777777" w:rsidR="00932EB3" w:rsidRPr="007E7F8F" w:rsidRDefault="00932EB3" w:rsidP="00932EB3">
            <w:pPr>
              <w:pStyle w:val="T1TableStyle"/>
              <w:jc w:val="center"/>
              <w:rPr>
                <w:rFonts w:ascii="Verdana" w:eastAsia="Verdana" w:hAnsi="Verdana" w:cs="Verdana"/>
                <w:b/>
                <w:color w:val="000000"/>
                <w:sz w:val="2"/>
                <w:szCs w:val="22"/>
                <w:lang w:val="en-GB"/>
              </w:rPr>
            </w:pPr>
          </w:p>
        </w:tc>
        <w:tc>
          <w:tcPr>
            <w:tcW w:w="850" w:type="dxa"/>
            <w:tcBorders>
              <w:top w:val="single" w:sz="2" w:space="0" w:color="000000"/>
              <w:bottom w:val="single" w:sz="12" w:space="0" w:color="000000"/>
            </w:tcBorders>
            <w:shd w:val="clear" w:color="auto" w:fill="auto"/>
            <w:tcMar>
              <w:top w:w="20" w:type="dxa"/>
              <w:left w:w="20" w:type="dxa"/>
              <w:bottom w:w="20" w:type="dxa"/>
              <w:right w:w="20" w:type="dxa"/>
            </w:tcMar>
          </w:tcPr>
          <w:p w14:paraId="55939F90" w14:textId="77777777" w:rsidR="00932EB3" w:rsidRPr="007E7F8F" w:rsidRDefault="00932EB3" w:rsidP="00932EB3">
            <w:pPr>
              <w:pStyle w:val="T1TableStyle"/>
              <w:jc w:val="center"/>
              <w:rPr>
                <w:rFonts w:ascii="Verdana" w:eastAsia="Verdana" w:hAnsi="Verdana" w:cs="Verdana"/>
                <w:b/>
                <w:color w:val="595959" w:themeColor="text1" w:themeTint="A6"/>
                <w:sz w:val="16"/>
                <w:szCs w:val="16"/>
                <w:lang w:val="en-GB"/>
              </w:rPr>
            </w:pPr>
            <w:r w:rsidRPr="007E7F8F">
              <w:rPr>
                <w:rFonts w:ascii="Verdana" w:eastAsia="Verdana" w:hAnsi="Verdana" w:cs="Verdana"/>
                <w:b/>
                <w:color w:val="595959" w:themeColor="text1" w:themeTint="A6"/>
                <w:sz w:val="16"/>
                <w:szCs w:val="16"/>
                <w:lang w:val="en-GB"/>
              </w:rPr>
              <w:t>35</w:t>
            </w:r>
          </w:p>
        </w:tc>
        <w:tc>
          <w:tcPr>
            <w:tcW w:w="5656" w:type="dxa"/>
            <w:tcBorders>
              <w:top w:val="single" w:sz="2" w:space="0" w:color="000000"/>
              <w:bottom w:val="single" w:sz="12" w:space="0" w:color="000000"/>
            </w:tcBorders>
            <w:shd w:val="clear" w:color="auto" w:fill="auto"/>
            <w:tcMar>
              <w:top w:w="20" w:type="dxa"/>
              <w:left w:w="20" w:type="dxa"/>
              <w:bottom w:w="20" w:type="dxa"/>
              <w:right w:w="20" w:type="dxa"/>
            </w:tcMar>
          </w:tcPr>
          <w:p w14:paraId="1B5D34D3" w14:textId="77777777" w:rsidR="00932EB3" w:rsidRPr="007E7F8F" w:rsidRDefault="00932EB3" w:rsidP="00932EB3">
            <w:pPr>
              <w:pStyle w:val="T1TableStyle"/>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Net cash flows from operating activities</w:t>
            </w:r>
          </w:p>
        </w:tc>
        <w:tc>
          <w:tcPr>
            <w:tcW w:w="1684" w:type="dxa"/>
            <w:tcBorders>
              <w:top w:val="single" w:sz="2" w:space="0" w:color="000000"/>
              <w:bottom w:val="single" w:sz="12" w:space="0" w:color="000000"/>
            </w:tcBorders>
            <w:shd w:val="clear" w:color="auto" w:fill="auto"/>
            <w:tcMar>
              <w:top w:w="20" w:type="dxa"/>
              <w:left w:w="20" w:type="dxa"/>
              <w:bottom w:w="20" w:type="dxa"/>
              <w:right w:w="20" w:type="dxa"/>
            </w:tcMar>
          </w:tcPr>
          <w:p w14:paraId="61C05080" w14:textId="49DBD970" w:rsidR="00932EB3" w:rsidRPr="007E7F8F" w:rsidRDefault="007E7F8F" w:rsidP="00932EB3">
            <w:pPr>
              <w:pStyle w:val="T1TableStyle"/>
              <w:jc w:val="right"/>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w:t>
            </w:r>
            <w:r w:rsidR="006F692F">
              <w:rPr>
                <w:rFonts w:ascii="Verdana" w:eastAsia="Verdana" w:hAnsi="Verdana" w:cs="Verdana"/>
                <w:b/>
                <w:color w:val="000000"/>
                <w:sz w:val="16"/>
                <w:szCs w:val="22"/>
                <w:lang w:val="en-GB"/>
              </w:rPr>
              <w:t>8,162</w:t>
            </w:r>
            <w:r w:rsidR="00932EB3" w:rsidRPr="007E7F8F">
              <w:rPr>
                <w:rFonts w:ascii="Verdana" w:eastAsia="Verdana" w:hAnsi="Verdana" w:cs="Verdana"/>
                <w:b/>
                <w:color w:val="000000"/>
                <w:sz w:val="16"/>
                <w:szCs w:val="22"/>
                <w:lang w:val="en-GB"/>
              </w:rPr>
              <w:t>)</w:t>
            </w:r>
          </w:p>
        </w:tc>
        <w:tc>
          <w:tcPr>
            <w:tcW w:w="1911" w:type="dxa"/>
            <w:tcBorders>
              <w:top w:val="single" w:sz="2" w:space="0" w:color="000000"/>
              <w:bottom w:val="single" w:sz="12" w:space="0" w:color="000000"/>
            </w:tcBorders>
            <w:shd w:val="clear" w:color="auto" w:fill="auto"/>
            <w:tcMar>
              <w:top w:w="20" w:type="dxa"/>
              <w:left w:w="20" w:type="dxa"/>
              <w:bottom w:w="20" w:type="dxa"/>
              <w:right w:w="20" w:type="dxa"/>
            </w:tcMar>
          </w:tcPr>
          <w:p w14:paraId="29DD3424" w14:textId="12316D1D" w:rsidR="00932EB3" w:rsidRPr="007E7F8F" w:rsidRDefault="007E7F8F" w:rsidP="00932EB3">
            <w:pPr>
              <w:pStyle w:val="T1TableStyle"/>
              <w:jc w:val="right"/>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w:t>
            </w:r>
            <w:r w:rsidR="006F692F">
              <w:rPr>
                <w:rFonts w:ascii="Verdana" w:eastAsia="Verdana" w:hAnsi="Verdana" w:cs="Verdana"/>
                <w:b/>
                <w:color w:val="000000"/>
                <w:sz w:val="16"/>
                <w:szCs w:val="22"/>
                <w:lang w:val="en-GB"/>
              </w:rPr>
              <w:t>8,162</w:t>
            </w:r>
            <w:r w:rsidR="00932EB3" w:rsidRPr="007E7F8F">
              <w:rPr>
                <w:rFonts w:ascii="Verdana" w:eastAsia="Verdana" w:hAnsi="Verdana" w:cs="Verdana"/>
                <w:b/>
                <w:color w:val="000000"/>
                <w:sz w:val="16"/>
                <w:szCs w:val="22"/>
                <w:lang w:val="en-GB"/>
              </w:rPr>
              <w:t>)</w:t>
            </w:r>
          </w:p>
        </w:tc>
      </w:tr>
      <w:tr w:rsidR="00932EB3" w:rsidRPr="007E7F8F" w14:paraId="090D338A" w14:textId="77777777" w:rsidTr="0074695B">
        <w:trPr>
          <w:trHeight w:hRule="exact" w:val="104"/>
          <w:jc w:val="center"/>
        </w:trPr>
        <w:tc>
          <w:tcPr>
            <w:tcW w:w="1684" w:type="dxa"/>
            <w:shd w:val="clear" w:color="auto" w:fill="auto"/>
            <w:tcMar>
              <w:top w:w="20" w:type="dxa"/>
              <w:left w:w="20" w:type="dxa"/>
              <w:bottom w:w="20" w:type="dxa"/>
              <w:right w:w="20" w:type="dxa"/>
            </w:tcMar>
            <w:vAlign w:val="bottom"/>
          </w:tcPr>
          <w:p w14:paraId="1B59599F" w14:textId="77777777" w:rsidR="00932EB3" w:rsidRPr="007E7F8F" w:rsidRDefault="00932EB3" w:rsidP="00932EB3">
            <w:pPr>
              <w:pStyle w:val="T1TableStyle"/>
              <w:jc w:val="center"/>
              <w:rPr>
                <w:rFonts w:ascii="Verdana" w:eastAsia="Verdana" w:hAnsi="Verdana" w:cs="Verdana"/>
                <w:color w:val="000000"/>
                <w:sz w:val="2"/>
                <w:szCs w:val="22"/>
                <w:lang w:val="en-GB"/>
              </w:rPr>
            </w:pPr>
            <w:r w:rsidRPr="007E7F8F">
              <w:rPr>
                <w:rFonts w:ascii="Verdana" w:eastAsia="Verdana" w:hAnsi="Verdana" w:cs="Verdana"/>
                <w:color w:val="000000"/>
                <w:sz w:val="2"/>
                <w:szCs w:val="22"/>
                <w:lang w:val="en-GB"/>
              </w:rPr>
              <w:t xml:space="preserve"> </w:t>
            </w:r>
          </w:p>
        </w:tc>
        <w:tc>
          <w:tcPr>
            <w:tcW w:w="1607" w:type="dxa"/>
            <w:shd w:val="clear" w:color="auto" w:fill="auto"/>
            <w:tcMar>
              <w:top w:w="20" w:type="dxa"/>
              <w:left w:w="20" w:type="dxa"/>
              <w:bottom w:w="20" w:type="dxa"/>
              <w:right w:w="20" w:type="dxa"/>
            </w:tcMar>
            <w:vAlign w:val="bottom"/>
          </w:tcPr>
          <w:p w14:paraId="4DCFE886" w14:textId="77777777" w:rsidR="00932EB3" w:rsidRPr="007E7F8F" w:rsidRDefault="00932EB3" w:rsidP="00932EB3">
            <w:pPr>
              <w:pStyle w:val="T1TableStyle"/>
              <w:jc w:val="center"/>
              <w:rPr>
                <w:rFonts w:ascii="Verdana" w:eastAsia="Verdana" w:hAnsi="Verdana" w:cs="Verdana"/>
                <w:color w:val="000000"/>
                <w:sz w:val="2"/>
                <w:szCs w:val="22"/>
                <w:lang w:val="en-GB"/>
              </w:rPr>
            </w:pPr>
            <w:r w:rsidRPr="007E7F8F">
              <w:rPr>
                <w:rFonts w:ascii="Verdana" w:eastAsia="Verdana" w:hAnsi="Verdana" w:cs="Verdana"/>
                <w:color w:val="000000"/>
                <w:sz w:val="2"/>
                <w:szCs w:val="22"/>
                <w:lang w:val="en-GB"/>
              </w:rPr>
              <w:t xml:space="preserve"> </w:t>
            </w:r>
          </w:p>
        </w:tc>
        <w:tc>
          <w:tcPr>
            <w:tcW w:w="323" w:type="dxa"/>
          </w:tcPr>
          <w:p w14:paraId="3C184CA0" w14:textId="77777777" w:rsidR="00932EB3" w:rsidRPr="007E7F8F" w:rsidRDefault="00932EB3" w:rsidP="00932EB3">
            <w:pPr>
              <w:pStyle w:val="T1TableStyle"/>
              <w:jc w:val="center"/>
              <w:rPr>
                <w:rFonts w:ascii="Verdana" w:eastAsia="Verdana" w:hAnsi="Verdana" w:cs="Verdana"/>
                <w:color w:val="000000"/>
                <w:sz w:val="2"/>
                <w:szCs w:val="22"/>
                <w:lang w:val="en-GB"/>
              </w:rPr>
            </w:pPr>
          </w:p>
        </w:tc>
        <w:tc>
          <w:tcPr>
            <w:tcW w:w="850" w:type="dxa"/>
            <w:shd w:val="clear" w:color="auto" w:fill="auto"/>
            <w:tcMar>
              <w:top w:w="20" w:type="dxa"/>
              <w:left w:w="20" w:type="dxa"/>
              <w:bottom w:w="20" w:type="dxa"/>
              <w:right w:w="20" w:type="dxa"/>
            </w:tcMar>
            <w:vAlign w:val="bottom"/>
          </w:tcPr>
          <w:p w14:paraId="0B4057D7" w14:textId="77777777" w:rsidR="00932EB3" w:rsidRPr="007E7F8F" w:rsidRDefault="00932EB3" w:rsidP="00932EB3">
            <w:pPr>
              <w:pStyle w:val="T1TableStyle"/>
              <w:jc w:val="center"/>
              <w:rPr>
                <w:rFonts w:ascii="Verdana" w:eastAsia="Verdana" w:hAnsi="Verdana" w:cs="Verdana"/>
                <w:color w:val="595959" w:themeColor="text1" w:themeTint="A6"/>
                <w:sz w:val="16"/>
                <w:szCs w:val="16"/>
                <w:lang w:val="en-GB"/>
              </w:rPr>
            </w:pPr>
          </w:p>
        </w:tc>
        <w:tc>
          <w:tcPr>
            <w:tcW w:w="5656" w:type="dxa"/>
            <w:shd w:val="clear" w:color="auto" w:fill="auto"/>
            <w:tcMar>
              <w:top w:w="20" w:type="dxa"/>
              <w:left w:w="20" w:type="dxa"/>
              <w:bottom w:w="20" w:type="dxa"/>
              <w:right w:w="20" w:type="dxa"/>
            </w:tcMar>
            <w:vAlign w:val="bottom"/>
          </w:tcPr>
          <w:p w14:paraId="3E76920C" w14:textId="77777777" w:rsidR="00932EB3" w:rsidRPr="007E7F8F" w:rsidRDefault="00932EB3" w:rsidP="00932EB3">
            <w:pPr>
              <w:pStyle w:val="T1TableStyle"/>
              <w:jc w:val="center"/>
              <w:rPr>
                <w:rFonts w:ascii="Verdana" w:eastAsia="Verdana" w:hAnsi="Verdana" w:cs="Verdana"/>
                <w:color w:val="000000"/>
                <w:sz w:val="2"/>
                <w:szCs w:val="22"/>
                <w:lang w:val="en-GB"/>
              </w:rPr>
            </w:pPr>
            <w:r w:rsidRPr="007E7F8F">
              <w:rPr>
                <w:rFonts w:ascii="Verdana" w:eastAsia="Verdana" w:hAnsi="Verdana" w:cs="Verdana"/>
                <w:color w:val="000000"/>
                <w:sz w:val="2"/>
                <w:szCs w:val="22"/>
                <w:lang w:val="en-GB"/>
              </w:rPr>
              <w:t xml:space="preserve"> </w:t>
            </w:r>
          </w:p>
        </w:tc>
        <w:tc>
          <w:tcPr>
            <w:tcW w:w="1684" w:type="dxa"/>
            <w:shd w:val="clear" w:color="auto" w:fill="auto"/>
            <w:tcMar>
              <w:top w:w="20" w:type="dxa"/>
              <w:left w:w="20" w:type="dxa"/>
              <w:bottom w:w="20" w:type="dxa"/>
              <w:right w:w="20" w:type="dxa"/>
            </w:tcMar>
            <w:vAlign w:val="bottom"/>
          </w:tcPr>
          <w:p w14:paraId="65CDA003" w14:textId="77777777" w:rsidR="00932EB3" w:rsidRPr="007E7F8F" w:rsidRDefault="00932EB3" w:rsidP="00932EB3">
            <w:pPr>
              <w:pStyle w:val="T1TableStyle"/>
              <w:jc w:val="center"/>
              <w:rPr>
                <w:rFonts w:ascii="Verdana" w:eastAsia="Verdana" w:hAnsi="Verdana" w:cs="Verdana"/>
                <w:color w:val="000000"/>
                <w:sz w:val="2"/>
                <w:szCs w:val="22"/>
                <w:lang w:val="en-GB"/>
              </w:rPr>
            </w:pPr>
            <w:r w:rsidRPr="007E7F8F">
              <w:rPr>
                <w:rFonts w:ascii="Verdana" w:eastAsia="Verdana" w:hAnsi="Verdana" w:cs="Verdana"/>
                <w:color w:val="000000"/>
                <w:sz w:val="2"/>
                <w:szCs w:val="22"/>
                <w:lang w:val="en-GB"/>
              </w:rPr>
              <w:t xml:space="preserve"> </w:t>
            </w:r>
          </w:p>
        </w:tc>
        <w:tc>
          <w:tcPr>
            <w:tcW w:w="1911" w:type="dxa"/>
            <w:shd w:val="clear" w:color="auto" w:fill="auto"/>
            <w:tcMar>
              <w:top w:w="20" w:type="dxa"/>
              <w:left w:w="20" w:type="dxa"/>
              <w:bottom w:w="20" w:type="dxa"/>
              <w:right w:w="20" w:type="dxa"/>
            </w:tcMar>
            <w:vAlign w:val="bottom"/>
          </w:tcPr>
          <w:p w14:paraId="1C808223" w14:textId="77777777" w:rsidR="00932EB3" w:rsidRPr="007E7F8F" w:rsidRDefault="00932EB3" w:rsidP="00932EB3">
            <w:pPr>
              <w:pStyle w:val="T1TableStyle"/>
              <w:jc w:val="center"/>
              <w:rPr>
                <w:rFonts w:ascii="Verdana" w:eastAsia="Verdana" w:hAnsi="Verdana" w:cs="Verdana"/>
                <w:color w:val="000000"/>
                <w:sz w:val="2"/>
                <w:szCs w:val="22"/>
                <w:lang w:val="en-GB"/>
              </w:rPr>
            </w:pPr>
            <w:r w:rsidRPr="007E7F8F">
              <w:rPr>
                <w:rFonts w:ascii="Verdana" w:eastAsia="Verdana" w:hAnsi="Verdana" w:cs="Verdana"/>
                <w:color w:val="000000"/>
                <w:sz w:val="2"/>
                <w:szCs w:val="22"/>
                <w:lang w:val="en-GB"/>
              </w:rPr>
              <w:t xml:space="preserve"> </w:t>
            </w:r>
          </w:p>
        </w:tc>
      </w:tr>
      <w:tr w:rsidR="00932EB3" w:rsidRPr="007E7F8F" w14:paraId="5C35DF6D" w14:textId="77777777" w:rsidTr="0074695B">
        <w:trPr>
          <w:trHeight w:val="221"/>
          <w:jc w:val="center"/>
        </w:trPr>
        <w:tc>
          <w:tcPr>
            <w:tcW w:w="1684" w:type="dxa"/>
            <w:shd w:val="clear" w:color="auto" w:fill="auto"/>
            <w:tcMar>
              <w:top w:w="20" w:type="dxa"/>
              <w:left w:w="20" w:type="dxa"/>
              <w:bottom w:w="20" w:type="dxa"/>
              <w:right w:w="20" w:type="dxa"/>
            </w:tcMar>
          </w:tcPr>
          <w:p w14:paraId="5A7ED8CC" w14:textId="77777777" w:rsidR="00932EB3" w:rsidRPr="007E7F8F" w:rsidRDefault="00932EB3" w:rsidP="00932EB3">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7,990</w:t>
            </w:r>
          </w:p>
        </w:tc>
        <w:tc>
          <w:tcPr>
            <w:tcW w:w="1607" w:type="dxa"/>
            <w:shd w:val="clear" w:color="auto" w:fill="auto"/>
            <w:tcMar>
              <w:top w:w="20" w:type="dxa"/>
              <w:left w:w="20" w:type="dxa"/>
              <w:bottom w:w="20" w:type="dxa"/>
              <w:right w:w="20" w:type="dxa"/>
            </w:tcMar>
          </w:tcPr>
          <w:p w14:paraId="4F4FF5A2" w14:textId="77777777" w:rsidR="00932EB3" w:rsidRPr="007E7F8F" w:rsidRDefault="00932EB3" w:rsidP="00932EB3">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7,990</w:t>
            </w:r>
          </w:p>
        </w:tc>
        <w:tc>
          <w:tcPr>
            <w:tcW w:w="323" w:type="dxa"/>
          </w:tcPr>
          <w:p w14:paraId="498F146E" w14:textId="77777777" w:rsidR="00932EB3" w:rsidRPr="007E7F8F" w:rsidRDefault="00932EB3" w:rsidP="00932EB3">
            <w:pPr>
              <w:pStyle w:val="T1TableStyle"/>
              <w:jc w:val="center"/>
              <w:rPr>
                <w:rFonts w:ascii="Verdana" w:eastAsia="Verdana" w:hAnsi="Verdana" w:cs="Verdana"/>
                <w:color w:val="000000"/>
                <w:sz w:val="2"/>
                <w:szCs w:val="22"/>
                <w:lang w:val="en-GB"/>
              </w:rPr>
            </w:pPr>
          </w:p>
        </w:tc>
        <w:tc>
          <w:tcPr>
            <w:tcW w:w="850" w:type="dxa"/>
            <w:shd w:val="clear" w:color="auto" w:fill="auto"/>
            <w:tcMar>
              <w:top w:w="20" w:type="dxa"/>
              <w:left w:w="20" w:type="dxa"/>
              <w:bottom w:w="20" w:type="dxa"/>
              <w:right w:w="20" w:type="dxa"/>
            </w:tcMar>
          </w:tcPr>
          <w:p w14:paraId="110F8BDE" w14:textId="77777777" w:rsidR="00932EB3" w:rsidRPr="007E7F8F" w:rsidRDefault="00932EB3" w:rsidP="00932EB3">
            <w:pPr>
              <w:pStyle w:val="T1TableStyle"/>
              <w:jc w:val="center"/>
              <w:rPr>
                <w:rFonts w:ascii="Verdana" w:eastAsia="Verdana" w:hAnsi="Verdana" w:cs="Verdana"/>
                <w:color w:val="595959" w:themeColor="text1" w:themeTint="A6"/>
                <w:sz w:val="16"/>
                <w:szCs w:val="16"/>
                <w:lang w:val="en-GB"/>
              </w:rPr>
            </w:pPr>
            <w:r w:rsidRPr="007E7F8F">
              <w:rPr>
                <w:rFonts w:ascii="Verdana" w:eastAsia="Verdana" w:hAnsi="Verdana" w:cs="Verdana"/>
                <w:color w:val="595959" w:themeColor="text1" w:themeTint="A6"/>
                <w:sz w:val="16"/>
                <w:szCs w:val="16"/>
                <w:lang w:val="en-GB"/>
              </w:rPr>
              <w:t>36</w:t>
            </w:r>
          </w:p>
        </w:tc>
        <w:tc>
          <w:tcPr>
            <w:tcW w:w="5656" w:type="dxa"/>
            <w:shd w:val="clear" w:color="auto" w:fill="auto"/>
            <w:tcMar>
              <w:top w:w="20" w:type="dxa"/>
              <w:left w:w="20" w:type="dxa"/>
              <w:bottom w:w="20" w:type="dxa"/>
              <w:right w:w="20" w:type="dxa"/>
            </w:tcMar>
          </w:tcPr>
          <w:p w14:paraId="1C757734" w14:textId="77777777" w:rsidR="00932EB3" w:rsidRPr="007E7F8F" w:rsidRDefault="00932EB3" w:rsidP="00932EB3">
            <w:pPr>
              <w:pStyle w:val="T1TableStyle"/>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Net cash flows from investing activities</w:t>
            </w:r>
          </w:p>
        </w:tc>
        <w:tc>
          <w:tcPr>
            <w:tcW w:w="1684" w:type="dxa"/>
            <w:shd w:val="clear" w:color="auto" w:fill="auto"/>
            <w:tcMar>
              <w:top w:w="20" w:type="dxa"/>
              <w:left w:w="20" w:type="dxa"/>
              <w:bottom w:w="20" w:type="dxa"/>
              <w:right w:w="20" w:type="dxa"/>
            </w:tcMar>
          </w:tcPr>
          <w:p w14:paraId="616AB82A" w14:textId="0D33B9B2" w:rsidR="00932EB3" w:rsidRPr="007E7F8F" w:rsidRDefault="007A020F">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10,</w:t>
            </w:r>
            <w:r w:rsidR="006F692F">
              <w:rPr>
                <w:rFonts w:ascii="Verdana" w:eastAsia="Verdana" w:hAnsi="Verdana" w:cs="Verdana"/>
                <w:color w:val="000000"/>
                <w:sz w:val="16"/>
                <w:szCs w:val="22"/>
                <w:lang w:val="en-GB"/>
              </w:rPr>
              <w:t>3</w:t>
            </w:r>
            <w:r w:rsidR="00D87588">
              <w:rPr>
                <w:rFonts w:ascii="Verdana" w:eastAsia="Verdana" w:hAnsi="Verdana" w:cs="Verdana"/>
                <w:color w:val="000000"/>
                <w:sz w:val="16"/>
                <w:szCs w:val="22"/>
                <w:lang w:val="en-GB"/>
              </w:rPr>
              <w:t>7</w:t>
            </w:r>
            <w:r w:rsidR="006F692F">
              <w:rPr>
                <w:rFonts w:ascii="Verdana" w:eastAsia="Verdana" w:hAnsi="Verdana" w:cs="Verdana"/>
                <w:color w:val="000000"/>
                <w:sz w:val="16"/>
                <w:szCs w:val="22"/>
                <w:lang w:val="en-GB"/>
              </w:rPr>
              <w:t>7</w:t>
            </w:r>
          </w:p>
        </w:tc>
        <w:tc>
          <w:tcPr>
            <w:tcW w:w="1911" w:type="dxa"/>
            <w:shd w:val="clear" w:color="auto" w:fill="auto"/>
            <w:tcMar>
              <w:top w:w="20" w:type="dxa"/>
              <w:left w:w="20" w:type="dxa"/>
              <w:bottom w:w="20" w:type="dxa"/>
              <w:right w:w="20" w:type="dxa"/>
            </w:tcMar>
          </w:tcPr>
          <w:p w14:paraId="56281EE3" w14:textId="14679212" w:rsidR="00932EB3" w:rsidRPr="007E7F8F" w:rsidRDefault="007E7F8F" w:rsidP="00932EB3">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10,</w:t>
            </w:r>
            <w:r w:rsidR="006F692F">
              <w:rPr>
                <w:rFonts w:ascii="Verdana" w:eastAsia="Verdana" w:hAnsi="Verdana" w:cs="Verdana"/>
                <w:color w:val="000000"/>
                <w:sz w:val="16"/>
                <w:szCs w:val="22"/>
                <w:lang w:val="en-GB"/>
              </w:rPr>
              <w:t>377</w:t>
            </w:r>
          </w:p>
        </w:tc>
      </w:tr>
      <w:tr w:rsidR="00932EB3" w:rsidRPr="007E7F8F" w14:paraId="6DF7FC4A" w14:textId="77777777" w:rsidTr="0074695B">
        <w:trPr>
          <w:trHeight w:val="221"/>
          <w:jc w:val="center"/>
        </w:trPr>
        <w:tc>
          <w:tcPr>
            <w:tcW w:w="1684" w:type="dxa"/>
            <w:shd w:val="clear" w:color="auto" w:fill="auto"/>
            <w:tcMar>
              <w:top w:w="20" w:type="dxa"/>
              <w:left w:w="20" w:type="dxa"/>
              <w:bottom w:w="20" w:type="dxa"/>
              <w:right w:w="20" w:type="dxa"/>
            </w:tcMar>
          </w:tcPr>
          <w:p w14:paraId="19C94732" w14:textId="77777777" w:rsidR="00932EB3" w:rsidRPr="007E7F8F" w:rsidRDefault="00932EB3" w:rsidP="00932EB3">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89</w:t>
            </w:r>
          </w:p>
        </w:tc>
        <w:tc>
          <w:tcPr>
            <w:tcW w:w="1607" w:type="dxa"/>
            <w:shd w:val="clear" w:color="auto" w:fill="auto"/>
            <w:tcMar>
              <w:top w:w="20" w:type="dxa"/>
              <w:left w:w="20" w:type="dxa"/>
              <w:bottom w:w="20" w:type="dxa"/>
              <w:right w:w="20" w:type="dxa"/>
            </w:tcMar>
          </w:tcPr>
          <w:p w14:paraId="59BD0089" w14:textId="77777777" w:rsidR="00932EB3" w:rsidRPr="007E7F8F" w:rsidRDefault="00932EB3" w:rsidP="00932EB3">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89</w:t>
            </w:r>
          </w:p>
        </w:tc>
        <w:tc>
          <w:tcPr>
            <w:tcW w:w="323" w:type="dxa"/>
          </w:tcPr>
          <w:p w14:paraId="42CA6A86" w14:textId="77777777" w:rsidR="00932EB3" w:rsidRPr="007E7F8F" w:rsidRDefault="00932EB3" w:rsidP="00932EB3">
            <w:pPr>
              <w:pStyle w:val="T1TableStyle"/>
              <w:jc w:val="center"/>
              <w:rPr>
                <w:rFonts w:ascii="Verdana" w:eastAsia="Verdana" w:hAnsi="Verdana" w:cs="Verdana"/>
                <w:color w:val="000000"/>
                <w:sz w:val="2"/>
                <w:szCs w:val="22"/>
                <w:lang w:val="en-GB"/>
              </w:rPr>
            </w:pPr>
          </w:p>
        </w:tc>
        <w:tc>
          <w:tcPr>
            <w:tcW w:w="850" w:type="dxa"/>
            <w:shd w:val="clear" w:color="auto" w:fill="auto"/>
            <w:tcMar>
              <w:top w:w="20" w:type="dxa"/>
              <w:left w:w="20" w:type="dxa"/>
              <w:bottom w:w="20" w:type="dxa"/>
              <w:right w:w="20" w:type="dxa"/>
            </w:tcMar>
          </w:tcPr>
          <w:p w14:paraId="6A657FF4" w14:textId="77777777" w:rsidR="00932EB3" w:rsidRPr="007E7F8F" w:rsidRDefault="00932EB3" w:rsidP="00932EB3">
            <w:pPr>
              <w:pStyle w:val="T1TableStyle"/>
              <w:jc w:val="center"/>
              <w:rPr>
                <w:rFonts w:ascii="Verdana" w:eastAsia="Verdana" w:hAnsi="Verdana" w:cs="Verdana"/>
                <w:color w:val="595959" w:themeColor="text1" w:themeTint="A6"/>
                <w:sz w:val="16"/>
                <w:szCs w:val="16"/>
                <w:lang w:val="en-GB"/>
              </w:rPr>
            </w:pPr>
            <w:r w:rsidRPr="007E7F8F">
              <w:rPr>
                <w:rFonts w:ascii="Verdana" w:eastAsia="Verdana" w:hAnsi="Verdana" w:cs="Verdana"/>
                <w:color w:val="595959" w:themeColor="text1" w:themeTint="A6"/>
                <w:sz w:val="16"/>
                <w:szCs w:val="16"/>
                <w:lang w:val="en-GB"/>
              </w:rPr>
              <w:t>37</w:t>
            </w:r>
          </w:p>
        </w:tc>
        <w:tc>
          <w:tcPr>
            <w:tcW w:w="5656" w:type="dxa"/>
            <w:shd w:val="clear" w:color="auto" w:fill="auto"/>
            <w:tcMar>
              <w:top w:w="20" w:type="dxa"/>
              <w:left w:w="20" w:type="dxa"/>
              <w:bottom w:w="20" w:type="dxa"/>
              <w:right w:w="20" w:type="dxa"/>
            </w:tcMar>
          </w:tcPr>
          <w:p w14:paraId="52EA9559" w14:textId="77777777" w:rsidR="00932EB3" w:rsidRPr="007E7F8F" w:rsidRDefault="00932EB3" w:rsidP="00932EB3">
            <w:pPr>
              <w:pStyle w:val="T1TableStyle"/>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Net cash flows from financing activities</w:t>
            </w:r>
          </w:p>
        </w:tc>
        <w:tc>
          <w:tcPr>
            <w:tcW w:w="1684" w:type="dxa"/>
            <w:shd w:val="clear" w:color="auto" w:fill="auto"/>
            <w:tcMar>
              <w:top w:w="20" w:type="dxa"/>
              <w:left w:w="20" w:type="dxa"/>
              <w:bottom w:w="20" w:type="dxa"/>
              <w:right w:w="20" w:type="dxa"/>
            </w:tcMar>
          </w:tcPr>
          <w:p w14:paraId="0C704BC8" w14:textId="645B7D0D" w:rsidR="00932EB3" w:rsidRPr="007E7F8F" w:rsidRDefault="006F692F" w:rsidP="00932EB3">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(2,486)</w:t>
            </w:r>
          </w:p>
        </w:tc>
        <w:tc>
          <w:tcPr>
            <w:tcW w:w="1911" w:type="dxa"/>
            <w:shd w:val="clear" w:color="auto" w:fill="auto"/>
            <w:tcMar>
              <w:top w:w="20" w:type="dxa"/>
              <w:left w:w="20" w:type="dxa"/>
              <w:bottom w:w="20" w:type="dxa"/>
              <w:right w:w="20" w:type="dxa"/>
            </w:tcMar>
          </w:tcPr>
          <w:p w14:paraId="4B17DFF8" w14:textId="24D944A0" w:rsidR="00932EB3" w:rsidRPr="007E7F8F" w:rsidRDefault="006F692F" w:rsidP="00932EB3">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(2,486)</w:t>
            </w:r>
          </w:p>
        </w:tc>
      </w:tr>
      <w:tr w:rsidR="00932EB3" w:rsidRPr="007E7F8F" w14:paraId="40B2002E" w14:textId="77777777" w:rsidTr="0074695B">
        <w:trPr>
          <w:trHeight w:val="179"/>
          <w:jc w:val="center"/>
        </w:trPr>
        <w:tc>
          <w:tcPr>
            <w:tcW w:w="1684" w:type="dxa"/>
            <w:tcBorders>
              <w:top w:val="single" w:sz="2" w:space="0" w:color="000000"/>
              <w:bottom w:val="single" w:sz="12" w:space="0" w:color="000000"/>
            </w:tcBorders>
            <w:shd w:val="clear" w:color="auto" w:fill="auto"/>
            <w:tcMar>
              <w:top w:w="20" w:type="dxa"/>
              <w:left w:w="20" w:type="dxa"/>
              <w:bottom w:w="20" w:type="dxa"/>
              <w:right w:w="20" w:type="dxa"/>
            </w:tcMar>
          </w:tcPr>
          <w:p w14:paraId="5D96A2DC" w14:textId="77777777" w:rsidR="00932EB3" w:rsidRPr="007E7F8F" w:rsidRDefault="00932EB3" w:rsidP="00932EB3">
            <w:pPr>
              <w:pStyle w:val="T1TableStyle"/>
              <w:jc w:val="right"/>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2,067</w:t>
            </w:r>
          </w:p>
        </w:tc>
        <w:tc>
          <w:tcPr>
            <w:tcW w:w="1607" w:type="dxa"/>
            <w:tcBorders>
              <w:top w:val="single" w:sz="2" w:space="0" w:color="000000"/>
              <w:bottom w:val="single" w:sz="12" w:space="0" w:color="000000"/>
            </w:tcBorders>
            <w:shd w:val="clear" w:color="auto" w:fill="auto"/>
            <w:tcMar>
              <w:top w:w="20" w:type="dxa"/>
              <w:left w:w="20" w:type="dxa"/>
              <w:bottom w:w="20" w:type="dxa"/>
              <w:right w:w="20" w:type="dxa"/>
            </w:tcMar>
          </w:tcPr>
          <w:p w14:paraId="76F2B50D" w14:textId="77777777" w:rsidR="00932EB3" w:rsidRPr="007E7F8F" w:rsidRDefault="00932EB3" w:rsidP="00932EB3">
            <w:pPr>
              <w:pStyle w:val="T1TableStyle"/>
              <w:jc w:val="right"/>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2,067</w:t>
            </w:r>
          </w:p>
        </w:tc>
        <w:tc>
          <w:tcPr>
            <w:tcW w:w="323" w:type="dxa"/>
            <w:tcBorders>
              <w:top w:val="single" w:sz="2" w:space="0" w:color="000000"/>
              <w:bottom w:val="single" w:sz="12" w:space="0" w:color="000000"/>
            </w:tcBorders>
          </w:tcPr>
          <w:p w14:paraId="58189979" w14:textId="77777777" w:rsidR="00932EB3" w:rsidRPr="007E7F8F" w:rsidRDefault="00932EB3" w:rsidP="00932EB3">
            <w:pPr>
              <w:pStyle w:val="T1TableStyle"/>
              <w:jc w:val="center"/>
              <w:rPr>
                <w:rFonts w:ascii="Verdana" w:eastAsia="Verdana" w:hAnsi="Verdana" w:cs="Verdana"/>
                <w:b/>
                <w:color w:val="000000"/>
                <w:sz w:val="2"/>
                <w:szCs w:val="22"/>
                <w:lang w:val="en-GB"/>
              </w:rPr>
            </w:pPr>
          </w:p>
        </w:tc>
        <w:tc>
          <w:tcPr>
            <w:tcW w:w="850" w:type="dxa"/>
            <w:tcBorders>
              <w:top w:val="single" w:sz="2" w:space="0" w:color="000000"/>
              <w:bottom w:val="single" w:sz="12" w:space="0" w:color="000000"/>
            </w:tcBorders>
            <w:shd w:val="clear" w:color="auto" w:fill="auto"/>
            <w:tcMar>
              <w:top w:w="20" w:type="dxa"/>
              <w:left w:w="20" w:type="dxa"/>
              <w:bottom w:w="20" w:type="dxa"/>
              <w:right w:w="20" w:type="dxa"/>
            </w:tcMar>
          </w:tcPr>
          <w:p w14:paraId="42C4AA92" w14:textId="77777777" w:rsidR="00932EB3" w:rsidRPr="007E7F8F" w:rsidRDefault="00932EB3" w:rsidP="00932EB3">
            <w:pPr>
              <w:pStyle w:val="T1TableStyle"/>
              <w:jc w:val="center"/>
              <w:rPr>
                <w:rFonts w:ascii="Verdana" w:eastAsia="Verdana" w:hAnsi="Verdana" w:cs="Verdana"/>
                <w:b/>
                <w:color w:val="595959" w:themeColor="text1" w:themeTint="A6"/>
                <w:sz w:val="16"/>
                <w:szCs w:val="16"/>
                <w:lang w:val="en-GB"/>
              </w:rPr>
            </w:pPr>
          </w:p>
        </w:tc>
        <w:tc>
          <w:tcPr>
            <w:tcW w:w="5656" w:type="dxa"/>
            <w:tcBorders>
              <w:top w:val="single" w:sz="2" w:space="0" w:color="000000"/>
              <w:bottom w:val="single" w:sz="12" w:space="0" w:color="000000"/>
            </w:tcBorders>
            <w:shd w:val="clear" w:color="auto" w:fill="auto"/>
            <w:tcMar>
              <w:top w:w="20" w:type="dxa"/>
              <w:left w:w="20" w:type="dxa"/>
              <w:bottom w:w="20" w:type="dxa"/>
              <w:right w:w="20" w:type="dxa"/>
            </w:tcMar>
          </w:tcPr>
          <w:p w14:paraId="0DD0874C" w14:textId="77777777" w:rsidR="00932EB3" w:rsidRPr="007E7F8F" w:rsidRDefault="00932EB3" w:rsidP="00932EB3">
            <w:pPr>
              <w:pStyle w:val="T1TableStyle"/>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Net (increase) or decrease in cash and cash equivalents</w:t>
            </w:r>
          </w:p>
        </w:tc>
        <w:tc>
          <w:tcPr>
            <w:tcW w:w="1684" w:type="dxa"/>
            <w:tcBorders>
              <w:top w:val="single" w:sz="2" w:space="0" w:color="000000"/>
              <w:bottom w:val="single" w:sz="12" w:space="0" w:color="000000"/>
            </w:tcBorders>
            <w:shd w:val="clear" w:color="auto" w:fill="auto"/>
            <w:tcMar>
              <w:top w:w="20" w:type="dxa"/>
              <w:left w:w="20" w:type="dxa"/>
              <w:bottom w:w="20" w:type="dxa"/>
              <w:right w:w="20" w:type="dxa"/>
            </w:tcMar>
          </w:tcPr>
          <w:p w14:paraId="13E32370" w14:textId="7CA40EF5" w:rsidR="00932EB3" w:rsidRPr="007E7F8F" w:rsidRDefault="006F692F">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7,891</w:t>
            </w:r>
          </w:p>
        </w:tc>
        <w:tc>
          <w:tcPr>
            <w:tcW w:w="1911" w:type="dxa"/>
            <w:tcBorders>
              <w:top w:val="single" w:sz="2" w:space="0" w:color="000000"/>
              <w:bottom w:val="single" w:sz="12" w:space="0" w:color="000000"/>
            </w:tcBorders>
            <w:shd w:val="clear" w:color="auto" w:fill="auto"/>
            <w:tcMar>
              <w:top w:w="20" w:type="dxa"/>
              <w:left w:w="20" w:type="dxa"/>
              <w:bottom w:w="20" w:type="dxa"/>
              <w:right w:w="20" w:type="dxa"/>
            </w:tcMar>
          </w:tcPr>
          <w:p w14:paraId="0BD33557" w14:textId="487F1281" w:rsidR="00932EB3" w:rsidRPr="007E7F8F" w:rsidRDefault="006F692F">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7,891</w:t>
            </w:r>
          </w:p>
        </w:tc>
      </w:tr>
      <w:tr w:rsidR="00932EB3" w:rsidRPr="007E7F8F" w14:paraId="5A2579EA" w14:textId="77777777" w:rsidTr="0074695B">
        <w:trPr>
          <w:trHeight w:hRule="exact" w:val="221"/>
          <w:jc w:val="center"/>
        </w:trPr>
        <w:tc>
          <w:tcPr>
            <w:tcW w:w="1684" w:type="dxa"/>
            <w:shd w:val="clear" w:color="auto" w:fill="auto"/>
            <w:tcMar>
              <w:top w:w="20" w:type="dxa"/>
              <w:left w:w="20" w:type="dxa"/>
              <w:bottom w:w="20" w:type="dxa"/>
              <w:right w:w="20" w:type="dxa"/>
            </w:tcMar>
          </w:tcPr>
          <w:p w14:paraId="07BDB9AF" w14:textId="77777777" w:rsidR="00932EB3" w:rsidRPr="007E7F8F" w:rsidRDefault="00932EB3" w:rsidP="00932EB3">
            <w:pPr>
              <w:pStyle w:val="T1TableStyle"/>
              <w:jc w:val="center"/>
              <w:rPr>
                <w:rFonts w:ascii="Verdana" w:eastAsia="Verdana" w:hAnsi="Verdana" w:cs="Verdana"/>
                <w:color w:val="000000"/>
                <w:sz w:val="2"/>
                <w:szCs w:val="22"/>
                <w:lang w:val="en-GB"/>
              </w:rPr>
            </w:pPr>
            <w:r w:rsidRPr="007E7F8F">
              <w:rPr>
                <w:rFonts w:ascii="Verdana" w:eastAsia="Verdana" w:hAnsi="Verdana" w:cs="Verdana"/>
                <w:color w:val="000000"/>
                <w:sz w:val="2"/>
                <w:szCs w:val="22"/>
                <w:lang w:val="en-GB"/>
              </w:rPr>
              <w:t xml:space="preserve"> </w:t>
            </w:r>
          </w:p>
        </w:tc>
        <w:tc>
          <w:tcPr>
            <w:tcW w:w="1607" w:type="dxa"/>
            <w:shd w:val="clear" w:color="auto" w:fill="auto"/>
            <w:tcMar>
              <w:top w:w="20" w:type="dxa"/>
              <w:left w:w="20" w:type="dxa"/>
              <w:bottom w:w="20" w:type="dxa"/>
              <w:right w:w="20" w:type="dxa"/>
            </w:tcMar>
          </w:tcPr>
          <w:p w14:paraId="1489214E" w14:textId="77777777" w:rsidR="00932EB3" w:rsidRPr="007E7F8F" w:rsidRDefault="00932EB3" w:rsidP="00932EB3">
            <w:pPr>
              <w:pStyle w:val="T1TableStyle"/>
              <w:jc w:val="center"/>
              <w:rPr>
                <w:rFonts w:ascii="Verdana" w:eastAsia="Verdana" w:hAnsi="Verdana" w:cs="Verdana"/>
                <w:color w:val="000000"/>
                <w:sz w:val="2"/>
                <w:szCs w:val="22"/>
                <w:lang w:val="en-GB"/>
              </w:rPr>
            </w:pPr>
            <w:r w:rsidRPr="007E7F8F">
              <w:rPr>
                <w:rFonts w:ascii="Verdana" w:eastAsia="Verdana" w:hAnsi="Verdana" w:cs="Verdana"/>
                <w:color w:val="000000"/>
                <w:sz w:val="2"/>
                <w:szCs w:val="22"/>
                <w:lang w:val="en-GB"/>
              </w:rPr>
              <w:t xml:space="preserve"> </w:t>
            </w:r>
          </w:p>
        </w:tc>
        <w:tc>
          <w:tcPr>
            <w:tcW w:w="323" w:type="dxa"/>
          </w:tcPr>
          <w:p w14:paraId="6BCF5FAF" w14:textId="77777777" w:rsidR="00932EB3" w:rsidRPr="007E7F8F" w:rsidRDefault="00932EB3" w:rsidP="00932EB3">
            <w:pPr>
              <w:pStyle w:val="T1TableStyle"/>
              <w:jc w:val="center"/>
              <w:rPr>
                <w:rFonts w:ascii="Verdana" w:eastAsia="Verdana" w:hAnsi="Verdana" w:cs="Verdana"/>
                <w:color w:val="000000"/>
                <w:sz w:val="2"/>
                <w:szCs w:val="22"/>
                <w:lang w:val="en-GB"/>
              </w:rPr>
            </w:pPr>
          </w:p>
        </w:tc>
        <w:tc>
          <w:tcPr>
            <w:tcW w:w="850" w:type="dxa"/>
            <w:shd w:val="clear" w:color="auto" w:fill="auto"/>
            <w:tcMar>
              <w:top w:w="20" w:type="dxa"/>
              <w:left w:w="20" w:type="dxa"/>
              <w:bottom w:w="20" w:type="dxa"/>
              <w:right w:w="20" w:type="dxa"/>
            </w:tcMar>
          </w:tcPr>
          <w:p w14:paraId="0D96BF2D" w14:textId="77777777" w:rsidR="00932EB3" w:rsidRPr="007E7F8F" w:rsidRDefault="00932EB3" w:rsidP="00932EB3">
            <w:pPr>
              <w:pStyle w:val="T1TableStyle"/>
              <w:jc w:val="center"/>
              <w:rPr>
                <w:rFonts w:ascii="Verdana" w:eastAsia="Verdana" w:hAnsi="Verdana" w:cs="Verdana"/>
                <w:color w:val="595959" w:themeColor="text1" w:themeTint="A6"/>
                <w:sz w:val="16"/>
                <w:szCs w:val="16"/>
                <w:lang w:val="en-GB"/>
              </w:rPr>
            </w:pPr>
          </w:p>
        </w:tc>
        <w:tc>
          <w:tcPr>
            <w:tcW w:w="5656" w:type="dxa"/>
            <w:shd w:val="clear" w:color="auto" w:fill="auto"/>
            <w:tcMar>
              <w:top w:w="20" w:type="dxa"/>
              <w:left w:w="20" w:type="dxa"/>
              <w:bottom w:w="20" w:type="dxa"/>
              <w:right w:w="20" w:type="dxa"/>
            </w:tcMar>
          </w:tcPr>
          <w:p w14:paraId="6B30EBE6" w14:textId="77777777" w:rsidR="00932EB3" w:rsidRPr="007E7F8F" w:rsidRDefault="00932EB3" w:rsidP="00932EB3">
            <w:pPr>
              <w:pStyle w:val="T1TableStyle"/>
              <w:jc w:val="center"/>
              <w:rPr>
                <w:rFonts w:ascii="Verdana" w:eastAsia="Verdana" w:hAnsi="Verdana" w:cs="Verdana"/>
                <w:color w:val="000000"/>
                <w:sz w:val="2"/>
                <w:szCs w:val="22"/>
                <w:lang w:val="en-GB"/>
              </w:rPr>
            </w:pPr>
            <w:r w:rsidRPr="007E7F8F">
              <w:rPr>
                <w:rFonts w:ascii="Verdana" w:eastAsia="Verdana" w:hAnsi="Verdana" w:cs="Verdana"/>
                <w:color w:val="000000"/>
                <w:sz w:val="2"/>
                <w:szCs w:val="22"/>
                <w:lang w:val="en-GB"/>
              </w:rPr>
              <w:t xml:space="preserve"> </w:t>
            </w:r>
          </w:p>
        </w:tc>
        <w:tc>
          <w:tcPr>
            <w:tcW w:w="1684" w:type="dxa"/>
            <w:shd w:val="clear" w:color="auto" w:fill="auto"/>
            <w:tcMar>
              <w:top w:w="20" w:type="dxa"/>
              <w:left w:w="20" w:type="dxa"/>
              <w:bottom w:w="20" w:type="dxa"/>
              <w:right w:w="20" w:type="dxa"/>
            </w:tcMar>
          </w:tcPr>
          <w:p w14:paraId="4ED6CC7E" w14:textId="77777777" w:rsidR="00932EB3" w:rsidRPr="007E7F8F" w:rsidRDefault="00932EB3" w:rsidP="00932EB3">
            <w:pPr>
              <w:pStyle w:val="T1TableStyle"/>
              <w:jc w:val="center"/>
              <w:rPr>
                <w:rFonts w:ascii="Verdana" w:eastAsia="Verdana" w:hAnsi="Verdana" w:cs="Verdana"/>
                <w:color w:val="000000"/>
                <w:sz w:val="2"/>
                <w:szCs w:val="22"/>
                <w:lang w:val="en-GB"/>
              </w:rPr>
            </w:pPr>
            <w:r w:rsidRPr="007E7F8F">
              <w:rPr>
                <w:rFonts w:ascii="Verdana" w:eastAsia="Verdana" w:hAnsi="Verdana" w:cs="Verdana"/>
                <w:color w:val="000000"/>
                <w:sz w:val="2"/>
                <w:szCs w:val="22"/>
                <w:lang w:val="en-GB"/>
              </w:rPr>
              <w:t xml:space="preserve"> </w:t>
            </w:r>
          </w:p>
        </w:tc>
        <w:tc>
          <w:tcPr>
            <w:tcW w:w="1911" w:type="dxa"/>
            <w:shd w:val="clear" w:color="auto" w:fill="auto"/>
            <w:tcMar>
              <w:top w:w="20" w:type="dxa"/>
              <w:left w:w="20" w:type="dxa"/>
              <w:bottom w:w="20" w:type="dxa"/>
              <w:right w:w="20" w:type="dxa"/>
            </w:tcMar>
          </w:tcPr>
          <w:p w14:paraId="216FD405" w14:textId="77777777" w:rsidR="00932EB3" w:rsidRPr="007E7F8F" w:rsidRDefault="00932EB3" w:rsidP="00932EB3">
            <w:pPr>
              <w:pStyle w:val="T1TableStyle"/>
              <w:jc w:val="center"/>
              <w:rPr>
                <w:rFonts w:ascii="Verdana" w:eastAsia="Verdana" w:hAnsi="Verdana" w:cs="Verdana"/>
                <w:color w:val="000000"/>
                <w:sz w:val="2"/>
                <w:szCs w:val="22"/>
                <w:lang w:val="en-GB"/>
              </w:rPr>
            </w:pPr>
            <w:r w:rsidRPr="007E7F8F">
              <w:rPr>
                <w:rFonts w:ascii="Verdana" w:eastAsia="Verdana" w:hAnsi="Verdana" w:cs="Verdana"/>
                <w:color w:val="000000"/>
                <w:sz w:val="2"/>
                <w:szCs w:val="22"/>
                <w:lang w:val="en-GB"/>
              </w:rPr>
              <w:t xml:space="preserve"> </w:t>
            </w:r>
          </w:p>
        </w:tc>
      </w:tr>
      <w:tr w:rsidR="00932EB3" w:rsidRPr="007E7F8F" w14:paraId="1F087D98" w14:textId="77777777" w:rsidTr="0074695B">
        <w:trPr>
          <w:trHeight w:val="122"/>
          <w:jc w:val="center"/>
        </w:trPr>
        <w:tc>
          <w:tcPr>
            <w:tcW w:w="1684" w:type="dxa"/>
            <w:shd w:val="clear" w:color="auto" w:fill="auto"/>
            <w:tcMar>
              <w:top w:w="20" w:type="dxa"/>
              <w:left w:w="20" w:type="dxa"/>
              <w:bottom w:w="20" w:type="dxa"/>
              <w:right w:w="20" w:type="dxa"/>
            </w:tcMar>
          </w:tcPr>
          <w:p w14:paraId="6AC2E564" w14:textId="77777777" w:rsidR="00932EB3" w:rsidRPr="007E7F8F" w:rsidRDefault="00932EB3" w:rsidP="00932EB3">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14,476</w:t>
            </w:r>
          </w:p>
        </w:tc>
        <w:tc>
          <w:tcPr>
            <w:tcW w:w="1607" w:type="dxa"/>
            <w:shd w:val="clear" w:color="auto" w:fill="auto"/>
            <w:tcMar>
              <w:top w:w="20" w:type="dxa"/>
              <w:left w:w="20" w:type="dxa"/>
              <w:bottom w:w="20" w:type="dxa"/>
              <w:right w:w="20" w:type="dxa"/>
            </w:tcMar>
          </w:tcPr>
          <w:p w14:paraId="51E70FEF" w14:textId="77777777" w:rsidR="00932EB3" w:rsidRPr="007E7F8F" w:rsidRDefault="00932EB3" w:rsidP="00932EB3">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14,476</w:t>
            </w:r>
          </w:p>
        </w:tc>
        <w:tc>
          <w:tcPr>
            <w:tcW w:w="323" w:type="dxa"/>
          </w:tcPr>
          <w:p w14:paraId="285B1F2A" w14:textId="77777777" w:rsidR="00932EB3" w:rsidRPr="007E7F8F" w:rsidRDefault="00932EB3" w:rsidP="00932EB3">
            <w:pPr>
              <w:pStyle w:val="T1TableStyle"/>
              <w:jc w:val="center"/>
              <w:rPr>
                <w:rFonts w:ascii="Verdana" w:eastAsia="Verdana" w:hAnsi="Verdana" w:cs="Verdana"/>
                <w:color w:val="000000"/>
                <w:sz w:val="2"/>
                <w:szCs w:val="22"/>
                <w:lang w:val="en-GB"/>
              </w:rPr>
            </w:pPr>
          </w:p>
        </w:tc>
        <w:tc>
          <w:tcPr>
            <w:tcW w:w="850" w:type="dxa"/>
            <w:shd w:val="clear" w:color="auto" w:fill="auto"/>
            <w:tcMar>
              <w:top w:w="20" w:type="dxa"/>
              <w:left w:w="20" w:type="dxa"/>
              <w:bottom w:w="20" w:type="dxa"/>
              <w:right w:w="20" w:type="dxa"/>
            </w:tcMar>
          </w:tcPr>
          <w:p w14:paraId="4AC751D8" w14:textId="77777777" w:rsidR="00932EB3" w:rsidRPr="007E7F8F" w:rsidRDefault="00932EB3" w:rsidP="00932EB3">
            <w:pPr>
              <w:pStyle w:val="T1TableStyle"/>
              <w:jc w:val="center"/>
              <w:rPr>
                <w:rFonts w:ascii="Verdana" w:eastAsia="Verdana" w:hAnsi="Verdana" w:cs="Verdana"/>
                <w:color w:val="595959" w:themeColor="text1" w:themeTint="A6"/>
                <w:sz w:val="16"/>
                <w:szCs w:val="16"/>
                <w:lang w:val="en-GB"/>
              </w:rPr>
            </w:pPr>
          </w:p>
        </w:tc>
        <w:tc>
          <w:tcPr>
            <w:tcW w:w="5656" w:type="dxa"/>
            <w:shd w:val="clear" w:color="auto" w:fill="auto"/>
            <w:tcMar>
              <w:top w:w="20" w:type="dxa"/>
              <w:left w:w="20" w:type="dxa"/>
              <w:bottom w:w="20" w:type="dxa"/>
              <w:right w:w="20" w:type="dxa"/>
            </w:tcMar>
          </w:tcPr>
          <w:p w14:paraId="5B9B9F2A" w14:textId="77777777" w:rsidR="00932EB3" w:rsidRPr="007E7F8F" w:rsidRDefault="00932EB3" w:rsidP="00932EB3">
            <w:pPr>
              <w:pStyle w:val="T1TableStyle"/>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Cash and cash equivalents at the beginning of the reporting period</w:t>
            </w:r>
          </w:p>
        </w:tc>
        <w:tc>
          <w:tcPr>
            <w:tcW w:w="1684" w:type="dxa"/>
            <w:shd w:val="clear" w:color="auto" w:fill="auto"/>
            <w:tcMar>
              <w:top w:w="20" w:type="dxa"/>
              <w:left w:w="20" w:type="dxa"/>
              <w:bottom w:w="20" w:type="dxa"/>
              <w:right w:w="20" w:type="dxa"/>
            </w:tcMar>
          </w:tcPr>
          <w:p w14:paraId="7C35E3F9" w14:textId="77777777" w:rsidR="00932EB3" w:rsidRPr="007E7F8F" w:rsidRDefault="007A020F" w:rsidP="00932EB3">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12,409</w:t>
            </w:r>
          </w:p>
        </w:tc>
        <w:tc>
          <w:tcPr>
            <w:tcW w:w="1911" w:type="dxa"/>
            <w:shd w:val="clear" w:color="auto" w:fill="auto"/>
            <w:tcMar>
              <w:top w:w="20" w:type="dxa"/>
              <w:left w:w="20" w:type="dxa"/>
              <w:bottom w:w="20" w:type="dxa"/>
              <w:right w:w="20" w:type="dxa"/>
            </w:tcMar>
          </w:tcPr>
          <w:p w14:paraId="3A77BFDE" w14:textId="77777777" w:rsidR="00932EB3" w:rsidRPr="007E7F8F" w:rsidRDefault="007E7F8F" w:rsidP="00932EB3">
            <w:pPr>
              <w:pStyle w:val="T1TableStyle"/>
              <w:jc w:val="right"/>
              <w:rPr>
                <w:rFonts w:ascii="Verdana" w:eastAsia="Verdana" w:hAnsi="Verdana" w:cs="Verdana"/>
                <w:color w:val="000000"/>
                <w:sz w:val="16"/>
                <w:szCs w:val="22"/>
                <w:lang w:val="en-GB"/>
              </w:rPr>
            </w:pPr>
            <w:r w:rsidRPr="007E7F8F">
              <w:rPr>
                <w:rFonts w:ascii="Verdana" w:eastAsia="Verdana" w:hAnsi="Verdana" w:cs="Verdana"/>
                <w:color w:val="000000"/>
                <w:sz w:val="16"/>
                <w:szCs w:val="22"/>
                <w:lang w:val="en-GB"/>
              </w:rPr>
              <w:t>12,409</w:t>
            </w:r>
          </w:p>
        </w:tc>
      </w:tr>
      <w:tr w:rsidR="00932EB3" w:rsidRPr="007E7F8F" w14:paraId="7375ECB3" w14:textId="77777777" w:rsidTr="0074695B">
        <w:trPr>
          <w:trHeight w:val="177"/>
          <w:jc w:val="center"/>
        </w:trPr>
        <w:tc>
          <w:tcPr>
            <w:tcW w:w="1684" w:type="dxa"/>
            <w:tcBorders>
              <w:top w:val="single" w:sz="2" w:space="0" w:color="000000"/>
              <w:bottom w:val="single" w:sz="12" w:space="0" w:color="000000"/>
            </w:tcBorders>
            <w:shd w:val="clear" w:color="auto" w:fill="auto"/>
            <w:tcMar>
              <w:top w:w="20" w:type="dxa"/>
              <w:left w:w="20" w:type="dxa"/>
              <w:bottom w:w="20" w:type="dxa"/>
              <w:right w:w="20" w:type="dxa"/>
            </w:tcMar>
          </w:tcPr>
          <w:p w14:paraId="23C6F0CF" w14:textId="77777777" w:rsidR="00932EB3" w:rsidRPr="007E7F8F" w:rsidRDefault="00932EB3" w:rsidP="00932EB3">
            <w:pPr>
              <w:pStyle w:val="T1TableStyle"/>
              <w:jc w:val="right"/>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12</w:t>
            </w:r>
            <w:r w:rsidR="0074695B" w:rsidRPr="007E7F8F">
              <w:rPr>
                <w:rFonts w:ascii="Verdana" w:eastAsia="Verdana" w:hAnsi="Verdana" w:cs="Verdana"/>
                <w:b/>
                <w:color w:val="000000"/>
                <w:sz w:val="16"/>
                <w:szCs w:val="22"/>
                <w:lang w:val="en-GB"/>
              </w:rPr>
              <w:t>,</w:t>
            </w:r>
            <w:r w:rsidRPr="007E7F8F">
              <w:rPr>
                <w:rFonts w:ascii="Verdana" w:eastAsia="Verdana" w:hAnsi="Verdana" w:cs="Verdana"/>
                <w:b/>
                <w:color w:val="000000"/>
                <w:sz w:val="16"/>
                <w:szCs w:val="22"/>
                <w:lang w:val="en-GB"/>
              </w:rPr>
              <w:t xml:space="preserve">409                      </w:t>
            </w:r>
          </w:p>
        </w:tc>
        <w:tc>
          <w:tcPr>
            <w:tcW w:w="1607" w:type="dxa"/>
            <w:tcBorders>
              <w:top w:val="single" w:sz="2" w:space="0" w:color="000000"/>
              <w:bottom w:val="single" w:sz="12" w:space="0" w:color="000000"/>
            </w:tcBorders>
            <w:shd w:val="clear" w:color="auto" w:fill="auto"/>
            <w:tcMar>
              <w:top w:w="20" w:type="dxa"/>
              <w:left w:w="20" w:type="dxa"/>
              <w:bottom w:w="20" w:type="dxa"/>
              <w:right w:w="20" w:type="dxa"/>
            </w:tcMar>
          </w:tcPr>
          <w:p w14:paraId="2210FEB5" w14:textId="77777777" w:rsidR="00932EB3" w:rsidRPr="007E7F8F" w:rsidRDefault="00932EB3" w:rsidP="0074695B">
            <w:pPr>
              <w:pStyle w:val="T1TableStyle"/>
              <w:tabs>
                <w:tab w:val="center" w:pos="595"/>
                <w:tab w:val="right" w:pos="1190"/>
              </w:tabs>
              <w:jc w:val="right"/>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 xml:space="preserve">         12</w:t>
            </w:r>
            <w:r w:rsidR="0074695B" w:rsidRPr="007E7F8F">
              <w:rPr>
                <w:rFonts w:ascii="Verdana" w:eastAsia="Verdana" w:hAnsi="Verdana" w:cs="Verdana"/>
                <w:b/>
                <w:color w:val="000000"/>
                <w:sz w:val="16"/>
                <w:szCs w:val="22"/>
                <w:lang w:val="en-GB"/>
              </w:rPr>
              <w:t>,</w:t>
            </w:r>
            <w:r w:rsidRPr="007E7F8F">
              <w:rPr>
                <w:rFonts w:ascii="Verdana" w:eastAsia="Verdana" w:hAnsi="Verdana" w:cs="Verdana"/>
                <w:b/>
                <w:color w:val="000000"/>
                <w:sz w:val="16"/>
                <w:szCs w:val="22"/>
                <w:lang w:val="en-GB"/>
              </w:rPr>
              <w:t>409</w:t>
            </w:r>
          </w:p>
        </w:tc>
        <w:tc>
          <w:tcPr>
            <w:tcW w:w="323" w:type="dxa"/>
            <w:tcBorders>
              <w:top w:val="single" w:sz="2" w:space="0" w:color="000000"/>
              <w:bottom w:val="single" w:sz="12" w:space="0" w:color="000000"/>
            </w:tcBorders>
          </w:tcPr>
          <w:p w14:paraId="01082080" w14:textId="77777777" w:rsidR="00932EB3" w:rsidRPr="007E7F8F" w:rsidRDefault="00932EB3" w:rsidP="00932EB3">
            <w:pPr>
              <w:pStyle w:val="T1TableStyle"/>
              <w:jc w:val="center"/>
              <w:rPr>
                <w:rFonts w:ascii="Verdana" w:eastAsia="Verdana" w:hAnsi="Verdana" w:cs="Verdana"/>
                <w:b/>
                <w:color w:val="000000"/>
                <w:sz w:val="2"/>
                <w:szCs w:val="22"/>
                <w:lang w:val="en-GB"/>
              </w:rPr>
            </w:pPr>
          </w:p>
        </w:tc>
        <w:tc>
          <w:tcPr>
            <w:tcW w:w="850" w:type="dxa"/>
            <w:tcBorders>
              <w:top w:val="single" w:sz="2" w:space="0" w:color="000000"/>
              <w:bottom w:val="single" w:sz="12" w:space="0" w:color="000000"/>
            </w:tcBorders>
            <w:shd w:val="clear" w:color="auto" w:fill="auto"/>
            <w:tcMar>
              <w:top w:w="20" w:type="dxa"/>
              <w:left w:w="20" w:type="dxa"/>
              <w:bottom w:w="20" w:type="dxa"/>
              <w:right w:w="20" w:type="dxa"/>
            </w:tcMar>
          </w:tcPr>
          <w:p w14:paraId="2FD39190" w14:textId="77777777" w:rsidR="00932EB3" w:rsidRPr="007E7F8F" w:rsidRDefault="00932EB3" w:rsidP="00932EB3">
            <w:pPr>
              <w:pStyle w:val="T1TableStyle"/>
              <w:jc w:val="center"/>
              <w:rPr>
                <w:rFonts w:ascii="Verdana" w:eastAsia="Verdana" w:hAnsi="Verdana" w:cs="Verdana"/>
                <w:b/>
                <w:color w:val="595959" w:themeColor="text1" w:themeTint="A6"/>
                <w:sz w:val="16"/>
                <w:szCs w:val="16"/>
                <w:lang w:val="en-GB"/>
              </w:rPr>
            </w:pPr>
            <w:r w:rsidRPr="007E7F8F">
              <w:rPr>
                <w:rFonts w:ascii="Verdana" w:eastAsia="Verdana" w:hAnsi="Verdana" w:cs="Verdana"/>
                <w:b/>
                <w:color w:val="595959" w:themeColor="text1" w:themeTint="A6"/>
                <w:sz w:val="16"/>
                <w:szCs w:val="16"/>
                <w:lang w:val="en-GB"/>
              </w:rPr>
              <w:t>14</w:t>
            </w:r>
          </w:p>
        </w:tc>
        <w:tc>
          <w:tcPr>
            <w:tcW w:w="5656" w:type="dxa"/>
            <w:tcBorders>
              <w:top w:val="single" w:sz="2" w:space="0" w:color="000000"/>
              <w:bottom w:val="single" w:sz="12" w:space="0" w:color="000000"/>
            </w:tcBorders>
            <w:shd w:val="clear" w:color="auto" w:fill="auto"/>
            <w:tcMar>
              <w:top w:w="20" w:type="dxa"/>
              <w:left w:w="20" w:type="dxa"/>
              <w:bottom w:w="20" w:type="dxa"/>
              <w:right w:w="20" w:type="dxa"/>
            </w:tcMar>
          </w:tcPr>
          <w:p w14:paraId="62840A97" w14:textId="77777777" w:rsidR="00932EB3" w:rsidRPr="007E7F8F" w:rsidRDefault="00932EB3" w:rsidP="00932EB3">
            <w:pPr>
              <w:pStyle w:val="T1TableStyle"/>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Cash and cash equivalents at the end of the reporting period</w:t>
            </w:r>
          </w:p>
        </w:tc>
        <w:tc>
          <w:tcPr>
            <w:tcW w:w="1684" w:type="dxa"/>
            <w:tcBorders>
              <w:top w:val="single" w:sz="2" w:space="0" w:color="000000"/>
              <w:bottom w:val="single" w:sz="12" w:space="0" w:color="000000"/>
            </w:tcBorders>
            <w:shd w:val="clear" w:color="auto" w:fill="auto"/>
            <w:tcMar>
              <w:top w:w="20" w:type="dxa"/>
              <w:left w:w="20" w:type="dxa"/>
              <w:bottom w:w="20" w:type="dxa"/>
              <w:right w:w="20" w:type="dxa"/>
            </w:tcMar>
          </w:tcPr>
          <w:p w14:paraId="7E9740EB" w14:textId="77777777" w:rsidR="00932EB3" w:rsidRPr="007E7F8F" w:rsidRDefault="007A020F" w:rsidP="00932EB3">
            <w:pPr>
              <w:pStyle w:val="T1TableStyle"/>
              <w:jc w:val="right"/>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1</w:t>
            </w:r>
            <w:r w:rsidR="007E7F8F" w:rsidRPr="007E7F8F">
              <w:rPr>
                <w:rFonts w:ascii="Verdana" w:eastAsia="Verdana" w:hAnsi="Verdana" w:cs="Verdana"/>
                <w:b/>
                <w:color w:val="000000"/>
                <w:sz w:val="16"/>
                <w:szCs w:val="22"/>
                <w:lang w:val="en-GB"/>
              </w:rPr>
              <w:t>2,680</w:t>
            </w:r>
          </w:p>
        </w:tc>
        <w:tc>
          <w:tcPr>
            <w:tcW w:w="1911" w:type="dxa"/>
            <w:tcBorders>
              <w:top w:val="single" w:sz="2" w:space="0" w:color="000000"/>
              <w:bottom w:val="single" w:sz="12" w:space="0" w:color="000000"/>
            </w:tcBorders>
            <w:shd w:val="clear" w:color="auto" w:fill="auto"/>
            <w:tcMar>
              <w:top w:w="20" w:type="dxa"/>
              <w:left w:w="20" w:type="dxa"/>
              <w:bottom w:w="20" w:type="dxa"/>
              <w:right w:w="20" w:type="dxa"/>
            </w:tcMar>
          </w:tcPr>
          <w:p w14:paraId="0BA27BD9" w14:textId="77777777" w:rsidR="00932EB3" w:rsidRPr="007E7F8F" w:rsidRDefault="007E7F8F" w:rsidP="0074695B">
            <w:pPr>
              <w:pStyle w:val="T1TableStyle"/>
              <w:tabs>
                <w:tab w:val="center" w:pos="595"/>
                <w:tab w:val="right" w:pos="1190"/>
              </w:tabs>
              <w:jc w:val="right"/>
              <w:rPr>
                <w:rFonts w:ascii="Verdana" w:eastAsia="Verdana" w:hAnsi="Verdana" w:cs="Verdana"/>
                <w:b/>
                <w:color w:val="000000"/>
                <w:sz w:val="16"/>
                <w:szCs w:val="22"/>
                <w:lang w:val="en-GB"/>
              </w:rPr>
            </w:pPr>
            <w:r w:rsidRPr="007E7F8F">
              <w:rPr>
                <w:rFonts w:ascii="Verdana" w:eastAsia="Verdana" w:hAnsi="Verdana" w:cs="Verdana"/>
                <w:b/>
                <w:color w:val="000000"/>
                <w:sz w:val="16"/>
                <w:szCs w:val="22"/>
                <w:lang w:val="en-GB"/>
              </w:rPr>
              <w:tab/>
              <w:t xml:space="preserve">             12,680</w:t>
            </w:r>
          </w:p>
        </w:tc>
      </w:tr>
    </w:tbl>
    <w:p w14:paraId="0E068A10" w14:textId="77777777" w:rsidR="00763D21" w:rsidRDefault="00763D21" w:rsidP="00763D21">
      <w:pPr>
        <w:pStyle w:val="Normal0"/>
        <w:spacing w:after="160" w:line="259" w:lineRule="auto"/>
        <w:jc w:val="both"/>
        <w:rPr>
          <w:rFonts w:ascii="Verdana" w:eastAsia="Calibri" w:hAnsi="Verdana" w:cs="Arial"/>
          <w:sz w:val="22"/>
          <w:szCs w:val="22"/>
          <w:highlight w:val="yellow"/>
          <w:lang w:val="pt-BR"/>
        </w:rPr>
      </w:pPr>
    </w:p>
    <w:p w14:paraId="2BEB452E" w14:textId="77777777" w:rsidR="00763D21" w:rsidRPr="007A020F" w:rsidRDefault="00763D21" w:rsidP="00763D21">
      <w:pPr>
        <w:pStyle w:val="Normal0"/>
        <w:spacing w:after="160" w:line="259" w:lineRule="auto"/>
        <w:jc w:val="both"/>
        <w:rPr>
          <w:rFonts w:ascii="Verdana" w:hAnsi="Verdana"/>
          <w:sz w:val="22"/>
          <w:szCs w:val="22"/>
          <w:lang w:val="pt-BR"/>
        </w:rPr>
      </w:pPr>
      <w:r w:rsidRPr="007A020F">
        <w:rPr>
          <w:rFonts w:ascii="Verdana" w:eastAsia="Calibri" w:hAnsi="Verdana" w:cs="Arial"/>
          <w:sz w:val="22"/>
          <w:szCs w:val="22"/>
          <w:lang w:val="pt-BR"/>
        </w:rPr>
        <w:t xml:space="preserve">The Chief Constable does not have any cash-flows for the year, since all payments were made from the Police Fund which is held by the Police and Crime Commissioner for Surrey (PCC).  Similarly all income receipts and funding are received by the PCC during the year.  The financial consequences of the operational activities do impact on the net surplus/deficit on the provision of services and adjustments to that net surplus/deficit on provision of services for non-cash movements. </w:t>
      </w:r>
    </w:p>
    <w:p w14:paraId="7BC9C67B" w14:textId="77777777" w:rsidR="00D94E2D" w:rsidRPr="003516A4" w:rsidRDefault="00D94E2D" w:rsidP="00D91109">
      <w:pPr>
        <w:pStyle w:val="Heading1"/>
        <w:tabs>
          <w:tab w:val="left" w:pos="8578"/>
        </w:tabs>
        <w:rPr>
          <w:highlight w:val="yellow"/>
          <w:lang w:val="en-AU"/>
        </w:rPr>
      </w:pPr>
    </w:p>
    <w:p w14:paraId="06D0558C" w14:textId="77777777" w:rsidR="00763D21" w:rsidRDefault="00CA6653" w:rsidP="00A31A9E">
      <w:pPr>
        <w:pStyle w:val="Heading1"/>
        <w:rPr>
          <w:highlight w:val="yellow"/>
          <w:lang w:val="en-AU"/>
        </w:rPr>
        <w:sectPr w:rsidR="00763D21" w:rsidSect="00763D21">
          <w:type w:val="nextColumn"/>
          <w:pgSz w:w="16840" w:h="11900" w:orient="landscape"/>
          <w:pgMar w:top="720" w:right="720" w:bottom="720" w:left="720" w:header="709" w:footer="709" w:gutter="0"/>
          <w:cols w:space="708"/>
          <w:docGrid w:linePitch="360"/>
        </w:sectPr>
      </w:pPr>
      <w:r w:rsidRPr="003516A4">
        <w:rPr>
          <w:highlight w:val="yellow"/>
          <w:lang w:val="en-AU"/>
        </w:rPr>
        <w:br w:type="page"/>
      </w:r>
    </w:p>
    <w:p w14:paraId="016E8EE4" w14:textId="77777777" w:rsidR="00CA6653" w:rsidRPr="00D0023A" w:rsidRDefault="00CA6653" w:rsidP="00A31A9E">
      <w:pPr>
        <w:pStyle w:val="Heading1"/>
      </w:pPr>
      <w:bookmarkStart w:id="15" w:name="_Toc75122769"/>
      <w:r w:rsidRPr="00D0023A">
        <w:t>Note 1 - Critical Judgements in Applying Accounting Policies</w:t>
      </w:r>
      <w:bookmarkEnd w:id="15"/>
      <w:r w:rsidRPr="00D0023A">
        <w:t xml:space="preserve"> </w:t>
      </w:r>
    </w:p>
    <w:p w14:paraId="096C68B2" w14:textId="77777777" w:rsidR="00491740" w:rsidRPr="00D0023A" w:rsidRDefault="00491740" w:rsidP="00491740">
      <w:pPr>
        <w:pStyle w:val="Normal0"/>
        <w:spacing w:after="160"/>
        <w:jc w:val="both"/>
        <w:rPr>
          <w:rFonts w:ascii="Verdana" w:eastAsia="Verdana" w:hAnsi="Verdana" w:cs="Verdana"/>
          <w:sz w:val="22"/>
          <w:szCs w:val="22"/>
          <w:lang w:val="en-GB"/>
        </w:rPr>
      </w:pPr>
      <w:r w:rsidRPr="00D0023A">
        <w:rPr>
          <w:rFonts w:ascii="Verdana" w:eastAsia="Verdana" w:hAnsi="Verdana" w:cs="Verdana"/>
          <w:sz w:val="22"/>
          <w:szCs w:val="22"/>
          <w:lang w:val="en-GB"/>
        </w:rPr>
        <w:t>The preparation of the financial statements requires the Group to make judgements, estimates and assumptions that affect the application of policies and reporting amounts of assets and liabilities, income and expenditure. The estimates and associated assumptions are based on historical experience and various other factors, the results of which form the basis of making judgements about the carrying values of assets and liabilities that are not readily apparent from other sources.</w:t>
      </w:r>
    </w:p>
    <w:p w14:paraId="1EF91A0F" w14:textId="77777777" w:rsidR="00491740" w:rsidRPr="00D0023A" w:rsidRDefault="00491740" w:rsidP="00491740">
      <w:pPr>
        <w:pStyle w:val="Normal0"/>
        <w:spacing w:after="160"/>
        <w:jc w:val="both"/>
        <w:rPr>
          <w:rFonts w:ascii="Verdana" w:eastAsia="Verdana" w:hAnsi="Verdana" w:cs="Verdana"/>
          <w:sz w:val="22"/>
          <w:szCs w:val="22"/>
          <w:lang w:val="en-GB"/>
        </w:rPr>
      </w:pPr>
      <w:r w:rsidRPr="00D0023A">
        <w:rPr>
          <w:rFonts w:ascii="Verdana" w:eastAsia="Verdana" w:hAnsi="Verdana" w:cs="Verdana"/>
          <w:sz w:val="22"/>
          <w:szCs w:val="22"/>
          <w:lang w:val="en-GB"/>
        </w:rPr>
        <w:t xml:space="preserve">In applying the accounting policies set out in </w:t>
      </w:r>
      <w:r w:rsidRPr="003516A4">
        <w:rPr>
          <w:rFonts w:ascii="Verdana" w:eastAsia="Verdana" w:hAnsi="Verdana" w:cs="Verdana"/>
          <w:sz w:val="22"/>
          <w:szCs w:val="22"/>
          <w:highlight w:val="yellow"/>
          <w:lang w:val="en-GB"/>
        </w:rPr>
        <w:t xml:space="preserve">Note </w:t>
      </w:r>
      <w:r w:rsidR="006906A3" w:rsidRPr="003516A4">
        <w:rPr>
          <w:rFonts w:ascii="Verdana" w:eastAsia="Verdana" w:hAnsi="Verdana" w:cs="Verdana"/>
          <w:sz w:val="22"/>
          <w:szCs w:val="22"/>
          <w:highlight w:val="yellow"/>
          <w:lang w:val="en-GB"/>
        </w:rPr>
        <w:t>39</w:t>
      </w:r>
      <w:r w:rsidRPr="003516A4">
        <w:rPr>
          <w:rFonts w:ascii="Verdana" w:eastAsia="Verdana" w:hAnsi="Verdana" w:cs="Verdana"/>
          <w:sz w:val="22"/>
          <w:szCs w:val="22"/>
          <w:highlight w:val="yellow"/>
          <w:lang w:val="en-GB"/>
        </w:rPr>
        <w:t xml:space="preserve">, </w:t>
      </w:r>
      <w:r w:rsidRPr="00D0023A">
        <w:rPr>
          <w:rFonts w:ascii="Verdana" w:eastAsia="Verdana" w:hAnsi="Verdana" w:cs="Verdana"/>
          <w:sz w:val="22"/>
          <w:szCs w:val="22"/>
          <w:lang w:val="en-GB"/>
        </w:rPr>
        <w:t>the Group has had to make certain judgements about complex transactions or those involving uncertainty about future events. The estimates and assumptions are reviewed on an ongoing basis. Revisions to accounting estimates are recognised in the period in which the estimates are revised. Material estimates and assumptions are made in the following cases:</w:t>
      </w:r>
    </w:p>
    <w:p w14:paraId="55696290" w14:textId="77777777" w:rsidR="00CA6653" w:rsidRPr="00D0023A" w:rsidRDefault="00CA6653" w:rsidP="00BA521C">
      <w:pPr>
        <w:pStyle w:val="Normal0"/>
        <w:spacing w:after="160" w:line="257" w:lineRule="auto"/>
        <w:jc w:val="both"/>
        <w:rPr>
          <w:rFonts w:ascii="Verdana" w:eastAsia="Verdana" w:hAnsi="Verdana" w:cs="Verdana"/>
          <w:sz w:val="22"/>
          <w:szCs w:val="22"/>
          <w:lang w:val="en-GB"/>
        </w:rPr>
      </w:pPr>
      <w:r w:rsidRPr="00D0023A">
        <w:rPr>
          <w:rFonts w:ascii="Verdana" w:eastAsia="Verdana" w:hAnsi="Verdana" w:cs="Verdana"/>
          <w:sz w:val="22"/>
          <w:szCs w:val="22"/>
          <w:lang w:val="en-GB"/>
        </w:rPr>
        <w:t>•</w:t>
      </w:r>
      <w:r w:rsidRPr="00D0023A">
        <w:rPr>
          <w:rFonts w:ascii="Verdana" w:eastAsia="Verdana" w:hAnsi="Verdana" w:cs="Verdana"/>
          <w:sz w:val="22"/>
          <w:szCs w:val="22"/>
          <w:lang w:val="en-GB"/>
        </w:rPr>
        <w:tab/>
      </w:r>
      <w:r w:rsidRPr="00D0023A">
        <w:rPr>
          <w:rFonts w:ascii="Verdana" w:eastAsia="Verdana" w:hAnsi="Verdana" w:cs="Verdana"/>
          <w:b/>
          <w:sz w:val="22"/>
          <w:szCs w:val="22"/>
          <w:lang w:val="en-GB"/>
        </w:rPr>
        <w:t>Future levels</w:t>
      </w:r>
      <w:r w:rsidR="00537879" w:rsidRPr="00D0023A">
        <w:rPr>
          <w:rFonts w:ascii="Verdana" w:eastAsia="Verdana" w:hAnsi="Verdana" w:cs="Verdana"/>
          <w:b/>
          <w:sz w:val="22"/>
          <w:szCs w:val="22"/>
          <w:lang w:val="en-GB"/>
        </w:rPr>
        <w:t xml:space="preserve"> of funding for Local Government</w:t>
      </w:r>
      <w:r w:rsidRPr="00D0023A">
        <w:rPr>
          <w:rFonts w:ascii="Verdana" w:eastAsia="Verdana" w:hAnsi="Verdana" w:cs="Verdana"/>
          <w:sz w:val="22"/>
          <w:szCs w:val="22"/>
          <w:lang w:val="en-GB"/>
        </w:rPr>
        <w:t xml:space="preserve"> – there is a degree of uncertainty about future levels of funding for Police and Crime Commissioners. However, the Group has determined that this uncertainty is not yet sufficient to provide an indication that the assets of the Group might be impaired as a result of a need to close facilities and reduce levels of service provision.</w:t>
      </w:r>
    </w:p>
    <w:p w14:paraId="46F71DD8" w14:textId="77777777" w:rsidR="00CA6653" w:rsidRPr="00D0023A" w:rsidRDefault="00CA6653" w:rsidP="00537879">
      <w:pPr>
        <w:pStyle w:val="Normal0"/>
        <w:spacing w:after="160"/>
        <w:jc w:val="both"/>
        <w:rPr>
          <w:rFonts w:ascii="Verdana" w:eastAsia="Verdana" w:hAnsi="Verdana" w:cs="Verdana"/>
          <w:sz w:val="22"/>
          <w:szCs w:val="22"/>
          <w:lang w:val="en-GB"/>
        </w:rPr>
      </w:pPr>
      <w:r w:rsidRPr="00D0023A">
        <w:rPr>
          <w:rFonts w:ascii="Verdana" w:eastAsia="Verdana" w:hAnsi="Verdana" w:cs="Verdana"/>
          <w:sz w:val="22"/>
          <w:szCs w:val="22"/>
          <w:lang w:val="en-GB"/>
        </w:rPr>
        <w:t>•</w:t>
      </w:r>
      <w:r w:rsidRPr="00D0023A">
        <w:rPr>
          <w:rFonts w:ascii="Verdana" w:eastAsia="Verdana" w:hAnsi="Verdana" w:cs="Verdana"/>
          <w:sz w:val="22"/>
          <w:szCs w:val="22"/>
          <w:lang w:val="en-GB"/>
        </w:rPr>
        <w:tab/>
      </w:r>
      <w:r w:rsidRPr="00D0023A">
        <w:rPr>
          <w:rFonts w:ascii="Verdana" w:eastAsia="Verdana" w:hAnsi="Verdana" w:cs="Verdana"/>
          <w:b/>
          <w:sz w:val="22"/>
          <w:szCs w:val="22"/>
          <w:lang w:val="en-GB"/>
        </w:rPr>
        <w:t>Income &amp; Expenditure</w:t>
      </w:r>
      <w:r w:rsidRPr="00D0023A">
        <w:rPr>
          <w:rFonts w:ascii="Verdana" w:eastAsia="Verdana" w:hAnsi="Verdana" w:cs="Verdana"/>
          <w:sz w:val="22"/>
          <w:szCs w:val="22"/>
          <w:lang w:val="en-GB"/>
        </w:rPr>
        <w:t xml:space="preserve"> – a judgement has been made regarding the recognition of income and expenditure </w:t>
      </w:r>
      <w:r w:rsidR="00537879" w:rsidRPr="00D0023A">
        <w:rPr>
          <w:rFonts w:ascii="Verdana" w:eastAsia="Verdana" w:hAnsi="Verdana" w:cs="Verdana"/>
          <w:sz w:val="22"/>
          <w:szCs w:val="22"/>
          <w:lang w:val="en-GB"/>
        </w:rPr>
        <w:t xml:space="preserve">allocated </w:t>
      </w:r>
      <w:r w:rsidRPr="00D0023A">
        <w:rPr>
          <w:rFonts w:ascii="Verdana" w:eastAsia="Verdana" w:hAnsi="Verdana" w:cs="Verdana"/>
          <w:sz w:val="22"/>
          <w:szCs w:val="22"/>
          <w:lang w:val="en-GB"/>
        </w:rPr>
        <w:t>between the Police and Crime Commissioner’s and Chief Constable’s accounts to reflect financial resources of the P</w:t>
      </w:r>
      <w:r w:rsidR="00537879" w:rsidRPr="00D0023A">
        <w:rPr>
          <w:rFonts w:ascii="Verdana" w:eastAsia="Verdana" w:hAnsi="Verdana" w:cs="Verdana"/>
          <w:sz w:val="22"/>
          <w:szCs w:val="22"/>
          <w:lang w:val="en-GB"/>
        </w:rPr>
        <w:t>CC</w:t>
      </w:r>
      <w:r w:rsidRPr="00D0023A">
        <w:rPr>
          <w:rFonts w:ascii="Verdana" w:eastAsia="Verdana" w:hAnsi="Verdana" w:cs="Verdana"/>
          <w:sz w:val="22"/>
          <w:szCs w:val="22"/>
          <w:lang w:val="en-GB"/>
        </w:rPr>
        <w:t xml:space="preserve"> consumed at the request of the Chief Constable.</w:t>
      </w:r>
      <w:r w:rsidR="00537879" w:rsidRPr="00D0023A">
        <w:rPr>
          <w:rFonts w:ascii="Verdana" w:eastAsia="Verdana" w:hAnsi="Verdana" w:cs="Verdana"/>
          <w:sz w:val="22"/>
          <w:szCs w:val="22"/>
          <w:lang w:val="en-GB"/>
        </w:rPr>
        <w:t xml:space="preserve"> The basis adopted for this allocation was determined by the Group in accordance with the subjective activities </w:t>
      </w:r>
      <w:r w:rsidR="00BA521C" w:rsidRPr="00D0023A">
        <w:rPr>
          <w:rFonts w:ascii="Verdana" w:eastAsia="Verdana" w:hAnsi="Verdana" w:cs="Verdana"/>
          <w:sz w:val="22"/>
          <w:szCs w:val="22"/>
          <w:lang w:val="en-GB"/>
        </w:rPr>
        <w:t>for each corporate body included in the CIES. In arriving at this approach, interested parties, including senior management in both corporate bodies were consulted and careful consideration given to the Police Reform and Social Responsibility Act 2011 and Home Office guidance.</w:t>
      </w:r>
      <w:r w:rsidRPr="00D0023A">
        <w:rPr>
          <w:rFonts w:ascii="Verdana" w:eastAsia="Verdana" w:hAnsi="Verdana" w:cs="Verdana"/>
          <w:sz w:val="22"/>
          <w:szCs w:val="22"/>
          <w:lang w:val="en-GB"/>
        </w:rPr>
        <w:t xml:space="preserve"> All income/expenditure is received/paid by the PCC, and no actual cash transaction or events take place between the two entities. </w:t>
      </w:r>
    </w:p>
    <w:p w14:paraId="1140BC71" w14:textId="77777777" w:rsidR="00BA521C" w:rsidRPr="00D0023A" w:rsidRDefault="00CA6653" w:rsidP="00BA521C">
      <w:pPr>
        <w:pStyle w:val="Normal0"/>
        <w:spacing w:after="160" w:line="257" w:lineRule="auto"/>
        <w:jc w:val="both"/>
        <w:rPr>
          <w:rFonts w:ascii="Verdana" w:eastAsia="Verdana" w:hAnsi="Verdana" w:cs="Verdana"/>
          <w:sz w:val="22"/>
          <w:szCs w:val="22"/>
          <w:lang w:val="en-GB"/>
        </w:rPr>
      </w:pPr>
      <w:r w:rsidRPr="00D0023A">
        <w:rPr>
          <w:rFonts w:ascii="Verdana" w:eastAsia="Verdana" w:hAnsi="Verdana" w:cs="Verdana"/>
          <w:sz w:val="22"/>
          <w:szCs w:val="22"/>
          <w:lang w:val="en-GB"/>
        </w:rPr>
        <w:t>•</w:t>
      </w:r>
      <w:r w:rsidRPr="00D0023A">
        <w:rPr>
          <w:rFonts w:ascii="Verdana" w:eastAsia="Verdana" w:hAnsi="Verdana" w:cs="Verdana"/>
          <w:sz w:val="22"/>
          <w:szCs w:val="22"/>
          <w:lang w:val="en-GB"/>
        </w:rPr>
        <w:tab/>
      </w:r>
      <w:r w:rsidRPr="00D0023A">
        <w:rPr>
          <w:rFonts w:ascii="Verdana" w:eastAsia="Verdana" w:hAnsi="Verdana" w:cs="Verdana"/>
          <w:b/>
          <w:sz w:val="22"/>
          <w:szCs w:val="22"/>
          <w:lang w:val="en-GB"/>
        </w:rPr>
        <w:t>Comprehensive Income and Expenditure Statement (CIES)</w:t>
      </w:r>
      <w:r w:rsidRPr="00D0023A">
        <w:rPr>
          <w:rFonts w:ascii="Verdana" w:eastAsia="Verdana" w:hAnsi="Verdana" w:cs="Verdana"/>
          <w:sz w:val="22"/>
          <w:szCs w:val="22"/>
          <w:lang w:val="en-GB"/>
        </w:rPr>
        <w:t xml:space="preserve"> - Under CIPFA guidance the CIES is reported on the basis of organisation structure, reflecting the way in which the organisation operates or manages its services. For </w:t>
      </w:r>
      <w:r w:rsidR="00BA521C" w:rsidRPr="00D0023A">
        <w:rPr>
          <w:rFonts w:ascii="Verdana" w:eastAsia="Verdana" w:hAnsi="Verdana" w:cs="Verdana"/>
          <w:sz w:val="22"/>
          <w:szCs w:val="22"/>
          <w:lang w:val="en-GB"/>
        </w:rPr>
        <w:t xml:space="preserve">the </w:t>
      </w:r>
      <w:r w:rsidRPr="00D0023A">
        <w:rPr>
          <w:rFonts w:ascii="Verdana" w:eastAsia="Verdana" w:hAnsi="Verdana" w:cs="Verdana"/>
          <w:sz w:val="22"/>
          <w:szCs w:val="22"/>
          <w:lang w:val="en-GB"/>
        </w:rPr>
        <w:t xml:space="preserve">Surrey Police </w:t>
      </w:r>
      <w:r w:rsidR="00BA521C" w:rsidRPr="00D0023A">
        <w:rPr>
          <w:rFonts w:ascii="Verdana" w:eastAsia="Verdana" w:hAnsi="Verdana" w:cs="Verdana"/>
          <w:sz w:val="22"/>
          <w:szCs w:val="22"/>
          <w:lang w:val="en-GB"/>
        </w:rPr>
        <w:t xml:space="preserve">Group </w:t>
      </w:r>
      <w:r w:rsidRPr="00D0023A">
        <w:rPr>
          <w:rFonts w:ascii="Verdana" w:eastAsia="Verdana" w:hAnsi="Verdana" w:cs="Verdana"/>
          <w:sz w:val="22"/>
          <w:szCs w:val="22"/>
          <w:lang w:val="en-GB"/>
        </w:rPr>
        <w:t>the CIES has been set out to show costs subjectively, reflecting the reporting basis for the monthly corporate report that is written for both the Chief Officer Group and the PCC.</w:t>
      </w:r>
      <w:r w:rsidR="00BA521C" w:rsidRPr="00D0023A">
        <w:rPr>
          <w:rFonts w:ascii="Verdana" w:eastAsia="Verdana" w:hAnsi="Verdana" w:cs="Verdana"/>
          <w:sz w:val="22"/>
          <w:szCs w:val="22"/>
          <w:lang w:val="en-GB"/>
        </w:rPr>
        <w:t xml:space="preserve"> </w:t>
      </w:r>
    </w:p>
    <w:p w14:paraId="7B89EDC6" w14:textId="77777777" w:rsidR="00CA6653" w:rsidRPr="00D0023A" w:rsidRDefault="00BA521C" w:rsidP="00BA521C">
      <w:pPr>
        <w:pStyle w:val="Normal0"/>
        <w:spacing w:after="160"/>
        <w:jc w:val="both"/>
        <w:rPr>
          <w:rFonts w:ascii="Verdana" w:eastAsia="Verdana" w:hAnsi="Verdana" w:cs="Verdana"/>
          <w:sz w:val="22"/>
          <w:szCs w:val="22"/>
          <w:lang w:val="en-GB"/>
        </w:rPr>
      </w:pPr>
      <w:r w:rsidRPr="00D0023A">
        <w:rPr>
          <w:rFonts w:ascii="Verdana" w:eastAsia="Verdana" w:hAnsi="Verdana" w:cs="Verdana"/>
          <w:sz w:val="22"/>
          <w:szCs w:val="22"/>
          <w:lang w:val="en-GB"/>
        </w:rPr>
        <w:t>•</w:t>
      </w:r>
      <w:r w:rsidRPr="00D0023A">
        <w:rPr>
          <w:rFonts w:ascii="Verdana" w:eastAsia="Verdana" w:hAnsi="Verdana" w:cs="Verdana"/>
          <w:sz w:val="22"/>
          <w:szCs w:val="22"/>
          <w:lang w:val="en-GB"/>
        </w:rPr>
        <w:tab/>
      </w:r>
      <w:r w:rsidRPr="00D0023A">
        <w:rPr>
          <w:rFonts w:ascii="Verdana" w:eastAsia="Verdana" w:hAnsi="Verdana" w:cs="Verdana"/>
          <w:b/>
          <w:sz w:val="22"/>
          <w:szCs w:val="22"/>
          <w:lang w:val="en-GB"/>
        </w:rPr>
        <w:t>Estates strategy</w:t>
      </w:r>
      <w:r w:rsidRPr="00D0023A">
        <w:rPr>
          <w:rFonts w:ascii="Verdana" w:eastAsia="Verdana" w:hAnsi="Verdana" w:cs="Verdana"/>
          <w:sz w:val="22"/>
          <w:szCs w:val="22"/>
          <w:lang w:val="en-GB"/>
        </w:rPr>
        <w:t xml:space="preserve"> – the timing and value of future property sales need to be considered in order to provide funds for future capital programmes and in particular the Building the Future project to develop a new Police HQ.</w:t>
      </w:r>
    </w:p>
    <w:p w14:paraId="7573C401" w14:textId="07A3843C" w:rsidR="00CA6653" w:rsidRPr="00D0023A" w:rsidRDefault="00CA6653" w:rsidP="00537879">
      <w:pPr>
        <w:pStyle w:val="Normal0"/>
        <w:spacing w:after="160"/>
        <w:jc w:val="both"/>
        <w:rPr>
          <w:rFonts w:ascii="Verdana" w:eastAsia="Verdana" w:hAnsi="Verdana" w:cs="Verdana"/>
          <w:sz w:val="22"/>
          <w:szCs w:val="22"/>
          <w:lang w:val="en-GB"/>
        </w:rPr>
      </w:pPr>
      <w:r w:rsidRPr="00D0023A">
        <w:rPr>
          <w:rFonts w:ascii="Verdana" w:eastAsia="Verdana" w:hAnsi="Verdana" w:cs="Verdana"/>
          <w:sz w:val="22"/>
          <w:szCs w:val="22"/>
          <w:lang w:val="en-GB"/>
        </w:rPr>
        <w:t>•</w:t>
      </w:r>
      <w:r w:rsidRPr="00D0023A">
        <w:rPr>
          <w:rFonts w:ascii="Verdana" w:eastAsia="Verdana" w:hAnsi="Verdana" w:cs="Verdana"/>
          <w:sz w:val="22"/>
          <w:szCs w:val="22"/>
          <w:lang w:val="en-GB"/>
        </w:rPr>
        <w:tab/>
      </w:r>
      <w:r w:rsidRPr="00D0023A">
        <w:rPr>
          <w:rFonts w:ascii="Verdana" w:eastAsia="Verdana" w:hAnsi="Verdana" w:cs="Verdana"/>
          <w:b/>
          <w:sz w:val="22"/>
          <w:szCs w:val="22"/>
          <w:lang w:val="en-GB"/>
        </w:rPr>
        <w:t>Asset values</w:t>
      </w:r>
      <w:r w:rsidRPr="00D0023A">
        <w:rPr>
          <w:rFonts w:ascii="Verdana" w:eastAsia="Verdana" w:hAnsi="Verdana" w:cs="Verdana"/>
          <w:sz w:val="22"/>
          <w:szCs w:val="22"/>
          <w:lang w:val="en-GB"/>
        </w:rPr>
        <w:t xml:space="preserve"> – the PCC exercises judgement in determining the carrying value of land and buildings on the PCC/PCC Group Balance Sheet by having valuations on a 5-year</w:t>
      </w:r>
      <w:r w:rsidR="004F3050" w:rsidRPr="00D0023A">
        <w:rPr>
          <w:rFonts w:ascii="Verdana" w:eastAsia="Verdana" w:hAnsi="Verdana" w:cs="Verdana"/>
          <w:sz w:val="22"/>
          <w:szCs w:val="22"/>
          <w:lang w:val="en-GB"/>
        </w:rPr>
        <w:t xml:space="preserve"> rolling</w:t>
      </w:r>
      <w:r w:rsidRPr="00D0023A">
        <w:rPr>
          <w:rFonts w:ascii="Verdana" w:eastAsia="Verdana" w:hAnsi="Verdana" w:cs="Verdana"/>
          <w:sz w:val="22"/>
          <w:szCs w:val="22"/>
          <w:lang w:val="en-GB"/>
        </w:rPr>
        <w:t xml:space="preserve"> basis supplied by external valuers, Bruton Knowles. In addition to valuations, the local market conditions and national data are assessed as to whether there should be changes in asset values</w:t>
      </w:r>
      <w:r w:rsidR="00D0023A" w:rsidRPr="00D0023A">
        <w:rPr>
          <w:rFonts w:ascii="Verdana" w:eastAsia="Verdana" w:hAnsi="Verdana" w:cs="Verdana"/>
          <w:sz w:val="22"/>
          <w:szCs w:val="22"/>
          <w:lang w:val="en-GB"/>
        </w:rPr>
        <w:t xml:space="preserve"> on an annual basis</w:t>
      </w:r>
      <w:r w:rsidRPr="00D0023A">
        <w:rPr>
          <w:rFonts w:ascii="Verdana" w:eastAsia="Verdana" w:hAnsi="Verdana" w:cs="Verdana"/>
          <w:sz w:val="22"/>
          <w:szCs w:val="22"/>
          <w:lang w:val="en-GB"/>
        </w:rPr>
        <w:t xml:space="preserve">. </w:t>
      </w:r>
    </w:p>
    <w:p w14:paraId="4E823A49" w14:textId="77777777" w:rsidR="00BA521C" w:rsidRPr="00D0023A" w:rsidRDefault="006F1D51" w:rsidP="006F1D51">
      <w:pPr>
        <w:pStyle w:val="Normal0"/>
        <w:spacing w:after="160"/>
        <w:jc w:val="both"/>
        <w:rPr>
          <w:rFonts w:ascii="Verdana" w:eastAsia="Verdana" w:hAnsi="Verdana" w:cs="Verdana"/>
          <w:sz w:val="22"/>
          <w:szCs w:val="22"/>
          <w:lang w:val="en-GB"/>
        </w:rPr>
      </w:pPr>
      <w:r w:rsidRPr="00D0023A">
        <w:rPr>
          <w:rFonts w:ascii="Verdana" w:eastAsia="Verdana" w:hAnsi="Verdana" w:cs="Verdana"/>
          <w:sz w:val="22"/>
          <w:szCs w:val="22"/>
          <w:lang w:val="en-GB"/>
        </w:rPr>
        <w:t>•</w:t>
      </w:r>
      <w:r w:rsidRPr="00D0023A">
        <w:rPr>
          <w:rFonts w:ascii="Verdana" w:eastAsia="Verdana" w:hAnsi="Verdana" w:cs="Verdana"/>
          <w:sz w:val="22"/>
          <w:szCs w:val="22"/>
          <w:lang w:val="en-GB"/>
        </w:rPr>
        <w:tab/>
      </w:r>
      <w:r w:rsidRPr="00D0023A">
        <w:rPr>
          <w:rFonts w:ascii="Verdana" w:eastAsia="Verdana" w:hAnsi="Verdana" w:cs="Verdana"/>
          <w:b/>
          <w:sz w:val="22"/>
          <w:szCs w:val="22"/>
          <w:lang w:val="en-GB"/>
        </w:rPr>
        <w:t>Depreciation</w:t>
      </w:r>
      <w:r w:rsidRPr="00D0023A">
        <w:rPr>
          <w:rFonts w:ascii="Verdana" w:eastAsia="Verdana" w:hAnsi="Verdana" w:cs="Verdana"/>
          <w:sz w:val="22"/>
          <w:szCs w:val="22"/>
          <w:lang w:val="en-GB"/>
        </w:rPr>
        <w:t xml:space="preserve"> – Depreciation is calculated based on asset value and expected useful life of the asset. If the useful life of an asset is reduced then the depreciation charge to the CIES will increase. The PCC monitors the useful life of assets to identify where changes to the depreciation charge are required during the year.</w:t>
      </w:r>
    </w:p>
    <w:p w14:paraId="7502D22A" w14:textId="77777777" w:rsidR="00CA6653" w:rsidRPr="004133AF" w:rsidRDefault="00CA6653" w:rsidP="00537879">
      <w:pPr>
        <w:pStyle w:val="Normal0"/>
        <w:spacing w:after="160"/>
        <w:jc w:val="both"/>
        <w:rPr>
          <w:rFonts w:ascii="Verdana" w:eastAsia="Verdana" w:hAnsi="Verdana" w:cs="Verdana"/>
          <w:sz w:val="22"/>
          <w:szCs w:val="22"/>
          <w:lang w:val="en-GB"/>
        </w:rPr>
      </w:pPr>
      <w:r w:rsidRPr="00D0023A">
        <w:rPr>
          <w:rFonts w:ascii="Verdana" w:eastAsia="Verdana" w:hAnsi="Verdana" w:cs="Verdana"/>
          <w:sz w:val="22"/>
          <w:szCs w:val="22"/>
          <w:lang w:val="en-GB"/>
        </w:rPr>
        <w:t>•</w:t>
      </w:r>
      <w:r w:rsidRPr="00D0023A">
        <w:rPr>
          <w:rFonts w:ascii="Verdana" w:eastAsia="Verdana" w:hAnsi="Verdana" w:cs="Verdana"/>
          <w:sz w:val="22"/>
          <w:szCs w:val="22"/>
          <w:lang w:val="en-GB"/>
        </w:rPr>
        <w:tab/>
      </w:r>
      <w:r w:rsidRPr="00D0023A">
        <w:rPr>
          <w:rFonts w:ascii="Verdana" w:eastAsia="Verdana" w:hAnsi="Verdana" w:cs="Verdana"/>
          <w:b/>
          <w:sz w:val="22"/>
          <w:szCs w:val="22"/>
          <w:lang w:val="en-GB"/>
        </w:rPr>
        <w:t>Leases</w:t>
      </w:r>
      <w:r w:rsidRPr="00D0023A">
        <w:rPr>
          <w:rFonts w:ascii="Verdana" w:eastAsia="Verdana" w:hAnsi="Verdana" w:cs="Verdana"/>
          <w:sz w:val="22"/>
          <w:szCs w:val="22"/>
          <w:lang w:val="en-GB"/>
        </w:rPr>
        <w:t xml:space="preserve"> – the PCC has to determine whether the leases it enters should be classified as operating or finance leases. The PCC must also consider whether contractual arrangements it enters into have the substance of a lease.  These judgements are made on the professional opinion of the PCC Group’s accountants and procurement manager based on contract procedure rules and the </w:t>
      </w:r>
      <w:r w:rsidRPr="004133AF">
        <w:rPr>
          <w:rFonts w:ascii="Verdana" w:eastAsia="Verdana" w:hAnsi="Verdana" w:cs="Verdana"/>
          <w:sz w:val="22"/>
          <w:szCs w:val="22"/>
          <w:lang w:val="en-GB"/>
        </w:rPr>
        <w:t>strict criteria set out in International Accounting Standard 17 (IAS 17) relating to leases</w:t>
      </w:r>
      <w:r w:rsidR="006F1D51" w:rsidRPr="004133AF">
        <w:rPr>
          <w:rFonts w:ascii="Verdana" w:eastAsia="Verdana" w:hAnsi="Verdana" w:cs="Verdana"/>
          <w:sz w:val="22"/>
          <w:szCs w:val="22"/>
          <w:lang w:val="en-GB"/>
        </w:rPr>
        <w:t>. These will also need to be considered for IFRS 16 compliance in future years</w:t>
      </w:r>
      <w:r w:rsidRPr="004133AF">
        <w:rPr>
          <w:rFonts w:ascii="Verdana" w:eastAsia="Verdana" w:hAnsi="Verdana" w:cs="Verdana"/>
          <w:sz w:val="22"/>
          <w:szCs w:val="22"/>
          <w:lang w:val="en-GB"/>
        </w:rPr>
        <w:t>.</w:t>
      </w:r>
    </w:p>
    <w:p w14:paraId="084598B0" w14:textId="77777777" w:rsidR="000902BA" w:rsidRPr="004133AF" w:rsidRDefault="000902BA" w:rsidP="000902BA">
      <w:pPr>
        <w:pStyle w:val="Normal0"/>
        <w:spacing w:after="160"/>
        <w:jc w:val="both"/>
        <w:rPr>
          <w:rFonts w:ascii="Verdana" w:eastAsia="Verdana" w:hAnsi="Verdana" w:cs="Verdana"/>
          <w:b/>
          <w:sz w:val="22"/>
          <w:szCs w:val="22"/>
          <w:lang w:val="en-GB"/>
        </w:rPr>
      </w:pPr>
      <w:r w:rsidRPr="004133AF">
        <w:rPr>
          <w:rFonts w:ascii="Verdana" w:eastAsia="Verdana" w:hAnsi="Verdana" w:cs="Verdana"/>
          <w:b/>
          <w:sz w:val="22"/>
          <w:szCs w:val="22"/>
          <w:lang w:val="en-GB"/>
        </w:rPr>
        <w:t>Accruals of Income and Expenditure</w:t>
      </w:r>
    </w:p>
    <w:p w14:paraId="70FF3C20" w14:textId="77777777" w:rsidR="000902BA" w:rsidRPr="004133AF" w:rsidRDefault="000902BA" w:rsidP="000902BA">
      <w:pPr>
        <w:pStyle w:val="Normal0"/>
        <w:spacing w:after="160"/>
        <w:jc w:val="both"/>
        <w:rPr>
          <w:rFonts w:ascii="Verdana" w:eastAsia="Verdana" w:hAnsi="Verdana" w:cs="Verdana"/>
          <w:sz w:val="22"/>
          <w:szCs w:val="22"/>
          <w:lang w:val="en-GB"/>
        </w:rPr>
      </w:pPr>
      <w:r w:rsidRPr="004133AF">
        <w:rPr>
          <w:rFonts w:ascii="Verdana" w:eastAsia="Verdana" w:hAnsi="Verdana" w:cs="Verdana"/>
          <w:sz w:val="22"/>
          <w:szCs w:val="22"/>
          <w:lang w:val="en-GB"/>
        </w:rPr>
        <w:t>Income and Expenditure is accounted for in the year that it takes place, not simply when cash payments are made or received. In particular:</w:t>
      </w:r>
    </w:p>
    <w:p w14:paraId="0AB28D91" w14:textId="77777777" w:rsidR="000902BA" w:rsidRPr="004133AF" w:rsidRDefault="000902BA" w:rsidP="000902BA">
      <w:pPr>
        <w:pStyle w:val="Normal0"/>
        <w:spacing w:after="160" w:line="257" w:lineRule="auto"/>
        <w:jc w:val="both"/>
        <w:rPr>
          <w:rFonts w:ascii="Verdana" w:eastAsia="Verdana" w:hAnsi="Verdana" w:cs="Verdana"/>
          <w:sz w:val="22"/>
          <w:szCs w:val="22"/>
          <w:lang w:val="en-GB"/>
        </w:rPr>
      </w:pPr>
      <w:r w:rsidRPr="004133AF">
        <w:rPr>
          <w:rFonts w:ascii="Verdana" w:eastAsia="Verdana" w:hAnsi="Verdana" w:cs="Verdana"/>
          <w:sz w:val="22"/>
          <w:szCs w:val="22"/>
          <w:lang w:val="en-GB"/>
        </w:rPr>
        <w:t>•</w:t>
      </w:r>
      <w:r w:rsidRPr="004133AF">
        <w:rPr>
          <w:rFonts w:ascii="Verdana" w:eastAsia="Verdana" w:hAnsi="Verdana" w:cs="Verdana"/>
          <w:sz w:val="22"/>
          <w:szCs w:val="22"/>
          <w:lang w:val="en-GB"/>
        </w:rPr>
        <w:tab/>
      </w:r>
      <w:r w:rsidRPr="004133AF">
        <w:rPr>
          <w:rFonts w:ascii="Verdana" w:eastAsia="Verdana" w:hAnsi="Verdana" w:cs="Verdana"/>
          <w:b/>
          <w:sz w:val="22"/>
          <w:szCs w:val="22"/>
          <w:lang w:val="en-GB"/>
        </w:rPr>
        <w:t>Fees, charges and rents due</w:t>
      </w:r>
      <w:r w:rsidRPr="004133AF">
        <w:rPr>
          <w:rFonts w:ascii="Verdana" w:eastAsia="Verdana" w:hAnsi="Verdana" w:cs="Verdana"/>
          <w:sz w:val="22"/>
          <w:szCs w:val="22"/>
          <w:lang w:val="en-GB"/>
        </w:rPr>
        <w:t xml:space="preserve"> are accounted for as income at the date the Police and Crime Commissioner provides the relevant goods or services.</w:t>
      </w:r>
    </w:p>
    <w:p w14:paraId="7EEDA38D" w14:textId="77777777" w:rsidR="000902BA" w:rsidRPr="004133AF" w:rsidRDefault="000902BA" w:rsidP="000902BA">
      <w:pPr>
        <w:pStyle w:val="Normal0"/>
        <w:spacing w:after="160" w:line="257" w:lineRule="auto"/>
        <w:jc w:val="both"/>
        <w:rPr>
          <w:rFonts w:ascii="Verdana" w:eastAsia="Verdana" w:hAnsi="Verdana" w:cs="Verdana"/>
          <w:sz w:val="22"/>
          <w:szCs w:val="22"/>
          <w:lang w:val="en-GB"/>
        </w:rPr>
      </w:pPr>
      <w:r w:rsidRPr="004133AF">
        <w:rPr>
          <w:rFonts w:ascii="Verdana" w:eastAsia="Verdana" w:hAnsi="Verdana" w:cs="Verdana"/>
          <w:sz w:val="22"/>
          <w:szCs w:val="22"/>
          <w:lang w:val="en-GB"/>
        </w:rPr>
        <w:t>•</w:t>
      </w:r>
      <w:r w:rsidRPr="004133AF">
        <w:rPr>
          <w:rFonts w:ascii="Verdana" w:eastAsia="Verdana" w:hAnsi="Verdana" w:cs="Verdana"/>
          <w:sz w:val="22"/>
          <w:szCs w:val="22"/>
          <w:lang w:val="en-GB"/>
        </w:rPr>
        <w:tab/>
        <w:t xml:space="preserve">Where </w:t>
      </w:r>
      <w:r w:rsidRPr="004133AF">
        <w:rPr>
          <w:rFonts w:ascii="Verdana" w:eastAsia="Verdana" w:hAnsi="Verdana" w:cs="Verdana"/>
          <w:b/>
          <w:sz w:val="22"/>
          <w:szCs w:val="22"/>
          <w:lang w:val="en-GB"/>
        </w:rPr>
        <w:t>income and expenditure is recognised but cash has not been received or paid</w:t>
      </w:r>
      <w:r w:rsidRPr="004133AF">
        <w:rPr>
          <w:rFonts w:ascii="Verdana" w:eastAsia="Verdana" w:hAnsi="Verdana" w:cs="Verdana"/>
          <w:sz w:val="22"/>
          <w:szCs w:val="22"/>
          <w:lang w:val="en-GB"/>
        </w:rPr>
        <w:t>, a debtor or creditor for the relevant year is recorded in the Balance Sheet.  Estimates are used when appropriate based on expectation, experience, relevant documentary evidence and other support such as advice from specialist consultants.</w:t>
      </w:r>
    </w:p>
    <w:p w14:paraId="7DA85B0B" w14:textId="77777777" w:rsidR="000902BA" w:rsidRPr="004133AF" w:rsidRDefault="000902BA" w:rsidP="000902BA">
      <w:pPr>
        <w:pStyle w:val="Normal0"/>
        <w:spacing w:after="160" w:line="257" w:lineRule="auto"/>
        <w:jc w:val="both"/>
        <w:rPr>
          <w:rFonts w:ascii="Verdana" w:eastAsia="Verdana" w:hAnsi="Verdana" w:cs="Verdana"/>
          <w:sz w:val="22"/>
          <w:szCs w:val="22"/>
          <w:lang w:val="en-GB"/>
        </w:rPr>
      </w:pPr>
      <w:r w:rsidRPr="004133AF">
        <w:rPr>
          <w:rFonts w:ascii="Verdana" w:eastAsia="Verdana" w:hAnsi="Verdana" w:cs="Verdana"/>
          <w:sz w:val="22"/>
          <w:szCs w:val="22"/>
          <w:lang w:val="en-GB"/>
        </w:rPr>
        <w:t>•</w:t>
      </w:r>
      <w:r w:rsidRPr="004133AF">
        <w:rPr>
          <w:rFonts w:ascii="Verdana" w:eastAsia="Verdana" w:hAnsi="Verdana" w:cs="Verdana"/>
          <w:sz w:val="22"/>
          <w:szCs w:val="22"/>
          <w:lang w:val="en-GB"/>
        </w:rPr>
        <w:tab/>
        <w:t xml:space="preserve">Where it is </w:t>
      </w:r>
      <w:r w:rsidRPr="004133AF">
        <w:rPr>
          <w:rFonts w:ascii="Verdana" w:eastAsia="Verdana" w:hAnsi="Verdana" w:cs="Verdana"/>
          <w:b/>
          <w:sz w:val="22"/>
          <w:szCs w:val="22"/>
          <w:lang w:val="en-GB"/>
        </w:rPr>
        <w:t>doubtful</w:t>
      </w:r>
      <w:r w:rsidRPr="004133AF">
        <w:rPr>
          <w:rFonts w:ascii="Verdana" w:eastAsia="Verdana" w:hAnsi="Verdana" w:cs="Verdana"/>
          <w:sz w:val="22"/>
          <w:szCs w:val="22"/>
          <w:lang w:val="en-GB"/>
        </w:rPr>
        <w:t xml:space="preserve"> </w:t>
      </w:r>
      <w:r w:rsidRPr="004133AF">
        <w:rPr>
          <w:rFonts w:ascii="Verdana" w:eastAsia="Verdana" w:hAnsi="Verdana" w:cs="Verdana"/>
          <w:b/>
          <w:sz w:val="22"/>
          <w:szCs w:val="22"/>
          <w:lang w:val="en-GB"/>
        </w:rPr>
        <w:t>that debts will be settled</w:t>
      </w:r>
      <w:r w:rsidRPr="004133AF">
        <w:rPr>
          <w:rFonts w:ascii="Verdana" w:eastAsia="Verdana" w:hAnsi="Verdana" w:cs="Verdana"/>
          <w:sz w:val="22"/>
          <w:szCs w:val="22"/>
          <w:lang w:val="en-GB"/>
        </w:rPr>
        <w:t>, the balance of debtors is written down and a charge made to the CIES for the income that might not be collected.</w:t>
      </w:r>
    </w:p>
    <w:p w14:paraId="3EB9BAE5" w14:textId="77777777" w:rsidR="000902BA" w:rsidRPr="004133AF" w:rsidRDefault="00CA6653" w:rsidP="000902BA">
      <w:pPr>
        <w:pStyle w:val="Normal0"/>
        <w:spacing w:after="160"/>
        <w:jc w:val="both"/>
        <w:rPr>
          <w:rFonts w:ascii="Verdana" w:eastAsia="Verdana" w:hAnsi="Verdana" w:cs="Verdana"/>
          <w:sz w:val="22"/>
          <w:szCs w:val="22"/>
          <w:lang w:val="en-GB"/>
        </w:rPr>
      </w:pPr>
      <w:r w:rsidRPr="004133AF">
        <w:rPr>
          <w:rFonts w:ascii="Verdana" w:eastAsia="Verdana" w:hAnsi="Verdana" w:cs="Verdana"/>
          <w:sz w:val="22"/>
          <w:szCs w:val="22"/>
          <w:lang w:val="en-GB"/>
        </w:rPr>
        <w:t>•</w:t>
      </w:r>
      <w:r w:rsidRPr="004133AF">
        <w:rPr>
          <w:rFonts w:ascii="Verdana" w:eastAsia="Verdana" w:hAnsi="Verdana" w:cs="Verdana"/>
          <w:sz w:val="22"/>
          <w:szCs w:val="22"/>
          <w:lang w:val="en-GB"/>
        </w:rPr>
        <w:tab/>
      </w:r>
      <w:r w:rsidRPr="004133AF">
        <w:rPr>
          <w:rFonts w:ascii="Verdana" w:eastAsia="Verdana" w:hAnsi="Verdana" w:cs="Verdana"/>
          <w:b/>
          <w:sz w:val="22"/>
          <w:szCs w:val="22"/>
          <w:lang w:val="en-GB"/>
        </w:rPr>
        <w:t>Working capital</w:t>
      </w:r>
      <w:r w:rsidRPr="004133AF">
        <w:rPr>
          <w:rFonts w:ascii="Verdana" w:eastAsia="Verdana" w:hAnsi="Verdana" w:cs="Verdana"/>
          <w:sz w:val="22"/>
          <w:szCs w:val="22"/>
          <w:lang w:val="en-GB"/>
        </w:rPr>
        <w:t xml:space="preserve"> – </w:t>
      </w:r>
      <w:r w:rsidR="000902BA" w:rsidRPr="004133AF">
        <w:rPr>
          <w:rFonts w:ascii="Verdana" w:eastAsia="Verdana" w:hAnsi="Verdana" w:cs="Verdana"/>
          <w:sz w:val="22"/>
          <w:szCs w:val="22"/>
          <w:lang w:val="en-GB"/>
        </w:rPr>
        <w:t>Working capital has been judged as being attributable in full to the PCC. T</w:t>
      </w:r>
      <w:r w:rsidRPr="004133AF">
        <w:rPr>
          <w:rFonts w:ascii="Verdana" w:eastAsia="Verdana" w:hAnsi="Verdana" w:cs="Verdana"/>
          <w:sz w:val="22"/>
          <w:szCs w:val="22"/>
          <w:lang w:val="en-GB"/>
        </w:rPr>
        <w:t xml:space="preserve">he PCC controls the treasury management function and all bank accounts, therefore the majority of the working capital balances (cash, current debtors and currently liabilities) are recognised in the PCC’s Balance Sheet. </w:t>
      </w:r>
    </w:p>
    <w:p w14:paraId="7643AD71" w14:textId="77777777" w:rsidR="00C36694" w:rsidRPr="004133AF" w:rsidRDefault="00C36694" w:rsidP="00C36694">
      <w:pPr>
        <w:pStyle w:val="Normal0"/>
        <w:spacing w:after="160"/>
        <w:jc w:val="both"/>
        <w:rPr>
          <w:rFonts w:ascii="Verdana" w:eastAsia="Verdana" w:hAnsi="Verdana" w:cs="Verdana"/>
          <w:sz w:val="22"/>
          <w:szCs w:val="22"/>
          <w:lang w:val="en-GB"/>
        </w:rPr>
      </w:pPr>
      <w:r w:rsidRPr="004133AF">
        <w:rPr>
          <w:rFonts w:ascii="Verdana" w:eastAsia="Verdana" w:hAnsi="Verdana" w:cs="Verdana"/>
          <w:sz w:val="22"/>
          <w:szCs w:val="22"/>
          <w:lang w:val="en-GB"/>
        </w:rPr>
        <w:t>•</w:t>
      </w:r>
      <w:r w:rsidRPr="004133AF">
        <w:rPr>
          <w:rFonts w:ascii="Verdana" w:eastAsia="Verdana" w:hAnsi="Verdana" w:cs="Verdana"/>
          <w:sz w:val="22"/>
          <w:szCs w:val="22"/>
          <w:lang w:val="en-GB"/>
        </w:rPr>
        <w:tab/>
      </w:r>
      <w:r w:rsidRPr="004133AF">
        <w:rPr>
          <w:rFonts w:ascii="Verdana" w:eastAsia="Verdana" w:hAnsi="Verdana" w:cs="Verdana"/>
          <w:b/>
          <w:sz w:val="22"/>
          <w:szCs w:val="22"/>
          <w:lang w:val="en-GB"/>
        </w:rPr>
        <w:t>Employee benefit accrual for</w:t>
      </w:r>
      <w:r w:rsidRPr="004133AF">
        <w:rPr>
          <w:rFonts w:ascii="Verdana" w:eastAsia="Verdana" w:hAnsi="Verdana" w:cs="Verdana"/>
          <w:sz w:val="22"/>
          <w:szCs w:val="22"/>
          <w:lang w:val="en-GB"/>
        </w:rPr>
        <w:t xml:space="preserve"> </w:t>
      </w:r>
      <w:r w:rsidR="00A85636" w:rsidRPr="004133AF">
        <w:rPr>
          <w:rFonts w:ascii="Verdana" w:eastAsia="Verdana" w:hAnsi="Verdana" w:cs="Verdana"/>
          <w:b/>
          <w:sz w:val="22"/>
          <w:szCs w:val="22"/>
          <w:lang w:val="en-GB"/>
        </w:rPr>
        <w:t>a</w:t>
      </w:r>
      <w:r w:rsidRPr="004133AF">
        <w:rPr>
          <w:rFonts w:ascii="Verdana" w:eastAsia="Verdana" w:hAnsi="Verdana" w:cs="Verdana"/>
          <w:b/>
          <w:sz w:val="22"/>
          <w:szCs w:val="22"/>
          <w:lang w:val="en-GB"/>
        </w:rPr>
        <w:t>ccumulated absences</w:t>
      </w:r>
      <w:r w:rsidRPr="004133AF">
        <w:rPr>
          <w:rFonts w:ascii="Verdana" w:eastAsia="Verdana" w:hAnsi="Verdana" w:cs="Verdana"/>
          <w:sz w:val="22"/>
          <w:szCs w:val="22"/>
          <w:lang w:val="en-GB"/>
        </w:rPr>
        <w:t xml:space="preserve"> - the PCC has to determine whether the leave accrual should be accounted for in the PCC or Chief Constables accounts. As the majority of employee costs are accounted for in the Chief Constable's accounts the leave accrual has been accordingly matched and accounted for on the Chief Constables Balance Sheet. The calculation is based on staff annual leave records and an average cost for each grade.</w:t>
      </w:r>
    </w:p>
    <w:p w14:paraId="1D61C87B" w14:textId="77777777" w:rsidR="00C36694" w:rsidRPr="004133AF" w:rsidRDefault="00C36694" w:rsidP="00C36694">
      <w:pPr>
        <w:pStyle w:val="Normal0"/>
        <w:spacing w:after="160"/>
        <w:jc w:val="both"/>
        <w:rPr>
          <w:rFonts w:ascii="Verdana" w:eastAsia="Verdana" w:hAnsi="Verdana" w:cs="Verdana"/>
          <w:sz w:val="22"/>
          <w:szCs w:val="22"/>
          <w:lang w:val="en-GB"/>
        </w:rPr>
      </w:pPr>
      <w:r w:rsidRPr="004133AF">
        <w:rPr>
          <w:rFonts w:ascii="Verdana" w:eastAsia="Verdana" w:hAnsi="Verdana" w:cs="Verdana"/>
          <w:sz w:val="22"/>
          <w:szCs w:val="22"/>
          <w:lang w:val="en-GB"/>
        </w:rPr>
        <w:t>•</w:t>
      </w:r>
      <w:r w:rsidRPr="004133AF">
        <w:rPr>
          <w:rFonts w:ascii="Verdana" w:eastAsia="Verdana" w:hAnsi="Verdana" w:cs="Verdana"/>
          <w:sz w:val="22"/>
          <w:szCs w:val="22"/>
          <w:lang w:val="en-GB"/>
        </w:rPr>
        <w:tab/>
      </w:r>
      <w:r w:rsidRPr="004133AF">
        <w:rPr>
          <w:rFonts w:ascii="Verdana" w:eastAsia="Verdana" w:hAnsi="Verdana" w:cs="Verdana"/>
          <w:b/>
          <w:sz w:val="22"/>
          <w:szCs w:val="22"/>
          <w:lang w:val="en-GB"/>
        </w:rPr>
        <w:t>Collaboration</w:t>
      </w:r>
      <w:r w:rsidRPr="004133AF">
        <w:rPr>
          <w:rFonts w:ascii="Verdana" w:eastAsia="Verdana" w:hAnsi="Verdana" w:cs="Verdana"/>
          <w:sz w:val="22"/>
          <w:szCs w:val="22"/>
          <w:lang w:val="en-GB"/>
        </w:rPr>
        <w:t xml:space="preserve"> – the PCC has to determine how to account for collaborative arrangements. The Police and Crime Commissioners and Chief Constables of Surrey and Sussex Police have entered into a legal arrangement to provide a number of services jointly with each other and other forces. Each of these services is managed by one of the forces and includes a mix of staff from both forces. The net cost of each ser</w:t>
      </w:r>
      <w:r w:rsidR="007A2967" w:rsidRPr="004133AF">
        <w:rPr>
          <w:rFonts w:ascii="Verdana" w:eastAsia="Verdana" w:hAnsi="Verdana" w:cs="Verdana"/>
          <w:sz w:val="22"/>
          <w:szCs w:val="22"/>
          <w:lang w:val="en-GB"/>
        </w:rPr>
        <w:t>vice agreed to be provided jointly which cannot be directly attributable to each force, is shared on a formula basis. Each force accounts for their own share of total income and expenditure and assets.</w:t>
      </w:r>
    </w:p>
    <w:p w14:paraId="4B54D70C" w14:textId="77777777" w:rsidR="00C36694" w:rsidRPr="004133AF" w:rsidRDefault="00C36694" w:rsidP="000902BA">
      <w:pPr>
        <w:pStyle w:val="Normal0"/>
        <w:spacing w:after="160"/>
        <w:jc w:val="both"/>
        <w:rPr>
          <w:rFonts w:ascii="Verdana" w:eastAsia="Verdana" w:hAnsi="Verdana" w:cs="Verdana"/>
          <w:sz w:val="22"/>
          <w:szCs w:val="22"/>
          <w:lang w:val="en-GB"/>
        </w:rPr>
      </w:pPr>
      <w:r w:rsidRPr="004133AF">
        <w:rPr>
          <w:rFonts w:ascii="Verdana" w:eastAsia="Verdana" w:hAnsi="Verdana" w:cs="Verdana"/>
          <w:sz w:val="22"/>
          <w:szCs w:val="22"/>
          <w:lang w:val="en-GB"/>
        </w:rPr>
        <w:t>•</w:t>
      </w:r>
      <w:r w:rsidRPr="004133AF">
        <w:rPr>
          <w:rFonts w:ascii="Verdana" w:eastAsia="Verdana" w:hAnsi="Verdana" w:cs="Verdana"/>
          <w:sz w:val="22"/>
          <w:szCs w:val="22"/>
          <w:lang w:val="en-GB"/>
        </w:rPr>
        <w:tab/>
      </w:r>
      <w:r w:rsidRPr="004133AF">
        <w:rPr>
          <w:rFonts w:ascii="Verdana" w:eastAsia="Verdana" w:hAnsi="Verdana" w:cs="Verdana"/>
          <w:b/>
          <w:sz w:val="22"/>
          <w:szCs w:val="22"/>
          <w:lang w:val="en-GB"/>
        </w:rPr>
        <w:t xml:space="preserve">Insurance </w:t>
      </w:r>
      <w:r w:rsidR="007A2967" w:rsidRPr="004133AF">
        <w:rPr>
          <w:rFonts w:ascii="Verdana" w:eastAsia="Verdana" w:hAnsi="Verdana" w:cs="Verdana"/>
          <w:b/>
          <w:sz w:val="22"/>
          <w:szCs w:val="22"/>
          <w:lang w:val="en-GB"/>
        </w:rPr>
        <w:t xml:space="preserve">Actuarial Assumptions </w:t>
      </w:r>
      <w:r w:rsidRPr="004133AF">
        <w:rPr>
          <w:rFonts w:ascii="Verdana" w:eastAsia="Verdana" w:hAnsi="Verdana" w:cs="Verdana"/>
          <w:sz w:val="22"/>
          <w:szCs w:val="22"/>
          <w:lang w:val="en-GB"/>
        </w:rPr>
        <w:t xml:space="preserve">- </w:t>
      </w:r>
      <w:r w:rsidR="007A2967" w:rsidRPr="004133AF">
        <w:rPr>
          <w:rFonts w:ascii="Verdana" w:eastAsia="Verdana" w:hAnsi="Verdana" w:cs="Verdana"/>
          <w:sz w:val="22"/>
          <w:szCs w:val="22"/>
          <w:lang w:val="en-GB"/>
        </w:rPr>
        <w:t>The Group annually reviews the appropriateness of its insurance funding.  Independent Actuaries Marsh undertook a review on the adequacy of our insurance claim provision and reserves.  The review utilises recognised actuarial techniques and generally accepted principles to forecast ultimate claims costs.  All reviews are carried out by qualified actuaries in the core Marsh team dedicated to the contract.  The underlying assumptions and methodologies used in the reports are then peer-reviewed by a colleague independent to the core team.</w:t>
      </w:r>
    </w:p>
    <w:p w14:paraId="4D8DB142" w14:textId="77777777" w:rsidR="00C36694" w:rsidRPr="004133AF" w:rsidRDefault="00CA6653" w:rsidP="00C36694">
      <w:pPr>
        <w:jc w:val="both"/>
        <w:rPr>
          <w:lang w:val="en-GB"/>
        </w:rPr>
      </w:pPr>
      <w:r w:rsidRPr="004133AF">
        <w:rPr>
          <w:lang w:val="en-GB"/>
        </w:rPr>
        <w:t>•</w:t>
      </w:r>
      <w:r w:rsidRPr="004133AF">
        <w:rPr>
          <w:lang w:val="en-GB"/>
        </w:rPr>
        <w:tab/>
      </w:r>
      <w:r w:rsidRPr="004133AF">
        <w:rPr>
          <w:b/>
          <w:lang w:val="en-GB"/>
        </w:rPr>
        <w:t>Pensions</w:t>
      </w:r>
      <w:r w:rsidR="00C36694" w:rsidRPr="004133AF">
        <w:rPr>
          <w:b/>
          <w:lang w:val="en-GB"/>
        </w:rPr>
        <w:t xml:space="preserve"> Actuarial Assumptions</w:t>
      </w:r>
      <w:r w:rsidRPr="004133AF">
        <w:rPr>
          <w:lang w:val="en-GB"/>
        </w:rPr>
        <w:t xml:space="preserve"> – </w:t>
      </w:r>
      <w:r w:rsidR="00C36694" w:rsidRPr="004133AF">
        <w:rPr>
          <w:lang w:val="en-GB"/>
        </w:rPr>
        <w:t>The value of the liabilities for IAS19 purposes is heavily dependent on assumptions made by the Group’s actuaries, Hymans Robertson and GAD. The financial assumptions reflect market expectations at the reporting date. Changes in market conditions that result in changes in the net discount rate (essentially the difference between the discount rate and the assumed rates of increase of salaries, deferred pension revaluation or pension-in-payment) can have a significant effect on the value of the liabilities reported. A reduction in the net discount rate will increase the assessed value of liabilities as a higher value is placed on benefits paid in the future. A rise in the net discount rate will have an opposite effect of similar magnitude. The effect of a change in the net discount rate on the value placed on the liabilities of each scheme is shown in the sensitivity analysis schedule below. There is also uncertainty around the life expectancy of the UK population. The value of current and future pension benefits will depend on how long they are assumed to be in-payment.  The mortality assumptions have changed from the previous accounting period to take account of recent mortality experience.  Life expectancy is based on the Fund’s VitaCurves with improvements in line with the CMI 2018 model, an allowance for smoothing of recent mortality experience and long term rates of improvement of 1.5% p.a. for males and females.</w:t>
      </w:r>
    </w:p>
    <w:p w14:paraId="4FD61947" w14:textId="77777777" w:rsidR="007A2967" w:rsidRPr="004133AF" w:rsidRDefault="007A2967" w:rsidP="00C36694">
      <w:pPr>
        <w:jc w:val="both"/>
        <w:rPr>
          <w:lang w:val="en-GB"/>
        </w:rPr>
      </w:pPr>
    </w:p>
    <w:p w14:paraId="63948CA3" w14:textId="77777777" w:rsidR="00CA6653" w:rsidRPr="00EF4D11" w:rsidRDefault="00CA6653" w:rsidP="00C36694">
      <w:pPr>
        <w:pStyle w:val="Normal0"/>
        <w:spacing w:after="160"/>
        <w:jc w:val="both"/>
        <w:rPr>
          <w:rFonts w:ascii="Verdana" w:eastAsia="Verdana" w:hAnsi="Verdana" w:cs="Verdana"/>
          <w:sz w:val="22"/>
          <w:szCs w:val="22"/>
          <w:lang w:val="en-GB"/>
        </w:rPr>
      </w:pPr>
      <w:r w:rsidRPr="004133AF">
        <w:rPr>
          <w:rFonts w:ascii="Verdana" w:eastAsia="Verdana" w:hAnsi="Verdana" w:cs="Verdana"/>
          <w:sz w:val="22"/>
          <w:szCs w:val="22"/>
          <w:lang w:val="en-GB"/>
        </w:rPr>
        <w:t>•</w:t>
      </w:r>
      <w:r w:rsidRPr="004133AF">
        <w:rPr>
          <w:rFonts w:ascii="Verdana" w:eastAsia="Verdana" w:hAnsi="Verdana" w:cs="Verdana"/>
          <w:sz w:val="22"/>
          <w:szCs w:val="22"/>
          <w:lang w:val="en-GB"/>
        </w:rPr>
        <w:tab/>
      </w:r>
      <w:r w:rsidRPr="004133AF">
        <w:rPr>
          <w:rFonts w:ascii="Verdana" w:eastAsia="Verdana" w:hAnsi="Verdana" w:cs="Verdana"/>
          <w:b/>
          <w:sz w:val="22"/>
          <w:szCs w:val="22"/>
          <w:lang w:val="en-GB"/>
        </w:rPr>
        <w:t xml:space="preserve">Pensions </w:t>
      </w:r>
      <w:r w:rsidRPr="00EF4D11">
        <w:rPr>
          <w:rFonts w:ascii="Verdana" w:eastAsia="Verdana" w:hAnsi="Verdana" w:cs="Verdana"/>
          <w:b/>
          <w:sz w:val="22"/>
          <w:szCs w:val="22"/>
          <w:lang w:val="en-GB"/>
        </w:rPr>
        <w:t>Impact of M</w:t>
      </w:r>
      <w:r w:rsidR="00C36694" w:rsidRPr="00EF4D11">
        <w:rPr>
          <w:rFonts w:ascii="Verdana" w:eastAsia="Verdana" w:hAnsi="Verdana" w:cs="Verdana"/>
          <w:b/>
          <w:sz w:val="22"/>
          <w:szCs w:val="22"/>
          <w:lang w:val="en-GB"/>
        </w:rPr>
        <w:t>cCloud/Sargeant court of appeal</w:t>
      </w:r>
      <w:r w:rsidR="00C36694" w:rsidRPr="00EF4D11">
        <w:rPr>
          <w:rFonts w:ascii="Verdana" w:eastAsia="Verdana" w:hAnsi="Verdana" w:cs="Verdana"/>
          <w:sz w:val="22"/>
          <w:szCs w:val="22"/>
          <w:lang w:val="en-GB"/>
        </w:rPr>
        <w:t xml:space="preserve"> - </w:t>
      </w:r>
    </w:p>
    <w:p w14:paraId="54E42CDE" w14:textId="77777777" w:rsidR="00C36694" w:rsidRPr="00EF4D11" w:rsidRDefault="00C36694" w:rsidP="00C36694">
      <w:pPr>
        <w:jc w:val="both"/>
      </w:pPr>
      <w:r w:rsidRPr="00EF4D11">
        <w:t xml:space="preserve">The McCloud and Sargeant judgements concerned the introduction of career average revalued earnings (CARE) pension schemes to replace the former final salary based pension schemes as part of the Hutton recommendation to reform public service pension schemes. Under the changes introduced to each scheme, members were required to transfer to the new schemes from the transition date of the new schemes, this was 1 April 2014 for the police staff scheme (LGPS) and 1 April 2015 for the Police pension scheme. </w:t>
      </w:r>
    </w:p>
    <w:p w14:paraId="509A30D1" w14:textId="77777777" w:rsidR="00C36694" w:rsidRPr="00EF4D11" w:rsidRDefault="00C36694" w:rsidP="00C36694">
      <w:pPr>
        <w:jc w:val="both"/>
      </w:pPr>
    </w:p>
    <w:p w14:paraId="464F988B" w14:textId="77777777" w:rsidR="00C36694" w:rsidRDefault="00C36694" w:rsidP="00C36694">
      <w:pPr>
        <w:jc w:val="both"/>
      </w:pPr>
      <w:r w:rsidRPr="00EF4D11">
        <w:t>There was protection provided for older members under each scheme known as ‘transitional protection’. The McCloud and Sargeant judgements have upheld the claimants’ cases that the method of implementation of the new schemes discriminated against younger members. The government was refused leave to appeal the McCloud and Sargeant Judgements on 27 June 2019. This means various parties return to the respective employment tribunals to formulate a remedy which will resolve the age discrimination of the pension changes.</w:t>
      </w:r>
    </w:p>
    <w:p w14:paraId="1B531378" w14:textId="77777777" w:rsidR="00EF4D11" w:rsidRDefault="00EF4D11" w:rsidP="00C36694">
      <w:pPr>
        <w:jc w:val="both"/>
      </w:pPr>
    </w:p>
    <w:p w14:paraId="42A73589" w14:textId="78516E01" w:rsidR="00EF4D11" w:rsidRDefault="00EF4D11" w:rsidP="00C36694">
      <w:pPr>
        <w:jc w:val="both"/>
      </w:pPr>
      <w:r>
        <w:t>In respect of the Police pension schemes, a case management was held in October 2019 resulted in an Order including an interim declaration that claimants are entitled to be treated as if they had been given full transitional protection and had remained in their existing scheme after 1 April 2015. The Government later issued a Ministerial Statement on 25 March 2020 that non-claimants would also be treated in the same way. On 16 July 2020, HM Treasury issued a consultation on transitional arrangements for public sector pensions to eliminate discrimination identified via McCloud/Sargeant cases. This meant that members of the pension scheme on or before 31 March 2012 and on or after 1April to be eligible for the remedy.</w:t>
      </w:r>
    </w:p>
    <w:p w14:paraId="5BDB05BD" w14:textId="77777777" w:rsidR="00BF20D9" w:rsidRDefault="00BF20D9" w:rsidP="00C36694">
      <w:pPr>
        <w:jc w:val="both"/>
      </w:pPr>
    </w:p>
    <w:p w14:paraId="7C7818C5" w14:textId="7136869D" w:rsidR="00BF20D9" w:rsidRDefault="00BF20D9" w:rsidP="00C36694">
      <w:pPr>
        <w:jc w:val="both"/>
      </w:pPr>
      <w:r>
        <w:t xml:space="preserve">On 4 February 2021, HM Treasury issued a response to the consultation confirming remedy arrangement requirements that were set out in the consultation with members being given a choice as to whether they retain benefits from their legacy pension scheme, or their new scheme, during the remedy period of 2015 to 2022 so as not to disadvantage any of those members. This choice will be deferred for members until retirement which creates further uncertainty of impact for employers. The legacy pension schemes will then be removed from April 2022 and replaced by the new pension schemes originally introduced in 2015 as it was only the transitional arrangements that were found to be discriminatory, not the actual new pension schemes. </w:t>
      </w:r>
    </w:p>
    <w:p w14:paraId="769BE56F" w14:textId="77777777" w:rsidR="00C36694" w:rsidRPr="00DF7ABB" w:rsidRDefault="00C36694" w:rsidP="00C36694">
      <w:pPr>
        <w:jc w:val="both"/>
        <w:rPr>
          <w:iCs/>
        </w:rPr>
      </w:pPr>
    </w:p>
    <w:p w14:paraId="55BDC477" w14:textId="2866BC94" w:rsidR="00C36694" w:rsidRPr="00DF7ABB" w:rsidRDefault="00C36694" w:rsidP="00C36694">
      <w:pPr>
        <w:pStyle w:val="Normal0"/>
        <w:spacing w:after="160"/>
        <w:jc w:val="both"/>
        <w:rPr>
          <w:rFonts w:ascii="Verdana" w:hAnsi="Verdana"/>
          <w:iCs/>
          <w:sz w:val="22"/>
          <w:szCs w:val="22"/>
        </w:rPr>
      </w:pPr>
      <w:r w:rsidRPr="00DF7ABB">
        <w:rPr>
          <w:rFonts w:ascii="Verdana" w:hAnsi="Verdana"/>
          <w:iCs/>
          <w:sz w:val="22"/>
          <w:szCs w:val="22"/>
        </w:rPr>
        <w:t>IAS 19 pension actuarial reports include the</w:t>
      </w:r>
      <w:r w:rsidR="00DF7ABB" w:rsidRPr="00DF7ABB">
        <w:rPr>
          <w:rFonts w:ascii="Verdana" w:hAnsi="Verdana"/>
          <w:iCs/>
          <w:sz w:val="22"/>
          <w:szCs w:val="22"/>
        </w:rPr>
        <w:t>se</w:t>
      </w:r>
      <w:r w:rsidRPr="00DF7ABB">
        <w:rPr>
          <w:rFonts w:ascii="Verdana" w:hAnsi="Verdana"/>
          <w:iCs/>
          <w:sz w:val="22"/>
          <w:szCs w:val="22"/>
        </w:rPr>
        <w:t xml:space="preserve"> impacts and provide for them within the 20</w:t>
      </w:r>
      <w:r w:rsidR="00DF7ABB" w:rsidRPr="00DF7ABB">
        <w:rPr>
          <w:rFonts w:ascii="Verdana" w:hAnsi="Verdana"/>
          <w:iCs/>
          <w:sz w:val="22"/>
          <w:szCs w:val="22"/>
        </w:rPr>
        <w:t>20</w:t>
      </w:r>
      <w:r w:rsidRPr="00DF7ABB">
        <w:rPr>
          <w:rFonts w:ascii="Verdana" w:hAnsi="Verdana"/>
          <w:iCs/>
          <w:sz w:val="22"/>
          <w:szCs w:val="22"/>
        </w:rPr>
        <w:t>/2</w:t>
      </w:r>
      <w:r w:rsidR="00DF7ABB" w:rsidRPr="00DF7ABB">
        <w:rPr>
          <w:rFonts w:ascii="Verdana" w:hAnsi="Verdana"/>
          <w:iCs/>
          <w:sz w:val="22"/>
          <w:szCs w:val="22"/>
        </w:rPr>
        <w:t>1</w:t>
      </w:r>
      <w:r w:rsidRPr="00DF7ABB">
        <w:rPr>
          <w:rFonts w:ascii="Verdana" w:hAnsi="Verdana"/>
          <w:iCs/>
          <w:sz w:val="22"/>
          <w:szCs w:val="22"/>
        </w:rPr>
        <w:t xml:space="preserve"> accounts of the PCC Group for both police and staff pension schemes.</w:t>
      </w:r>
    </w:p>
    <w:p w14:paraId="420AB06A" w14:textId="77777777" w:rsidR="009C625F" w:rsidRPr="005A60F1" w:rsidRDefault="009C625F" w:rsidP="00A31A9E">
      <w:pPr>
        <w:pStyle w:val="Heading1"/>
      </w:pPr>
    </w:p>
    <w:p w14:paraId="4427AF63" w14:textId="77777777" w:rsidR="00B06515" w:rsidRDefault="00B06515">
      <w:pPr>
        <w:rPr>
          <w:rFonts w:asciiTheme="majorHAnsi" w:eastAsiaTheme="majorEastAsia" w:hAnsiTheme="majorHAnsi" w:cstheme="majorBidi"/>
          <w:color w:val="2E74B5" w:themeColor="accent1" w:themeShade="BF"/>
          <w:sz w:val="32"/>
          <w:szCs w:val="32"/>
          <w:lang w:val="pt-BR"/>
        </w:rPr>
      </w:pPr>
      <w:r>
        <w:br w:type="page"/>
      </w:r>
    </w:p>
    <w:p w14:paraId="2F1E97E5" w14:textId="573FC2F9" w:rsidR="009C625F" w:rsidRPr="005A60F1" w:rsidRDefault="009C625F" w:rsidP="00A31A9E">
      <w:pPr>
        <w:pStyle w:val="Heading1"/>
      </w:pPr>
      <w:bookmarkStart w:id="16" w:name="_Toc75122770"/>
      <w:r w:rsidRPr="005A60F1">
        <w:t>Note 2 - Going Concern</w:t>
      </w:r>
      <w:bookmarkEnd w:id="16"/>
    </w:p>
    <w:p w14:paraId="43B5E74F" w14:textId="77777777" w:rsidR="005469C8" w:rsidRPr="005A60F1" w:rsidRDefault="005469C8" w:rsidP="005469C8">
      <w:pPr>
        <w:spacing w:after="160" w:line="259" w:lineRule="auto"/>
        <w:rPr>
          <w:rFonts w:eastAsia="Calibri" w:cs="Times New Roman"/>
          <w:b/>
          <w:lang w:val="en-GB"/>
        </w:rPr>
      </w:pPr>
      <w:r w:rsidRPr="005A60F1">
        <w:rPr>
          <w:rFonts w:eastAsia="Calibri" w:cs="Times New Roman"/>
          <w:b/>
          <w:lang w:val="en-GB"/>
        </w:rPr>
        <w:t xml:space="preserve">Underlying Principle of Going Concern </w:t>
      </w:r>
    </w:p>
    <w:p w14:paraId="3477A79A" w14:textId="77777777" w:rsidR="005469C8" w:rsidRPr="005A60F1" w:rsidRDefault="005469C8" w:rsidP="005469C8">
      <w:pPr>
        <w:spacing w:after="160" w:line="259" w:lineRule="auto"/>
        <w:jc w:val="both"/>
        <w:rPr>
          <w:rFonts w:eastAsia="Calibri" w:cs="Times New Roman"/>
          <w:lang w:val="en-GB"/>
        </w:rPr>
      </w:pPr>
      <w:r w:rsidRPr="005A60F1">
        <w:rPr>
          <w:rFonts w:eastAsia="Calibri" w:cs="Times New Roman"/>
          <w:lang w:val="en-GB"/>
        </w:rPr>
        <w:t xml:space="preserve">These accounts have been prepared on a going concern basis that </w:t>
      </w:r>
      <w:r w:rsidR="006C3973" w:rsidRPr="005A60F1">
        <w:rPr>
          <w:rFonts w:eastAsia="Calibri" w:cs="Times New Roman"/>
          <w:lang w:val="en-GB"/>
        </w:rPr>
        <w:t>Surrey Police</w:t>
      </w:r>
      <w:r w:rsidRPr="005A60F1">
        <w:rPr>
          <w:rFonts w:eastAsia="Calibri" w:cs="Times New Roman"/>
          <w:lang w:val="en-GB"/>
        </w:rPr>
        <w:t xml:space="preserve"> will continue in operational existence for the foreseeable future. </w:t>
      </w:r>
    </w:p>
    <w:p w14:paraId="6D6599FB" w14:textId="77777777" w:rsidR="005469C8" w:rsidRPr="005A60F1" w:rsidRDefault="005469C8" w:rsidP="005469C8">
      <w:pPr>
        <w:spacing w:after="160" w:line="259" w:lineRule="auto"/>
        <w:jc w:val="both"/>
        <w:rPr>
          <w:rFonts w:eastAsia="Calibri" w:cs="Times New Roman"/>
          <w:lang w:val="en-GB"/>
        </w:rPr>
      </w:pPr>
      <w:r w:rsidRPr="005A60F1">
        <w:rPr>
          <w:rFonts w:eastAsia="Calibri" w:cs="Times New Roman"/>
          <w:lang w:val="en-GB"/>
        </w:rPr>
        <w:t xml:space="preserve">The provisions in the Code of Audit Practice in respect of going concern reporting requirements reflect the economic and statutory environment in which local authorities operate. These provisions confirm that, as policing bodies cannot be created or dissolved without statutory prescription, they must prepare their financial statements on a going concern basis of accounting. Local authorities and policing bodies carry out functions essential to the local community and are themselves revenue-raising bodies (with limits on their revenue-raising powers arising only at the discretion of central government). If a policing body were in financial difficulty, the prospects are thus that alternative arrangements might be made by central government either for the continuation of the services it provides or for assistance with the recovery of a deficit over more than one financial year. As a result of this, it would not therefore be appropriate for the financial statements of a policing body to be provided on anything other than a going concern basis. Accounts drawn up under the Code therefore assume that policing services will continue to operate for the foreseeable future. Surrey Police accounts therefore assume that Surrey Police will continue to operate for the foreseeable future. </w:t>
      </w:r>
    </w:p>
    <w:p w14:paraId="0711EDCF" w14:textId="771870B6" w:rsidR="00104357" w:rsidRPr="003516A4" w:rsidRDefault="00104357">
      <w:pPr>
        <w:spacing w:after="160" w:line="259" w:lineRule="auto"/>
        <w:jc w:val="both"/>
        <w:rPr>
          <w:rFonts w:eastAsia="Calibri" w:cs="Times New Roman"/>
          <w:highlight w:val="yellow"/>
          <w:lang w:val="en-GB"/>
        </w:rPr>
      </w:pPr>
    </w:p>
    <w:p w14:paraId="12E63137" w14:textId="77777777" w:rsidR="00CA6653" w:rsidRPr="005A60F1" w:rsidRDefault="00CA6653" w:rsidP="00A31A9E">
      <w:pPr>
        <w:pStyle w:val="Heading1"/>
      </w:pPr>
      <w:bookmarkStart w:id="17" w:name="_Toc75122771"/>
      <w:r w:rsidRPr="005A60F1">
        <w:t xml:space="preserve">Note </w:t>
      </w:r>
      <w:r w:rsidR="009C625F" w:rsidRPr="005A60F1">
        <w:t>3</w:t>
      </w:r>
      <w:r w:rsidRPr="005A60F1">
        <w:t xml:space="preserve"> - Events After the Balance Sheet Date</w:t>
      </w:r>
      <w:bookmarkEnd w:id="17"/>
      <w:r w:rsidRPr="005A60F1">
        <w:t xml:space="preserve"> </w:t>
      </w:r>
    </w:p>
    <w:p w14:paraId="23FAB385" w14:textId="77777777" w:rsidR="00CA6653" w:rsidRPr="005A60F1" w:rsidRDefault="00CA6653" w:rsidP="0073313A">
      <w:pPr>
        <w:pStyle w:val="Normal0"/>
        <w:spacing w:after="160"/>
        <w:jc w:val="both"/>
        <w:rPr>
          <w:rFonts w:ascii="Verdana" w:eastAsia="Verdana" w:hAnsi="Verdana" w:cs="Verdana"/>
          <w:sz w:val="22"/>
          <w:szCs w:val="22"/>
          <w:lang w:val="en-GB"/>
        </w:rPr>
      </w:pPr>
      <w:r w:rsidRPr="005A60F1">
        <w:rPr>
          <w:rFonts w:ascii="Verdana" w:eastAsia="Verdana" w:hAnsi="Verdana" w:cs="Verdana"/>
          <w:sz w:val="22"/>
          <w:szCs w:val="22"/>
          <w:lang w:val="en-GB"/>
        </w:rPr>
        <w:t>When an event occurs after the Balance Sheet date which provides evidence of conditions that existed at the Balance Sheet date an adjusting event occurs and the amounts recognised in the Statement of Accounts will be adjusted to take into account any values that reflect the adjusting event.  Where an event occurs after the Balance Sheet date that is indicative of conditions that arose after the Balance Sheet date, the amounts recognised in the Statement of Accounts are not adjusted but disclosed as a separate note to the accounts.  Events after the Balance Sheet date are reflected up to the date when the Statement of Accounts is authorised for issue and published.</w:t>
      </w:r>
    </w:p>
    <w:p w14:paraId="01166C26" w14:textId="77777777" w:rsidR="005A60F1" w:rsidRDefault="00CA6653" w:rsidP="0073313A">
      <w:pPr>
        <w:pStyle w:val="Normal0"/>
        <w:spacing w:after="160"/>
        <w:jc w:val="both"/>
        <w:rPr>
          <w:rFonts w:ascii="Verdana" w:eastAsia="Verdana" w:hAnsi="Verdana" w:cs="Verdana"/>
          <w:sz w:val="22"/>
          <w:szCs w:val="22"/>
          <w:lang w:val="en-GB"/>
        </w:rPr>
      </w:pPr>
      <w:r w:rsidRPr="005A60F1">
        <w:rPr>
          <w:rFonts w:ascii="Verdana" w:eastAsia="Verdana" w:hAnsi="Verdana" w:cs="Verdana"/>
          <w:sz w:val="22"/>
          <w:szCs w:val="22"/>
          <w:lang w:val="en-GB"/>
        </w:rPr>
        <w:t xml:space="preserve">The </w:t>
      </w:r>
      <w:r w:rsidR="005A60F1" w:rsidRPr="005A60F1">
        <w:rPr>
          <w:rFonts w:ascii="Verdana" w:eastAsia="Verdana" w:hAnsi="Verdana" w:cs="Verdana"/>
          <w:sz w:val="22"/>
          <w:szCs w:val="22"/>
          <w:lang w:val="en-GB"/>
        </w:rPr>
        <w:t>Draft</w:t>
      </w:r>
      <w:r w:rsidR="00E93ACB" w:rsidRPr="005A60F1">
        <w:rPr>
          <w:rFonts w:ascii="Verdana" w:eastAsia="Verdana" w:hAnsi="Verdana" w:cs="Verdana"/>
          <w:sz w:val="22"/>
          <w:szCs w:val="22"/>
          <w:lang w:val="en-GB"/>
        </w:rPr>
        <w:t xml:space="preserve"> </w:t>
      </w:r>
      <w:r w:rsidRPr="005A60F1">
        <w:rPr>
          <w:rFonts w:ascii="Verdana" w:eastAsia="Verdana" w:hAnsi="Verdana" w:cs="Verdana"/>
          <w:sz w:val="22"/>
          <w:szCs w:val="22"/>
          <w:lang w:val="en-GB"/>
        </w:rPr>
        <w:t xml:space="preserve">Statement of Accounts was authorised for issue by the Chief Finance Officer on </w:t>
      </w:r>
      <w:r w:rsidR="005A60F1">
        <w:rPr>
          <w:rFonts w:ascii="Verdana" w:eastAsia="Verdana" w:hAnsi="Verdana" w:cs="Verdana"/>
          <w:sz w:val="22"/>
          <w:szCs w:val="22"/>
          <w:highlight w:val="yellow"/>
          <w:lang w:val="en-GB"/>
        </w:rPr>
        <w:t>Date</w:t>
      </w:r>
      <w:r w:rsidR="00E93ACB" w:rsidRPr="003516A4">
        <w:rPr>
          <w:rFonts w:ascii="Verdana" w:eastAsia="Verdana" w:hAnsi="Verdana" w:cs="Verdana"/>
          <w:sz w:val="22"/>
          <w:szCs w:val="22"/>
          <w:highlight w:val="yellow"/>
          <w:lang w:val="en-GB"/>
        </w:rPr>
        <w:t xml:space="preserve"> </w:t>
      </w:r>
      <w:r w:rsidRPr="003516A4">
        <w:rPr>
          <w:rFonts w:ascii="Verdana" w:eastAsia="Verdana" w:hAnsi="Verdana" w:cs="Verdana"/>
          <w:sz w:val="22"/>
          <w:szCs w:val="22"/>
          <w:highlight w:val="yellow"/>
          <w:lang w:val="en-GB"/>
        </w:rPr>
        <w:t>20</w:t>
      </w:r>
      <w:r w:rsidR="00C04F26" w:rsidRPr="003516A4">
        <w:rPr>
          <w:rFonts w:ascii="Verdana" w:eastAsia="Verdana" w:hAnsi="Verdana" w:cs="Verdana"/>
          <w:sz w:val="22"/>
          <w:szCs w:val="22"/>
          <w:highlight w:val="yellow"/>
          <w:lang w:val="en-GB"/>
        </w:rPr>
        <w:t>2</w:t>
      </w:r>
      <w:r w:rsidR="005A60F1">
        <w:rPr>
          <w:rFonts w:ascii="Verdana" w:eastAsia="Verdana" w:hAnsi="Verdana" w:cs="Verdana"/>
          <w:sz w:val="22"/>
          <w:szCs w:val="22"/>
          <w:highlight w:val="yellow"/>
          <w:lang w:val="en-GB"/>
        </w:rPr>
        <w:t>1</w:t>
      </w:r>
      <w:r w:rsidRPr="003516A4">
        <w:rPr>
          <w:rFonts w:ascii="Verdana" w:eastAsia="Verdana" w:hAnsi="Verdana" w:cs="Verdana"/>
          <w:sz w:val="22"/>
          <w:szCs w:val="22"/>
          <w:highlight w:val="yellow"/>
          <w:lang w:val="en-GB"/>
        </w:rPr>
        <w:t xml:space="preserve">.  </w:t>
      </w:r>
      <w:r w:rsidRPr="005A60F1">
        <w:rPr>
          <w:rFonts w:ascii="Verdana" w:eastAsia="Verdana" w:hAnsi="Verdana" w:cs="Verdana"/>
          <w:sz w:val="22"/>
          <w:szCs w:val="22"/>
          <w:lang w:val="en-GB"/>
        </w:rPr>
        <w:t>Events taking place after this date are not reflected in the financial statements or notes.  Where events taking place before this date provide information about conditions existing at 31 March 20</w:t>
      </w:r>
      <w:r w:rsidR="00C04F26" w:rsidRPr="005A60F1">
        <w:rPr>
          <w:rFonts w:ascii="Verdana" w:eastAsia="Verdana" w:hAnsi="Verdana" w:cs="Verdana"/>
          <w:sz w:val="22"/>
          <w:szCs w:val="22"/>
          <w:lang w:val="en-GB"/>
        </w:rPr>
        <w:t>2</w:t>
      </w:r>
      <w:r w:rsidR="005A60F1" w:rsidRPr="005A60F1">
        <w:rPr>
          <w:rFonts w:ascii="Verdana" w:eastAsia="Verdana" w:hAnsi="Verdana" w:cs="Verdana"/>
          <w:sz w:val="22"/>
          <w:szCs w:val="22"/>
          <w:lang w:val="en-GB"/>
        </w:rPr>
        <w:t>1</w:t>
      </w:r>
      <w:r w:rsidRPr="005A60F1">
        <w:rPr>
          <w:rFonts w:ascii="Verdana" w:eastAsia="Verdana" w:hAnsi="Verdana" w:cs="Verdana"/>
          <w:sz w:val="22"/>
          <w:szCs w:val="22"/>
          <w:lang w:val="en-GB"/>
        </w:rPr>
        <w:t xml:space="preserve">, the figures in the financial statements and notes </w:t>
      </w:r>
      <w:r w:rsidR="00F23BF6" w:rsidRPr="005A60F1">
        <w:rPr>
          <w:rFonts w:ascii="Verdana" w:eastAsia="Verdana" w:hAnsi="Verdana" w:cs="Verdana"/>
          <w:sz w:val="22"/>
          <w:szCs w:val="22"/>
          <w:lang w:val="en-GB"/>
        </w:rPr>
        <w:t>have been</w:t>
      </w:r>
      <w:r w:rsidRPr="005A60F1">
        <w:rPr>
          <w:rFonts w:ascii="Verdana" w:eastAsia="Verdana" w:hAnsi="Verdana" w:cs="Verdana"/>
          <w:sz w:val="22"/>
          <w:szCs w:val="22"/>
          <w:lang w:val="en-GB"/>
        </w:rPr>
        <w:t xml:space="preserve"> adjusted in all material respects to reflect the impact of this information.</w:t>
      </w:r>
    </w:p>
    <w:p w14:paraId="63C5B30E" w14:textId="5C689759" w:rsidR="00CA6653" w:rsidRPr="005A60F1" w:rsidRDefault="005A60F1" w:rsidP="0073313A">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There are no material non-adjusted events to report.</w:t>
      </w:r>
      <w:r w:rsidR="00CA6653" w:rsidRPr="005A60F1">
        <w:rPr>
          <w:rFonts w:ascii="Verdana" w:eastAsia="Verdana" w:hAnsi="Verdana" w:cs="Verdana"/>
          <w:sz w:val="22"/>
          <w:szCs w:val="22"/>
          <w:lang w:val="en-GB"/>
        </w:rPr>
        <w:t xml:space="preserve">  </w:t>
      </w:r>
    </w:p>
    <w:p w14:paraId="2191BE7D" w14:textId="77777777" w:rsidR="00C158CD" w:rsidRPr="005A60F1" w:rsidRDefault="00C158CD">
      <w:pPr>
        <w:pStyle w:val="Normal0"/>
        <w:spacing w:after="160"/>
        <w:rPr>
          <w:rFonts w:ascii="Verdana" w:eastAsia="Verdana" w:hAnsi="Verdana" w:cs="Verdana"/>
          <w:sz w:val="22"/>
          <w:szCs w:val="22"/>
          <w:lang w:val="en-GB"/>
        </w:rPr>
      </w:pPr>
    </w:p>
    <w:p w14:paraId="6F458751" w14:textId="77777777" w:rsidR="00CA6653" w:rsidRPr="005A60F1" w:rsidRDefault="00CA6653" w:rsidP="00A31A9E">
      <w:pPr>
        <w:pStyle w:val="Heading1"/>
      </w:pPr>
      <w:bookmarkStart w:id="18" w:name="_Toc75122772"/>
      <w:r w:rsidRPr="005A60F1">
        <w:t xml:space="preserve">Note </w:t>
      </w:r>
      <w:r w:rsidR="009C625F" w:rsidRPr="005A60F1">
        <w:t>4</w:t>
      </w:r>
      <w:r w:rsidRPr="005A60F1">
        <w:t xml:space="preserve"> - Assumptions Made about the Future and Other Major Sources of Estimation Uncertainty</w:t>
      </w:r>
      <w:bookmarkEnd w:id="18"/>
      <w:r w:rsidRPr="005A60F1">
        <w:t xml:space="preserve"> </w:t>
      </w:r>
    </w:p>
    <w:p w14:paraId="59651A52" w14:textId="77777777" w:rsidR="00CA6653" w:rsidRPr="005A60F1" w:rsidRDefault="00CA6653" w:rsidP="00980F0A">
      <w:pPr>
        <w:pStyle w:val="Normal0"/>
        <w:spacing w:after="160"/>
        <w:jc w:val="both"/>
        <w:rPr>
          <w:rFonts w:ascii="Verdana" w:eastAsia="Verdana" w:hAnsi="Verdana" w:cs="Verdana"/>
          <w:sz w:val="22"/>
          <w:szCs w:val="22"/>
          <w:lang w:val="en-GB"/>
        </w:rPr>
      </w:pPr>
      <w:r w:rsidRPr="005A60F1">
        <w:rPr>
          <w:rFonts w:ascii="Verdana" w:eastAsia="Verdana" w:hAnsi="Verdana" w:cs="Verdana"/>
          <w:sz w:val="22"/>
          <w:szCs w:val="22"/>
          <w:lang w:val="en-GB"/>
        </w:rPr>
        <w:t xml:space="preserve">The Statement of Accounts contains estimated figures that are based on assumptions made by the Group about the future or that are otherwise uncertain. Estimates are made taking into account historic evidence, current trends and other relevant factors. However, because balances cannot be determined with certainty, actual results could be materially different from the assumptions and estimates. </w:t>
      </w:r>
    </w:p>
    <w:p w14:paraId="75B68A92" w14:textId="77777777" w:rsidR="005A60F1" w:rsidRPr="005A60F1" w:rsidRDefault="005A60F1">
      <w:pPr>
        <w:rPr>
          <w:rFonts w:eastAsia="Verdana" w:cs="Verdana"/>
          <w:lang w:val="en-GB"/>
        </w:rPr>
      </w:pPr>
      <w:r w:rsidRPr="005A60F1">
        <w:rPr>
          <w:rFonts w:eastAsia="Verdana" w:cs="Verdana"/>
          <w:lang w:val="en-GB"/>
        </w:rPr>
        <w:br w:type="page"/>
      </w:r>
    </w:p>
    <w:p w14:paraId="16AFAB36" w14:textId="5426F5F5" w:rsidR="00CA6653" w:rsidRPr="005A60F1" w:rsidRDefault="00CA6653" w:rsidP="00980F0A">
      <w:pPr>
        <w:pStyle w:val="Normal0"/>
        <w:spacing w:after="160"/>
        <w:jc w:val="both"/>
        <w:rPr>
          <w:rFonts w:ascii="Verdana" w:eastAsia="Verdana" w:hAnsi="Verdana" w:cs="Verdana"/>
          <w:sz w:val="22"/>
          <w:szCs w:val="22"/>
          <w:lang w:val="en-GB"/>
        </w:rPr>
      </w:pPr>
      <w:r w:rsidRPr="005A60F1">
        <w:rPr>
          <w:rFonts w:ascii="Verdana" w:eastAsia="Verdana" w:hAnsi="Verdana" w:cs="Verdana"/>
          <w:sz w:val="22"/>
          <w:szCs w:val="22"/>
          <w:lang w:val="en-GB"/>
        </w:rPr>
        <w:t>The items in the Group’s Balance Sheet at 31 March 20</w:t>
      </w:r>
      <w:r w:rsidR="006D0A3D" w:rsidRPr="005A60F1">
        <w:rPr>
          <w:rFonts w:ascii="Verdana" w:eastAsia="Verdana" w:hAnsi="Verdana" w:cs="Verdana"/>
          <w:sz w:val="22"/>
          <w:szCs w:val="22"/>
          <w:lang w:val="en-GB"/>
        </w:rPr>
        <w:t>2</w:t>
      </w:r>
      <w:r w:rsidR="005A60F1" w:rsidRPr="005A60F1">
        <w:rPr>
          <w:rFonts w:ascii="Verdana" w:eastAsia="Verdana" w:hAnsi="Verdana" w:cs="Verdana"/>
          <w:sz w:val="22"/>
          <w:szCs w:val="22"/>
          <w:lang w:val="en-GB"/>
        </w:rPr>
        <w:t>1</w:t>
      </w:r>
      <w:r w:rsidRPr="005A60F1">
        <w:rPr>
          <w:rFonts w:ascii="Verdana" w:eastAsia="Verdana" w:hAnsi="Verdana" w:cs="Verdana"/>
          <w:sz w:val="22"/>
          <w:szCs w:val="22"/>
          <w:lang w:val="en-GB"/>
        </w:rPr>
        <w:t xml:space="preserve"> for which there is a significant risk of material adjustment in the forthcoming financial year are as follows:</w:t>
      </w:r>
    </w:p>
    <w:tbl>
      <w:tblPr>
        <w:tblW w:w="13658" w:type="dxa"/>
        <w:tblInd w:w="108" w:type="dxa"/>
        <w:tblLook w:val="04A0" w:firstRow="1" w:lastRow="0" w:firstColumn="1" w:lastColumn="0" w:noHBand="0" w:noVBand="1"/>
      </w:tblPr>
      <w:tblGrid>
        <w:gridCol w:w="2190"/>
        <w:gridCol w:w="5480"/>
        <w:gridCol w:w="5988"/>
      </w:tblGrid>
      <w:tr w:rsidR="004D417B" w:rsidRPr="003516A4" w14:paraId="5C766847" w14:textId="77777777" w:rsidTr="005A60F1">
        <w:trPr>
          <w:trHeight w:val="461"/>
        </w:trPr>
        <w:tc>
          <w:tcPr>
            <w:tcW w:w="2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7EDE9" w14:textId="77777777" w:rsidR="00CA6653" w:rsidRPr="005A60F1" w:rsidRDefault="00CA6653" w:rsidP="00CA6653">
            <w:pPr>
              <w:pStyle w:val="Normal0"/>
              <w:spacing w:line="240" w:lineRule="auto"/>
              <w:jc w:val="both"/>
              <w:rPr>
                <w:rFonts w:ascii="Arial" w:eastAsia="Times New Roman" w:hAnsi="Arial" w:cs="Arial"/>
                <w:b/>
                <w:bCs/>
                <w:color w:val="000000"/>
                <w:sz w:val="18"/>
                <w:szCs w:val="18"/>
                <w:lang w:eastAsia="en-GB"/>
              </w:rPr>
            </w:pPr>
            <w:r w:rsidRPr="005A60F1">
              <w:rPr>
                <w:rFonts w:ascii="Arial" w:eastAsia="Times New Roman" w:hAnsi="Arial" w:cs="Arial"/>
                <w:b/>
                <w:bCs/>
                <w:color w:val="000000"/>
                <w:sz w:val="18"/>
                <w:szCs w:val="18"/>
                <w:lang w:eastAsia="en-GB"/>
              </w:rPr>
              <w:t xml:space="preserve">Item </w:t>
            </w:r>
          </w:p>
        </w:tc>
        <w:tc>
          <w:tcPr>
            <w:tcW w:w="5480" w:type="dxa"/>
            <w:tcBorders>
              <w:top w:val="single" w:sz="4" w:space="0" w:color="auto"/>
              <w:left w:val="nil"/>
              <w:bottom w:val="single" w:sz="4" w:space="0" w:color="auto"/>
              <w:right w:val="single" w:sz="4" w:space="0" w:color="auto"/>
            </w:tcBorders>
            <w:shd w:val="clear" w:color="auto" w:fill="auto"/>
            <w:vAlign w:val="center"/>
            <w:hideMark/>
          </w:tcPr>
          <w:p w14:paraId="1E7F05CC" w14:textId="77777777" w:rsidR="00CA6653" w:rsidRPr="005A60F1" w:rsidRDefault="00CA6653" w:rsidP="00CA6653">
            <w:pPr>
              <w:pStyle w:val="Normal0"/>
              <w:spacing w:line="240" w:lineRule="auto"/>
              <w:jc w:val="both"/>
              <w:rPr>
                <w:rFonts w:ascii="Arial" w:eastAsia="Times New Roman" w:hAnsi="Arial" w:cs="Arial"/>
                <w:b/>
                <w:bCs/>
                <w:color w:val="000000"/>
                <w:sz w:val="18"/>
                <w:szCs w:val="18"/>
                <w:lang w:eastAsia="en-GB"/>
              </w:rPr>
            </w:pPr>
            <w:r w:rsidRPr="005A60F1">
              <w:rPr>
                <w:rFonts w:ascii="Arial" w:eastAsia="Times New Roman" w:hAnsi="Arial" w:cs="Arial"/>
                <w:b/>
                <w:bCs/>
                <w:color w:val="000000"/>
                <w:sz w:val="18"/>
                <w:szCs w:val="18"/>
                <w:lang w:eastAsia="en-GB"/>
              </w:rPr>
              <w:t xml:space="preserve">Uncertainties </w:t>
            </w:r>
          </w:p>
        </w:tc>
        <w:tc>
          <w:tcPr>
            <w:tcW w:w="5988" w:type="dxa"/>
            <w:tcBorders>
              <w:top w:val="single" w:sz="4" w:space="0" w:color="auto"/>
              <w:left w:val="nil"/>
              <w:bottom w:val="single" w:sz="4" w:space="0" w:color="auto"/>
              <w:right w:val="single" w:sz="4" w:space="0" w:color="auto"/>
            </w:tcBorders>
            <w:shd w:val="clear" w:color="auto" w:fill="auto"/>
            <w:vAlign w:val="center"/>
            <w:hideMark/>
          </w:tcPr>
          <w:p w14:paraId="0A0E2A38" w14:textId="77777777" w:rsidR="00CA6653" w:rsidRPr="005A60F1" w:rsidRDefault="00CA6653" w:rsidP="00CA6653">
            <w:pPr>
              <w:pStyle w:val="Normal0"/>
              <w:spacing w:line="240" w:lineRule="auto"/>
              <w:jc w:val="both"/>
              <w:rPr>
                <w:rFonts w:ascii="Arial" w:eastAsia="Times New Roman" w:hAnsi="Arial" w:cs="Arial"/>
                <w:b/>
                <w:bCs/>
                <w:color w:val="000000"/>
                <w:sz w:val="18"/>
                <w:szCs w:val="18"/>
                <w:lang w:eastAsia="en-GB"/>
              </w:rPr>
            </w:pPr>
            <w:r w:rsidRPr="005A60F1">
              <w:rPr>
                <w:rFonts w:ascii="Arial" w:eastAsia="Times New Roman" w:hAnsi="Arial" w:cs="Arial"/>
                <w:b/>
                <w:bCs/>
                <w:color w:val="000000"/>
                <w:sz w:val="18"/>
                <w:szCs w:val="18"/>
                <w:lang w:eastAsia="en-GB"/>
              </w:rPr>
              <w:t xml:space="preserve">Effect if Actual Results Differ from Assumptions </w:t>
            </w:r>
          </w:p>
        </w:tc>
      </w:tr>
      <w:tr w:rsidR="004D417B" w:rsidRPr="003516A4" w14:paraId="54730298" w14:textId="77777777" w:rsidTr="005A60F1">
        <w:trPr>
          <w:trHeight w:val="1372"/>
        </w:trPr>
        <w:tc>
          <w:tcPr>
            <w:tcW w:w="2190" w:type="dxa"/>
            <w:tcBorders>
              <w:top w:val="nil"/>
              <w:left w:val="single" w:sz="4" w:space="0" w:color="auto"/>
              <w:bottom w:val="single" w:sz="4" w:space="0" w:color="auto"/>
              <w:right w:val="single" w:sz="4" w:space="0" w:color="auto"/>
            </w:tcBorders>
            <w:shd w:val="clear" w:color="auto" w:fill="auto"/>
            <w:hideMark/>
          </w:tcPr>
          <w:p w14:paraId="458B6600" w14:textId="77777777" w:rsidR="00CA6653" w:rsidRPr="00F4675E" w:rsidRDefault="00CA6653" w:rsidP="00CA6653">
            <w:pPr>
              <w:pStyle w:val="Normal0"/>
              <w:spacing w:line="240" w:lineRule="auto"/>
              <w:jc w:val="both"/>
              <w:rPr>
                <w:rFonts w:ascii="Arial" w:eastAsia="Times New Roman" w:hAnsi="Arial" w:cs="Arial"/>
                <w:b/>
                <w:bCs/>
                <w:color w:val="000000"/>
                <w:sz w:val="18"/>
                <w:szCs w:val="18"/>
                <w:lang w:eastAsia="en-GB"/>
              </w:rPr>
            </w:pPr>
            <w:r w:rsidRPr="00F4675E">
              <w:rPr>
                <w:rFonts w:ascii="Arial" w:eastAsia="Times New Roman" w:hAnsi="Arial" w:cs="Arial"/>
                <w:b/>
                <w:bCs/>
                <w:color w:val="000000"/>
                <w:sz w:val="18"/>
                <w:szCs w:val="18"/>
                <w:lang w:eastAsia="en-GB"/>
              </w:rPr>
              <w:t xml:space="preserve">Property, Plant and Equipment </w:t>
            </w:r>
            <w:r w:rsidR="00980F0A" w:rsidRPr="00F4675E">
              <w:rPr>
                <w:rFonts w:ascii="Arial" w:eastAsia="Times New Roman" w:hAnsi="Arial" w:cs="Arial"/>
                <w:b/>
                <w:bCs/>
                <w:color w:val="000000"/>
                <w:sz w:val="18"/>
                <w:szCs w:val="18"/>
                <w:lang w:eastAsia="en-GB"/>
              </w:rPr>
              <w:t>Valuations and Depreciation</w:t>
            </w:r>
          </w:p>
        </w:tc>
        <w:tc>
          <w:tcPr>
            <w:tcW w:w="5480" w:type="dxa"/>
            <w:tcBorders>
              <w:top w:val="nil"/>
              <w:left w:val="nil"/>
              <w:bottom w:val="single" w:sz="4" w:space="0" w:color="auto"/>
              <w:right w:val="single" w:sz="4" w:space="0" w:color="auto"/>
            </w:tcBorders>
            <w:shd w:val="clear" w:color="auto" w:fill="auto"/>
            <w:hideMark/>
          </w:tcPr>
          <w:p w14:paraId="0FD4F1A8" w14:textId="77777777" w:rsidR="00980F0A" w:rsidRPr="00F4675E" w:rsidRDefault="00980F0A" w:rsidP="00980F0A">
            <w:pPr>
              <w:pStyle w:val="NoSpacing"/>
              <w:jc w:val="both"/>
              <w:rPr>
                <w:sz w:val="18"/>
                <w:szCs w:val="18"/>
                <w:lang w:val="en-GB" w:eastAsia="en-GB"/>
              </w:rPr>
            </w:pPr>
            <w:r w:rsidRPr="00F4675E">
              <w:rPr>
                <w:sz w:val="18"/>
                <w:szCs w:val="18"/>
                <w:lang w:val="en-GB" w:eastAsia="en-GB"/>
              </w:rPr>
              <w:t xml:space="preserve">Assets are independently assessed by professional valuers. Assets are depreciated over useful lives that are dependent on assumptions about the level of repairs and maintenance that will be incurred in relation to individual assets. The current economic climate of austerity could lead to uncertainty that the Police and Crime Commissioner will be able to sustain its current spending on repairs and maintenance, this in turn could impact on the useful lives assigned to assets.  </w:t>
            </w:r>
          </w:p>
          <w:p w14:paraId="774783D5" w14:textId="77777777" w:rsidR="00980F0A" w:rsidRPr="00F4675E" w:rsidRDefault="00980F0A" w:rsidP="00980F0A">
            <w:pPr>
              <w:pStyle w:val="NoSpacing"/>
              <w:jc w:val="both"/>
              <w:rPr>
                <w:sz w:val="18"/>
                <w:szCs w:val="18"/>
                <w:lang w:val="en-GB" w:eastAsia="en-GB"/>
              </w:rPr>
            </w:pPr>
          </w:p>
          <w:p w14:paraId="62B4B2CE" w14:textId="77777777" w:rsidR="00CA6653" w:rsidRPr="00F4675E" w:rsidRDefault="00CA6653" w:rsidP="005A60F1">
            <w:pPr>
              <w:pStyle w:val="Normal0"/>
              <w:jc w:val="both"/>
              <w:rPr>
                <w:rFonts w:ascii="Verdana" w:eastAsia="Calibri" w:hAnsi="Verdana"/>
                <w:sz w:val="18"/>
                <w:szCs w:val="18"/>
                <w:lang w:val="en-GB" w:eastAsia="en-GB"/>
              </w:rPr>
            </w:pPr>
          </w:p>
        </w:tc>
        <w:tc>
          <w:tcPr>
            <w:tcW w:w="5988" w:type="dxa"/>
            <w:tcBorders>
              <w:top w:val="nil"/>
              <w:left w:val="nil"/>
              <w:bottom w:val="single" w:sz="4" w:space="0" w:color="auto"/>
              <w:right w:val="single" w:sz="4" w:space="0" w:color="auto"/>
            </w:tcBorders>
            <w:shd w:val="clear" w:color="auto" w:fill="auto"/>
            <w:hideMark/>
          </w:tcPr>
          <w:p w14:paraId="493C6CB7" w14:textId="77777777" w:rsidR="006016A8" w:rsidRPr="005A60F1" w:rsidRDefault="00CA6653">
            <w:pPr>
              <w:pStyle w:val="Normal0"/>
              <w:spacing w:line="240" w:lineRule="auto"/>
              <w:jc w:val="both"/>
              <w:rPr>
                <w:rFonts w:ascii="Verdana" w:eastAsia="Times New Roman" w:hAnsi="Verdana" w:cs="Arial"/>
                <w:color w:val="000000"/>
                <w:sz w:val="18"/>
                <w:szCs w:val="18"/>
                <w:lang w:eastAsia="en-GB"/>
              </w:rPr>
            </w:pPr>
            <w:r w:rsidRPr="005A60F1">
              <w:rPr>
                <w:rFonts w:ascii="Verdana" w:eastAsia="Times New Roman" w:hAnsi="Verdana" w:cs="Arial"/>
                <w:color w:val="000000"/>
                <w:sz w:val="18"/>
                <w:szCs w:val="18"/>
                <w:lang w:eastAsia="en-GB"/>
              </w:rPr>
              <w:t xml:space="preserve">If the useful life of an asset is reduced, depreciation increases and the carrying amount of the asset falls.   It is estimated that the annual depreciation charge increases by </w:t>
            </w:r>
            <w:r w:rsidR="003E15DC" w:rsidRPr="003516A4">
              <w:rPr>
                <w:rFonts w:ascii="Verdana" w:eastAsia="Times New Roman" w:hAnsi="Verdana" w:cs="Arial"/>
                <w:color w:val="000000"/>
                <w:sz w:val="18"/>
                <w:szCs w:val="18"/>
                <w:highlight w:val="yellow"/>
                <w:lang w:eastAsia="en-GB"/>
              </w:rPr>
              <w:t>£1.9m</w:t>
            </w:r>
            <w:r w:rsidRPr="003516A4">
              <w:rPr>
                <w:rFonts w:ascii="Verdana" w:eastAsia="Times New Roman" w:hAnsi="Verdana" w:cs="Arial"/>
                <w:color w:val="000000"/>
                <w:sz w:val="18"/>
                <w:szCs w:val="18"/>
                <w:highlight w:val="yellow"/>
                <w:lang w:eastAsia="en-GB"/>
              </w:rPr>
              <w:t xml:space="preserve"> </w:t>
            </w:r>
            <w:r w:rsidRPr="005A60F1">
              <w:rPr>
                <w:rFonts w:ascii="Verdana" w:eastAsia="Times New Roman" w:hAnsi="Verdana" w:cs="Arial"/>
                <w:color w:val="000000"/>
                <w:sz w:val="18"/>
                <w:szCs w:val="18"/>
                <w:lang w:eastAsia="en-GB"/>
              </w:rPr>
              <w:t xml:space="preserve">for every year that useful lives are reduced.  </w:t>
            </w:r>
          </w:p>
          <w:p w14:paraId="2E238731" w14:textId="77777777" w:rsidR="006016A8" w:rsidRPr="005A60F1" w:rsidRDefault="006016A8">
            <w:pPr>
              <w:pStyle w:val="Normal0"/>
              <w:spacing w:line="240" w:lineRule="auto"/>
              <w:jc w:val="both"/>
              <w:rPr>
                <w:rFonts w:ascii="Verdana" w:eastAsia="Times New Roman" w:hAnsi="Verdana" w:cs="Arial"/>
                <w:color w:val="000000"/>
                <w:sz w:val="18"/>
                <w:szCs w:val="18"/>
                <w:lang w:eastAsia="en-GB"/>
              </w:rPr>
            </w:pPr>
          </w:p>
          <w:p w14:paraId="24062D0F" w14:textId="77777777" w:rsidR="006016A8" w:rsidRPr="005A60F1" w:rsidRDefault="006016A8" w:rsidP="00D91109">
            <w:pPr>
              <w:jc w:val="both"/>
              <w:rPr>
                <w:rFonts w:eastAsia="Calibri" w:cs="Times New Roman"/>
                <w:sz w:val="18"/>
                <w:szCs w:val="18"/>
                <w:lang w:val="en-GB" w:eastAsia="en-GB"/>
              </w:rPr>
            </w:pPr>
            <w:r w:rsidRPr="005A60F1">
              <w:rPr>
                <w:rFonts w:eastAsia="Calibri" w:cs="Times New Roman"/>
                <w:sz w:val="18"/>
                <w:szCs w:val="18"/>
                <w:lang w:val="en-GB" w:eastAsia="en-GB"/>
              </w:rPr>
              <w:t xml:space="preserve">A 1% market movement for valuations of the asset classes held by the PCC for Surrey would be as follows: </w:t>
            </w:r>
          </w:p>
          <w:p w14:paraId="1BFB4C27" w14:textId="77777777" w:rsidR="006016A8" w:rsidRPr="003516A4" w:rsidRDefault="006016A8" w:rsidP="00EF7B6D">
            <w:pPr>
              <w:pStyle w:val="ListParagraph"/>
              <w:numPr>
                <w:ilvl w:val="0"/>
                <w:numId w:val="9"/>
              </w:numPr>
              <w:jc w:val="both"/>
              <w:rPr>
                <w:rFonts w:eastAsia="Calibri" w:cs="Times New Roman"/>
                <w:sz w:val="18"/>
                <w:szCs w:val="18"/>
                <w:highlight w:val="yellow"/>
              </w:rPr>
            </w:pPr>
            <w:r w:rsidRPr="005A60F1">
              <w:rPr>
                <w:rFonts w:eastAsia="Calibri" w:cs="Times New Roman"/>
                <w:sz w:val="18"/>
                <w:szCs w:val="18"/>
              </w:rPr>
              <w:t xml:space="preserve">Specialised Operational Property asset (Custody Suite) measured using DRC methodology </w:t>
            </w:r>
            <w:r w:rsidRPr="003516A4">
              <w:rPr>
                <w:rFonts w:eastAsia="Calibri" w:cs="Times New Roman"/>
                <w:sz w:val="18"/>
                <w:szCs w:val="18"/>
                <w:highlight w:val="yellow"/>
              </w:rPr>
              <w:t>£0.0</w:t>
            </w:r>
            <w:r w:rsidR="003A7354" w:rsidRPr="003516A4">
              <w:rPr>
                <w:rFonts w:eastAsia="Calibri" w:cs="Times New Roman"/>
                <w:sz w:val="18"/>
                <w:szCs w:val="18"/>
                <w:highlight w:val="yellow"/>
              </w:rPr>
              <w:t>7</w:t>
            </w:r>
            <w:r w:rsidRPr="003516A4">
              <w:rPr>
                <w:rFonts w:eastAsia="Calibri" w:cs="Times New Roman"/>
                <w:sz w:val="18"/>
                <w:szCs w:val="18"/>
                <w:highlight w:val="yellow"/>
              </w:rPr>
              <w:t>m</w:t>
            </w:r>
          </w:p>
          <w:p w14:paraId="12A53462" w14:textId="77777777" w:rsidR="006016A8" w:rsidRPr="003516A4" w:rsidRDefault="006016A8" w:rsidP="00EF7B6D">
            <w:pPr>
              <w:numPr>
                <w:ilvl w:val="0"/>
                <w:numId w:val="9"/>
              </w:numPr>
              <w:jc w:val="both"/>
              <w:rPr>
                <w:rFonts w:eastAsia="Calibri" w:cs="Times New Roman"/>
                <w:sz w:val="18"/>
                <w:szCs w:val="18"/>
                <w:highlight w:val="yellow"/>
                <w:lang w:val="en-GB" w:eastAsia="en-GB"/>
              </w:rPr>
            </w:pPr>
            <w:r w:rsidRPr="005A60F1">
              <w:rPr>
                <w:rFonts w:eastAsia="Calibri" w:cs="Times New Roman"/>
                <w:sz w:val="18"/>
                <w:szCs w:val="18"/>
                <w:lang w:val="en-GB" w:eastAsia="en-GB"/>
              </w:rPr>
              <w:t xml:space="preserve">Non-specialised Operational Property assets measured using EUV methodology </w:t>
            </w:r>
            <w:r w:rsidR="006F39E5" w:rsidRPr="003516A4">
              <w:rPr>
                <w:rFonts w:eastAsia="Calibri" w:cs="Times New Roman"/>
                <w:sz w:val="18"/>
                <w:szCs w:val="18"/>
                <w:highlight w:val="yellow"/>
                <w:lang w:val="en-GB" w:eastAsia="en-GB"/>
              </w:rPr>
              <w:t>£</w:t>
            </w:r>
            <w:r w:rsidR="003A7354" w:rsidRPr="003516A4">
              <w:rPr>
                <w:rFonts w:eastAsia="Calibri" w:cs="Times New Roman"/>
                <w:sz w:val="18"/>
                <w:szCs w:val="18"/>
                <w:highlight w:val="yellow"/>
                <w:lang w:val="en-GB" w:eastAsia="en-GB"/>
              </w:rPr>
              <w:t>0.6</w:t>
            </w:r>
            <w:r w:rsidR="006F39E5" w:rsidRPr="003516A4">
              <w:rPr>
                <w:rFonts w:eastAsia="Calibri" w:cs="Times New Roman"/>
                <w:sz w:val="18"/>
                <w:szCs w:val="18"/>
                <w:highlight w:val="yellow"/>
                <w:lang w:val="en-GB" w:eastAsia="en-GB"/>
              </w:rPr>
              <w:t>2</w:t>
            </w:r>
            <w:r w:rsidRPr="003516A4">
              <w:rPr>
                <w:rFonts w:eastAsia="Calibri" w:cs="Times New Roman"/>
                <w:sz w:val="18"/>
                <w:szCs w:val="18"/>
                <w:highlight w:val="yellow"/>
                <w:lang w:val="en-GB" w:eastAsia="en-GB"/>
              </w:rPr>
              <w:t>m</w:t>
            </w:r>
          </w:p>
          <w:p w14:paraId="66D760A0" w14:textId="77777777" w:rsidR="006016A8" w:rsidRPr="003516A4" w:rsidRDefault="006016A8" w:rsidP="00EF7B6D">
            <w:pPr>
              <w:numPr>
                <w:ilvl w:val="0"/>
                <w:numId w:val="9"/>
              </w:numPr>
              <w:jc w:val="both"/>
              <w:rPr>
                <w:rFonts w:eastAsia="Calibri" w:cs="Times New Roman"/>
                <w:sz w:val="18"/>
                <w:szCs w:val="18"/>
                <w:highlight w:val="yellow"/>
                <w:lang w:val="en-GB" w:eastAsia="en-GB"/>
              </w:rPr>
            </w:pPr>
            <w:r w:rsidRPr="005A60F1">
              <w:rPr>
                <w:rFonts w:eastAsia="Calibri" w:cs="Times New Roman"/>
                <w:sz w:val="18"/>
                <w:szCs w:val="18"/>
                <w:lang w:val="en-GB" w:eastAsia="en-GB"/>
              </w:rPr>
              <w:t xml:space="preserve">Assets Held for Sale measured using Market Value </w:t>
            </w:r>
            <w:r w:rsidRPr="003516A4">
              <w:rPr>
                <w:rFonts w:eastAsia="Calibri" w:cs="Times New Roman"/>
                <w:sz w:val="18"/>
                <w:szCs w:val="18"/>
                <w:highlight w:val="yellow"/>
                <w:lang w:val="en-GB" w:eastAsia="en-GB"/>
              </w:rPr>
              <w:t>£0.01m</w:t>
            </w:r>
          </w:p>
          <w:p w14:paraId="720C1448" w14:textId="38047F1B" w:rsidR="00CA6653" w:rsidRPr="002056BD" w:rsidRDefault="006016A8" w:rsidP="003E15DC">
            <w:pPr>
              <w:numPr>
                <w:ilvl w:val="0"/>
                <w:numId w:val="9"/>
              </w:numPr>
              <w:jc w:val="both"/>
              <w:rPr>
                <w:rFonts w:eastAsia="Calibri" w:cs="Times New Roman"/>
                <w:sz w:val="18"/>
                <w:szCs w:val="18"/>
                <w:highlight w:val="yellow"/>
                <w:lang w:val="en-GB" w:eastAsia="en-GB"/>
              </w:rPr>
            </w:pPr>
            <w:r w:rsidRPr="005A60F1">
              <w:rPr>
                <w:rFonts w:eastAsia="Calibri" w:cs="Times New Roman"/>
                <w:sz w:val="18"/>
                <w:szCs w:val="18"/>
                <w:lang w:val="en-GB" w:eastAsia="en-GB"/>
              </w:rPr>
              <w:t xml:space="preserve">Investment Property valued using Fair Value </w:t>
            </w:r>
            <w:r w:rsidRPr="003516A4">
              <w:rPr>
                <w:rFonts w:eastAsia="Calibri" w:cs="Times New Roman"/>
                <w:sz w:val="18"/>
                <w:szCs w:val="18"/>
                <w:highlight w:val="yellow"/>
                <w:lang w:val="en-GB" w:eastAsia="en-GB"/>
              </w:rPr>
              <w:t>£0.01m</w:t>
            </w:r>
          </w:p>
        </w:tc>
      </w:tr>
      <w:tr w:rsidR="004D417B" w:rsidRPr="003516A4" w14:paraId="396445B6" w14:textId="77777777" w:rsidTr="005A60F1">
        <w:trPr>
          <w:trHeight w:val="579"/>
        </w:trPr>
        <w:tc>
          <w:tcPr>
            <w:tcW w:w="2190" w:type="dxa"/>
            <w:tcBorders>
              <w:top w:val="nil"/>
              <w:left w:val="single" w:sz="4" w:space="0" w:color="auto"/>
              <w:bottom w:val="single" w:sz="4" w:space="0" w:color="auto"/>
              <w:right w:val="single" w:sz="4" w:space="0" w:color="auto"/>
            </w:tcBorders>
            <w:shd w:val="clear" w:color="auto" w:fill="auto"/>
            <w:hideMark/>
          </w:tcPr>
          <w:p w14:paraId="5B37658C" w14:textId="77777777" w:rsidR="00CA6653" w:rsidRPr="00F4675E" w:rsidRDefault="00CA6653" w:rsidP="00CA6653">
            <w:pPr>
              <w:pStyle w:val="Normal0"/>
              <w:spacing w:line="240" w:lineRule="auto"/>
              <w:jc w:val="both"/>
              <w:rPr>
                <w:rFonts w:ascii="Arial" w:eastAsia="Times New Roman" w:hAnsi="Arial" w:cs="Arial"/>
                <w:b/>
                <w:bCs/>
                <w:color w:val="000000"/>
                <w:sz w:val="18"/>
                <w:szCs w:val="18"/>
                <w:lang w:eastAsia="en-GB"/>
              </w:rPr>
            </w:pPr>
            <w:r w:rsidRPr="00F4675E">
              <w:rPr>
                <w:rFonts w:ascii="Arial" w:eastAsia="Times New Roman" w:hAnsi="Arial" w:cs="Arial"/>
                <w:b/>
                <w:bCs/>
                <w:color w:val="000000"/>
                <w:sz w:val="18"/>
                <w:szCs w:val="18"/>
                <w:lang w:eastAsia="en-GB"/>
              </w:rPr>
              <w:t xml:space="preserve">Pensions Liability </w:t>
            </w:r>
          </w:p>
        </w:tc>
        <w:tc>
          <w:tcPr>
            <w:tcW w:w="5480" w:type="dxa"/>
            <w:tcBorders>
              <w:top w:val="nil"/>
              <w:left w:val="nil"/>
              <w:bottom w:val="single" w:sz="4" w:space="0" w:color="auto"/>
              <w:right w:val="single" w:sz="4" w:space="0" w:color="auto"/>
            </w:tcBorders>
            <w:shd w:val="clear" w:color="auto" w:fill="auto"/>
            <w:hideMark/>
          </w:tcPr>
          <w:p w14:paraId="773F8E03" w14:textId="77777777" w:rsidR="00594C6D" w:rsidRPr="00F4675E" w:rsidRDefault="00CA6653" w:rsidP="00CA6653">
            <w:pPr>
              <w:pStyle w:val="Normal0"/>
              <w:spacing w:line="240" w:lineRule="auto"/>
              <w:jc w:val="both"/>
              <w:rPr>
                <w:rFonts w:ascii="Verdana" w:eastAsia="Times New Roman" w:hAnsi="Verdana" w:cs="Arial"/>
                <w:color w:val="000000"/>
                <w:sz w:val="18"/>
                <w:szCs w:val="18"/>
                <w:lang w:eastAsia="en-GB"/>
              </w:rPr>
            </w:pPr>
            <w:r w:rsidRPr="00F4675E">
              <w:rPr>
                <w:rFonts w:ascii="Verdana" w:eastAsia="Times New Roman" w:hAnsi="Verdana" w:cs="Arial"/>
                <w:color w:val="000000"/>
                <w:sz w:val="18"/>
                <w:szCs w:val="18"/>
                <w:lang w:eastAsia="en-GB"/>
              </w:rPr>
              <w:t xml:space="preserve">Estimation of the net liability to pay pensions depends on a number of complex judgements relating to the discount rate used, the rate at which salaries are projected to increase, changes in retirement ages, mortality rates and expected returns on pension fund assets. The Governments Actuary's Department have been engaged to provide the Group with expert advice about the assumptions to be applied for the Police Pension Schemes and Hymans Robertson LLP provides the same advice for the Police Staff Pension Scheme. </w:t>
            </w:r>
          </w:p>
          <w:p w14:paraId="5C380758" w14:textId="77777777" w:rsidR="00594C6D" w:rsidRPr="00F4675E" w:rsidRDefault="00594C6D" w:rsidP="00CA6653">
            <w:pPr>
              <w:pStyle w:val="Normal0"/>
              <w:spacing w:line="240" w:lineRule="auto"/>
              <w:jc w:val="both"/>
              <w:rPr>
                <w:rFonts w:ascii="Verdana" w:eastAsia="Times New Roman" w:hAnsi="Verdana" w:cs="Arial"/>
                <w:color w:val="000000"/>
                <w:sz w:val="18"/>
                <w:szCs w:val="18"/>
                <w:lang w:eastAsia="en-GB"/>
              </w:rPr>
            </w:pPr>
          </w:p>
          <w:p w14:paraId="2FDF46AF" w14:textId="084CD1E2" w:rsidR="00CA6653" w:rsidRPr="00F4675E" w:rsidRDefault="00594C6D" w:rsidP="00F4675E">
            <w:pPr>
              <w:pStyle w:val="Normal0"/>
              <w:spacing w:line="240" w:lineRule="auto"/>
              <w:jc w:val="both"/>
              <w:rPr>
                <w:rFonts w:ascii="Verdana" w:eastAsia="Times New Roman" w:hAnsi="Verdana" w:cs="Arial"/>
                <w:color w:val="000000"/>
                <w:sz w:val="18"/>
                <w:szCs w:val="18"/>
                <w:lang w:eastAsia="en-GB"/>
              </w:rPr>
            </w:pPr>
            <w:r w:rsidRPr="00F4675E">
              <w:rPr>
                <w:rFonts w:ascii="Verdana" w:eastAsia="Times New Roman" w:hAnsi="Verdana" w:cs="Arial"/>
                <w:color w:val="000000"/>
                <w:sz w:val="18"/>
                <w:szCs w:val="18"/>
                <w:lang w:eastAsia="en-GB"/>
              </w:rPr>
              <w:t>Pension</w:t>
            </w:r>
            <w:r w:rsidR="00CA6653" w:rsidRPr="00F4675E">
              <w:rPr>
                <w:rFonts w:ascii="Verdana" w:eastAsia="Times New Roman" w:hAnsi="Verdana" w:cs="Arial"/>
                <w:color w:val="000000"/>
                <w:sz w:val="18"/>
                <w:szCs w:val="18"/>
                <w:lang w:eastAsia="en-GB"/>
              </w:rPr>
              <w:t xml:space="preserve"> assumptions now include the impact of ‘McCloud/Sargeant’ transitional protections for both officer and staff pension schemes to better reflect the Fund’s local assumptions, particularly those for salary increases and withdrawal rates.  The Fund’s actuary also carried out calculations in order to estimate the impact that the Guaranteed Minimum Pension (GMP) equalisation will have on the pension fund liabilities.</w:t>
            </w:r>
          </w:p>
        </w:tc>
        <w:tc>
          <w:tcPr>
            <w:tcW w:w="5988" w:type="dxa"/>
            <w:tcBorders>
              <w:top w:val="nil"/>
              <w:left w:val="nil"/>
              <w:bottom w:val="single" w:sz="4" w:space="0" w:color="auto"/>
              <w:right w:val="single" w:sz="4" w:space="0" w:color="auto"/>
            </w:tcBorders>
            <w:shd w:val="clear" w:color="auto" w:fill="auto"/>
            <w:hideMark/>
          </w:tcPr>
          <w:p w14:paraId="23A7828A" w14:textId="5178729D" w:rsidR="00594C6D" w:rsidRPr="008D2A51" w:rsidRDefault="00594C6D" w:rsidP="00D91109">
            <w:pPr>
              <w:pStyle w:val="NoSpacing"/>
              <w:jc w:val="both"/>
              <w:rPr>
                <w:sz w:val="18"/>
                <w:szCs w:val="18"/>
                <w:lang w:val="en-GB" w:eastAsia="en-GB"/>
              </w:rPr>
            </w:pPr>
            <w:r w:rsidRPr="001E6E70">
              <w:rPr>
                <w:sz w:val="18"/>
                <w:szCs w:val="18"/>
                <w:lang w:val="en-GB" w:eastAsia="en-GB"/>
              </w:rPr>
              <w:t xml:space="preserve">The effects on the net pension liability of changes in individual assumptions can </w:t>
            </w:r>
            <w:r w:rsidR="002D7A26" w:rsidRPr="001E6E70">
              <w:rPr>
                <w:sz w:val="18"/>
                <w:szCs w:val="18"/>
                <w:lang w:val="en-GB" w:eastAsia="en-GB"/>
              </w:rPr>
              <w:t xml:space="preserve">be measured. For instance, a </w:t>
            </w:r>
            <w:r w:rsidR="00F05454" w:rsidRPr="001E6E70">
              <w:rPr>
                <w:sz w:val="18"/>
                <w:szCs w:val="18"/>
                <w:lang w:val="en-GB" w:eastAsia="en-GB"/>
              </w:rPr>
              <w:t>0.5</w:t>
            </w:r>
            <w:r w:rsidRPr="001E6E70">
              <w:rPr>
                <w:sz w:val="18"/>
                <w:szCs w:val="18"/>
                <w:lang w:val="en-GB" w:eastAsia="en-GB"/>
              </w:rPr>
              <w:t xml:space="preserve">% decrease in the real discount rate assumption would result in an increase in the staff </w:t>
            </w:r>
            <w:r w:rsidRPr="008D2A51">
              <w:rPr>
                <w:sz w:val="18"/>
                <w:szCs w:val="18"/>
                <w:lang w:val="en-GB" w:eastAsia="en-GB"/>
              </w:rPr>
              <w:t xml:space="preserve">scheme pension </w:t>
            </w:r>
            <w:r w:rsidR="00F05454" w:rsidRPr="008D2A51">
              <w:rPr>
                <w:sz w:val="18"/>
                <w:szCs w:val="18"/>
                <w:lang w:val="en-GB" w:eastAsia="en-GB"/>
              </w:rPr>
              <w:t xml:space="preserve">obligation </w:t>
            </w:r>
            <w:r w:rsidRPr="008D2A51">
              <w:rPr>
                <w:sz w:val="18"/>
                <w:szCs w:val="18"/>
                <w:lang w:val="en-GB" w:eastAsia="en-GB"/>
              </w:rPr>
              <w:t>of £</w:t>
            </w:r>
            <w:r w:rsidR="001E6E70" w:rsidRPr="008D2A51">
              <w:rPr>
                <w:sz w:val="18"/>
                <w:szCs w:val="18"/>
                <w:lang w:val="en-GB" w:eastAsia="en-GB"/>
              </w:rPr>
              <w:t>74.2</w:t>
            </w:r>
            <w:r w:rsidRPr="008D2A51">
              <w:rPr>
                <w:sz w:val="18"/>
                <w:szCs w:val="18"/>
                <w:lang w:val="en-GB" w:eastAsia="en-GB"/>
              </w:rPr>
              <w:t xml:space="preserve">m </w:t>
            </w:r>
            <w:r w:rsidR="001E6E70" w:rsidRPr="008D2A51">
              <w:rPr>
                <w:sz w:val="18"/>
                <w:szCs w:val="18"/>
                <w:lang w:val="en-GB" w:eastAsia="en-GB"/>
              </w:rPr>
              <w:t>for the CC and £0.8</w:t>
            </w:r>
            <w:r w:rsidR="00F05454" w:rsidRPr="008D2A51">
              <w:rPr>
                <w:sz w:val="18"/>
                <w:szCs w:val="18"/>
                <w:lang w:val="en-GB" w:eastAsia="en-GB"/>
              </w:rPr>
              <w:t xml:space="preserve">m for the PCC with </w:t>
            </w:r>
            <w:r w:rsidRPr="008D2A51">
              <w:rPr>
                <w:sz w:val="18"/>
                <w:szCs w:val="18"/>
                <w:lang w:val="en-GB" w:eastAsia="en-GB"/>
              </w:rPr>
              <w:t>an increase in the police officer pension scheme pension liability of £</w:t>
            </w:r>
            <w:r w:rsidR="008D2A51" w:rsidRPr="008D2A51">
              <w:rPr>
                <w:sz w:val="18"/>
                <w:szCs w:val="18"/>
                <w:lang w:val="en-GB" w:eastAsia="en-GB"/>
              </w:rPr>
              <w:t>202</w:t>
            </w:r>
            <w:r w:rsidR="002D7A26" w:rsidRPr="008D2A51">
              <w:rPr>
                <w:sz w:val="18"/>
                <w:szCs w:val="18"/>
                <w:lang w:val="en-GB" w:eastAsia="en-GB"/>
              </w:rPr>
              <w:t>.0</w:t>
            </w:r>
            <w:r w:rsidRPr="008D2A51">
              <w:rPr>
                <w:sz w:val="18"/>
                <w:szCs w:val="18"/>
                <w:lang w:val="en-GB" w:eastAsia="en-GB"/>
              </w:rPr>
              <w:t>m. However, the assumptions interact in complex ways. During 20</w:t>
            </w:r>
            <w:r w:rsidR="001E6E70" w:rsidRPr="008D2A51">
              <w:rPr>
                <w:sz w:val="18"/>
                <w:szCs w:val="18"/>
                <w:lang w:val="en-GB" w:eastAsia="en-GB"/>
              </w:rPr>
              <w:t>20</w:t>
            </w:r>
            <w:r w:rsidRPr="008D2A51">
              <w:rPr>
                <w:sz w:val="18"/>
                <w:szCs w:val="18"/>
                <w:lang w:val="en-GB" w:eastAsia="en-GB"/>
              </w:rPr>
              <w:t>/2</w:t>
            </w:r>
            <w:r w:rsidR="001E6E70" w:rsidRPr="008D2A51">
              <w:rPr>
                <w:sz w:val="18"/>
                <w:szCs w:val="18"/>
                <w:lang w:val="en-GB" w:eastAsia="en-GB"/>
              </w:rPr>
              <w:t>1</w:t>
            </w:r>
            <w:r w:rsidRPr="008D2A51">
              <w:rPr>
                <w:sz w:val="18"/>
                <w:szCs w:val="18"/>
                <w:lang w:val="en-GB" w:eastAsia="en-GB"/>
              </w:rPr>
              <w:t xml:space="preserve">, the Group's actuaries advised that </w:t>
            </w:r>
            <w:r w:rsidR="004369BF" w:rsidRPr="008D2A51">
              <w:rPr>
                <w:sz w:val="18"/>
                <w:szCs w:val="18"/>
                <w:lang w:val="en-GB" w:eastAsia="en-GB"/>
              </w:rPr>
              <w:t>the net pension liability had in</w:t>
            </w:r>
            <w:r w:rsidRPr="008D2A51">
              <w:rPr>
                <w:sz w:val="18"/>
                <w:szCs w:val="18"/>
                <w:lang w:val="en-GB" w:eastAsia="en-GB"/>
              </w:rPr>
              <w:t>creased in total by £</w:t>
            </w:r>
            <w:r w:rsidR="00436699" w:rsidRPr="008D2A51">
              <w:rPr>
                <w:sz w:val="18"/>
                <w:szCs w:val="18"/>
                <w:lang w:val="en-GB" w:eastAsia="en-GB"/>
              </w:rPr>
              <w:t>1</w:t>
            </w:r>
            <w:r w:rsidR="008D2A51" w:rsidRPr="008D2A51">
              <w:rPr>
                <w:sz w:val="18"/>
                <w:szCs w:val="18"/>
                <w:lang w:val="en-GB" w:eastAsia="en-GB"/>
              </w:rPr>
              <w:t>47</w:t>
            </w:r>
            <w:r w:rsidR="00436699" w:rsidRPr="008D2A51">
              <w:rPr>
                <w:sz w:val="18"/>
                <w:szCs w:val="18"/>
                <w:lang w:val="en-GB" w:eastAsia="en-GB"/>
              </w:rPr>
              <w:t>.</w:t>
            </w:r>
            <w:r w:rsidR="008D2A51" w:rsidRPr="008D2A51">
              <w:rPr>
                <w:sz w:val="18"/>
                <w:szCs w:val="18"/>
                <w:lang w:val="en-GB" w:eastAsia="en-GB"/>
              </w:rPr>
              <w:t>5</w:t>
            </w:r>
            <w:r w:rsidRPr="008D2A51">
              <w:rPr>
                <w:sz w:val="18"/>
                <w:szCs w:val="18"/>
                <w:lang w:val="en-GB" w:eastAsia="en-GB"/>
              </w:rPr>
              <w:t>m as a result of revised actuarial assumptions.</w:t>
            </w:r>
          </w:p>
          <w:p w14:paraId="6C47AF3D" w14:textId="77777777" w:rsidR="00594C6D" w:rsidRPr="003516A4" w:rsidRDefault="00594C6D" w:rsidP="00CA6653">
            <w:pPr>
              <w:pStyle w:val="Normal0"/>
              <w:spacing w:line="240" w:lineRule="auto"/>
              <w:jc w:val="both"/>
              <w:rPr>
                <w:rFonts w:ascii="Verdana" w:eastAsia="Times New Roman" w:hAnsi="Verdana" w:cs="Arial"/>
                <w:color w:val="000000"/>
                <w:sz w:val="18"/>
                <w:szCs w:val="18"/>
                <w:highlight w:val="yellow"/>
                <w:lang w:eastAsia="en-GB"/>
              </w:rPr>
            </w:pPr>
          </w:p>
          <w:p w14:paraId="151A9F77" w14:textId="7E7F0F0F" w:rsidR="00F03FF2" w:rsidRPr="003516A4" w:rsidRDefault="00F03FF2" w:rsidP="00CA6653">
            <w:pPr>
              <w:pStyle w:val="Normal0"/>
              <w:spacing w:line="240" w:lineRule="auto"/>
              <w:jc w:val="both"/>
              <w:rPr>
                <w:rFonts w:ascii="Verdana" w:eastAsia="Times New Roman" w:hAnsi="Verdana" w:cs="Arial"/>
                <w:color w:val="000000"/>
                <w:sz w:val="18"/>
                <w:szCs w:val="18"/>
                <w:highlight w:val="yellow"/>
                <w:lang w:eastAsia="en-GB"/>
              </w:rPr>
            </w:pPr>
          </w:p>
        </w:tc>
      </w:tr>
      <w:tr w:rsidR="0017753F" w:rsidRPr="003516A4" w14:paraId="70E01A8E" w14:textId="77777777" w:rsidTr="005A60F1">
        <w:trPr>
          <w:trHeight w:val="1407"/>
        </w:trPr>
        <w:tc>
          <w:tcPr>
            <w:tcW w:w="2190" w:type="dxa"/>
            <w:tcBorders>
              <w:top w:val="single" w:sz="4" w:space="0" w:color="auto"/>
              <w:left w:val="single" w:sz="4" w:space="0" w:color="auto"/>
              <w:bottom w:val="single" w:sz="4" w:space="0" w:color="auto"/>
              <w:right w:val="single" w:sz="4" w:space="0" w:color="auto"/>
            </w:tcBorders>
            <w:vAlign w:val="center"/>
          </w:tcPr>
          <w:p w14:paraId="56D33AC5" w14:textId="77777777" w:rsidR="0017753F" w:rsidRPr="00F4675E" w:rsidRDefault="0017753F" w:rsidP="0017753F">
            <w:pPr>
              <w:pStyle w:val="NoSpacing"/>
              <w:rPr>
                <w:b/>
                <w:sz w:val="18"/>
                <w:szCs w:val="18"/>
                <w:lang w:val="en-GB" w:eastAsia="en-GB"/>
              </w:rPr>
            </w:pPr>
            <w:r w:rsidRPr="00F4675E">
              <w:rPr>
                <w:b/>
                <w:sz w:val="18"/>
                <w:szCs w:val="18"/>
                <w:lang w:val="en-GB" w:eastAsia="en-GB"/>
              </w:rPr>
              <w:t xml:space="preserve">Pensions Costs  </w:t>
            </w:r>
          </w:p>
        </w:tc>
        <w:tc>
          <w:tcPr>
            <w:tcW w:w="5480" w:type="dxa"/>
            <w:tcBorders>
              <w:top w:val="single" w:sz="4" w:space="0" w:color="auto"/>
              <w:left w:val="single" w:sz="4" w:space="0" w:color="auto"/>
              <w:bottom w:val="single" w:sz="4" w:space="0" w:color="auto"/>
              <w:right w:val="single" w:sz="4" w:space="0" w:color="auto"/>
            </w:tcBorders>
            <w:vAlign w:val="center"/>
          </w:tcPr>
          <w:p w14:paraId="008287BD" w14:textId="77777777" w:rsidR="0017753F" w:rsidRPr="00F4675E" w:rsidRDefault="0017753F" w:rsidP="0017753F">
            <w:pPr>
              <w:pStyle w:val="NoSpacing"/>
              <w:jc w:val="both"/>
              <w:rPr>
                <w:sz w:val="18"/>
                <w:szCs w:val="18"/>
                <w:lang w:val="en-GB" w:eastAsia="en-GB"/>
              </w:rPr>
            </w:pPr>
            <w:r w:rsidRPr="00F4675E">
              <w:rPr>
                <w:sz w:val="18"/>
                <w:szCs w:val="18"/>
                <w:lang w:val="en-GB" w:eastAsia="en-GB"/>
              </w:rPr>
              <w:t>There are three pension schemes for police officers, the 2006 Police Officer Pension Scheme (NPPS), the Police Pension Scheme (</w:t>
            </w:r>
            <w:smartTag w:uri="urn:schemas-microsoft-com:office:smarttags" w:element="stockticker">
              <w:r w:rsidRPr="00F4675E">
                <w:rPr>
                  <w:sz w:val="18"/>
                  <w:szCs w:val="18"/>
                  <w:lang w:val="en-GB" w:eastAsia="en-GB"/>
                </w:rPr>
                <w:t>PPS</w:t>
              </w:r>
            </w:smartTag>
            <w:r w:rsidRPr="00F4675E">
              <w:rPr>
                <w:sz w:val="18"/>
                <w:szCs w:val="18"/>
                <w:lang w:val="en-GB" w:eastAsia="en-GB"/>
              </w:rPr>
              <w:t xml:space="preserve">) and the Police Pension Scheme 2015 (2015 scheme); all of which are unfunded, defined benefit schemes. An unfunded scheme treated as a defined benefit scheme has no investment assets to meet its pension liability the Group must generate cash to meet the actual pension payments as they fall due. </w:t>
            </w:r>
          </w:p>
        </w:tc>
        <w:tc>
          <w:tcPr>
            <w:tcW w:w="5988" w:type="dxa"/>
            <w:tcBorders>
              <w:top w:val="single" w:sz="4" w:space="0" w:color="auto"/>
              <w:left w:val="single" w:sz="4" w:space="0" w:color="auto"/>
              <w:bottom w:val="single" w:sz="4" w:space="0" w:color="auto"/>
              <w:right w:val="single" w:sz="4" w:space="0" w:color="auto"/>
            </w:tcBorders>
            <w:vAlign w:val="center"/>
          </w:tcPr>
          <w:p w14:paraId="2A9E0DEA" w14:textId="65EF8C3E" w:rsidR="0017753F" w:rsidRPr="00F4675E" w:rsidRDefault="0017753F" w:rsidP="0017753F">
            <w:pPr>
              <w:pStyle w:val="NoSpacing"/>
              <w:jc w:val="both"/>
              <w:rPr>
                <w:sz w:val="18"/>
                <w:szCs w:val="18"/>
                <w:lang w:val="en-GB" w:eastAsia="en-GB"/>
              </w:rPr>
            </w:pPr>
            <w:r w:rsidRPr="00F4675E">
              <w:rPr>
                <w:sz w:val="18"/>
                <w:szCs w:val="18"/>
                <w:lang w:val="en-GB" w:eastAsia="en-GB"/>
              </w:rPr>
              <w:t>The benefits payable are funded by contributions from employers and police officers and any shortfall is met by a top up grant from the Home Offic</w:t>
            </w:r>
            <w:r w:rsidRPr="005A2B92">
              <w:rPr>
                <w:sz w:val="18"/>
                <w:szCs w:val="18"/>
                <w:lang w:val="en-GB" w:eastAsia="en-GB"/>
              </w:rPr>
              <w:t xml:space="preserve">e </w:t>
            </w:r>
            <w:r w:rsidRPr="0041394A">
              <w:rPr>
                <w:sz w:val="18"/>
                <w:szCs w:val="18"/>
                <w:lang w:val="en-GB" w:eastAsia="en-GB"/>
              </w:rPr>
              <w:t>(£1</w:t>
            </w:r>
            <w:r w:rsidR="005A2B92" w:rsidRPr="0041394A">
              <w:rPr>
                <w:sz w:val="18"/>
                <w:szCs w:val="18"/>
                <w:lang w:val="en-GB" w:eastAsia="en-GB"/>
              </w:rPr>
              <w:t>3</w:t>
            </w:r>
            <w:r w:rsidRPr="0041394A">
              <w:rPr>
                <w:sz w:val="18"/>
                <w:szCs w:val="18"/>
                <w:lang w:val="en-GB" w:eastAsia="en-GB"/>
              </w:rPr>
              <w:t>.</w:t>
            </w:r>
            <w:r w:rsidR="005A2B92" w:rsidRPr="0041394A">
              <w:rPr>
                <w:sz w:val="18"/>
                <w:szCs w:val="18"/>
                <w:lang w:val="en-GB" w:eastAsia="en-GB"/>
              </w:rPr>
              <w:t>3</w:t>
            </w:r>
            <w:r w:rsidRPr="0041394A">
              <w:rPr>
                <w:sz w:val="18"/>
                <w:szCs w:val="18"/>
                <w:lang w:val="en-GB" w:eastAsia="en-GB"/>
              </w:rPr>
              <w:t>m for 20</w:t>
            </w:r>
            <w:r w:rsidR="00F4675E" w:rsidRPr="0041394A">
              <w:rPr>
                <w:sz w:val="18"/>
                <w:szCs w:val="18"/>
                <w:lang w:val="en-GB" w:eastAsia="en-GB"/>
              </w:rPr>
              <w:t>20</w:t>
            </w:r>
            <w:r w:rsidRPr="0041394A">
              <w:rPr>
                <w:sz w:val="18"/>
                <w:szCs w:val="18"/>
                <w:lang w:val="en-GB" w:eastAsia="en-GB"/>
              </w:rPr>
              <w:t>/2</w:t>
            </w:r>
            <w:r w:rsidR="00F4675E" w:rsidRPr="0041394A">
              <w:rPr>
                <w:sz w:val="18"/>
                <w:szCs w:val="18"/>
                <w:lang w:val="en-GB" w:eastAsia="en-GB"/>
              </w:rPr>
              <w:t>1</w:t>
            </w:r>
            <w:r w:rsidRPr="0041394A">
              <w:rPr>
                <w:sz w:val="18"/>
                <w:szCs w:val="18"/>
                <w:lang w:val="en-GB" w:eastAsia="en-GB"/>
              </w:rPr>
              <w:t xml:space="preserve">) </w:t>
            </w:r>
            <w:r w:rsidRPr="005A2B92">
              <w:rPr>
                <w:sz w:val="18"/>
                <w:szCs w:val="18"/>
                <w:lang w:val="en-GB" w:eastAsia="en-GB"/>
              </w:rPr>
              <w:t>and other Pension Grant to the PCC. Further details of the schemes can be found in the Police Officer Pension Fu</w:t>
            </w:r>
            <w:r w:rsidRPr="00F4675E">
              <w:rPr>
                <w:sz w:val="18"/>
                <w:szCs w:val="18"/>
                <w:lang w:val="en-GB" w:eastAsia="en-GB"/>
              </w:rPr>
              <w:t>nd Accounts.</w:t>
            </w:r>
          </w:p>
          <w:p w14:paraId="0C88A2F4" w14:textId="77777777" w:rsidR="0017753F" w:rsidRPr="003516A4" w:rsidRDefault="0017753F" w:rsidP="0017753F">
            <w:pPr>
              <w:pStyle w:val="Normal0"/>
              <w:jc w:val="both"/>
              <w:rPr>
                <w:rFonts w:ascii="Verdana" w:eastAsia="Calibri" w:hAnsi="Verdana"/>
                <w:sz w:val="18"/>
                <w:szCs w:val="18"/>
                <w:highlight w:val="yellow"/>
                <w:lang w:val="en-GB" w:eastAsia="en-GB"/>
              </w:rPr>
            </w:pPr>
          </w:p>
        </w:tc>
      </w:tr>
      <w:tr w:rsidR="004D417B" w:rsidRPr="003516A4" w14:paraId="00BCA001" w14:textId="77777777" w:rsidTr="005A60F1">
        <w:trPr>
          <w:trHeight w:val="1407"/>
        </w:trPr>
        <w:tc>
          <w:tcPr>
            <w:tcW w:w="2190" w:type="dxa"/>
            <w:tcBorders>
              <w:top w:val="single" w:sz="4" w:space="0" w:color="auto"/>
              <w:left w:val="single" w:sz="4" w:space="0" w:color="auto"/>
              <w:bottom w:val="single" w:sz="4" w:space="0" w:color="auto"/>
              <w:right w:val="single" w:sz="4" w:space="0" w:color="auto"/>
            </w:tcBorders>
            <w:shd w:val="clear" w:color="auto" w:fill="auto"/>
            <w:hideMark/>
          </w:tcPr>
          <w:p w14:paraId="6067ACB6" w14:textId="77777777" w:rsidR="00CA6653" w:rsidRPr="00B06515" w:rsidRDefault="00CA6653" w:rsidP="00CA6653">
            <w:pPr>
              <w:pStyle w:val="Normal0"/>
              <w:spacing w:line="240" w:lineRule="auto"/>
              <w:jc w:val="both"/>
              <w:rPr>
                <w:rFonts w:ascii="Verdana" w:eastAsia="Times New Roman" w:hAnsi="Verdana" w:cs="Arial"/>
                <w:b/>
                <w:bCs/>
                <w:color w:val="000000"/>
                <w:sz w:val="18"/>
                <w:szCs w:val="18"/>
                <w:lang w:eastAsia="en-GB"/>
              </w:rPr>
            </w:pPr>
            <w:r w:rsidRPr="00B06515">
              <w:rPr>
                <w:rFonts w:ascii="Verdana" w:eastAsia="Times New Roman" w:hAnsi="Verdana" w:cs="Arial"/>
                <w:b/>
                <w:bCs/>
                <w:color w:val="000000"/>
                <w:sz w:val="18"/>
                <w:szCs w:val="18"/>
                <w:lang w:eastAsia="en-GB"/>
              </w:rPr>
              <w:t>Insurance Claims Liability</w:t>
            </w:r>
          </w:p>
        </w:tc>
        <w:tc>
          <w:tcPr>
            <w:tcW w:w="5480" w:type="dxa"/>
            <w:tcBorders>
              <w:top w:val="single" w:sz="4" w:space="0" w:color="auto"/>
              <w:left w:val="nil"/>
              <w:bottom w:val="single" w:sz="4" w:space="0" w:color="auto"/>
              <w:right w:val="single" w:sz="4" w:space="0" w:color="auto"/>
            </w:tcBorders>
            <w:shd w:val="clear" w:color="auto" w:fill="auto"/>
            <w:hideMark/>
          </w:tcPr>
          <w:p w14:paraId="0459B2BD" w14:textId="77777777" w:rsidR="00CA6653" w:rsidRPr="00B06515" w:rsidRDefault="0017753F" w:rsidP="0017753F">
            <w:pPr>
              <w:pStyle w:val="Normal0"/>
              <w:spacing w:line="240" w:lineRule="auto"/>
              <w:jc w:val="both"/>
              <w:rPr>
                <w:rFonts w:ascii="Verdana" w:eastAsia="Times New Roman" w:hAnsi="Verdana" w:cs="Arial"/>
                <w:color w:val="000000"/>
                <w:sz w:val="18"/>
                <w:szCs w:val="18"/>
                <w:lang w:eastAsia="en-GB"/>
              </w:rPr>
            </w:pPr>
            <w:r w:rsidRPr="00B06515">
              <w:rPr>
                <w:rFonts w:ascii="Verdana" w:hAnsi="Verdana"/>
                <w:sz w:val="18"/>
                <w:szCs w:val="18"/>
                <w:lang w:val="en-GB" w:eastAsia="en-GB"/>
              </w:rPr>
              <w:t>The level of potential claims facing the Police and Crime Commissioner is independently assessed by professional actuaries Marsh on an annual basis.    This assesses the future potential cost on the Police and Crime Commissioner of claims both known and unknown.  Claims more likely to materialise in terms of probability, cost and timing, are carried as provision on the balance sheet.  Funding for more intangible claims is held in the insurance reserve.  The assessment is subject to peer review.</w:t>
            </w:r>
          </w:p>
        </w:tc>
        <w:tc>
          <w:tcPr>
            <w:tcW w:w="5988" w:type="dxa"/>
            <w:tcBorders>
              <w:top w:val="single" w:sz="4" w:space="0" w:color="auto"/>
              <w:left w:val="nil"/>
              <w:bottom w:val="single" w:sz="4" w:space="0" w:color="auto"/>
              <w:right w:val="single" w:sz="4" w:space="0" w:color="auto"/>
            </w:tcBorders>
            <w:shd w:val="clear" w:color="auto" w:fill="auto"/>
            <w:hideMark/>
          </w:tcPr>
          <w:p w14:paraId="002AB05D" w14:textId="77777777" w:rsidR="00CA6653" w:rsidRPr="008D2A51" w:rsidRDefault="0017753F" w:rsidP="00CA6653">
            <w:pPr>
              <w:pStyle w:val="Normal0"/>
              <w:spacing w:line="240" w:lineRule="auto"/>
              <w:jc w:val="both"/>
              <w:rPr>
                <w:rFonts w:ascii="Verdana" w:eastAsia="Times New Roman" w:hAnsi="Verdana" w:cs="Arial"/>
                <w:color w:val="000000"/>
                <w:sz w:val="18"/>
                <w:szCs w:val="18"/>
                <w:lang w:eastAsia="en-GB"/>
              </w:rPr>
            </w:pPr>
            <w:r w:rsidRPr="008D2A51">
              <w:rPr>
                <w:rFonts w:ascii="Verdana" w:eastAsia="Times New Roman" w:hAnsi="Verdana" w:cs="Arial"/>
                <w:color w:val="000000"/>
                <w:sz w:val="18"/>
                <w:szCs w:val="18"/>
                <w:lang w:eastAsia="en-GB"/>
              </w:rPr>
              <w:t>A</w:t>
            </w:r>
            <w:r w:rsidR="00CA6653" w:rsidRPr="008D2A51">
              <w:rPr>
                <w:rFonts w:ascii="Verdana" w:eastAsia="Times New Roman" w:hAnsi="Verdana" w:cs="Arial"/>
                <w:color w:val="000000"/>
                <w:sz w:val="18"/>
                <w:szCs w:val="18"/>
                <w:lang w:eastAsia="en-GB"/>
              </w:rPr>
              <w:t>dditional resources would be required</w:t>
            </w:r>
            <w:r w:rsidRPr="008D2A51">
              <w:rPr>
                <w:rFonts w:ascii="Verdana" w:eastAsia="Times New Roman" w:hAnsi="Verdana" w:cs="Arial"/>
                <w:color w:val="000000"/>
                <w:sz w:val="18"/>
                <w:szCs w:val="18"/>
                <w:lang w:eastAsia="en-GB"/>
              </w:rPr>
              <w:t xml:space="preserve"> to cover claims costs in the event that claims are higher than predicted</w:t>
            </w:r>
            <w:r w:rsidR="00CA6653" w:rsidRPr="008D2A51">
              <w:rPr>
                <w:rFonts w:ascii="Verdana" w:eastAsia="Times New Roman" w:hAnsi="Verdana" w:cs="Arial"/>
                <w:color w:val="000000"/>
                <w:sz w:val="18"/>
                <w:szCs w:val="18"/>
                <w:lang w:eastAsia="en-GB"/>
              </w:rPr>
              <w:t>.</w:t>
            </w:r>
          </w:p>
        </w:tc>
      </w:tr>
      <w:tr w:rsidR="0017753F" w:rsidRPr="003516A4" w14:paraId="6B2676C6" w14:textId="77777777" w:rsidTr="002056BD">
        <w:trPr>
          <w:trHeight w:val="794"/>
        </w:trPr>
        <w:tc>
          <w:tcPr>
            <w:tcW w:w="2190" w:type="dxa"/>
            <w:tcBorders>
              <w:top w:val="single" w:sz="4" w:space="0" w:color="auto"/>
              <w:left w:val="single" w:sz="4" w:space="0" w:color="auto"/>
              <w:bottom w:val="single" w:sz="4" w:space="0" w:color="auto"/>
              <w:right w:val="single" w:sz="4" w:space="0" w:color="auto"/>
            </w:tcBorders>
            <w:shd w:val="clear" w:color="auto" w:fill="auto"/>
          </w:tcPr>
          <w:p w14:paraId="5F52ED07" w14:textId="77777777" w:rsidR="0017753F" w:rsidRPr="00B06515" w:rsidRDefault="0017753F" w:rsidP="00CA6653">
            <w:pPr>
              <w:pStyle w:val="Normal0"/>
              <w:spacing w:line="240" w:lineRule="auto"/>
              <w:jc w:val="both"/>
              <w:rPr>
                <w:rFonts w:ascii="Arial" w:eastAsia="Times New Roman" w:hAnsi="Arial" w:cs="Arial"/>
                <w:b/>
                <w:bCs/>
                <w:color w:val="000000"/>
                <w:sz w:val="18"/>
                <w:szCs w:val="18"/>
                <w:lang w:eastAsia="en-GB"/>
              </w:rPr>
            </w:pPr>
            <w:r w:rsidRPr="00B06515">
              <w:rPr>
                <w:rFonts w:ascii="Arial" w:eastAsia="Times New Roman" w:hAnsi="Arial" w:cs="Arial"/>
                <w:b/>
                <w:bCs/>
                <w:color w:val="000000"/>
                <w:sz w:val="18"/>
                <w:szCs w:val="18"/>
                <w:lang w:eastAsia="en-GB"/>
              </w:rPr>
              <w:t>Debtors</w:t>
            </w:r>
          </w:p>
        </w:tc>
        <w:tc>
          <w:tcPr>
            <w:tcW w:w="5480" w:type="dxa"/>
            <w:tcBorders>
              <w:top w:val="single" w:sz="4" w:space="0" w:color="auto"/>
              <w:left w:val="nil"/>
              <w:bottom w:val="single" w:sz="4" w:space="0" w:color="auto"/>
              <w:right w:val="single" w:sz="4" w:space="0" w:color="auto"/>
            </w:tcBorders>
            <w:shd w:val="clear" w:color="auto" w:fill="auto"/>
          </w:tcPr>
          <w:p w14:paraId="0F79DB9F" w14:textId="120EFB5A" w:rsidR="0017753F" w:rsidRPr="00B06515" w:rsidRDefault="0017753F" w:rsidP="002056BD">
            <w:pPr>
              <w:jc w:val="both"/>
              <w:rPr>
                <w:rFonts w:eastAsia="Calibri" w:cs="Times New Roman"/>
                <w:sz w:val="18"/>
                <w:szCs w:val="18"/>
              </w:rPr>
            </w:pPr>
            <w:r w:rsidRPr="00B06515">
              <w:rPr>
                <w:rFonts w:eastAsia="Calibri" w:cs="Times New Roman"/>
                <w:sz w:val="18"/>
                <w:szCs w:val="18"/>
              </w:rPr>
              <w:t>At 31st March 202</w:t>
            </w:r>
            <w:r w:rsidR="008D2A51" w:rsidRPr="00B06515">
              <w:rPr>
                <w:rFonts w:eastAsia="Calibri" w:cs="Times New Roman"/>
                <w:sz w:val="18"/>
                <w:szCs w:val="18"/>
              </w:rPr>
              <w:t>1</w:t>
            </w:r>
            <w:r w:rsidRPr="00B06515">
              <w:rPr>
                <w:rFonts w:eastAsia="Calibri" w:cs="Times New Roman"/>
                <w:sz w:val="18"/>
                <w:szCs w:val="18"/>
              </w:rPr>
              <w:t>, the Police and Crime Commissioner had a balance of sundry debtors of £</w:t>
            </w:r>
            <w:r w:rsidR="0007336A" w:rsidRPr="00B06515">
              <w:rPr>
                <w:rFonts w:eastAsia="Calibri" w:cs="Times New Roman"/>
                <w:sz w:val="18"/>
                <w:szCs w:val="18"/>
              </w:rPr>
              <w:t>0</w:t>
            </w:r>
            <w:r w:rsidRPr="00B06515">
              <w:rPr>
                <w:rFonts w:eastAsia="Calibri" w:cs="Times New Roman"/>
                <w:sz w:val="18"/>
                <w:szCs w:val="18"/>
              </w:rPr>
              <w:t>.</w:t>
            </w:r>
            <w:r w:rsidR="0007336A" w:rsidRPr="00B06515">
              <w:rPr>
                <w:rFonts w:eastAsia="Calibri" w:cs="Times New Roman"/>
                <w:sz w:val="18"/>
                <w:szCs w:val="18"/>
              </w:rPr>
              <w:t>8</w:t>
            </w:r>
            <w:r w:rsidRPr="00B06515">
              <w:rPr>
                <w:rFonts w:eastAsia="Calibri" w:cs="Times New Roman"/>
                <w:sz w:val="18"/>
                <w:szCs w:val="18"/>
              </w:rPr>
              <w:t>m. A review of significant balances suggested that an impairment of doubtful debts of £0.</w:t>
            </w:r>
            <w:r w:rsidR="0007336A" w:rsidRPr="00B06515">
              <w:rPr>
                <w:rFonts w:eastAsia="Calibri" w:cs="Times New Roman"/>
                <w:sz w:val="18"/>
                <w:szCs w:val="18"/>
              </w:rPr>
              <w:t>06</w:t>
            </w:r>
            <w:r w:rsidR="002056BD" w:rsidRPr="00B06515">
              <w:rPr>
                <w:rFonts w:eastAsia="Calibri" w:cs="Times New Roman"/>
                <w:sz w:val="18"/>
                <w:szCs w:val="18"/>
              </w:rPr>
              <w:t xml:space="preserve">m was appropriate. </w:t>
            </w:r>
          </w:p>
        </w:tc>
        <w:tc>
          <w:tcPr>
            <w:tcW w:w="5988" w:type="dxa"/>
            <w:tcBorders>
              <w:top w:val="single" w:sz="4" w:space="0" w:color="auto"/>
              <w:left w:val="nil"/>
              <w:bottom w:val="single" w:sz="4" w:space="0" w:color="auto"/>
              <w:right w:val="single" w:sz="4" w:space="0" w:color="auto"/>
            </w:tcBorders>
            <w:shd w:val="clear" w:color="auto" w:fill="auto"/>
          </w:tcPr>
          <w:p w14:paraId="67E8DB00" w14:textId="5B7DAD7D" w:rsidR="0017753F" w:rsidRPr="002056BD" w:rsidRDefault="0017753F" w:rsidP="002056BD">
            <w:pPr>
              <w:pStyle w:val="NoSpacing"/>
              <w:jc w:val="both"/>
              <w:rPr>
                <w:sz w:val="18"/>
                <w:szCs w:val="18"/>
                <w:highlight w:val="yellow"/>
                <w:lang w:val="en-GB" w:eastAsia="en-GB"/>
              </w:rPr>
            </w:pPr>
            <w:r w:rsidRPr="00EE2CAA">
              <w:rPr>
                <w:sz w:val="18"/>
                <w:szCs w:val="18"/>
                <w:lang w:val="en-GB" w:eastAsia="en-GB"/>
              </w:rPr>
              <w:t>Based on the balance outstanding at 31 March 202</w:t>
            </w:r>
            <w:r w:rsidR="00EE2CAA" w:rsidRPr="00EE2CAA">
              <w:rPr>
                <w:sz w:val="18"/>
                <w:szCs w:val="18"/>
                <w:lang w:val="en-GB" w:eastAsia="en-GB"/>
              </w:rPr>
              <w:t>1</w:t>
            </w:r>
            <w:r w:rsidRPr="00EE2CAA">
              <w:rPr>
                <w:sz w:val="18"/>
                <w:szCs w:val="18"/>
                <w:lang w:val="en-GB" w:eastAsia="en-GB"/>
              </w:rPr>
              <w:t xml:space="preserve">, If collection rates were to deteriorate, every 1% decrease would require an additional impairment provision of </w:t>
            </w:r>
            <w:r w:rsidRPr="003516A4">
              <w:rPr>
                <w:sz w:val="18"/>
                <w:szCs w:val="18"/>
                <w:highlight w:val="yellow"/>
                <w:lang w:val="en-GB" w:eastAsia="en-GB"/>
              </w:rPr>
              <w:t>£0.0</w:t>
            </w:r>
            <w:r w:rsidR="00223589" w:rsidRPr="003516A4">
              <w:rPr>
                <w:sz w:val="18"/>
                <w:szCs w:val="18"/>
                <w:highlight w:val="yellow"/>
                <w:lang w:val="en-GB" w:eastAsia="en-GB"/>
              </w:rPr>
              <w:t>12</w:t>
            </w:r>
            <w:r w:rsidR="002056BD">
              <w:rPr>
                <w:sz w:val="18"/>
                <w:szCs w:val="18"/>
                <w:highlight w:val="yellow"/>
                <w:lang w:val="en-GB" w:eastAsia="en-GB"/>
              </w:rPr>
              <w:t>m.</w:t>
            </w:r>
          </w:p>
        </w:tc>
      </w:tr>
      <w:tr w:rsidR="0017753F" w:rsidRPr="003516A4" w14:paraId="499CFE12" w14:textId="77777777" w:rsidTr="005A60F1">
        <w:trPr>
          <w:trHeight w:val="810"/>
        </w:trPr>
        <w:tc>
          <w:tcPr>
            <w:tcW w:w="2190" w:type="dxa"/>
            <w:tcBorders>
              <w:top w:val="single" w:sz="4" w:space="0" w:color="auto"/>
              <w:left w:val="single" w:sz="4" w:space="0" w:color="auto"/>
              <w:bottom w:val="single" w:sz="4" w:space="0" w:color="auto"/>
              <w:right w:val="single" w:sz="4" w:space="0" w:color="auto"/>
            </w:tcBorders>
            <w:shd w:val="clear" w:color="auto" w:fill="auto"/>
          </w:tcPr>
          <w:p w14:paraId="3DA779B9" w14:textId="77777777" w:rsidR="0017753F" w:rsidRPr="001230C6" w:rsidRDefault="0017753F" w:rsidP="0017753F">
            <w:pPr>
              <w:pStyle w:val="Normal0"/>
              <w:spacing w:line="240" w:lineRule="auto"/>
              <w:rPr>
                <w:rFonts w:ascii="Arial" w:eastAsia="Times New Roman" w:hAnsi="Arial" w:cs="Arial"/>
                <w:b/>
                <w:bCs/>
                <w:color w:val="000000"/>
                <w:sz w:val="18"/>
                <w:szCs w:val="18"/>
                <w:lang w:eastAsia="en-GB"/>
              </w:rPr>
            </w:pPr>
            <w:r w:rsidRPr="001230C6">
              <w:rPr>
                <w:rFonts w:ascii="Arial" w:eastAsia="Times New Roman" w:hAnsi="Arial" w:cs="Arial"/>
                <w:b/>
                <w:bCs/>
                <w:color w:val="000000"/>
                <w:sz w:val="18"/>
                <w:szCs w:val="18"/>
                <w:lang w:eastAsia="en-GB"/>
              </w:rPr>
              <w:t>Income &amp; Expenditure</w:t>
            </w:r>
          </w:p>
        </w:tc>
        <w:tc>
          <w:tcPr>
            <w:tcW w:w="5480" w:type="dxa"/>
            <w:tcBorders>
              <w:top w:val="single" w:sz="4" w:space="0" w:color="auto"/>
              <w:left w:val="nil"/>
              <w:bottom w:val="single" w:sz="4" w:space="0" w:color="auto"/>
              <w:right w:val="single" w:sz="4" w:space="0" w:color="auto"/>
            </w:tcBorders>
            <w:shd w:val="clear" w:color="auto" w:fill="auto"/>
          </w:tcPr>
          <w:p w14:paraId="5CF58858" w14:textId="77777777" w:rsidR="0017753F" w:rsidRPr="001230C6" w:rsidRDefault="0017753F" w:rsidP="0017753F">
            <w:pPr>
              <w:pStyle w:val="NoSpacing"/>
              <w:jc w:val="both"/>
              <w:rPr>
                <w:sz w:val="18"/>
                <w:szCs w:val="18"/>
                <w:lang w:val="en-GB" w:eastAsia="en-GB"/>
              </w:rPr>
            </w:pPr>
            <w:r w:rsidRPr="001230C6">
              <w:rPr>
                <w:sz w:val="18"/>
                <w:szCs w:val="18"/>
                <w:lang w:val="en-GB" w:eastAsia="en-GB"/>
              </w:rPr>
              <w:t xml:space="preserve">The majority of funding to the Group is from Government Grants and Precept income. </w:t>
            </w:r>
          </w:p>
          <w:p w14:paraId="527C8583" w14:textId="77777777" w:rsidR="0017753F" w:rsidRPr="001230C6" w:rsidRDefault="0017753F" w:rsidP="0017753F">
            <w:pPr>
              <w:pStyle w:val="Normal0"/>
              <w:jc w:val="both"/>
              <w:rPr>
                <w:rFonts w:ascii="Verdana" w:hAnsi="Verdana"/>
                <w:sz w:val="18"/>
                <w:szCs w:val="18"/>
                <w:lang w:val="en-GB" w:eastAsia="en-GB"/>
              </w:rPr>
            </w:pPr>
          </w:p>
          <w:p w14:paraId="0E1AE1DD" w14:textId="7755C556" w:rsidR="0017753F" w:rsidRPr="001230C6" w:rsidRDefault="0017753F" w:rsidP="001230C6">
            <w:pPr>
              <w:jc w:val="both"/>
              <w:rPr>
                <w:sz w:val="18"/>
                <w:szCs w:val="18"/>
              </w:rPr>
            </w:pPr>
            <w:r w:rsidRPr="001230C6">
              <w:rPr>
                <w:sz w:val="18"/>
                <w:szCs w:val="18"/>
              </w:rPr>
              <w:t xml:space="preserve">The Covid-19 pandemic could make it more difficult for Local Authorities to collect precepts from the public on behalf of the police and Government funding settlements are determined on a short term basis. The force command team, procurement and finance teams therefore monitor financial impacts of the </w:t>
            </w:r>
            <w:r w:rsidR="001230C6" w:rsidRPr="001230C6">
              <w:rPr>
                <w:sz w:val="18"/>
                <w:szCs w:val="18"/>
              </w:rPr>
              <w:t xml:space="preserve">continuing </w:t>
            </w:r>
            <w:r w:rsidRPr="001230C6">
              <w:rPr>
                <w:sz w:val="18"/>
                <w:szCs w:val="18"/>
              </w:rPr>
              <w:t>pandemic on a weekly or monthly basis depending on the level of activity.</w:t>
            </w:r>
          </w:p>
        </w:tc>
        <w:tc>
          <w:tcPr>
            <w:tcW w:w="5988" w:type="dxa"/>
            <w:tcBorders>
              <w:top w:val="single" w:sz="4" w:space="0" w:color="auto"/>
              <w:left w:val="nil"/>
              <w:bottom w:val="single" w:sz="4" w:space="0" w:color="auto"/>
              <w:right w:val="single" w:sz="4" w:space="0" w:color="auto"/>
            </w:tcBorders>
            <w:shd w:val="clear" w:color="auto" w:fill="auto"/>
          </w:tcPr>
          <w:p w14:paraId="385784A5" w14:textId="34E51AC3" w:rsidR="00223589" w:rsidRPr="001230C6" w:rsidRDefault="0017753F" w:rsidP="0017753F">
            <w:pPr>
              <w:pStyle w:val="Normal0"/>
              <w:spacing w:line="240" w:lineRule="auto"/>
              <w:jc w:val="both"/>
              <w:rPr>
                <w:rFonts w:ascii="Verdana" w:eastAsia="Times New Roman" w:hAnsi="Verdana" w:cs="Arial"/>
                <w:color w:val="000000"/>
                <w:sz w:val="18"/>
                <w:szCs w:val="18"/>
                <w:lang w:eastAsia="en-GB"/>
              </w:rPr>
            </w:pPr>
            <w:r w:rsidRPr="001230C6">
              <w:rPr>
                <w:rFonts w:ascii="Verdana" w:hAnsi="Verdana"/>
                <w:sz w:val="18"/>
                <w:szCs w:val="18"/>
                <w:lang w:val="en-GB" w:eastAsia="en-GB"/>
              </w:rPr>
              <w:t>C</w:t>
            </w:r>
            <w:r w:rsidR="004458EE" w:rsidRPr="001230C6">
              <w:rPr>
                <w:rFonts w:ascii="Verdana" w:hAnsi="Verdana"/>
                <w:sz w:val="18"/>
                <w:szCs w:val="18"/>
                <w:lang w:val="en-GB" w:eastAsia="en-GB"/>
              </w:rPr>
              <w:t>urrently 4</w:t>
            </w:r>
            <w:r w:rsidR="001230C6" w:rsidRPr="001230C6">
              <w:rPr>
                <w:rFonts w:ascii="Verdana" w:hAnsi="Verdana"/>
                <w:sz w:val="18"/>
                <w:szCs w:val="18"/>
                <w:lang w:val="en-GB" w:eastAsia="en-GB"/>
              </w:rPr>
              <w:t>4.9</w:t>
            </w:r>
            <w:r w:rsidRPr="001230C6">
              <w:rPr>
                <w:rFonts w:ascii="Verdana" w:hAnsi="Verdana"/>
                <w:sz w:val="18"/>
                <w:szCs w:val="18"/>
                <w:lang w:val="en-GB" w:eastAsia="en-GB"/>
              </w:rPr>
              <w:t>% of the Net Budget Requirement is met by Government Grant Fundi</w:t>
            </w:r>
            <w:r w:rsidR="004458EE" w:rsidRPr="001230C6">
              <w:rPr>
                <w:rFonts w:ascii="Verdana" w:hAnsi="Verdana"/>
                <w:sz w:val="18"/>
                <w:szCs w:val="18"/>
                <w:lang w:val="en-GB" w:eastAsia="en-GB"/>
              </w:rPr>
              <w:t>ng and 5</w:t>
            </w:r>
            <w:r w:rsidR="001230C6" w:rsidRPr="001230C6">
              <w:rPr>
                <w:rFonts w:ascii="Verdana" w:hAnsi="Verdana"/>
                <w:sz w:val="18"/>
                <w:szCs w:val="18"/>
                <w:lang w:val="en-GB" w:eastAsia="en-GB"/>
              </w:rPr>
              <w:t>5</w:t>
            </w:r>
            <w:r w:rsidR="004458EE" w:rsidRPr="001230C6">
              <w:rPr>
                <w:rFonts w:ascii="Verdana" w:hAnsi="Verdana"/>
                <w:sz w:val="18"/>
                <w:szCs w:val="18"/>
                <w:lang w:val="en-GB" w:eastAsia="en-GB"/>
              </w:rPr>
              <w:t>.</w:t>
            </w:r>
            <w:r w:rsidR="001230C6" w:rsidRPr="001230C6">
              <w:rPr>
                <w:rFonts w:ascii="Verdana" w:hAnsi="Verdana"/>
                <w:sz w:val="18"/>
                <w:szCs w:val="18"/>
                <w:lang w:val="en-GB" w:eastAsia="en-GB"/>
              </w:rPr>
              <w:t>1</w:t>
            </w:r>
            <w:r w:rsidRPr="001230C6">
              <w:rPr>
                <w:rFonts w:ascii="Verdana" w:hAnsi="Verdana"/>
                <w:sz w:val="18"/>
                <w:szCs w:val="18"/>
                <w:lang w:val="en-GB" w:eastAsia="en-GB"/>
              </w:rPr>
              <w:t>% by Precept collections.</w:t>
            </w:r>
          </w:p>
          <w:p w14:paraId="108891F9" w14:textId="77777777" w:rsidR="00223589" w:rsidRPr="001230C6" w:rsidRDefault="00223589" w:rsidP="00D91109">
            <w:pPr>
              <w:rPr>
                <w:lang w:eastAsia="en-GB"/>
              </w:rPr>
            </w:pPr>
          </w:p>
          <w:p w14:paraId="6254C3BD" w14:textId="77777777" w:rsidR="00223589" w:rsidRPr="001230C6" w:rsidRDefault="00223589" w:rsidP="00D91109">
            <w:pPr>
              <w:rPr>
                <w:lang w:eastAsia="en-GB"/>
              </w:rPr>
            </w:pPr>
          </w:p>
          <w:p w14:paraId="68E61208" w14:textId="77777777" w:rsidR="00223589" w:rsidRPr="001230C6" w:rsidRDefault="00223589" w:rsidP="00D91109">
            <w:pPr>
              <w:rPr>
                <w:lang w:eastAsia="en-GB"/>
              </w:rPr>
            </w:pPr>
          </w:p>
          <w:p w14:paraId="5D4EBE15" w14:textId="77777777" w:rsidR="00223589" w:rsidRPr="001230C6" w:rsidRDefault="00223589" w:rsidP="00D91109">
            <w:pPr>
              <w:rPr>
                <w:lang w:eastAsia="en-GB"/>
              </w:rPr>
            </w:pPr>
          </w:p>
          <w:p w14:paraId="30DF0B2A" w14:textId="77777777" w:rsidR="00223589" w:rsidRPr="001230C6" w:rsidRDefault="00223589" w:rsidP="00D91109">
            <w:pPr>
              <w:rPr>
                <w:lang w:eastAsia="en-GB"/>
              </w:rPr>
            </w:pPr>
          </w:p>
          <w:p w14:paraId="7233D5C6" w14:textId="77777777" w:rsidR="0017753F" w:rsidRPr="001230C6" w:rsidRDefault="00223589" w:rsidP="00D91109">
            <w:pPr>
              <w:tabs>
                <w:tab w:val="left" w:pos="3212"/>
              </w:tabs>
              <w:rPr>
                <w:lang w:eastAsia="en-GB"/>
              </w:rPr>
            </w:pPr>
            <w:r w:rsidRPr="001230C6">
              <w:rPr>
                <w:lang w:eastAsia="en-GB"/>
              </w:rPr>
              <w:tab/>
            </w:r>
          </w:p>
        </w:tc>
      </w:tr>
    </w:tbl>
    <w:p w14:paraId="26CBDD2B" w14:textId="77777777" w:rsidR="00CA6653" w:rsidRPr="003516A4" w:rsidRDefault="00CA6653" w:rsidP="00CA6653">
      <w:pPr>
        <w:pStyle w:val="Normal0"/>
        <w:spacing w:after="160"/>
        <w:rPr>
          <w:rFonts w:ascii="Verdana" w:hAnsi="Verdana"/>
          <w:sz w:val="4"/>
          <w:szCs w:val="4"/>
          <w:highlight w:val="yellow"/>
          <w:lang w:val="pt-BR"/>
        </w:rPr>
      </w:pPr>
    </w:p>
    <w:p w14:paraId="75F09249" w14:textId="77777777" w:rsidR="00720D53" w:rsidRPr="003516A4" w:rsidRDefault="00720D53" w:rsidP="00CA6653">
      <w:pPr>
        <w:pStyle w:val="Normal0"/>
        <w:spacing w:after="160"/>
        <w:rPr>
          <w:rFonts w:ascii="Verdana" w:hAnsi="Verdana"/>
          <w:sz w:val="4"/>
          <w:szCs w:val="4"/>
          <w:highlight w:val="yellow"/>
          <w:lang w:val="pt-BR"/>
        </w:rPr>
      </w:pPr>
    </w:p>
    <w:p w14:paraId="2928E84B" w14:textId="77777777" w:rsidR="00303CEA" w:rsidRPr="003516A4" w:rsidRDefault="00303CEA">
      <w:pPr>
        <w:rPr>
          <w:rFonts w:asciiTheme="majorHAnsi" w:eastAsiaTheme="majorEastAsia" w:hAnsiTheme="majorHAnsi" w:cstheme="majorBidi"/>
          <w:color w:val="2E74B5" w:themeColor="accent1" w:themeShade="BF"/>
          <w:sz w:val="32"/>
          <w:szCs w:val="32"/>
          <w:highlight w:val="yellow"/>
          <w:lang w:val="pt-BR"/>
        </w:rPr>
      </w:pPr>
      <w:r w:rsidRPr="003516A4">
        <w:rPr>
          <w:highlight w:val="yellow"/>
        </w:rPr>
        <w:br w:type="page"/>
      </w:r>
    </w:p>
    <w:p w14:paraId="21643CC5" w14:textId="77777777" w:rsidR="00CA6653" w:rsidRPr="00062432" w:rsidRDefault="00CA6653" w:rsidP="00A31A9E">
      <w:pPr>
        <w:pStyle w:val="Heading1"/>
      </w:pPr>
      <w:bookmarkStart w:id="19" w:name="_Toc75122773"/>
      <w:r w:rsidRPr="00062432">
        <w:t>Note 5 -Expenditure and Funding Analysis</w:t>
      </w:r>
      <w:bookmarkEnd w:id="19"/>
    </w:p>
    <w:p w14:paraId="3D470139" w14:textId="38EE42F3" w:rsidR="00CA6653" w:rsidRPr="00062432" w:rsidRDefault="00CA6653" w:rsidP="00CA6653">
      <w:pPr>
        <w:pStyle w:val="Normal0"/>
        <w:spacing w:line="240" w:lineRule="auto"/>
        <w:rPr>
          <w:rFonts w:ascii="Verdana" w:hAnsi="Verdana"/>
          <w:sz w:val="22"/>
          <w:szCs w:val="22"/>
          <w:lang w:val="en-GB"/>
        </w:rPr>
      </w:pPr>
      <w:r w:rsidRPr="00062432">
        <w:rPr>
          <w:rFonts w:ascii="Verdana" w:hAnsi="Verdana"/>
          <w:sz w:val="22"/>
          <w:szCs w:val="22"/>
          <w:lang w:val="en-GB"/>
        </w:rPr>
        <w:t>The Expenditure and Funding Analysis note shows how annual expenditure is used and funded from resources (government grants and council tax) by police bodies in comparison with resources consumed or earned in accordance with generally accepted accounting practices.</w:t>
      </w:r>
    </w:p>
    <w:p w14:paraId="67867AA8" w14:textId="77777777" w:rsidR="00CA6653" w:rsidRPr="00062432" w:rsidRDefault="00CA6653">
      <w:pPr>
        <w:pStyle w:val="Normal0"/>
        <w:spacing w:after="160" w:line="259" w:lineRule="auto"/>
        <w:rPr>
          <w:rFonts w:ascii="Verdana" w:eastAsia="Verdana" w:hAnsi="Verdana" w:cs="Verdana"/>
          <w:b/>
          <w:szCs w:val="22"/>
          <w:lang w:val="en-GB"/>
        </w:rPr>
      </w:pPr>
      <w:r w:rsidRPr="00062432">
        <w:rPr>
          <w:rFonts w:ascii="Verdana" w:eastAsia="Verdana" w:hAnsi="Verdana" w:cs="Verdana"/>
          <w:b/>
          <w:szCs w:val="22"/>
          <w:lang w:val="en-GB"/>
        </w:rPr>
        <w:t>Group</w:t>
      </w:r>
    </w:p>
    <w:tbl>
      <w:tblPr>
        <w:tblW w:w="0" w:type="auto"/>
        <w:jc w:val="center"/>
        <w:tblLayout w:type="fixed"/>
        <w:tblLook w:val="04A0" w:firstRow="1" w:lastRow="0" w:firstColumn="1" w:lastColumn="0" w:noHBand="0" w:noVBand="1"/>
      </w:tblPr>
      <w:tblGrid>
        <w:gridCol w:w="1717"/>
        <w:gridCol w:w="1717"/>
        <w:gridCol w:w="1722"/>
        <w:gridCol w:w="3056"/>
        <w:gridCol w:w="1824"/>
        <w:gridCol w:w="1459"/>
        <w:gridCol w:w="1463"/>
      </w:tblGrid>
      <w:tr w:rsidR="004D417B" w:rsidRPr="00B76332" w14:paraId="40D801DB" w14:textId="77777777" w:rsidTr="00AC2355">
        <w:trPr>
          <w:trHeight w:val="178"/>
          <w:jc w:val="center"/>
        </w:trPr>
        <w:tc>
          <w:tcPr>
            <w:tcW w:w="5156" w:type="dxa"/>
            <w:gridSpan w:val="3"/>
            <w:shd w:val="clear" w:color="auto" w:fill="auto"/>
            <w:tcMar>
              <w:top w:w="20" w:type="dxa"/>
              <w:left w:w="20" w:type="dxa"/>
              <w:bottom w:w="20" w:type="dxa"/>
              <w:right w:w="20" w:type="dxa"/>
            </w:tcMar>
            <w:vAlign w:val="bottom"/>
          </w:tcPr>
          <w:p w14:paraId="2D1C7139" w14:textId="77777777" w:rsidR="00CA6653" w:rsidRPr="00B76332" w:rsidRDefault="00CA6653" w:rsidP="00B42E82">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201</w:t>
            </w:r>
            <w:r w:rsidR="00B42E82" w:rsidRPr="00B76332">
              <w:rPr>
                <w:rFonts w:ascii="Verdana" w:eastAsia="Verdana" w:hAnsi="Verdana" w:cs="Verdana"/>
                <w:b/>
                <w:color w:val="000000"/>
                <w:sz w:val="16"/>
                <w:lang w:val="en-GB"/>
              </w:rPr>
              <w:t>9</w:t>
            </w:r>
            <w:r w:rsidRPr="00B76332">
              <w:rPr>
                <w:rFonts w:ascii="Verdana" w:eastAsia="Verdana" w:hAnsi="Verdana" w:cs="Verdana"/>
                <w:b/>
                <w:color w:val="000000"/>
                <w:sz w:val="16"/>
                <w:lang w:val="en-GB"/>
              </w:rPr>
              <w:t>/</w:t>
            </w:r>
            <w:r w:rsidR="00B42E82" w:rsidRPr="00B76332">
              <w:rPr>
                <w:rFonts w:ascii="Verdana" w:eastAsia="Verdana" w:hAnsi="Verdana" w:cs="Verdana"/>
                <w:b/>
                <w:color w:val="000000"/>
                <w:sz w:val="16"/>
                <w:lang w:val="en-GB"/>
              </w:rPr>
              <w:t>20</w:t>
            </w:r>
          </w:p>
        </w:tc>
        <w:tc>
          <w:tcPr>
            <w:tcW w:w="3056" w:type="dxa"/>
            <w:shd w:val="clear" w:color="auto" w:fill="auto"/>
            <w:tcMar>
              <w:top w:w="20" w:type="dxa"/>
              <w:left w:w="20" w:type="dxa"/>
              <w:bottom w:w="20" w:type="dxa"/>
              <w:right w:w="20" w:type="dxa"/>
            </w:tcMar>
            <w:vAlign w:val="bottom"/>
          </w:tcPr>
          <w:p w14:paraId="37306AA7" w14:textId="77777777" w:rsidR="00CA6653" w:rsidRPr="00B76332" w:rsidRDefault="00CA6653">
            <w:pPr>
              <w:pStyle w:val="T1TableStyle"/>
              <w:jc w:val="center"/>
              <w:rPr>
                <w:rFonts w:ascii="Verdana" w:eastAsia="Verdana" w:hAnsi="Verdana" w:cs="Verdana"/>
                <w:b/>
                <w:color w:val="000000"/>
                <w:sz w:val="2"/>
                <w:lang w:val="en-GB"/>
              </w:rPr>
            </w:pPr>
            <w:r w:rsidRPr="00B76332">
              <w:rPr>
                <w:rFonts w:ascii="Verdana" w:eastAsia="Verdana" w:hAnsi="Verdana" w:cs="Verdana"/>
                <w:b/>
                <w:color w:val="000000"/>
                <w:sz w:val="2"/>
                <w:lang w:val="en-GB"/>
              </w:rPr>
              <w:t xml:space="preserve"> </w:t>
            </w:r>
          </w:p>
        </w:tc>
        <w:tc>
          <w:tcPr>
            <w:tcW w:w="4746" w:type="dxa"/>
            <w:gridSpan w:val="3"/>
            <w:shd w:val="clear" w:color="auto" w:fill="auto"/>
            <w:tcMar>
              <w:top w:w="20" w:type="dxa"/>
              <w:left w:w="20" w:type="dxa"/>
              <w:bottom w:w="20" w:type="dxa"/>
              <w:right w:w="20" w:type="dxa"/>
            </w:tcMar>
            <w:vAlign w:val="bottom"/>
          </w:tcPr>
          <w:p w14:paraId="5778656E" w14:textId="77777777" w:rsidR="00CA6653" w:rsidRPr="00B76332" w:rsidRDefault="00CA6653" w:rsidP="00B42E82">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20</w:t>
            </w:r>
            <w:r w:rsidR="00B42E82" w:rsidRPr="00B76332">
              <w:rPr>
                <w:rFonts w:ascii="Verdana" w:eastAsia="Verdana" w:hAnsi="Verdana" w:cs="Verdana"/>
                <w:b/>
                <w:color w:val="000000"/>
                <w:sz w:val="16"/>
                <w:lang w:val="en-GB"/>
              </w:rPr>
              <w:t>20</w:t>
            </w:r>
            <w:r w:rsidRPr="00B76332">
              <w:rPr>
                <w:rFonts w:ascii="Verdana" w:eastAsia="Verdana" w:hAnsi="Verdana" w:cs="Verdana"/>
                <w:b/>
                <w:color w:val="000000"/>
                <w:sz w:val="16"/>
                <w:lang w:val="en-GB"/>
              </w:rPr>
              <w:t>/2</w:t>
            </w:r>
            <w:r w:rsidR="00B42E82" w:rsidRPr="00B76332">
              <w:rPr>
                <w:rFonts w:ascii="Verdana" w:eastAsia="Verdana" w:hAnsi="Verdana" w:cs="Verdana"/>
                <w:b/>
                <w:color w:val="000000"/>
                <w:sz w:val="16"/>
                <w:lang w:val="en-GB"/>
              </w:rPr>
              <w:t>1</w:t>
            </w:r>
          </w:p>
        </w:tc>
      </w:tr>
      <w:tr w:rsidR="004D417B" w:rsidRPr="00B76332" w14:paraId="63F5C4B1" w14:textId="77777777" w:rsidTr="00AC2355">
        <w:trPr>
          <w:trHeight w:val="37"/>
          <w:jc w:val="center"/>
        </w:trPr>
        <w:tc>
          <w:tcPr>
            <w:tcW w:w="1717" w:type="dxa"/>
            <w:shd w:val="clear" w:color="auto" w:fill="auto"/>
            <w:tcMar>
              <w:top w:w="20" w:type="dxa"/>
              <w:left w:w="20" w:type="dxa"/>
              <w:bottom w:w="20" w:type="dxa"/>
              <w:right w:w="20" w:type="dxa"/>
            </w:tcMar>
          </w:tcPr>
          <w:p w14:paraId="39CC00AE" w14:textId="530BA216" w:rsidR="00CA6653" w:rsidRPr="00B76332" w:rsidRDefault="00CA6653" w:rsidP="00AC2355">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 xml:space="preserve">Net Expenditure Chargeable to General Fund </w:t>
            </w:r>
          </w:p>
        </w:tc>
        <w:tc>
          <w:tcPr>
            <w:tcW w:w="1717" w:type="dxa"/>
            <w:shd w:val="clear" w:color="auto" w:fill="auto"/>
            <w:tcMar>
              <w:top w:w="20" w:type="dxa"/>
              <w:left w:w="20" w:type="dxa"/>
              <w:bottom w:w="20" w:type="dxa"/>
              <w:right w:w="20" w:type="dxa"/>
            </w:tcMar>
          </w:tcPr>
          <w:p w14:paraId="6242F00C" w14:textId="77777777" w:rsidR="00CA6653" w:rsidRPr="00B76332" w:rsidRDefault="00CA6653">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Adjustments</w:t>
            </w:r>
          </w:p>
        </w:tc>
        <w:tc>
          <w:tcPr>
            <w:tcW w:w="1722" w:type="dxa"/>
            <w:shd w:val="clear" w:color="auto" w:fill="auto"/>
            <w:tcMar>
              <w:top w:w="20" w:type="dxa"/>
              <w:left w:w="20" w:type="dxa"/>
              <w:bottom w:w="20" w:type="dxa"/>
              <w:right w:w="20" w:type="dxa"/>
            </w:tcMar>
          </w:tcPr>
          <w:p w14:paraId="3CFFD839" w14:textId="77777777" w:rsidR="00CA6653" w:rsidRPr="00B76332" w:rsidRDefault="00CA6653">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Net Expenditure in the C</w:t>
            </w:r>
            <w:r w:rsidR="00F03FF2" w:rsidRPr="00B76332">
              <w:rPr>
                <w:rFonts w:ascii="Verdana" w:eastAsia="Verdana" w:hAnsi="Verdana" w:cs="Verdana"/>
                <w:b/>
                <w:color w:val="000000"/>
                <w:sz w:val="16"/>
                <w:lang w:val="en-GB"/>
              </w:rPr>
              <w:t>IE</w:t>
            </w:r>
            <w:r w:rsidRPr="00B76332">
              <w:rPr>
                <w:rFonts w:ascii="Verdana" w:eastAsia="Verdana" w:hAnsi="Verdana" w:cs="Verdana"/>
                <w:b/>
                <w:color w:val="000000"/>
                <w:sz w:val="16"/>
                <w:lang w:val="en-GB"/>
              </w:rPr>
              <w:t>S</w:t>
            </w:r>
          </w:p>
        </w:tc>
        <w:tc>
          <w:tcPr>
            <w:tcW w:w="3056" w:type="dxa"/>
            <w:shd w:val="clear" w:color="auto" w:fill="auto"/>
            <w:tcMar>
              <w:top w:w="20" w:type="dxa"/>
              <w:left w:w="20" w:type="dxa"/>
              <w:bottom w:w="20" w:type="dxa"/>
              <w:right w:w="20" w:type="dxa"/>
            </w:tcMar>
            <w:vAlign w:val="bottom"/>
          </w:tcPr>
          <w:p w14:paraId="3E16D0B5" w14:textId="77777777" w:rsidR="00CA6653" w:rsidRPr="00B76332" w:rsidRDefault="00CA6653">
            <w:pPr>
              <w:pStyle w:val="T1TableStyle"/>
              <w:jc w:val="center"/>
              <w:rPr>
                <w:rFonts w:ascii="Verdana" w:eastAsia="Verdana" w:hAnsi="Verdana" w:cs="Verdana"/>
                <w:b/>
                <w:color w:val="000000"/>
                <w:sz w:val="2"/>
                <w:lang w:val="en-GB"/>
              </w:rPr>
            </w:pPr>
            <w:r w:rsidRPr="00B76332">
              <w:rPr>
                <w:rFonts w:ascii="Verdana" w:eastAsia="Verdana" w:hAnsi="Verdana" w:cs="Verdana"/>
                <w:b/>
                <w:color w:val="000000"/>
                <w:sz w:val="2"/>
                <w:lang w:val="en-GB"/>
              </w:rPr>
              <w:t xml:space="preserve"> </w:t>
            </w:r>
          </w:p>
        </w:tc>
        <w:tc>
          <w:tcPr>
            <w:tcW w:w="1824" w:type="dxa"/>
            <w:shd w:val="clear" w:color="auto" w:fill="auto"/>
            <w:tcMar>
              <w:top w:w="20" w:type="dxa"/>
              <w:left w:w="20" w:type="dxa"/>
              <w:bottom w:w="20" w:type="dxa"/>
              <w:right w:w="20" w:type="dxa"/>
            </w:tcMar>
          </w:tcPr>
          <w:p w14:paraId="0C518CF8" w14:textId="7CF40F2E" w:rsidR="00CA6653" w:rsidRPr="00B76332" w:rsidRDefault="00CA6653" w:rsidP="00AC2355">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 xml:space="preserve">Net Expenditure Chargeable to General Fund </w:t>
            </w:r>
          </w:p>
        </w:tc>
        <w:tc>
          <w:tcPr>
            <w:tcW w:w="1459" w:type="dxa"/>
            <w:shd w:val="clear" w:color="auto" w:fill="auto"/>
            <w:tcMar>
              <w:top w:w="20" w:type="dxa"/>
              <w:left w:w="20" w:type="dxa"/>
              <w:bottom w:w="20" w:type="dxa"/>
              <w:right w:w="20" w:type="dxa"/>
            </w:tcMar>
          </w:tcPr>
          <w:p w14:paraId="2F99B812" w14:textId="77777777" w:rsidR="00CA6653" w:rsidRPr="00B76332" w:rsidRDefault="00CA6653">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Adjustments</w:t>
            </w:r>
          </w:p>
        </w:tc>
        <w:tc>
          <w:tcPr>
            <w:tcW w:w="1463" w:type="dxa"/>
            <w:shd w:val="clear" w:color="auto" w:fill="auto"/>
            <w:tcMar>
              <w:top w:w="20" w:type="dxa"/>
              <w:left w:w="20" w:type="dxa"/>
              <w:bottom w:w="20" w:type="dxa"/>
              <w:right w:w="20" w:type="dxa"/>
            </w:tcMar>
          </w:tcPr>
          <w:p w14:paraId="37376A4C" w14:textId="77777777" w:rsidR="00CA6653" w:rsidRPr="00B76332" w:rsidRDefault="00CA6653">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 xml:space="preserve">Net Expenditure in the </w:t>
            </w:r>
            <w:r w:rsidR="00F03FF2" w:rsidRPr="00B76332">
              <w:rPr>
                <w:rFonts w:ascii="Verdana" w:eastAsia="Verdana" w:hAnsi="Verdana" w:cs="Verdana"/>
                <w:b/>
                <w:color w:val="000000"/>
                <w:sz w:val="16"/>
                <w:lang w:val="en-GB"/>
              </w:rPr>
              <w:t>CIES</w:t>
            </w:r>
          </w:p>
        </w:tc>
      </w:tr>
      <w:tr w:rsidR="004D417B" w:rsidRPr="00B76332" w14:paraId="57C79834" w14:textId="77777777" w:rsidTr="00AC2355">
        <w:trPr>
          <w:trHeight w:val="178"/>
          <w:jc w:val="center"/>
        </w:trPr>
        <w:tc>
          <w:tcPr>
            <w:tcW w:w="1717" w:type="dxa"/>
            <w:tcBorders>
              <w:bottom w:val="single" w:sz="2" w:space="0" w:color="000000"/>
            </w:tcBorders>
            <w:shd w:val="clear" w:color="auto" w:fill="auto"/>
            <w:tcMar>
              <w:top w:w="20" w:type="dxa"/>
              <w:left w:w="20" w:type="dxa"/>
              <w:bottom w:w="20" w:type="dxa"/>
              <w:right w:w="20" w:type="dxa"/>
            </w:tcMar>
            <w:vAlign w:val="bottom"/>
          </w:tcPr>
          <w:p w14:paraId="6687A765" w14:textId="77777777" w:rsidR="00CA6653" w:rsidRPr="00B76332" w:rsidRDefault="00CA6653">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£000</w:t>
            </w:r>
          </w:p>
        </w:tc>
        <w:tc>
          <w:tcPr>
            <w:tcW w:w="1717" w:type="dxa"/>
            <w:tcBorders>
              <w:bottom w:val="single" w:sz="2" w:space="0" w:color="000000"/>
            </w:tcBorders>
            <w:shd w:val="clear" w:color="auto" w:fill="auto"/>
            <w:tcMar>
              <w:top w:w="20" w:type="dxa"/>
              <w:left w:w="20" w:type="dxa"/>
              <w:bottom w:w="20" w:type="dxa"/>
              <w:right w:w="20" w:type="dxa"/>
            </w:tcMar>
            <w:vAlign w:val="bottom"/>
          </w:tcPr>
          <w:p w14:paraId="7D2DB983" w14:textId="77777777" w:rsidR="00CA6653" w:rsidRPr="00B76332" w:rsidRDefault="00CA6653">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£000</w:t>
            </w:r>
          </w:p>
        </w:tc>
        <w:tc>
          <w:tcPr>
            <w:tcW w:w="1722" w:type="dxa"/>
            <w:tcBorders>
              <w:bottom w:val="single" w:sz="2" w:space="0" w:color="000000"/>
            </w:tcBorders>
            <w:shd w:val="clear" w:color="auto" w:fill="auto"/>
            <w:tcMar>
              <w:top w:w="20" w:type="dxa"/>
              <w:left w:w="20" w:type="dxa"/>
              <w:bottom w:w="20" w:type="dxa"/>
              <w:right w:w="20" w:type="dxa"/>
            </w:tcMar>
            <w:vAlign w:val="bottom"/>
          </w:tcPr>
          <w:p w14:paraId="5E32BF0A" w14:textId="77777777" w:rsidR="00CA6653" w:rsidRPr="00B76332" w:rsidRDefault="00CA6653">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£000</w:t>
            </w:r>
          </w:p>
        </w:tc>
        <w:tc>
          <w:tcPr>
            <w:tcW w:w="3056" w:type="dxa"/>
            <w:tcBorders>
              <w:bottom w:val="single" w:sz="2" w:space="0" w:color="000000"/>
            </w:tcBorders>
            <w:shd w:val="clear" w:color="auto" w:fill="auto"/>
            <w:tcMar>
              <w:top w:w="20" w:type="dxa"/>
              <w:left w:w="20" w:type="dxa"/>
              <w:bottom w:w="20" w:type="dxa"/>
              <w:right w:w="20" w:type="dxa"/>
            </w:tcMar>
            <w:vAlign w:val="bottom"/>
          </w:tcPr>
          <w:p w14:paraId="5BD7C490" w14:textId="77777777" w:rsidR="00CA6653" w:rsidRPr="00B76332" w:rsidRDefault="00CA6653">
            <w:pPr>
              <w:pStyle w:val="T1TableStyle"/>
              <w:jc w:val="right"/>
              <w:rPr>
                <w:rFonts w:ascii="Verdana" w:eastAsia="Verdana" w:hAnsi="Verdana" w:cs="Verdana"/>
                <w:b/>
                <w:color w:val="000000"/>
                <w:sz w:val="2"/>
                <w:lang w:val="en-GB"/>
              </w:rPr>
            </w:pPr>
            <w:r w:rsidRPr="00B76332">
              <w:rPr>
                <w:rFonts w:ascii="Verdana" w:eastAsia="Verdana" w:hAnsi="Verdana" w:cs="Verdana"/>
                <w:b/>
                <w:color w:val="000000"/>
                <w:sz w:val="2"/>
                <w:lang w:val="en-GB"/>
              </w:rPr>
              <w:t xml:space="preserve"> </w:t>
            </w:r>
          </w:p>
        </w:tc>
        <w:tc>
          <w:tcPr>
            <w:tcW w:w="1824" w:type="dxa"/>
            <w:tcBorders>
              <w:bottom w:val="single" w:sz="2" w:space="0" w:color="000000"/>
            </w:tcBorders>
            <w:shd w:val="clear" w:color="auto" w:fill="auto"/>
            <w:tcMar>
              <w:top w:w="20" w:type="dxa"/>
              <w:left w:w="20" w:type="dxa"/>
              <w:bottom w:w="20" w:type="dxa"/>
              <w:right w:w="20" w:type="dxa"/>
            </w:tcMar>
            <w:vAlign w:val="bottom"/>
          </w:tcPr>
          <w:p w14:paraId="7F9CB1A8" w14:textId="77777777" w:rsidR="00CA6653" w:rsidRPr="00B76332" w:rsidRDefault="00CA6653">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£000</w:t>
            </w:r>
          </w:p>
        </w:tc>
        <w:tc>
          <w:tcPr>
            <w:tcW w:w="1459" w:type="dxa"/>
            <w:tcBorders>
              <w:bottom w:val="single" w:sz="2" w:space="0" w:color="000000"/>
            </w:tcBorders>
            <w:shd w:val="clear" w:color="auto" w:fill="auto"/>
            <w:tcMar>
              <w:top w:w="20" w:type="dxa"/>
              <w:left w:w="20" w:type="dxa"/>
              <w:bottom w:w="20" w:type="dxa"/>
              <w:right w:w="20" w:type="dxa"/>
            </w:tcMar>
            <w:vAlign w:val="bottom"/>
          </w:tcPr>
          <w:p w14:paraId="39588912" w14:textId="77777777" w:rsidR="00CA6653" w:rsidRPr="00B76332" w:rsidRDefault="00CA6653">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£000</w:t>
            </w:r>
          </w:p>
        </w:tc>
        <w:tc>
          <w:tcPr>
            <w:tcW w:w="1463" w:type="dxa"/>
            <w:tcBorders>
              <w:bottom w:val="single" w:sz="2" w:space="0" w:color="000000"/>
            </w:tcBorders>
            <w:shd w:val="clear" w:color="auto" w:fill="auto"/>
            <w:tcMar>
              <w:top w:w="20" w:type="dxa"/>
              <w:left w:w="20" w:type="dxa"/>
              <w:bottom w:w="20" w:type="dxa"/>
              <w:right w:w="20" w:type="dxa"/>
            </w:tcMar>
            <w:vAlign w:val="bottom"/>
          </w:tcPr>
          <w:p w14:paraId="148F47F1" w14:textId="77777777" w:rsidR="00CA6653" w:rsidRPr="00B76332" w:rsidRDefault="00CA6653">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£000</w:t>
            </w:r>
          </w:p>
        </w:tc>
      </w:tr>
      <w:tr w:rsidR="008B13D2" w:rsidRPr="00B76332" w14:paraId="396D6F07" w14:textId="77777777" w:rsidTr="00AC2355">
        <w:trPr>
          <w:trHeight w:val="178"/>
          <w:jc w:val="center"/>
        </w:trPr>
        <w:tc>
          <w:tcPr>
            <w:tcW w:w="1717" w:type="dxa"/>
            <w:shd w:val="clear" w:color="auto" w:fill="auto"/>
            <w:tcMar>
              <w:top w:w="20" w:type="dxa"/>
              <w:left w:w="20" w:type="dxa"/>
              <w:bottom w:w="20" w:type="dxa"/>
              <w:right w:w="20" w:type="dxa"/>
            </w:tcMar>
          </w:tcPr>
          <w:p w14:paraId="1F26F0D0" w14:textId="77777777" w:rsidR="008B13D2" w:rsidRPr="00B76332" w:rsidRDefault="008B13D2" w:rsidP="008B13D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81,044</w:t>
            </w:r>
          </w:p>
        </w:tc>
        <w:tc>
          <w:tcPr>
            <w:tcW w:w="1717" w:type="dxa"/>
            <w:shd w:val="clear" w:color="auto" w:fill="auto"/>
            <w:tcMar>
              <w:top w:w="20" w:type="dxa"/>
              <w:left w:w="20" w:type="dxa"/>
              <w:bottom w:w="20" w:type="dxa"/>
              <w:right w:w="20" w:type="dxa"/>
            </w:tcMar>
          </w:tcPr>
          <w:p w14:paraId="33F120F2" w14:textId="77777777" w:rsidR="008B13D2" w:rsidRPr="00B76332" w:rsidRDefault="008B13D2" w:rsidP="008B13D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49,188</w:t>
            </w:r>
          </w:p>
        </w:tc>
        <w:tc>
          <w:tcPr>
            <w:tcW w:w="1722" w:type="dxa"/>
            <w:shd w:val="clear" w:color="auto" w:fill="auto"/>
            <w:tcMar>
              <w:top w:w="20" w:type="dxa"/>
              <w:left w:w="20" w:type="dxa"/>
              <w:bottom w:w="20" w:type="dxa"/>
              <w:right w:w="20" w:type="dxa"/>
            </w:tcMar>
          </w:tcPr>
          <w:p w14:paraId="4489C565" w14:textId="77777777" w:rsidR="008B13D2" w:rsidRPr="00B76332" w:rsidRDefault="008B13D2" w:rsidP="008B13D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130,232</w:t>
            </w:r>
          </w:p>
        </w:tc>
        <w:tc>
          <w:tcPr>
            <w:tcW w:w="3056" w:type="dxa"/>
            <w:shd w:val="clear" w:color="auto" w:fill="auto"/>
            <w:tcMar>
              <w:top w:w="20" w:type="dxa"/>
              <w:left w:w="20" w:type="dxa"/>
              <w:bottom w:w="20" w:type="dxa"/>
              <w:right w:w="20" w:type="dxa"/>
            </w:tcMar>
          </w:tcPr>
          <w:p w14:paraId="74669997" w14:textId="77777777" w:rsidR="008B13D2" w:rsidRPr="00B76332" w:rsidRDefault="008B13D2" w:rsidP="008B13D2">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Police Payroll</w:t>
            </w:r>
          </w:p>
        </w:tc>
        <w:tc>
          <w:tcPr>
            <w:tcW w:w="1824" w:type="dxa"/>
            <w:shd w:val="clear" w:color="auto" w:fill="auto"/>
            <w:tcMar>
              <w:top w:w="20" w:type="dxa"/>
              <w:left w:w="20" w:type="dxa"/>
              <w:bottom w:w="20" w:type="dxa"/>
              <w:right w:w="20" w:type="dxa"/>
            </w:tcMar>
          </w:tcPr>
          <w:p w14:paraId="1F1F3742" w14:textId="31E417F7" w:rsidR="008B13D2" w:rsidRPr="00B76332" w:rsidRDefault="0040495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90,33</w:t>
            </w:r>
            <w:r w:rsidR="00005729">
              <w:rPr>
                <w:rFonts w:ascii="Verdana" w:eastAsia="Verdana" w:hAnsi="Verdana" w:cs="Verdana"/>
                <w:color w:val="000000"/>
                <w:sz w:val="16"/>
                <w:lang w:val="en-GB"/>
              </w:rPr>
              <w:t>2</w:t>
            </w:r>
          </w:p>
        </w:tc>
        <w:tc>
          <w:tcPr>
            <w:tcW w:w="1459" w:type="dxa"/>
            <w:shd w:val="clear" w:color="auto" w:fill="auto"/>
            <w:tcMar>
              <w:top w:w="20" w:type="dxa"/>
              <w:left w:w="20" w:type="dxa"/>
              <w:bottom w:w="20" w:type="dxa"/>
              <w:right w:w="20" w:type="dxa"/>
            </w:tcMar>
          </w:tcPr>
          <w:p w14:paraId="0B97AD21" w14:textId="77777777" w:rsidR="008B13D2" w:rsidRPr="00B76332" w:rsidRDefault="0040495E"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58,090</w:t>
            </w:r>
          </w:p>
        </w:tc>
        <w:tc>
          <w:tcPr>
            <w:tcW w:w="1463" w:type="dxa"/>
            <w:shd w:val="clear" w:color="auto" w:fill="auto"/>
            <w:tcMar>
              <w:top w:w="20" w:type="dxa"/>
              <w:left w:w="20" w:type="dxa"/>
              <w:bottom w:w="20" w:type="dxa"/>
              <w:right w:w="20" w:type="dxa"/>
            </w:tcMar>
          </w:tcPr>
          <w:p w14:paraId="54D98FC6" w14:textId="167838B9" w:rsidR="008B13D2" w:rsidRPr="00B76332" w:rsidRDefault="0040495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148,42</w:t>
            </w:r>
            <w:r w:rsidR="00005729">
              <w:rPr>
                <w:rFonts w:ascii="Verdana" w:eastAsia="Verdana" w:hAnsi="Verdana" w:cs="Verdana"/>
                <w:color w:val="000000"/>
                <w:sz w:val="16"/>
                <w:lang w:val="en-GB"/>
              </w:rPr>
              <w:t>2</w:t>
            </w:r>
          </w:p>
        </w:tc>
      </w:tr>
      <w:tr w:rsidR="001575A6" w:rsidRPr="00B76332" w14:paraId="621A3EC0" w14:textId="77777777" w:rsidTr="00AC2355">
        <w:trPr>
          <w:trHeight w:val="178"/>
          <w:jc w:val="center"/>
        </w:trPr>
        <w:tc>
          <w:tcPr>
            <w:tcW w:w="1717" w:type="dxa"/>
            <w:shd w:val="clear" w:color="auto" w:fill="auto"/>
            <w:tcMar>
              <w:top w:w="20" w:type="dxa"/>
              <w:left w:w="20" w:type="dxa"/>
              <w:bottom w:w="20" w:type="dxa"/>
              <w:right w:w="20" w:type="dxa"/>
            </w:tcMar>
          </w:tcPr>
          <w:p w14:paraId="3649400D"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5,378</w:t>
            </w:r>
          </w:p>
        </w:tc>
        <w:tc>
          <w:tcPr>
            <w:tcW w:w="1717" w:type="dxa"/>
            <w:shd w:val="clear" w:color="auto" w:fill="auto"/>
            <w:tcMar>
              <w:top w:w="20" w:type="dxa"/>
              <w:left w:w="20" w:type="dxa"/>
              <w:bottom w:w="20" w:type="dxa"/>
              <w:right w:w="20" w:type="dxa"/>
            </w:tcMar>
          </w:tcPr>
          <w:p w14:paraId="332B0AC4"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722" w:type="dxa"/>
            <w:shd w:val="clear" w:color="auto" w:fill="auto"/>
            <w:tcMar>
              <w:top w:w="20" w:type="dxa"/>
              <w:left w:w="20" w:type="dxa"/>
              <w:bottom w:w="20" w:type="dxa"/>
              <w:right w:w="20" w:type="dxa"/>
            </w:tcMar>
          </w:tcPr>
          <w:p w14:paraId="1548C517"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5,378</w:t>
            </w:r>
          </w:p>
        </w:tc>
        <w:tc>
          <w:tcPr>
            <w:tcW w:w="3056" w:type="dxa"/>
            <w:shd w:val="clear" w:color="auto" w:fill="auto"/>
            <w:tcMar>
              <w:top w:w="20" w:type="dxa"/>
              <w:left w:w="20" w:type="dxa"/>
              <w:bottom w:w="20" w:type="dxa"/>
              <w:right w:w="20" w:type="dxa"/>
            </w:tcMar>
          </w:tcPr>
          <w:p w14:paraId="23BDCC90" w14:textId="77777777" w:rsidR="001575A6" w:rsidRPr="00B76332" w:rsidRDefault="001575A6" w:rsidP="001575A6">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Police Overtime</w:t>
            </w:r>
          </w:p>
        </w:tc>
        <w:tc>
          <w:tcPr>
            <w:tcW w:w="1824" w:type="dxa"/>
            <w:shd w:val="clear" w:color="auto" w:fill="auto"/>
            <w:tcMar>
              <w:top w:w="20" w:type="dxa"/>
              <w:left w:w="20" w:type="dxa"/>
              <w:bottom w:w="20" w:type="dxa"/>
              <w:right w:w="20" w:type="dxa"/>
            </w:tcMar>
          </w:tcPr>
          <w:p w14:paraId="435D758C"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6,269</w:t>
            </w:r>
          </w:p>
        </w:tc>
        <w:tc>
          <w:tcPr>
            <w:tcW w:w="1459" w:type="dxa"/>
            <w:shd w:val="clear" w:color="auto" w:fill="auto"/>
            <w:tcMar>
              <w:top w:w="20" w:type="dxa"/>
              <w:left w:w="20" w:type="dxa"/>
              <w:bottom w:w="20" w:type="dxa"/>
              <w:right w:w="20" w:type="dxa"/>
            </w:tcMar>
          </w:tcPr>
          <w:p w14:paraId="73734F67" w14:textId="77777777" w:rsidR="001575A6" w:rsidRPr="00B76332" w:rsidRDefault="00062432" w:rsidP="001575A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63" w:type="dxa"/>
            <w:shd w:val="clear" w:color="auto" w:fill="auto"/>
            <w:tcMar>
              <w:top w:w="20" w:type="dxa"/>
              <w:left w:w="20" w:type="dxa"/>
              <w:bottom w:w="20" w:type="dxa"/>
              <w:right w:w="20" w:type="dxa"/>
            </w:tcMar>
          </w:tcPr>
          <w:p w14:paraId="29BA1090"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6,269</w:t>
            </w:r>
          </w:p>
        </w:tc>
      </w:tr>
      <w:tr w:rsidR="001575A6" w:rsidRPr="00B76332" w14:paraId="38FFC51E" w14:textId="77777777" w:rsidTr="00AC2355">
        <w:trPr>
          <w:trHeight w:val="178"/>
          <w:jc w:val="center"/>
        </w:trPr>
        <w:tc>
          <w:tcPr>
            <w:tcW w:w="1717" w:type="dxa"/>
            <w:shd w:val="clear" w:color="auto" w:fill="auto"/>
            <w:tcMar>
              <w:top w:w="20" w:type="dxa"/>
              <w:left w:w="20" w:type="dxa"/>
              <w:bottom w:w="20" w:type="dxa"/>
              <w:right w:w="20" w:type="dxa"/>
            </w:tcMar>
          </w:tcPr>
          <w:p w14:paraId="23E62ECF"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62,777</w:t>
            </w:r>
          </w:p>
        </w:tc>
        <w:tc>
          <w:tcPr>
            <w:tcW w:w="1717" w:type="dxa"/>
            <w:shd w:val="clear" w:color="auto" w:fill="auto"/>
            <w:tcMar>
              <w:top w:w="20" w:type="dxa"/>
              <w:left w:w="20" w:type="dxa"/>
              <w:bottom w:w="20" w:type="dxa"/>
              <w:right w:w="20" w:type="dxa"/>
            </w:tcMar>
          </w:tcPr>
          <w:p w14:paraId="509E739F"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13,985</w:t>
            </w:r>
          </w:p>
        </w:tc>
        <w:tc>
          <w:tcPr>
            <w:tcW w:w="1722" w:type="dxa"/>
            <w:shd w:val="clear" w:color="auto" w:fill="auto"/>
            <w:tcMar>
              <w:top w:w="20" w:type="dxa"/>
              <w:left w:w="20" w:type="dxa"/>
              <w:bottom w:w="20" w:type="dxa"/>
              <w:right w:w="20" w:type="dxa"/>
            </w:tcMar>
          </w:tcPr>
          <w:p w14:paraId="69C66BFB"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76,762</w:t>
            </w:r>
          </w:p>
        </w:tc>
        <w:tc>
          <w:tcPr>
            <w:tcW w:w="3056" w:type="dxa"/>
            <w:shd w:val="clear" w:color="auto" w:fill="auto"/>
            <w:tcMar>
              <w:top w:w="20" w:type="dxa"/>
              <w:left w:w="20" w:type="dxa"/>
              <w:bottom w:w="20" w:type="dxa"/>
              <w:right w:w="20" w:type="dxa"/>
            </w:tcMar>
          </w:tcPr>
          <w:p w14:paraId="7C29787C" w14:textId="77777777" w:rsidR="001575A6" w:rsidRPr="00B76332" w:rsidRDefault="001575A6" w:rsidP="001575A6">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Staff Payroll</w:t>
            </w:r>
          </w:p>
        </w:tc>
        <w:tc>
          <w:tcPr>
            <w:tcW w:w="1824" w:type="dxa"/>
            <w:shd w:val="clear" w:color="auto" w:fill="auto"/>
            <w:tcMar>
              <w:top w:w="20" w:type="dxa"/>
              <w:left w:w="20" w:type="dxa"/>
              <w:bottom w:w="20" w:type="dxa"/>
              <w:right w:w="20" w:type="dxa"/>
            </w:tcMar>
          </w:tcPr>
          <w:p w14:paraId="5E003A5C"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81,827</w:t>
            </w:r>
          </w:p>
        </w:tc>
        <w:tc>
          <w:tcPr>
            <w:tcW w:w="1459" w:type="dxa"/>
            <w:shd w:val="clear" w:color="auto" w:fill="auto"/>
            <w:tcMar>
              <w:top w:w="20" w:type="dxa"/>
              <w:left w:w="20" w:type="dxa"/>
              <w:bottom w:w="20" w:type="dxa"/>
              <w:right w:w="20" w:type="dxa"/>
            </w:tcMar>
          </w:tcPr>
          <w:p w14:paraId="49CBCB70" w14:textId="77777777" w:rsidR="001575A6" w:rsidRPr="00B76332" w:rsidRDefault="00062432" w:rsidP="001575A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63" w:type="dxa"/>
            <w:shd w:val="clear" w:color="auto" w:fill="auto"/>
            <w:tcMar>
              <w:top w:w="20" w:type="dxa"/>
              <w:left w:w="20" w:type="dxa"/>
              <w:bottom w:w="20" w:type="dxa"/>
              <w:right w:w="20" w:type="dxa"/>
            </w:tcMar>
          </w:tcPr>
          <w:p w14:paraId="2A4876BC"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81,827</w:t>
            </w:r>
          </w:p>
        </w:tc>
      </w:tr>
      <w:tr w:rsidR="008B13D2" w:rsidRPr="00B76332" w14:paraId="56690601" w14:textId="77777777" w:rsidTr="00AC2355">
        <w:trPr>
          <w:trHeight w:val="178"/>
          <w:jc w:val="center"/>
        </w:trPr>
        <w:tc>
          <w:tcPr>
            <w:tcW w:w="1717" w:type="dxa"/>
            <w:shd w:val="clear" w:color="auto" w:fill="auto"/>
            <w:tcMar>
              <w:top w:w="20" w:type="dxa"/>
              <w:left w:w="20" w:type="dxa"/>
              <w:bottom w:w="20" w:type="dxa"/>
              <w:right w:w="20" w:type="dxa"/>
            </w:tcMar>
          </w:tcPr>
          <w:p w14:paraId="4739D9ED" w14:textId="77777777" w:rsidR="008B13D2" w:rsidRPr="00B76332" w:rsidRDefault="008B13D2" w:rsidP="008B13D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1,717</w:t>
            </w:r>
          </w:p>
        </w:tc>
        <w:tc>
          <w:tcPr>
            <w:tcW w:w="1717" w:type="dxa"/>
            <w:shd w:val="clear" w:color="auto" w:fill="auto"/>
            <w:tcMar>
              <w:top w:w="20" w:type="dxa"/>
              <w:left w:w="20" w:type="dxa"/>
              <w:bottom w:w="20" w:type="dxa"/>
              <w:right w:w="20" w:type="dxa"/>
            </w:tcMar>
          </w:tcPr>
          <w:p w14:paraId="116A449F" w14:textId="77777777" w:rsidR="008B13D2" w:rsidRPr="00B76332" w:rsidRDefault="008B13D2" w:rsidP="008B13D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722" w:type="dxa"/>
            <w:shd w:val="clear" w:color="auto" w:fill="auto"/>
            <w:tcMar>
              <w:top w:w="20" w:type="dxa"/>
              <w:left w:w="20" w:type="dxa"/>
              <w:bottom w:w="20" w:type="dxa"/>
              <w:right w:w="20" w:type="dxa"/>
            </w:tcMar>
          </w:tcPr>
          <w:p w14:paraId="34D75457" w14:textId="77777777" w:rsidR="008B13D2" w:rsidRPr="00B76332" w:rsidRDefault="008B13D2" w:rsidP="008B13D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1,717</w:t>
            </w:r>
          </w:p>
        </w:tc>
        <w:tc>
          <w:tcPr>
            <w:tcW w:w="3056" w:type="dxa"/>
            <w:shd w:val="clear" w:color="auto" w:fill="auto"/>
            <w:tcMar>
              <w:top w:w="20" w:type="dxa"/>
              <w:left w:w="20" w:type="dxa"/>
              <w:bottom w:w="20" w:type="dxa"/>
              <w:right w:w="20" w:type="dxa"/>
            </w:tcMar>
          </w:tcPr>
          <w:p w14:paraId="43CB5982" w14:textId="77777777" w:rsidR="008B13D2" w:rsidRPr="00B76332" w:rsidRDefault="008B13D2" w:rsidP="008B13D2">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Staff Overtime</w:t>
            </w:r>
          </w:p>
        </w:tc>
        <w:tc>
          <w:tcPr>
            <w:tcW w:w="1824" w:type="dxa"/>
            <w:shd w:val="clear" w:color="auto" w:fill="auto"/>
            <w:tcMar>
              <w:top w:w="20" w:type="dxa"/>
              <w:left w:w="20" w:type="dxa"/>
              <w:bottom w:w="20" w:type="dxa"/>
              <w:right w:w="20" w:type="dxa"/>
            </w:tcMar>
          </w:tcPr>
          <w:p w14:paraId="6B35AA23" w14:textId="77777777" w:rsidR="008B13D2" w:rsidRPr="00B76332" w:rsidRDefault="006A4962"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(8,664)</w:t>
            </w:r>
          </w:p>
        </w:tc>
        <w:tc>
          <w:tcPr>
            <w:tcW w:w="1459" w:type="dxa"/>
            <w:shd w:val="clear" w:color="auto" w:fill="auto"/>
            <w:tcMar>
              <w:top w:w="20" w:type="dxa"/>
              <w:left w:w="20" w:type="dxa"/>
              <w:bottom w:w="20" w:type="dxa"/>
              <w:right w:w="20" w:type="dxa"/>
            </w:tcMar>
          </w:tcPr>
          <w:p w14:paraId="04CCFFB9" w14:textId="77777777" w:rsidR="008B13D2" w:rsidRPr="00B76332" w:rsidRDefault="006A4962"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10,572</w:t>
            </w:r>
          </w:p>
        </w:tc>
        <w:tc>
          <w:tcPr>
            <w:tcW w:w="1463" w:type="dxa"/>
            <w:shd w:val="clear" w:color="auto" w:fill="auto"/>
            <w:tcMar>
              <w:top w:w="20" w:type="dxa"/>
              <w:left w:w="20" w:type="dxa"/>
              <w:bottom w:w="20" w:type="dxa"/>
              <w:right w:w="20" w:type="dxa"/>
            </w:tcMar>
          </w:tcPr>
          <w:p w14:paraId="477B0B30" w14:textId="77777777" w:rsidR="008B13D2" w:rsidRPr="00B76332" w:rsidRDefault="006A4962"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1,908</w:t>
            </w:r>
          </w:p>
        </w:tc>
      </w:tr>
      <w:tr w:rsidR="001575A6" w:rsidRPr="00B76332" w14:paraId="25C5F8AD" w14:textId="77777777" w:rsidTr="00AC2355">
        <w:trPr>
          <w:trHeight w:val="178"/>
          <w:jc w:val="center"/>
        </w:trPr>
        <w:tc>
          <w:tcPr>
            <w:tcW w:w="1717" w:type="dxa"/>
            <w:shd w:val="clear" w:color="auto" w:fill="auto"/>
            <w:tcMar>
              <w:top w:w="20" w:type="dxa"/>
              <w:left w:w="20" w:type="dxa"/>
              <w:bottom w:w="20" w:type="dxa"/>
              <w:right w:w="20" w:type="dxa"/>
            </w:tcMar>
          </w:tcPr>
          <w:p w14:paraId="16183ED7"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2,014</w:t>
            </w:r>
          </w:p>
        </w:tc>
        <w:tc>
          <w:tcPr>
            <w:tcW w:w="1717" w:type="dxa"/>
            <w:shd w:val="clear" w:color="auto" w:fill="auto"/>
            <w:tcMar>
              <w:top w:w="20" w:type="dxa"/>
              <w:left w:w="20" w:type="dxa"/>
              <w:bottom w:w="20" w:type="dxa"/>
              <w:right w:w="20" w:type="dxa"/>
            </w:tcMar>
          </w:tcPr>
          <w:p w14:paraId="3B2F75DA"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722" w:type="dxa"/>
            <w:shd w:val="clear" w:color="auto" w:fill="auto"/>
            <w:tcMar>
              <w:top w:w="20" w:type="dxa"/>
              <w:left w:w="20" w:type="dxa"/>
              <w:bottom w:w="20" w:type="dxa"/>
              <w:right w:w="20" w:type="dxa"/>
            </w:tcMar>
          </w:tcPr>
          <w:p w14:paraId="26C90B6E"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2,014</w:t>
            </w:r>
          </w:p>
        </w:tc>
        <w:tc>
          <w:tcPr>
            <w:tcW w:w="3056" w:type="dxa"/>
            <w:shd w:val="clear" w:color="auto" w:fill="auto"/>
            <w:tcMar>
              <w:top w:w="20" w:type="dxa"/>
              <w:left w:w="20" w:type="dxa"/>
              <w:bottom w:w="20" w:type="dxa"/>
              <w:right w:w="20" w:type="dxa"/>
            </w:tcMar>
          </w:tcPr>
          <w:p w14:paraId="09C84FA2" w14:textId="77777777" w:rsidR="001575A6" w:rsidRPr="00B76332" w:rsidRDefault="001575A6" w:rsidP="001575A6">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Agency</w:t>
            </w:r>
          </w:p>
        </w:tc>
        <w:tc>
          <w:tcPr>
            <w:tcW w:w="1824" w:type="dxa"/>
            <w:shd w:val="clear" w:color="auto" w:fill="auto"/>
            <w:tcMar>
              <w:top w:w="20" w:type="dxa"/>
              <w:left w:w="20" w:type="dxa"/>
              <w:bottom w:w="20" w:type="dxa"/>
              <w:right w:w="20" w:type="dxa"/>
            </w:tcMar>
          </w:tcPr>
          <w:p w14:paraId="64A3B711"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3,414</w:t>
            </w:r>
          </w:p>
        </w:tc>
        <w:tc>
          <w:tcPr>
            <w:tcW w:w="1459" w:type="dxa"/>
            <w:shd w:val="clear" w:color="auto" w:fill="auto"/>
            <w:tcMar>
              <w:top w:w="20" w:type="dxa"/>
              <w:left w:w="20" w:type="dxa"/>
              <w:bottom w:w="20" w:type="dxa"/>
              <w:right w:w="20" w:type="dxa"/>
            </w:tcMar>
          </w:tcPr>
          <w:p w14:paraId="77B2F05F" w14:textId="77777777" w:rsidR="001575A6" w:rsidRPr="00B76332" w:rsidRDefault="00062432" w:rsidP="001575A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63" w:type="dxa"/>
            <w:shd w:val="clear" w:color="auto" w:fill="auto"/>
            <w:tcMar>
              <w:top w:w="20" w:type="dxa"/>
              <w:left w:w="20" w:type="dxa"/>
              <w:bottom w:w="20" w:type="dxa"/>
              <w:right w:w="20" w:type="dxa"/>
            </w:tcMar>
          </w:tcPr>
          <w:p w14:paraId="26BC6D9D"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3,414</w:t>
            </w:r>
          </w:p>
        </w:tc>
      </w:tr>
      <w:tr w:rsidR="001575A6" w:rsidRPr="00B76332" w14:paraId="36BFDDBD" w14:textId="77777777" w:rsidTr="00AC2355">
        <w:trPr>
          <w:trHeight w:val="178"/>
          <w:jc w:val="center"/>
        </w:trPr>
        <w:tc>
          <w:tcPr>
            <w:tcW w:w="1717" w:type="dxa"/>
            <w:shd w:val="clear" w:color="auto" w:fill="auto"/>
            <w:tcMar>
              <w:top w:w="20" w:type="dxa"/>
              <w:left w:w="20" w:type="dxa"/>
              <w:bottom w:w="20" w:type="dxa"/>
              <w:right w:w="20" w:type="dxa"/>
            </w:tcMar>
          </w:tcPr>
          <w:p w14:paraId="36E1DA1E"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1,148</w:t>
            </w:r>
          </w:p>
        </w:tc>
        <w:tc>
          <w:tcPr>
            <w:tcW w:w="1717" w:type="dxa"/>
            <w:shd w:val="clear" w:color="auto" w:fill="auto"/>
            <w:tcMar>
              <w:top w:w="20" w:type="dxa"/>
              <w:left w:w="20" w:type="dxa"/>
              <w:bottom w:w="20" w:type="dxa"/>
              <w:right w:w="20" w:type="dxa"/>
            </w:tcMar>
          </w:tcPr>
          <w:p w14:paraId="11797F80"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722" w:type="dxa"/>
            <w:shd w:val="clear" w:color="auto" w:fill="auto"/>
            <w:tcMar>
              <w:top w:w="20" w:type="dxa"/>
              <w:left w:w="20" w:type="dxa"/>
              <w:bottom w:w="20" w:type="dxa"/>
              <w:right w:w="20" w:type="dxa"/>
            </w:tcMar>
          </w:tcPr>
          <w:p w14:paraId="7D1D19BA"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1,148</w:t>
            </w:r>
          </w:p>
        </w:tc>
        <w:tc>
          <w:tcPr>
            <w:tcW w:w="3056" w:type="dxa"/>
            <w:shd w:val="clear" w:color="auto" w:fill="auto"/>
            <w:tcMar>
              <w:top w:w="20" w:type="dxa"/>
              <w:left w:w="20" w:type="dxa"/>
              <w:bottom w:w="20" w:type="dxa"/>
              <w:right w:w="20" w:type="dxa"/>
            </w:tcMar>
          </w:tcPr>
          <w:p w14:paraId="6070F8AB" w14:textId="77777777" w:rsidR="001575A6" w:rsidRPr="00B76332" w:rsidRDefault="001575A6" w:rsidP="001575A6">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Training</w:t>
            </w:r>
          </w:p>
        </w:tc>
        <w:tc>
          <w:tcPr>
            <w:tcW w:w="1824" w:type="dxa"/>
            <w:shd w:val="clear" w:color="auto" w:fill="auto"/>
            <w:tcMar>
              <w:top w:w="20" w:type="dxa"/>
              <w:left w:w="20" w:type="dxa"/>
              <w:bottom w:w="20" w:type="dxa"/>
              <w:right w:w="20" w:type="dxa"/>
            </w:tcMar>
          </w:tcPr>
          <w:p w14:paraId="69009AF3"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2,367</w:t>
            </w:r>
          </w:p>
        </w:tc>
        <w:tc>
          <w:tcPr>
            <w:tcW w:w="1459" w:type="dxa"/>
            <w:shd w:val="clear" w:color="auto" w:fill="auto"/>
            <w:tcMar>
              <w:top w:w="20" w:type="dxa"/>
              <w:left w:w="20" w:type="dxa"/>
              <w:bottom w:w="20" w:type="dxa"/>
              <w:right w:w="20" w:type="dxa"/>
            </w:tcMar>
          </w:tcPr>
          <w:p w14:paraId="57454C85" w14:textId="77777777" w:rsidR="001575A6" w:rsidRPr="00B76332" w:rsidRDefault="00062432" w:rsidP="001575A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63" w:type="dxa"/>
            <w:shd w:val="clear" w:color="auto" w:fill="auto"/>
            <w:tcMar>
              <w:top w:w="20" w:type="dxa"/>
              <w:left w:w="20" w:type="dxa"/>
              <w:bottom w:w="20" w:type="dxa"/>
              <w:right w:w="20" w:type="dxa"/>
            </w:tcMar>
          </w:tcPr>
          <w:p w14:paraId="189567E8"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2,367</w:t>
            </w:r>
          </w:p>
        </w:tc>
      </w:tr>
      <w:tr w:rsidR="001575A6" w:rsidRPr="00B76332" w14:paraId="4E931232" w14:textId="77777777" w:rsidTr="00AC2355">
        <w:trPr>
          <w:trHeight w:val="178"/>
          <w:jc w:val="center"/>
        </w:trPr>
        <w:tc>
          <w:tcPr>
            <w:tcW w:w="1717" w:type="dxa"/>
            <w:shd w:val="clear" w:color="auto" w:fill="auto"/>
            <w:tcMar>
              <w:top w:w="20" w:type="dxa"/>
              <w:left w:w="20" w:type="dxa"/>
              <w:bottom w:w="20" w:type="dxa"/>
              <w:right w:w="20" w:type="dxa"/>
            </w:tcMar>
          </w:tcPr>
          <w:p w14:paraId="79AA66CF"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1,751</w:t>
            </w:r>
          </w:p>
        </w:tc>
        <w:tc>
          <w:tcPr>
            <w:tcW w:w="1717" w:type="dxa"/>
            <w:shd w:val="clear" w:color="auto" w:fill="auto"/>
            <w:tcMar>
              <w:top w:w="20" w:type="dxa"/>
              <w:left w:w="20" w:type="dxa"/>
              <w:bottom w:w="20" w:type="dxa"/>
              <w:right w:w="20" w:type="dxa"/>
            </w:tcMar>
          </w:tcPr>
          <w:p w14:paraId="19371A86"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722" w:type="dxa"/>
            <w:shd w:val="clear" w:color="auto" w:fill="auto"/>
            <w:tcMar>
              <w:top w:w="20" w:type="dxa"/>
              <w:left w:w="20" w:type="dxa"/>
              <w:bottom w:w="20" w:type="dxa"/>
              <w:right w:w="20" w:type="dxa"/>
            </w:tcMar>
          </w:tcPr>
          <w:p w14:paraId="72013BF3"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1,751</w:t>
            </w:r>
          </w:p>
        </w:tc>
        <w:tc>
          <w:tcPr>
            <w:tcW w:w="3056" w:type="dxa"/>
            <w:shd w:val="clear" w:color="auto" w:fill="auto"/>
            <w:tcMar>
              <w:top w:w="20" w:type="dxa"/>
              <w:left w:w="20" w:type="dxa"/>
              <w:bottom w:w="20" w:type="dxa"/>
              <w:right w:w="20" w:type="dxa"/>
            </w:tcMar>
          </w:tcPr>
          <w:p w14:paraId="3465DF1A" w14:textId="77777777" w:rsidR="001575A6" w:rsidRPr="00B76332" w:rsidRDefault="001575A6" w:rsidP="001575A6">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Other Payroll Costs</w:t>
            </w:r>
          </w:p>
        </w:tc>
        <w:tc>
          <w:tcPr>
            <w:tcW w:w="1824" w:type="dxa"/>
            <w:shd w:val="clear" w:color="auto" w:fill="auto"/>
            <w:tcMar>
              <w:top w:w="20" w:type="dxa"/>
              <w:left w:w="20" w:type="dxa"/>
              <w:bottom w:w="20" w:type="dxa"/>
              <w:right w:w="20" w:type="dxa"/>
            </w:tcMar>
          </w:tcPr>
          <w:p w14:paraId="432CABCE"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2,310</w:t>
            </w:r>
          </w:p>
        </w:tc>
        <w:tc>
          <w:tcPr>
            <w:tcW w:w="1459" w:type="dxa"/>
            <w:shd w:val="clear" w:color="auto" w:fill="auto"/>
            <w:tcMar>
              <w:top w:w="20" w:type="dxa"/>
              <w:left w:w="20" w:type="dxa"/>
              <w:bottom w:w="20" w:type="dxa"/>
              <w:right w:w="20" w:type="dxa"/>
            </w:tcMar>
          </w:tcPr>
          <w:p w14:paraId="23C7E2FE" w14:textId="77777777" w:rsidR="001575A6" w:rsidRPr="00B76332" w:rsidRDefault="00062432" w:rsidP="001575A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63" w:type="dxa"/>
            <w:shd w:val="clear" w:color="auto" w:fill="auto"/>
            <w:tcMar>
              <w:top w:w="20" w:type="dxa"/>
              <w:left w:w="20" w:type="dxa"/>
              <w:bottom w:w="20" w:type="dxa"/>
              <w:right w:w="20" w:type="dxa"/>
            </w:tcMar>
          </w:tcPr>
          <w:p w14:paraId="465BE5FE"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2,310</w:t>
            </w:r>
          </w:p>
        </w:tc>
      </w:tr>
      <w:tr w:rsidR="001575A6" w:rsidRPr="00B76332" w14:paraId="2BBA9DF1" w14:textId="77777777" w:rsidTr="00AC2355">
        <w:trPr>
          <w:trHeight w:val="178"/>
          <w:jc w:val="center"/>
        </w:trPr>
        <w:tc>
          <w:tcPr>
            <w:tcW w:w="1717" w:type="dxa"/>
            <w:shd w:val="clear" w:color="auto" w:fill="auto"/>
            <w:tcMar>
              <w:top w:w="20" w:type="dxa"/>
              <w:left w:w="20" w:type="dxa"/>
              <w:bottom w:w="20" w:type="dxa"/>
              <w:right w:w="20" w:type="dxa"/>
            </w:tcMar>
          </w:tcPr>
          <w:p w14:paraId="7B2DE898"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12,695</w:t>
            </w:r>
          </w:p>
        </w:tc>
        <w:tc>
          <w:tcPr>
            <w:tcW w:w="1717" w:type="dxa"/>
            <w:shd w:val="clear" w:color="auto" w:fill="auto"/>
            <w:tcMar>
              <w:top w:w="20" w:type="dxa"/>
              <w:left w:w="20" w:type="dxa"/>
              <w:bottom w:w="20" w:type="dxa"/>
              <w:right w:w="20" w:type="dxa"/>
            </w:tcMar>
          </w:tcPr>
          <w:p w14:paraId="2B4106A8"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722" w:type="dxa"/>
            <w:shd w:val="clear" w:color="auto" w:fill="auto"/>
            <w:tcMar>
              <w:top w:w="20" w:type="dxa"/>
              <w:left w:w="20" w:type="dxa"/>
              <w:bottom w:w="20" w:type="dxa"/>
              <w:right w:w="20" w:type="dxa"/>
            </w:tcMar>
          </w:tcPr>
          <w:p w14:paraId="78A9232F"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12,695</w:t>
            </w:r>
          </w:p>
        </w:tc>
        <w:tc>
          <w:tcPr>
            <w:tcW w:w="3056" w:type="dxa"/>
            <w:shd w:val="clear" w:color="auto" w:fill="auto"/>
            <w:tcMar>
              <w:top w:w="20" w:type="dxa"/>
              <w:left w:w="20" w:type="dxa"/>
              <w:bottom w:w="20" w:type="dxa"/>
              <w:right w:w="20" w:type="dxa"/>
            </w:tcMar>
          </w:tcPr>
          <w:p w14:paraId="0BB7BF35" w14:textId="77777777" w:rsidR="001575A6" w:rsidRPr="00B76332" w:rsidRDefault="001575A6" w:rsidP="001575A6">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Premises</w:t>
            </w:r>
          </w:p>
        </w:tc>
        <w:tc>
          <w:tcPr>
            <w:tcW w:w="1824" w:type="dxa"/>
            <w:shd w:val="clear" w:color="auto" w:fill="auto"/>
            <w:tcMar>
              <w:top w:w="20" w:type="dxa"/>
              <w:left w:w="20" w:type="dxa"/>
              <w:bottom w:w="20" w:type="dxa"/>
              <w:right w:w="20" w:type="dxa"/>
            </w:tcMar>
          </w:tcPr>
          <w:p w14:paraId="232F14EB"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9,481</w:t>
            </w:r>
          </w:p>
        </w:tc>
        <w:tc>
          <w:tcPr>
            <w:tcW w:w="1459" w:type="dxa"/>
            <w:shd w:val="clear" w:color="auto" w:fill="auto"/>
            <w:tcMar>
              <w:top w:w="20" w:type="dxa"/>
              <w:left w:w="20" w:type="dxa"/>
              <w:bottom w:w="20" w:type="dxa"/>
              <w:right w:w="20" w:type="dxa"/>
            </w:tcMar>
          </w:tcPr>
          <w:p w14:paraId="60424BD8" w14:textId="77777777" w:rsidR="001575A6" w:rsidRPr="00B76332" w:rsidRDefault="00062432" w:rsidP="001575A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63" w:type="dxa"/>
            <w:shd w:val="clear" w:color="auto" w:fill="auto"/>
            <w:tcMar>
              <w:top w:w="20" w:type="dxa"/>
              <w:left w:w="20" w:type="dxa"/>
              <w:bottom w:w="20" w:type="dxa"/>
              <w:right w:w="20" w:type="dxa"/>
            </w:tcMar>
          </w:tcPr>
          <w:p w14:paraId="6A647A74"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9,481</w:t>
            </w:r>
          </w:p>
        </w:tc>
      </w:tr>
      <w:tr w:rsidR="001575A6" w:rsidRPr="00B76332" w14:paraId="462E7F92" w14:textId="77777777" w:rsidTr="00AC2355">
        <w:trPr>
          <w:trHeight w:val="37"/>
          <w:jc w:val="center"/>
        </w:trPr>
        <w:tc>
          <w:tcPr>
            <w:tcW w:w="1717" w:type="dxa"/>
            <w:shd w:val="clear" w:color="auto" w:fill="auto"/>
            <w:tcMar>
              <w:top w:w="20" w:type="dxa"/>
              <w:left w:w="20" w:type="dxa"/>
              <w:bottom w:w="20" w:type="dxa"/>
              <w:right w:w="20" w:type="dxa"/>
            </w:tcMar>
          </w:tcPr>
          <w:p w14:paraId="3149EC4F"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28,917</w:t>
            </w:r>
          </w:p>
        </w:tc>
        <w:tc>
          <w:tcPr>
            <w:tcW w:w="1717" w:type="dxa"/>
            <w:shd w:val="clear" w:color="auto" w:fill="auto"/>
            <w:tcMar>
              <w:top w:w="20" w:type="dxa"/>
              <w:left w:w="20" w:type="dxa"/>
              <w:bottom w:w="20" w:type="dxa"/>
              <w:right w:w="20" w:type="dxa"/>
            </w:tcMar>
          </w:tcPr>
          <w:p w14:paraId="7BFB70A8"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722" w:type="dxa"/>
            <w:shd w:val="clear" w:color="auto" w:fill="auto"/>
            <w:tcMar>
              <w:top w:w="20" w:type="dxa"/>
              <w:left w:w="20" w:type="dxa"/>
              <w:bottom w:w="20" w:type="dxa"/>
              <w:right w:w="20" w:type="dxa"/>
            </w:tcMar>
          </w:tcPr>
          <w:p w14:paraId="781DD4B0"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28,917</w:t>
            </w:r>
          </w:p>
        </w:tc>
        <w:tc>
          <w:tcPr>
            <w:tcW w:w="3056" w:type="dxa"/>
            <w:shd w:val="clear" w:color="auto" w:fill="auto"/>
            <w:tcMar>
              <w:top w:w="20" w:type="dxa"/>
              <w:left w:w="20" w:type="dxa"/>
              <w:bottom w:w="20" w:type="dxa"/>
              <w:right w:w="20" w:type="dxa"/>
            </w:tcMar>
          </w:tcPr>
          <w:p w14:paraId="2B75674A" w14:textId="77777777" w:rsidR="001575A6" w:rsidRPr="00B76332" w:rsidRDefault="001575A6" w:rsidP="001575A6">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Supplies and Services</w:t>
            </w:r>
          </w:p>
        </w:tc>
        <w:tc>
          <w:tcPr>
            <w:tcW w:w="1824" w:type="dxa"/>
            <w:shd w:val="clear" w:color="auto" w:fill="auto"/>
            <w:tcMar>
              <w:top w:w="20" w:type="dxa"/>
              <w:left w:w="20" w:type="dxa"/>
              <w:bottom w:w="20" w:type="dxa"/>
              <w:right w:w="20" w:type="dxa"/>
            </w:tcMar>
          </w:tcPr>
          <w:p w14:paraId="182BE2B6" w14:textId="1D24CA74" w:rsidR="001575A6" w:rsidRPr="00B76332" w:rsidRDefault="0000572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32,882</w:t>
            </w:r>
          </w:p>
        </w:tc>
        <w:tc>
          <w:tcPr>
            <w:tcW w:w="1459" w:type="dxa"/>
            <w:shd w:val="clear" w:color="auto" w:fill="auto"/>
            <w:tcMar>
              <w:top w:w="20" w:type="dxa"/>
              <w:left w:w="20" w:type="dxa"/>
              <w:bottom w:w="20" w:type="dxa"/>
              <w:right w:w="20" w:type="dxa"/>
            </w:tcMar>
          </w:tcPr>
          <w:p w14:paraId="66A531C9" w14:textId="77777777" w:rsidR="001575A6" w:rsidRPr="00B76332" w:rsidRDefault="00062432" w:rsidP="001575A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63" w:type="dxa"/>
            <w:shd w:val="clear" w:color="auto" w:fill="auto"/>
            <w:tcMar>
              <w:top w:w="20" w:type="dxa"/>
              <w:left w:w="20" w:type="dxa"/>
              <w:bottom w:w="20" w:type="dxa"/>
              <w:right w:w="20" w:type="dxa"/>
            </w:tcMar>
          </w:tcPr>
          <w:p w14:paraId="461F9F49" w14:textId="2777954A" w:rsidR="001575A6" w:rsidRPr="00B76332" w:rsidRDefault="0000572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32,882</w:t>
            </w:r>
          </w:p>
        </w:tc>
      </w:tr>
      <w:tr w:rsidR="001575A6" w:rsidRPr="00B76332" w14:paraId="14F497AF" w14:textId="77777777" w:rsidTr="00AC2355">
        <w:trPr>
          <w:trHeight w:val="54"/>
          <w:jc w:val="center"/>
        </w:trPr>
        <w:tc>
          <w:tcPr>
            <w:tcW w:w="1717" w:type="dxa"/>
            <w:shd w:val="clear" w:color="auto" w:fill="auto"/>
            <w:tcMar>
              <w:top w:w="20" w:type="dxa"/>
              <w:left w:w="20" w:type="dxa"/>
              <w:bottom w:w="20" w:type="dxa"/>
              <w:right w:w="20" w:type="dxa"/>
            </w:tcMar>
          </w:tcPr>
          <w:p w14:paraId="00E0EBE5"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5,288</w:t>
            </w:r>
          </w:p>
        </w:tc>
        <w:tc>
          <w:tcPr>
            <w:tcW w:w="1717" w:type="dxa"/>
            <w:shd w:val="clear" w:color="auto" w:fill="auto"/>
            <w:tcMar>
              <w:top w:w="20" w:type="dxa"/>
              <w:left w:w="20" w:type="dxa"/>
              <w:bottom w:w="20" w:type="dxa"/>
              <w:right w:w="20" w:type="dxa"/>
            </w:tcMar>
          </w:tcPr>
          <w:p w14:paraId="4FC65A3A"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722" w:type="dxa"/>
            <w:shd w:val="clear" w:color="auto" w:fill="auto"/>
            <w:tcMar>
              <w:top w:w="20" w:type="dxa"/>
              <w:left w:w="20" w:type="dxa"/>
              <w:bottom w:w="20" w:type="dxa"/>
              <w:right w:w="20" w:type="dxa"/>
            </w:tcMar>
          </w:tcPr>
          <w:p w14:paraId="07803918" w14:textId="77777777" w:rsidR="001575A6"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5,288</w:t>
            </w:r>
          </w:p>
        </w:tc>
        <w:tc>
          <w:tcPr>
            <w:tcW w:w="3056" w:type="dxa"/>
            <w:shd w:val="clear" w:color="auto" w:fill="auto"/>
            <w:tcMar>
              <w:top w:w="20" w:type="dxa"/>
              <w:left w:w="20" w:type="dxa"/>
              <w:bottom w:w="20" w:type="dxa"/>
              <w:right w:w="20" w:type="dxa"/>
            </w:tcMar>
          </w:tcPr>
          <w:p w14:paraId="5D1AFA60" w14:textId="77777777" w:rsidR="001575A6" w:rsidRPr="00B76332" w:rsidRDefault="001575A6" w:rsidP="001575A6">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Transport</w:t>
            </w:r>
          </w:p>
        </w:tc>
        <w:tc>
          <w:tcPr>
            <w:tcW w:w="1824" w:type="dxa"/>
            <w:shd w:val="clear" w:color="auto" w:fill="auto"/>
            <w:tcMar>
              <w:top w:w="20" w:type="dxa"/>
              <w:left w:w="20" w:type="dxa"/>
              <w:bottom w:w="20" w:type="dxa"/>
              <w:right w:w="20" w:type="dxa"/>
            </w:tcMar>
          </w:tcPr>
          <w:p w14:paraId="6F04189A" w14:textId="31A706DC" w:rsidR="001575A6" w:rsidRPr="00B76332" w:rsidRDefault="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5,75</w:t>
            </w:r>
            <w:r w:rsidR="00BC3B52">
              <w:rPr>
                <w:rFonts w:ascii="Verdana" w:eastAsia="Verdana" w:hAnsi="Verdana" w:cs="Verdana"/>
                <w:color w:val="000000"/>
                <w:sz w:val="16"/>
                <w:lang w:val="en-GB"/>
              </w:rPr>
              <w:t>8</w:t>
            </w:r>
          </w:p>
        </w:tc>
        <w:tc>
          <w:tcPr>
            <w:tcW w:w="1459" w:type="dxa"/>
            <w:shd w:val="clear" w:color="auto" w:fill="auto"/>
            <w:tcMar>
              <w:top w:w="20" w:type="dxa"/>
              <w:left w:w="20" w:type="dxa"/>
              <w:bottom w:w="20" w:type="dxa"/>
              <w:right w:w="20" w:type="dxa"/>
            </w:tcMar>
          </w:tcPr>
          <w:p w14:paraId="0B30C316" w14:textId="77777777" w:rsidR="001575A6" w:rsidRPr="00B76332" w:rsidRDefault="00062432" w:rsidP="001575A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63" w:type="dxa"/>
            <w:shd w:val="clear" w:color="auto" w:fill="auto"/>
            <w:tcMar>
              <w:top w:w="20" w:type="dxa"/>
              <w:left w:w="20" w:type="dxa"/>
              <w:bottom w:w="20" w:type="dxa"/>
              <w:right w:w="20" w:type="dxa"/>
            </w:tcMar>
          </w:tcPr>
          <w:p w14:paraId="68B8CF46" w14:textId="6FBEEAA1" w:rsidR="001575A6" w:rsidRPr="00B76332" w:rsidRDefault="001575A6" w:rsidP="00382149">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5,75</w:t>
            </w:r>
            <w:r w:rsidR="00BC3B52">
              <w:rPr>
                <w:rFonts w:ascii="Verdana" w:eastAsia="Verdana" w:hAnsi="Verdana" w:cs="Verdana"/>
                <w:color w:val="000000"/>
                <w:sz w:val="16"/>
                <w:lang w:val="en-GB"/>
              </w:rPr>
              <w:t>8</w:t>
            </w:r>
          </w:p>
        </w:tc>
      </w:tr>
      <w:tr w:rsidR="006A4962" w:rsidRPr="00B76332" w14:paraId="6D1556DE" w14:textId="77777777" w:rsidTr="00AC2355">
        <w:trPr>
          <w:trHeight w:val="178"/>
          <w:jc w:val="center"/>
        </w:trPr>
        <w:tc>
          <w:tcPr>
            <w:tcW w:w="1717" w:type="dxa"/>
            <w:shd w:val="clear" w:color="auto" w:fill="auto"/>
            <w:tcMar>
              <w:top w:w="20" w:type="dxa"/>
              <w:left w:w="20" w:type="dxa"/>
              <w:bottom w:w="20" w:type="dxa"/>
              <w:right w:w="20" w:type="dxa"/>
            </w:tcMar>
          </w:tcPr>
          <w:p w14:paraId="066BD398" w14:textId="77777777" w:rsidR="006A4962" w:rsidRPr="00B76332" w:rsidRDefault="006A4962" w:rsidP="006A496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717" w:type="dxa"/>
            <w:shd w:val="clear" w:color="auto" w:fill="auto"/>
            <w:tcMar>
              <w:top w:w="20" w:type="dxa"/>
              <w:left w:w="20" w:type="dxa"/>
              <w:bottom w:w="20" w:type="dxa"/>
              <w:right w:w="20" w:type="dxa"/>
            </w:tcMar>
          </w:tcPr>
          <w:p w14:paraId="71A1187A" w14:textId="77777777" w:rsidR="006A4962" w:rsidRPr="00B76332" w:rsidRDefault="006A4962" w:rsidP="006A496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11,196</w:t>
            </w:r>
          </w:p>
        </w:tc>
        <w:tc>
          <w:tcPr>
            <w:tcW w:w="1722" w:type="dxa"/>
            <w:shd w:val="clear" w:color="auto" w:fill="auto"/>
            <w:tcMar>
              <w:top w:w="20" w:type="dxa"/>
              <w:left w:w="20" w:type="dxa"/>
              <w:bottom w:w="20" w:type="dxa"/>
              <w:right w:w="20" w:type="dxa"/>
            </w:tcMar>
          </w:tcPr>
          <w:p w14:paraId="4C34EB3E" w14:textId="77777777" w:rsidR="006A4962" w:rsidRPr="00B76332" w:rsidRDefault="006A4962" w:rsidP="006A496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11,196</w:t>
            </w:r>
          </w:p>
        </w:tc>
        <w:tc>
          <w:tcPr>
            <w:tcW w:w="3056" w:type="dxa"/>
            <w:shd w:val="clear" w:color="auto" w:fill="auto"/>
            <w:tcMar>
              <w:top w:w="20" w:type="dxa"/>
              <w:left w:w="20" w:type="dxa"/>
              <w:bottom w:w="20" w:type="dxa"/>
              <w:right w:w="20" w:type="dxa"/>
            </w:tcMar>
          </w:tcPr>
          <w:p w14:paraId="25318B28" w14:textId="77777777" w:rsidR="006A4962" w:rsidRPr="00B76332" w:rsidRDefault="006A4962" w:rsidP="006A4962">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Depreciation/Amortisation (Proxy)</w:t>
            </w:r>
          </w:p>
        </w:tc>
        <w:tc>
          <w:tcPr>
            <w:tcW w:w="1824" w:type="dxa"/>
            <w:shd w:val="clear" w:color="auto" w:fill="auto"/>
            <w:tcMar>
              <w:top w:w="20" w:type="dxa"/>
              <w:left w:w="20" w:type="dxa"/>
              <w:bottom w:w="20" w:type="dxa"/>
              <w:right w:w="20" w:type="dxa"/>
            </w:tcMar>
          </w:tcPr>
          <w:p w14:paraId="78B44B01" w14:textId="77777777" w:rsidR="006A4962" w:rsidRPr="00B76332" w:rsidRDefault="006A4962" w:rsidP="006A496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459" w:type="dxa"/>
            <w:shd w:val="clear" w:color="auto" w:fill="auto"/>
            <w:tcMar>
              <w:top w:w="20" w:type="dxa"/>
              <w:left w:w="20" w:type="dxa"/>
              <w:bottom w:w="20" w:type="dxa"/>
              <w:right w:w="20" w:type="dxa"/>
            </w:tcMar>
          </w:tcPr>
          <w:p w14:paraId="37AE5E86" w14:textId="77777777" w:rsidR="006A4962" w:rsidRPr="00B76332" w:rsidRDefault="00062432" w:rsidP="001575A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10,521</w:t>
            </w:r>
          </w:p>
        </w:tc>
        <w:tc>
          <w:tcPr>
            <w:tcW w:w="1463" w:type="dxa"/>
            <w:shd w:val="clear" w:color="auto" w:fill="auto"/>
            <w:tcMar>
              <w:top w:w="20" w:type="dxa"/>
              <w:left w:w="20" w:type="dxa"/>
              <w:bottom w:w="20" w:type="dxa"/>
              <w:right w:w="20" w:type="dxa"/>
            </w:tcMar>
          </w:tcPr>
          <w:p w14:paraId="376D0994" w14:textId="77777777" w:rsidR="006A4962" w:rsidRPr="00B76332" w:rsidRDefault="00062432" w:rsidP="001575A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10,521</w:t>
            </w:r>
          </w:p>
        </w:tc>
      </w:tr>
      <w:tr w:rsidR="006A4962" w:rsidRPr="00B76332" w14:paraId="6CC1745C" w14:textId="77777777" w:rsidTr="00AC2355">
        <w:trPr>
          <w:trHeight w:val="178"/>
          <w:jc w:val="center"/>
        </w:trPr>
        <w:tc>
          <w:tcPr>
            <w:tcW w:w="1717" w:type="dxa"/>
            <w:shd w:val="clear" w:color="auto" w:fill="auto"/>
            <w:tcMar>
              <w:top w:w="20" w:type="dxa"/>
              <w:left w:w="20" w:type="dxa"/>
              <w:bottom w:w="20" w:type="dxa"/>
              <w:right w:w="20" w:type="dxa"/>
            </w:tcMar>
          </w:tcPr>
          <w:p w14:paraId="66B27643" w14:textId="77777777" w:rsidR="006A4962" w:rsidRPr="00B76332" w:rsidRDefault="006A4962" w:rsidP="006A496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(14,144)</w:t>
            </w:r>
          </w:p>
        </w:tc>
        <w:tc>
          <w:tcPr>
            <w:tcW w:w="1717" w:type="dxa"/>
            <w:shd w:val="clear" w:color="auto" w:fill="auto"/>
            <w:tcMar>
              <w:top w:w="20" w:type="dxa"/>
              <w:left w:w="20" w:type="dxa"/>
              <w:bottom w:w="20" w:type="dxa"/>
              <w:right w:w="20" w:type="dxa"/>
            </w:tcMar>
          </w:tcPr>
          <w:p w14:paraId="676FCCAB" w14:textId="77777777" w:rsidR="006A4962" w:rsidRPr="00B76332" w:rsidRDefault="006A4962" w:rsidP="006A496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722" w:type="dxa"/>
            <w:shd w:val="clear" w:color="auto" w:fill="auto"/>
            <w:tcMar>
              <w:top w:w="20" w:type="dxa"/>
              <w:left w:w="20" w:type="dxa"/>
              <w:bottom w:w="20" w:type="dxa"/>
              <w:right w:w="20" w:type="dxa"/>
            </w:tcMar>
          </w:tcPr>
          <w:p w14:paraId="470B9E47" w14:textId="77777777" w:rsidR="006A4962" w:rsidRPr="00B76332" w:rsidRDefault="006A4962" w:rsidP="006A496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(14,144)</w:t>
            </w:r>
          </w:p>
        </w:tc>
        <w:tc>
          <w:tcPr>
            <w:tcW w:w="3056" w:type="dxa"/>
            <w:shd w:val="clear" w:color="auto" w:fill="auto"/>
            <w:tcMar>
              <w:top w:w="20" w:type="dxa"/>
              <w:left w:w="20" w:type="dxa"/>
              <w:bottom w:w="20" w:type="dxa"/>
              <w:right w:w="20" w:type="dxa"/>
            </w:tcMar>
          </w:tcPr>
          <w:p w14:paraId="23C3E1B0" w14:textId="77777777" w:rsidR="006A4962" w:rsidRPr="00B76332" w:rsidRDefault="006A4962" w:rsidP="006A4962">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Income</w:t>
            </w:r>
          </w:p>
        </w:tc>
        <w:tc>
          <w:tcPr>
            <w:tcW w:w="1824" w:type="dxa"/>
            <w:shd w:val="clear" w:color="auto" w:fill="auto"/>
            <w:tcMar>
              <w:top w:w="20" w:type="dxa"/>
              <w:left w:w="20" w:type="dxa"/>
              <w:bottom w:w="20" w:type="dxa"/>
              <w:right w:w="20" w:type="dxa"/>
            </w:tcMar>
          </w:tcPr>
          <w:p w14:paraId="2CB5D2E3" w14:textId="3D8AAED0" w:rsidR="006A4962" w:rsidRPr="00B76332" w:rsidRDefault="0022045C">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w:t>
            </w:r>
            <w:r w:rsidR="00BC3B52">
              <w:rPr>
                <w:rFonts w:ascii="Verdana" w:eastAsia="Verdana" w:hAnsi="Verdana" w:cs="Verdana"/>
                <w:color w:val="000000"/>
                <w:sz w:val="16"/>
                <w:lang w:val="en-GB"/>
              </w:rPr>
              <w:t>9,0</w:t>
            </w:r>
            <w:r w:rsidR="00005729">
              <w:rPr>
                <w:rFonts w:ascii="Verdana" w:eastAsia="Verdana" w:hAnsi="Verdana" w:cs="Verdana"/>
                <w:color w:val="000000"/>
                <w:sz w:val="16"/>
                <w:lang w:val="en-GB"/>
              </w:rPr>
              <w:t>59</w:t>
            </w:r>
            <w:r w:rsidRPr="00B76332">
              <w:rPr>
                <w:rFonts w:ascii="Verdana" w:eastAsia="Verdana" w:hAnsi="Verdana" w:cs="Verdana"/>
                <w:color w:val="000000"/>
                <w:sz w:val="16"/>
                <w:lang w:val="en-GB"/>
              </w:rPr>
              <w:t>)</w:t>
            </w:r>
          </w:p>
        </w:tc>
        <w:tc>
          <w:tcPr>
            <w:tcW w:w="1459" w:type="dxa"/>
            <w:shd w:val="clear" w:color="auto" w:fill="auto"/>
            <w:tcMar>
              <w:top w:w="20" w:type="dxa"/>
              <w:left w:w="20" w:type="dxa"/>
              <w:bottom w:w="20" w:type="dxa"/>
              <w:right w:w="20" w:type="dxa"/>
            </w:tcMar>
          </w:tcPr>
          <w:p w14:paraId="56681FE9" w14:textId="77777777" w:rsidR="006A4962" w:rsidRPr="00B76332" w:rsidRDefault="009851E8" w:rsidP="006A4962">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63" w:type="dxa"/>
            <w:shd w:val="clear" w:color="auto" w:fill="auto"/>
            <w:tcMar>
              <w:top w:w="20" w:type="dxa"/>
              <w:left w:w="20" w:type="dxa"/>
              <w:bottom w:w="20" w:type="dxa"/>
              <w:right w:w="20" w:type="dxa"/>
            </w:tcMar>
          </w:tcPr>
          <w:p w14:paraId="739D187D" w14:textId="08DD53D8" w:rsidR="006A4962" w:rsidRPr="00B76332" w:rsidRDefault="0022045C">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w:t>
            </w:r>
            <w:r w:rsidR="00BC3B52">
              <w:rPr>
                <w:rFonts w:ascii="Verdana" w:eastAsia="Verdana" w:hAnsi="Verdana" w:cs="Verdana"/>
                <w:color w:val="000000"/>
                <w:sz w:val="16"/>
                <w:lang w:val="en-GB"/>
              </w:rPr>
              <w:t>9,0</w:t>
            </w:r>
            <w:r w:rsidR="00005729">
              <w:rPr>
                <w:rFonts w:ascii="Verdana" w:eastAsia="Verdana" w:hAnsi="Verdana" w:cs="Verdana"/>
                <w:color w:val="000000"/>
                <w:sz w:val="16"/>
                <w:lang w:val="en-GB"/>
              </w:rPr>
              <w:t>59</w:t>
            </w:r>
            <w:r w:rsidRPr="00B76332">
              <w:rPr>
                <w:rFonts w:ascii="Verdana" w:eastAsia="Verdana" w:hAnsi="Verdana" w:cs="Verdana"/>
                <w:color w:val="000000"/>
                <w:sz w:val="16"/>
                <w:lang w:val="en-GB"/>
              </w:rPr>
              <w:t>)</w:t>
            </w:r>
          </w:p>
        </w:tc>
      </w:tr>
      <w:tr w:rsidR="006A4962" w:rsidRPr="00B76332" w14:paraId="582B0CDF" w14:textId="77777777" w:rsidTr="00AC2355">
        <w:trPr>
          <w:trHeight w:val="178"/>
          <w:jc w:val="center"/>
        </w:trPr>
        <w:tc>
          <w:tcPr>
            <w:tcW w:w="1717" w:type="dxa"/>
            <w:shd w:val="clear" w:color="auto" w:fill="auto"/>
            <w:tcMar>
              <w:top w:w="20" w:type="dxa"/>
              <w:left w:w="20" w:type="dxa"/>
              <w:bottom w:w="20" w:type="dxa"/>
              <w:right w:w="20" w:type="dxa"/>
            </w:tcMar>
          </w:tcPr>
          <w:p w14:paraId="5499DE7D" w14:textId="77777777" w:rsidR="006A4962" w:rsidRPr="00B76332" w:rsidRDefault="006A4962" w:rsidP="006A496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717" w:type="dxa"/>
            <w:shd w:val="clear" w:color="auto" w:fill="auto"/>
            <w:tcMar>
              <w:top w:w="20" w:type="dxa"/>
              <w:left w:w="20" w:type="dxa"/>
              <w:bottom w:w="20" w:type="dxa"/>
              <w:right w:w="20" w:type="dxa"/>
            </w:tcMar>
          </w:tcPr>
          <w:p w14:paraId="2DF93EFF" w14:textId="77777777" w:rsidR="006A4962" w:rsidRPr="00B76332" w:rsidRDefault="006A4962" w:rsidP="006A496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722" w:type="dxa"/>
            <w:shd w:val="clear" w:color="auto" w:fill="auto"/>
            <w:tcMar>
              <w:top w:w="20" w:type="dxa"/>
              <w:left w:w="20" w:type="dxa"/>
              <w:bottom w:w="20" w:type="dxa"/>
              <w:right w:w="20" w:type="dxa"/>
            </w:tcMar>
          </w:tcPr>
          <w:p w14:paraId="4DF29174" w14:textId="77777777" w:rsidR="006A4962" w:rsidRPr="00B76332" w:rsidRDefault="006A4962" w:rsidP="006A496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3056" w:type="dxa"/>
            <w:shd w:val="clear" w:color="auto" w:fill="auto"/>
            <w:tcMar>
              <w:top w:w="20" w:type="dxa"/>
              <w:left w:w="20" w:type="dxa"/>
              <w:bottom w:w="20" w:type="dxa"/>
              <w:right w:w="20" w:type="dxa"/>
            </w:tcMar>
          </w:tcPr>
          <w:p w14:paraId="6DC300A8" w14:textId="77777777" w:rsidR="006A4962" w:rsidRPr="00B76332" w:rsidRDefault="006A4962" w:rsidP="006A4962">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Rounding</w:t>
            </w:r>
          </w:p>
        </w:tc>
        <w:tc>
          <w:tcPr>
            <w:tcW w:w="1824" w:type="dxa"/>
            <w:shd w:val="clear" w:color="auto" w:fill="auto"/>
            <w:tcMar>
              <w:top w:w="20" w:type="dxa"/>
              <w:left w:w="20" w:type="dxa"/>
              <w:bottom w:w="20" w:type="dxa"/>
              <w:right w:w="20" w:type="dxa"/>
            </w:tcMar>
          </w:tcPr>
          <w:p w14:paraId="6CFD0DFC" w14:textId="2DE63CEB" w:rsidR="006A4962" w:rsidRPr="00B76332" w:rsidRDefault="0000572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59" w:type="dxa"/>
            <w:shd w:val="clear" w:color="auto" w:fill="auto"/>
            <w:tcMar>
              <w:top w:w="20" w:type="dxa"/>
              <w:left w:w="20" w:type="dxa"/>
              <w:bottom w:w="20" w:type="dxa"/>
              <w:right w:w="20" w:type="dxa"/>
            </w:tcMar>
          </w:tcPr>
          <w:p w14:paraId="430E7E8C" w14:textId="77777777" w:rsidR="006A4962" w:rsidRPr="00B76332" w:rsidRDefault="009851E8" w:rsidP="006A4962">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63" w:type="dxa"/>
            <w:shd w:val="clear" w:color="auto" w:fill="auto"/>
            <w:tcMar>
              <w:top w:w="20" w:type="dxa"/>
              <w:left w:w="20" w:type="dxa"/>
              <w:bottom w:w="20" w:type="dxa"/>
              <w:right w:w="20" w:type="dxa"/>
            </w:tcMar>
          </w:tcPr>
          <w:p w14:paraId="1E19A065" w14:textId="74BBC6BB" w:rsidR="006A4962" w:rsidRPr="00B76332" w:rsidRDefault="0000572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6A4962" w:rsidRPr="00B76332" w14:paraId="5F50963D" w14:textId="77777777" w:rsidTr="00AC2355">
        <w:trPr>
          <w:trHeight w:val="33"/>
          <w:jc w:val="center"/>
        </w:trPr>
        <w:tc>
          <w:tcPr>
            <w:tcW w:w="1717" w:type="dxa"/>
            <w:tcBorders>
              <w:top w:val="single" w:sz="2" w:space="0" w:color="000000"/>
              <w:bottom w:val="single" w:sz="12" w:space="0" w:color="000000"/>
            </w:tcBorders>
            <w:shd w:val="clear" w:color="auto" w:fill="auto"/>
            <w:tcMar>
              <w:top w:w="20" w:type="dxa"/>
              <w:left w:w="20" w:type="dxa"/>
              <w:bottom w:w="20" w:type="dxa"/>
              <w:right w:w="20" w:type="dxa"/>
            </w:tcMar>
          </w:tcPr>
          <w:p w14:paraId="06999A1C" w14:textId="77777777" w:rsidR="006A4962" w:rsidRPr="00B76332" w:rsidRDefault="006A4962" w:rsidP="006A4962">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188,585</w:t>
            </w:r>
          </w:p>
        </w:tc>
        <w:tc>
          <w:tcPr>
            <w:tcW w:w="1717" w:type="dxa"/>
            <w:tcBorders>
              <w:top w:val="single" w:sz="2" w:space="0" w:color="000000"/>
              <w:bottom w:val="single" w:sz="12" w:space="0" w:color="000000"/>
            </w:tcBorders>
            <w:shd w:val="clear" w:color="auto" w:fill="auto"/>
            <w:tcMar>
              <w:top w:w="20" w:type="dxa"/>
              <w:left w:w="20" w:type="dxa"/>
              <w:bottom w:w="20" w:type="dxa"/>
              <w:right w:w="20" w:type="dxa"/>
            </w:tcMar>
          </w:tcPr>
          <w:p w14:paraId="70198FE0" w14:textId="1D97D03B" w:rsidR="006A4962" w:rsidRPr="00B76332" w:rsidRDefault="006A4962" w:rsidP="00AC2355">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74,369</w:t>
            </w:r>
          </w:p>
        </w:tc>
        <w:tc>
          <w:tcPr>
            <w:tcW w:w="1722" w:type="dxa"/>
            <w:tcBorders>
              <w:top w:val="single" w:sz="2" w:space="0" w:color="000000"/>
              <w:bottom w:val="single" w:sz="12" w:space="0" w:color="000000"/>
            </w:tcBorders>
            <w:shd w:val="clear" w:color="auto" w:fill="auto"/>
            <w:tcMar>
              <w:top w:w="20" w:type="dxa"/>
              <w:left w:w="20" w:type="dxa"/>
              <w:bottom w:w="20" w:type="dxa"/>
              <w:right w:w="20" w:type="dxa"/>
            </w:tcMar>
          </w:tcPr>
          <w:p w14:paraId="1FB17D9C" w14:textId="77777777" w:rsidR="006A4962" w:rsidRPr="00B76332" w:rsidRDefault="006A4962" w:rsidP="006A4962">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262,954</w:t>
            </w:r>
          </w:p>
        </w:tc>
        <w:tc>
          <w:tcPr>
            <w:tcW w:w="3056" w:type="dxa"/>
            <w:tcBorders>
              <w:top w:val="single" w:sz="2" w:space="0" w:color="000000"/>
              <w:bottom w:val="single" w:sz="12" w:space="0" w:color="000000"/>
            </w:tcBorders>
            <w:shd w:val="clear" w:color="auto" w:fill="auto"/>
            <w:tcMar>
              <w:top w:w="20" w:type="dxa"/>
              <w:left w:w="20" w:type="dxa"/>
              <w:bottom w:w="20" w:type="dxa"/>
              <w:right w:w="20" w:type="dxa"/>
            </w:tcMar>
          </w:tcPr>
          <w:p w14:paraId="772C9F9D" w14:textId="77777777" w:rsidR="006A4962" w:rsidRPr="00B76332" w:rsidRDefault="006A4962" w:rsidP="006A4962">
            <w:pPr>
              <w:pStyle w:val="T1TableStyle"/>
              <w:rPr>
                <w:rFonts w:ascii="Verdana" w:eastAsia="Verdana" w:hAnsi="Verdana" w:cs="Verdana"/>
                <w:b/>
                <w:color w:val="000000"/>
                <w:sz w:val="16"/>
                <w:lang w:val="en-GB"/>
              </w:rPr>
            </w:pPr>
            <w:r w:rsidRPr="00B76332">
              <w:rPr>
                <w:rFonts w:ascii="Verdana" w:eastAsia="Verdana" w:hAnsi="Verdana" w:cs="Verdana"/>
                <w:b/>
                <w:color w:val="000000"/>
                <w:sz w:val="16"/>
                <w:lang w:val="en-GB"/>
              </w:rPr>
              <w:t>Net Cost of Services</w:t>
            </w:r>
          </w:p>
        </w:tc>
        <w:tc>
          <w:tcPr>
            <w:tcW w:w="1824" w:type="dxa"/>
            <w:tcBorders>
              <w:top w:val="single" w:sz="2" w:space="0" w:color="000000"/>
              <w:bottom w:val="single" w:sz="12" w:space="0" w:color="000000"/>
            </w:tcBorders>
            <w:shd w:val="clear" w:color="auto" w:fill="auto"/>
            <w:tcMar>
              <w:top w:w="20" w:type="dxa"/>
              <w:left w:w="20" w:type="dxa"/>
              <w:bottom w:w="20" w:type="dxa"/>
              <w:right w:w="20" w:type="dxa"/>
            </w:tcMar>
          </w:tcPr>
          <w:p w14:paraId="05F430FE" w14:textId="6D8512DD" w:rsidR="006A4962" w:rsidRPr="00B76332" w:rsidRDefault="0000572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206,917</w:t>
            </w:r>
          </w:p>
        </w:tc>
        <w:tc>
          <w:tcPr>
            <w:tcW w:w="1459" w:type="dxa"/>
            <w:tcBorders>
              <w:top w:val="single" w:sz="2" w:space="0" w:color="000000"/>
              <w:bottom w:val="single" w:sz="12" w:space="0" w:color="000000"/>
            </w:tcBorders>
            <w:shd w:val="clear" w:color="auto" w:fill="auto"/>
            <w:tcMar>
              <w:top w:w="20" w:type="dxa"/>
              <w:left w:w="20" w:type="dxa"/>
              <w:bottom w:w="20" w:type="dxa"/>
              <w:right w:w="20" w:type="dxa"/>
            </w:tcMar>
          </w:tcPr>
          <w:p w14:paraId="04082392" w14:textId="77777777" w:rsidR="006A4962" w:rsidRPr="00B76332" w:rsidRDefault="009851E8" w:rsidP="0038214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79,183</w:t>
            </w:r>
          </w:p>
        </w:tc>
        <w:tc>
          <w:tcPr>
            <w:tcW w:w="1463" w:type="dxa"/>
            <w:tcBorders>
              <w:top w:val="single" w:sz="2" w:space="0" w:color="000000"/>
              <w:bottom w:val="single" w:sz="12" w:space="0" w:color="000000"/>
            </w:tcBorders>
            <w:shd w:val="clear" w:color="auto" w:fill="auto"/>
            <w:tcMar>
              <w:top w:w="20" w:type="dxa"/>
              <w:left w:w="20" w:type="dxa"/>
              <w:bottom w:w="20" w:type="dxa"/>
              <w:right w:w="20" w:type="dxa"/>
            </w:tcMar>
          </w:tcPr>
          <w:p w14:paraId="47493A5B" w14:textId="35E8A87F" w:rsidR="006A4962" w:rsidRPr="00B76332" w:rsidRDefault="0000572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286,100</w:t>
            </w:r>
          </w:p>
        </w:tc>
      </w:tr>
      <w:tr w:rsidR="006A4962" w:rsidRPr="00B76332" w14:paraId="445AB5D1" w14:textId="77777777" w:rsidTr="00AC2355">
        <w:trPr>
          <w:trHeight w:hRule="exact" w:val="104"/>
          <w:jc w:val="center"/>
        </w:trPr>
        <w:tc>
          <w:tcPr>
            <w:tcW w:w="1717" w:type="dxa"/>
            <w:shd w:val="clear" w:color="auto" w:fill="auto"/>
            <w:tcMar>
              <w:top w:w="20" w:type="dxa"/>
              <w:left w:w="20" w:type="dxa"/>
              <w:bottom w:w="20" w:type="dxa"/>
              <w:right w:w="20" w:type="dxa"/>
            </w:tcMar>
          </w:tcPr>
          <w:p w14:paraId="31A0928E" w14:textId="0E2431D1" w:rsidR="006A4962" w:rsidRPr="00B76332" w:rsidRDefault="006A4962" w:rsidP="006A4962">
            <w:pPr>
              <w:pStyle w:val="T1TableStyle"/>
              <w:jc w:val="center"/>
              <w:rPr>
                <w:rFonts w:ascii="Calibri" w:eastAsia="Calibri" w:hAnsi="Calibri" w:cs="Calibri"/>
                <w:color w:val="000000"/>
                <w:sz w:val="2"/>
                <w:lang w:val="en-GB"/>
              </w:rPr>
            </w:pPr>
          </w:p>
        </w:tc>
        <w:tc>
          <w:tcPr>
            <w:tcW w:w="1717" w:type="dxa"/>
            <w:shd w:val="clear" w:color="auto" w:fill="auto"/>
            <w:tcMar>
              <w:top w:w="20" w:type="dxa"/>
              <w:left w:w="20" w:type="dxa"/>
              <w:bottom w:w="20" w:type="dxa"/>
              <w:right w:w="20" w:type="dxa"/>
            </w:tcMar>
          </w:tcPr>
          <w:p w14:paraId="782316BE" w14:textId="77777777" w:rsidR="006A4962" w:rsidRPr="00B76332" w:rsidRDefault="006A4962" w:rsidP="006A4962">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722" w:type="dxa"/>
            <w:shd w:val="clear" w:color="auto" w:fill="auto"/>
            <w:tcMar>
              <w:top w:w="20" w:type="dxa"/>
              <w:left w:w="20" w:type="dxa"/>
              <w:bottom w:w="20" w:type="dxa"/>
              <w:right w:w="20" w:type="dxa"/>
            </w:tcMar>
          </w:tcPr>
          <w:p w14:paraId="752C69F6" w14:textId="77777777" w:rsidR="006A4962" w:rsidRPr="00B76332" w:rsidRDefault="006A4962" w:rsidP="006A4962">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3056" w:type="dxa"/>
            <w:shd w:val="clear" w:color="auto" w:fill="auto"/>
            <w:tcMar>
              <w:top w:w="20" w:type="dxa"/>
              <w:left w:w="20" w:type="dxa"/>
              <w:bottom w:w="20" w:type="dxa"/>
              <w:right w:w="20" w:type="dxa"/>
            </w:tcMar>
          </w:tcPr>
          <w:p w14:paraId="43E9F4C8" w14:textId="77777777" w:rsidR="006A4962" w:rsidRPr="00B76332" w:rsidRDefault="006A4962" w:rsidP="006A4962">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824" w:type="dxa"/>
            <w:shd w:val="clear" w:color="auto" w:fill="auto"/>
            <w:tcMar>
              <w:top w:w="20" w:type="dxa"/>
              <w:left w:w="20" w:type="dxa"/>
              <w:bottom w:w="20" w:type="dxa"/>
              <w:right w:w="20" w:type="dxa"/>
            </w:tcMar>
          </w:tcPr>
          <w:p w14:paraId="01608496" w14:textId="77777777" w:rsidR="006A4962" w:rsidRPr="00B76332" w:rsidRDefault="006A4962" w:rsidP="006A4962">
            <w:pPr>
              <w:pStyle w:val="T1TableStyle"/>
              <w:jc w:val="center"/>
              <w:rPr>
                <w:rFonts w:ascii="Calibri" w:eastAsia="Calibri" w:hAnsi="Calibri" w:cs="Calibri"/>
                <w:color w:val="000000"/>
                <w:sz w:val="2"/>
                <w:lang w:val="en-GB"/>
              </w:rPr>
            </w:pPr>
          </w:p>
        </w:tc>
        <w:tc>
          <w:tcPr>
            <w:tcW w:w="1459" w:type="dxa"/>
            <w:shd w:val="clear" w:color="auto" w:fill="auto"/>
            <w:tcMar>
              <w:top w:w="20" w:type="dxa"/>
              <w:left w:w="20" w:type="dxa"/>
              <w:bottom w:w="20" w:type="dxa"/>
              <w:right w:w="20" w:type="dxa"/>
            </w:tcMar>
          </w:tcPr>
          <w:p w14:paraId="6ECB1F7E" w14:textId="77777777" w:rsidR="006A4962" w:rsidRPr="00B76332" w:rsidRDefault="006A4962" w:rsidP="006A4962">
            <w:pPr>
              <w:pStyle w:val="T1TableStyle"/>
              <w:jc w:val="center"/>
              <w:rPr>
                <w:rFonts w:ascii="Calibri" w:eastAsia="Calibri" w:hAnsi="Calibri" w:cs="Calibri"/>
                <w:color w:val="000000"/>
                <w:sz w:val="2"/>
                <w:lang w:val="en-GB"/>
              </w:rPr>
            </w:pPr>
          </w:p>
        </w:tc>
        <w:tc>
          <w:tcPr>
            <w:tcW w:w="1463" w:type="dxa"/>
            <w:shd w:val="clear" w:color="auto" w:fill="auto"/>
            <w:tcMar>
              <w:top w:w="20" w:type="dxa"/>
              <w:left w:w="20" w:type="dxa"/>
              <w:bottom w:w="20" w:type="dxa"/>
              <w:right w:w="20" w:type="dxa"/>
            </w:tcMar>
          </w:tcPr>
          <w:p w14:paraId="01841D0A" w14:textId="77777777" w:rsidR="006A4962" w:rsidRPr="00B76332" w:rsidRDefault="006A4962" w:rsidP="006A4962">
            <w:pPr>
              <w:pStyle w:val="T1TableStyle"/>
              <w:jc w:val="center"/>
              <w:rPr>
                <w:rFonts w:ascii="Calibri" w:eastAsia="Calibri" w:hAnsi="Calibri" w:cs="Calibri"/>
                <w:color w:val="000000"/>
                <w:sz w:val="2"/>
                <w:lang w:val="en-GB"/>
              </w:rPr>
            </w:pPr>
          </w:p>
        </w:tc>
      </w:tr>
      <w:tr w:rsidR="006A4962" w:rsidRPr="0067676E" w14:paraId="547FE263" w14:textId="77777777" w:rsidTr="00AC2355">
        <w:trPr>
          <w:trHeight w:val="54"/>
          <w:jc w:val="center"/>
        </w:trPr>
        <w:tc>
          <w:tcPr>
            <w:tcW w:w="1717" w:type="dxa"/>
            <w:shd w:val="clear" w:color="auto" w:fill="auto"/>
            <w:tcMar>
              <w:top w:w="20" w:type="dxa"/>
              <w:left w:w="20" w:type="dxa"/>
              <w:bottom w:w="20" w:type="dxa"/>
              <w:right w:w="20" w:type="dxa"/>
            </w:tcMar>
          </w:tcPr>
          <w:p w14:paraId="66FDDAB5" w14:textId="77777777" w:rsidR="006A4962" w:rsidRPr="00B76332" w:rsidRDefault="006A4962" w:rsidP="006A496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(190,833)</w:t>
            </w:r>
          </w:p>
        </w:tc>
        <w:tc>
          <w:tcPr>
            <w:tcW w:w="1717" w:type="dxa"/>
            <w:shd w:val="clear" w:color="auto" w:fill="auto"/>
            <w:tcMar>
              <w:top w:w="20" w:type="dxa"/>
              <w:left w:w="20" w:type="dxa"/>
              <w:bottom w:w="20" w:type="dxa"/>
              <w:right w:w="20" w:type="dxa"/>
            </w:tcMar>
          </w:tcPr>
          <w:p w14:paraId="33BC3782" w14:textId="77777777" w:rsidR="006A4962" w:rsidRPr="00B76332" w:rsidRDefault="006A4962" w:rsidP="006A496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(8,245)</w:t>
            </w:r>
          </w:p>
        </w:tc>
        <w:tc>
          <w:tcPr>
            <w:tcW w:w="1722" w:type="dxa"/>
            <w:shd w:val="clear" w:color="auto" w:fill="auto"/>
            <w:tcMar>
              <w:top w:w="20" w:type="dxa"/>
              <w:left w:w="20" w:type="dxa"/>
              <w:bottom w:w="20" w:type="dxa"/>
              <w:right w:w="20" w:type="dxa"/>
            </w:tcMar>
          </w:tcPr>
          <w:p w14:paraId="56AA4354" w14:textId="77777777" w:rsidR="006A4962" w:rsidRPr="00B76332" w:rsidRDefault="006A4962" w:rsidP="006A496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(199,078)</w:t>
            </w:r>
          </w:p>
        </w:tc>
        <w:tc>
          <w:tcPr>
            <w:tcW w:w="3056" w:type="dxa"/>
            <w:shd w:val="clear" w:color="auto" w:fill="auto"/>
            <w:tcMar>
              <w:top w:w="20" w:type="dxa"/>
              <w:left w:w="20" w:type="dxa"/>
              <w:bottom w:w="20" w:type="dxa"/>
              <w:right w:w="20" w:type="dxa"/>
            </w:tcMar>
          </w:tcPr>
          <w:p w14:paraId="5CE5C3D5" w14:textId="77777777" w:rsidR="006A4962" w:rsidRPr="00B76332" w:rsidRDefault="006A4962" w:rsidP="006A4962">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Other Income and Expenditure</w:t>
            </w:r>
          </w:p>
        </w:tc>
        <w:tc>
          <w:tcPr>
            <w:tcW w:w="1824" w:type="dxa"/>
            <w:shd w:val="clear" w:color="auto" w:fill="auto"/>
            <w:tcMar>
              <w:top w:w="20" w:type="dxa"/>
              <w:left w:w="20" w:type="dxa"/>
              <w:bottom w:w="20" w:type="dxa"/>
              <w:right w:w="20" w:type="dxa"/>
            </w:tcMar>
          </w:tcPr>
          <w:p w14:paraId="7596A5CE" w14:textId="1FD59986" w:rsidR="006A4962" w:rsidRPr="0067676E" w:rsidRDefault="003B149B">
            <w:pPr>
              <w:pStyle w:val="T1TableStyle"/>
              <w:jc w:val="right"/>
              <w:rPr>
                <w:rFonts w:ascii="Verdana" w:eastAsia="Verdana" w:hAnsi="Verdana" w:cs="Verdana"/>
                <w:color w:val="000000"/>
                <w:sz w:val="16"/>
                <w:lang w:val="en-GB"/>
              </w:rPr>
            </w:pPr>
            <w:r w:rsidRPr="0067676E">
              <w:rPr>
                <w:rFonts w:ascii="Verdana" w:eastAsia="Verdana" w:hAnsi="Verdana" w:cs="Verdana"/>
                <w:color w:val="000000"/>
                <w:sz w:val="16"/>
                <w:lang w:val="en-GB"/>
              </w:rPr>
              <w:t>(2</w:t>
            </w:r>
            <w:r w:rsidR="00BC3B52">
              <w:rPr>
                <w:rFonts w:ascii="Verdana" w:eastAsia="Verdana" w:hAnsi="Verdana" w:cs="Verdana"/>
                <w:color w:val="000000"/>
                <w:sz w:val="16"/>
                <w:lang w:val="en-GB"/>
              </w:rPr>
              <w:t>07</w:t>
            </w:r>
            <w:r w:rsidRPr="0067676E">
              <w:rPr>
                <w:rFonts w:ascii="Verdana" w:eastAsia="Verdana" w:hAnsi="Verdana" w:cs="Verdana"/>
                <w:color w:val="000000"/>
                <w:sz w:val="16"/>
                <w:lang w:val="en-GB"/>
              </w:rPr>
              <w:t>,</w:t>
            </w:r>
            <w:r w:rsidR="00BC3B52">
              <w:rPr>
                <w:rFonts w:ascii="Verdana" w:eastAsia="Verdana" w:hAnsi="Verdana" w:cs="Verdana"/>
                <w:color w:val="000000"/>
                <w:sz w:val="16"/>
                <w:lang w:val="en-GB"/>
              </w:rPr>
              <w:t>180</w:t>
            </w:r>
            <w:r w:rsidR="0022045C" w:rsidRPr="0067676E">
              <w:rPr>
                <w:rFonts w:ascii="Verdana" w:eastAsia="Verdana" w:hAnsi="Verdana" w:cs="Verdana"/>
                <w:color w:val="000000"/>
                <w:sz w:val="16"/>
                <w:lang w:val="en-GB"/>
              </w:rPr>
              <w:t>)</w:t>
            </w:r>
          </w:p>
        </w:tc>
        <w:tc>
          <w:tcPr>
            <w:tcW w:w="1459" w:type="dxa"/>
            <w:shd w:val="clear" w:color="auto" w:fill="auto"/>
            <w:tcMar>
              <w:top w:w="20" w:type="dxa"/>
              <w:left w:w="20" w:type="dxa"/>
              <w:bottom w:w="20" w:type="dxa"/>
              <w:right w:w="20" w:type="dxa"/>
            </w:tcMar>
          </w:tcPr>
          <w:p w14:paraId="2F63D177" w14:textId="606F5C54" w:rsidR="006A4962" w:rsidRPr="0067676E" w:rsidRDefault="003B149B">
            <w:pPr>
              <w:pStyle w:val="T1TableStyle"/>
              <w:jc w:val="right"/>
              <w:rPr>
                <w:rFonts w:ascii="Verdana" w:eastAsia="Verdana" w:hAnsi="Verdana" w:cs="Verdana"/>
                <w:color w:val="000000"/>
                <w:sz w:val="16"/>
                <w:lang w:val="en-GB"/>
              </w:rPr>
            </w:pPr>
            <w:r w:rsidRPr="0067676E">
              <w:rPr>
                <w:rFonts w:ascii="Verdana" w:eastAsia="Verdana" w:hAnsi="Verdana" w:cs="Verdana"/>
                <w:color w:val="000000"/>
                <w:sz w:val="16"/>
                <w:lang w:val="en-GB"/>
              </w:rPr>
              <w:t>(</w:t>
            </w:r>
            <w:r w:rsidR="00BC3B52">
              <w:rPr>
                <w:rFonts w:ascii="Verdana" w:eastAsia="Verdana" w:hAnsi="Verdana" w:cs="Verdana"/>
                <w:color w:val="000000"/>
                <w:sz w:val="16"/>
                <w:lang w:val="en-GB"/>
              </w:rPr>
              <w:t>6,348</w:t>
            </w:r>
            <w:r w:rsidR="0022045C" w:rsidRPr="0067676E">
              <w:rPr>
                <w:rFonts w:ascii="Verdana" w:eastAsia="Verdana" w:hAnsi="Verdana" w:cs="Verdana"/>
                <w:color w:val="000000"/>
                <w:sz w:val="16"/>
                <w:lang w:val="en-GB"/>
              </w:rPr>
              <w:t>)</w:t>
            </w:r>
          </w:p>
        </w:tc>
        <w:tc>
          <w:tcPr>
            <w:tcW w:w="1463" w:type="dxa"/>
            <w:shd w:val="clear" w:color="auto" w:fill="auto"/>
            <w:tcMar>
              <w:top w:w="20" w:type="dxa"/>
              <w:left w:w="20" w:type="dxa"/>
              <w:bottom w:w="20" w:type="dxa"/>
              <w:right w:w="20" w:type="dxa"/>
            </w:tcMar>
          </w:tcPr>
          <w:p w14:paraId="23677F00" w14:textId="50DCAC7B" w:rsidR="006A4962" w:rsidRPr="0067676E" w:rsidRDefault="0022045C">
            <w:pPr>
              <w:pStyle w:val="T1TableStyle"/>
              <w:jc w:val="right"/>
              <w:rPr>
                <w:rFonts w:ascii="Verdana" w:eastAsia="Verdana" w:hAnsi="Verdana" w:cs="Verdana"/>
                <w:color w:val="000000"/>
                <w:sz w:val="16"/>
                <w:lang w:val="en-GB"/>
              </w:rPr>
            </w:pPr>
            <w:r w:rsidRPr="0067676E">
              <w:rPr>
                <w:rFonts w:ascii="Verdana" w:eastAsia="Verdana" w:hAnsi="Verdana" w:cs="Verdana"/>
                <w:color w:val="000000"/>
                <w:sz w:val="16"/>
                <w:lang w:val="en-GB"/>
              </w:rPr>
              <w:t>(2</w:t>
            </w:r>
            <w:r w:rsidR="00BC3B52">
              <w:rPr>
                <w:rFonts w:ascii="Verdana" w:eastAsia="Verdana" w:hAnsi="Verdana" w:cs="Verdana"/>
                <w:color w:val="000000"/>
                <w:sz w:val="16"/>
                <w:lang w:val="en-GB"/>
              </w:rPr>
              <w:t>13,528</w:t>
            </w:r>
            <w:r w:rsidRPr="0067676E">
              <w:rPr>
                <w:rFonts w:ascii="Verdana" w:eastAsia="Verdana" w:hAnsi="Verdana" w:cs="Verdana"/>
                <w:color w:val="000000"/>
                <w:sz w:val="16"/>
                <w:lang w:val="en-GB"/>
              </w:rPr>
              <w:t>)</w:t>
            </w:r>
          </w:p>
        </w:tc>
      </w:tr>
      <w:tr w:rsidR="006A4962" w:rsidRPr="00B76332" w14:paraId="6E25285F" w14:textId="77777777" w:rsidTr="00AC2355">
        <w:trPr>
          <w:trHeight w:hRule="exact" w:val="94"/>
          <w:jc w:val="center"/>
        </w:trPr>
        <w:tc>
          <w:tcPr>
            <w:tcW w:w="1717" w:type="dxa"/>
            <w:shd w:val="clear" w:color="auto" w:fill="auto"/>
            <w:tcMar>
              <w:top w:w="20" w:type="dxa"/>
              <w:left w:w="20" w:type="dxa"/>
              <w:bottom w:w="20" w:type="dxa"/>
              <w:right w:w="20" w:type="dxa"/>
            </w:tcMar>
          </w:tcPr>
          <w:p w14:paraId="491CE36E" w14:textId="77777777" w:rsidR="006A4962" w:rsidRPr="00B76332" w:rsidRDefault="006A4962" w:rsidP="006A4962">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717" w:type="dxa"/>
            <w:shd w:val="clear" w:color="auto" w:fill="auto"/>
            <w:tcMar>
              <w:top w:w="20" w:type="dxa"/>
              <w:left w:w="20" w:type="dxa"/>
              <w:bottom w:w="20" w:type="dxa"/>
              <w:right w:w="20" w:type="dxa"/>
            </w:tcMar>
          </w:tcPr>
          <w:p w14:paraId="744DC947" w14:textId="77777777" w:rsidR="006A4962" w:rsidRPr="00B76332" w:rsidRDefault="006A4962" w:rsidP="006A4962">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722" w:type="dxa"/>
            <w:shd w:val="clear" w:color="auto" w:fill="auto"/>
            <w:tcMar>
              <w:top w:w="20" w:type="dxa"/>
              <w:left w:w="20" w:type="dxa"/>
              <w:bottom w:w="20" w:type="dxa"/>
              <w:right w:w="20" w:type="dxa"/>
            </w:tcMar>
          </w:tcPr>
          <w:p w14:paraId="672F8C39" w14:textId="77777777" w:rsidR="006A4962" w:rsidRPr="00B76332" w:rsidRDefault="006A4962" w:rsidP="006A4962">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3056" w:type="dxa"/>
            <w:shd w:val="clear" w:color="auto" w:fill="auto"/>
            <w:tcMar>
              <w:top w:w="20" w:type="dxa"/>
              <w:left w:w="20" w:type="dxa"/>
              <w:bottom w:w="20" w:type="dxa"/>
              <w:right w:w="20" w:type="dxa"/>
            </w:tcMar>
          </w:tcPr>
          <w:p w14:paraId="2623420C" w14:textId="77777777" w:rsidR="006A4962" w:rsidRPr="00B76332" w:rsidRDefault="006A4962" w:rsidP="006A4962">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824" w:type="dxa"/>
            <w:shd w:val="clear" w:color="auto" w:fill="auto"/>
            <w:tcMar>
              <w:top w:w="20" w:type="dxa"/>
              <w:left w:w="20" w:type="dxa"/>
              <w:bottom w:w="20" w:type="dxa"/>
              <w:right w:w="20" w:type="dxa"/>
            </w:tcMar>
          </w:tcPr>
          <w:p w14:paraId="31A989F2" w14:textId="77777777" w:rsidR="006A4962" w:rsidRPr="00B76332" w:rsidRDefault="006A4962" w:rsidP="006A4962">
            <w:pPr>
              <w:pStyle w:val="T1TableStyle"/>
              <w:jc w:val="center"/>
              <w:rPr>
                <w:rFonts w:ascii="Calibri" w:eastAsia="Calibri" w:hAnsi="Calibri" w:cs="Calibri"/>
                <w:color w:val="000000"/>
                <w:sz w:val="2"/>
                <w:lang w:val="en-GB"/>
              </w:rPr>
            </w:pPr>
          </w:p>
        </w:tc>
        <w:tc>
          <w:tcPr>
            <w:tcW w:w="1459" w:type="dxa"/>
            <w:shd w:val="clear" w:color="auto" w:fill="auto"/>
            <w:tcMar>
              <w:top w:w="20" w:type="dxa"/>
              <w:left w:w="20" w:type="dxa"/>
              <w:bottom w:w="20" w:type="dxa"/>
              <w:right w:w="20" w:type="dxa"/>
            </w:tcMar>
          </w:tcPr>
          <w:p w14:paraId="501DDC9C" w14:textId="77777777" w:rsidR="006A4962" w:rsidRPr="00B76332" w:rsidRDefault="006A4962" w:rsidP="006A4962">
            <w:pPr>
              <w:pStyle w:val="T1TableStyle"/>
              <w:jc w:val="center"/>
              <w:rPr>
                <w:rFonts w:ascii="Calibri" w:eastAsia="Calibri" w:hAnsi="Calibri" w:cs="Calibri"/>
                <w:color w:val="000000"/>
                <w:sz w:val="2"/>
                <w:lang w:val="en-GB"/>
              </w:rPr>
            </w:pPr>
          </w:p>
        </w:tc>
        <w:tc>
          <w:tcPr>
            <w:tcW w:w="1463" w:type="dxa"/>
            <w:shd w:val="clear" w:color="auto" w:fill="auto"/>
            <w:tcMar>
              <w:top w:w="20" w:type="dxa"/>
              <w:left w:w="20" w:type="dxa"/>
              <w:bottom w:w="20" w:type="dxa"/>
              <w:right w:w="20" w:type="dxa"/>
            </w:tcMar>
          </w:tcPr>
          <w:p w14:paraId="24A52264" w14:textId="77777777" w:rsidR="006A4962" w:rsidRPr="00B76332" w:rsidRDefault="006A4962" w:rsidP="006A4962">
            <w:pPr>
              <w:pStyle w:val="T1TableStyle"/>
              <w:jc w:val="center"/>
              <w:rPr>
                <w:rFonts w:ascii="Calibri" w:eastAsia="Calibri" w:hAnsi="Calibri" w:cs="Calibri"/>
                <w:color w:val="000000"/>
                <w:sz w:val="2"/>
                <w:lang w:val="en-GB"/>
              </w:rPr>
            </w:pPr>
          </w:p>
        </w:tc>
      </w:tr>
      <w:tr w:rsidR="006A4962" w:rsidRPr="00B76332" w14:paraId="1BBDCD15" w14:textId="77777777" w:rsidTr="00AC2355">
        <w:trPr>
          <w:trHeight w:val="49"/>
          <w:jc w:val="center"/>
        </w:trPr>
        <w:tc>
          <w:tcPr>
            <w:tcW w:w="1717" w:type="dxa"/>
            <w:tcBorders>
              <w:top w:val="single" w:sz="2" w:space="0" w:color="000000"/>
              <w:bottom w:val="single" w:sz="12" w:space="0" w:color="000000"/>
            </w:tcBorders>
            <w:shd w:val="clear" w:color="auto" w:fill="auto"/>
            <w:tcMar>
              <w:top w:w="20" w:type="dxa"/>
              <w:left w:w="20" w:type="dxa"/>
              <w:bottom w:w="20" w:type="dxa"/>
              <w:right w:w="20" w:type="dxa"/>
            </w:tcMar>
          </w:tcPr>
          <w:p w14:paraId="228AC0BF" w14:textId="77777777" w:rsidR="006A4962" w:rsidRPr="00B76332" w:rsidRDefault="006A4962" w:rsidP="006A4962">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(2,248)</w:t>
            </w:r>
          </w:p>
        </w:tc>
        <w:tc>
          <w:tcPr>
            <w:tcW w:w="1717" w:type="dxa"/>
            <w:tcBorders>
              <w:top w:val="single" w:sz="2" w:space="0" w:color="000000"/>
              <w:bottom w:val="single" w:sz="12" w:space="0" w:color="000000"/>
            </w:tcBorders>
            <w:shd w:val="clear" w:color="auto" w:fill="auto"/>
            <w:tcMar>
              <w:top w:w="20" w:type="dxa"/>
              <w:left w:w="20" w:type="dxa"/>
              <w:bottom w:w="20" w:type="dxa"/>
              <w:right w:w="20" w:type="dxa"/>
            </w:tcMar>
          </w:tcPr>
          <w:p w14:paraId="40111928" w14:textId="77777777" w:rsidR="006A4962" w:rsidRPr="00B76332" w:rsidRDefault="006A4962" w:rsidP="006A4962">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66,124</w:t>
            </w:r>
          </w:p>
        </w:tc>
        <w:tc>
          <w:tcPr>
            <w:tcW w:w="1722" w:type="dxa"/>
            <w:tcBorders>
              <w:top w:val="single" w:sz="2" w:space="0" w:color="000000"/>
              <w:bottom w:val="single" w:sz="12" w:space="0" w:color="000000"/>
            </w:tcBorders>
            <w:shd w:val="clear" w:color="auto" w:fill="auto"/>
            <w:tcMar>
              <w:top w:w="20" w:type="dxa"/>
              <w:left w:w="20" w:type="dxa"/>
              <w:bottom w:w="20" w:type="dxa"/>
              <w:right w:w="20" w:type="dxa"/>
            </w:tcMar>
          </w:tcPr>
          <w:p w14:paraId="6AFEEF17" w14:textId="77777777" w:rsidR="006A4962" w:rsidRPr="00B76332" w:rsidRDefault="006A4962" w:rsidP="006A4962">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63,876</w:t>
            </w:r>
          </w:p>
        </w:tc>
        <w:tc>
          <w:tcPr>
            <w:tcW w:w="3056" w:type="dxa"/>
            <w:tcBorders>
              <w:top w:val="single" w:sz="2" w:space="0" w:color="000000"/>
              <w:bottom w:val="single" w:sz="12" w:space="0" w:color="000000"/>
            </w:tcBorders>
            <w:shd w:val="clear" w:color="auto" w:fill="auto"/>
            <w:tcMar>
              <w:top w:w="20" w:type="dxa"/>
              <w:left w:w="20" w:type="dxa"/>
              <w:bottom w:w="20" w:type="dxa"/>
              <w:right w:w="20" w:type="dxa"/>
            </w:tcMar>
          </w:tcPr>
          <w:p w14:paraId="51274435" w14:textId="573D603F" w:rsidR="006A4962" w:rsidRPr="00B76332" w:rsidRDefault="00AC2355" w:rsidP="006A4962">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w:t>
            </w:r>
            <w:r w:rsidR="006A4962" w:rsidRPr="00B76332">
              <w:rPr>
                <w:rFonts w:ascii="Verdana" w:eastAsia="Verdana" w:hAnsi="Verdana" w:cs="Verdana"/>
                <w:b/>
                <w:color w:val="000000"/>
                <w:sz w:val="16"/>
                <w:lang w:val="en-GB"/>
              </w:rPr>
              <w:t>Surplus</w:t>
            </w:r>
            <w:r>
              <w:rPr>
                <w:rFonts w:ascii="Verdana" w:eastAsia="Verdana" w:hAnsi="Verdana" w:cs="Verdana"/>
                <w:b/>
                <w:color w:val="000000"/>
                <w:sz w:val="16"/>
                <w:lang w:val="en-GB"/>
              </w:rPr>
              <w:t>)</w:t>
            </w:r>
            <w:r w:rsidR="006A4962" w:rsidRPr="00B76332">
              <w:rPr>
                <w:rFonts w:ascii="Verdana" w:eastAsia="Verdana" w:hAnsi="Verdana" w:cs="Verdana"/>
                <w:b/>
                <w:color w:val="000000"/>
                <w:sz w:val="16"/>
                <w:lang w:val="en-GB"/>
              </w:rPr>
              <w:t xml:space="preserve"> or Deficit on Provision of Services</w:t>
            </w:r>
          </w:p>
        </w:tc>
        <w:tc>
          <w:tcPr>
            <w:tcW w:w="1824" w:type="dxa"/>
            <w:tcBorders>
              <w:top w:val="single" w:sz="2" w:space="0" w:color="000000"/>
              <w:bottom w:val="single" w:sz="12" w:space="0" w:color="000000"/>
            </w:tcBorders>
            <w:shd w:val="clear" w:color="auto" w:fill="auto"/>
            <w:tcMar>
              <w:top w:w="20" w:type="dxa"/>
              <w:left w:w="20" w:type="dxa"/>
              <w:bottom w:w="20" w:type="dxa"/>
              <w:right w:w="20" w:type="dxa"/>
            </w:tcMar>
          </w:tcPr>
          <w:p w14:paraId="6A709306" w14:textId="6325BB88" w:rsidR="006A4962" w:rsidRPr="00B76332" w:rsidRDefault="0000572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(263)</w:t>
            </w:r>
          </w:p>
        </w:tc>
        <w:tc>
          <w:tcPr>
            <w:tcW w:w="1459" w:type="dxa"/>
            <w:tcBorders>
              <w:top w:val="single" w:sz="2" w:space="0" w:color="000000"/>
              <w:bottom w:val="single" w:sz="12" w:space="0" w:color="000000"/>
            </w:tcBorders>
            <w:shd w:val="clear" w:color="auto" w:fill="auto"/>
            <w:tcMar>
              <w:top w:w="20" w:type="dxa"/>
              <w:left w:w="20" w:type="dxa"/>
              <w:bottom w:w="20" w:type="dxa"/>
              <w:right w:w="20" w:type="dxa"/>
            </w:tcMar>
          </w:tcPr>
          <w:p w14:paraId="7BC52AFD" w14:textId="5848A52D" w:rsidR="006A4962" w:rsidRPr="00B76332" w:rsidRDefault="009851E8">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7</w:t>
            </w:r>
            <w:r w:rsidR="00BC3B52">
              <w:rPr>
                <w:rFonts w:ascii="Verdana" w:eastAsia="Verdana" w:hAnsi="Verdana" w:cs="Verdana"/>
                <w:b/>
                <w:color w:val="000000"/>
                <w:sz w:val="16"/>
                <w:lang w:val="en-GB"/>
              </w:rPr>
              <w:t>2</w:t>
            </w:r>
            <w:r>
              <w:rPr>
                <w:rFonts w:ascii="Verdana" w:eastAsia="Verdana" w:hAnsi="Verdana" w:cs="Verdana"/>
                <w:b/>
                <w:color w:val="000000"/>
                <w:sz w:val="16"/>
                <w:lang w:val="en-GB"/>
              </w:rPr>
              <w:t>,</w:t>
            </w:r>
            <w:r w:rsidR="00BC3B52">
              <w:rPr>
                <w:rFonts w:ascii="Verdana" w:eastAsia="Verdana" w:hAnsi="Verdana" w:cs="Verdana"/>
                <w:b/>
                <w:color w:val="000000"/>
                <w:sz w:val="16"/>
                <w:lang w:val="en-GB"/>
              </w:rPr>
              <w:t>835</w:t>
            </w:r>
          </w:p>
        </w:tc>
        <w:tc>
          <w:tcPr>
            <w:tcW w:w="1463" w:type="dxa"/>
            <w:tcBorders>
              <w:top w:val="single" w:sz="2" w:space="0" w:color="000000"/>
              <w:bottom w:val="single" w:sz="12" w:space="0" w:color="000000"/>
            </w:tcBorders>
            <w:shd w:val="clear" w:color="auto" w:fill="auto"/>
            <w:tcMar>
              <w:top w:w="20" w:type="dxa"/>
              <w:left w:w="20" w:type="dxa"/>
              <w:bottom w:w="20" w:type="dxa"/>
              <w:right w:w="20" w:type="dxa"/>
            </w:tcMar>
          </w:tcPr>
          <w:p w14:paraId="560F15A2" w14:textId="55A73A88" w:rsidR="006A4962" w:rsidRPr="00B76332" w:rsidRDefault="00FD6078">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72,572</w:t>
            </w:r>
          </w:p>
        </w:tc>
      </w:tr>
      <w:tr w:rsidR="006A4962" w:rsidRPr="00B76332" w14:paraId="38833DE2" w14:textId="77777777" w:rsidTr="00AC2355">
        <w:trPr>
          <w:trHeight w:hRule="exact" w:val="104"/>
          <w:jc w:val="center"/>
        </w:trPr>
        <w:tc>
          <w:tcPr>
            <w:tcW w:w="1717" w:type="dxa"/>
            <w:shd w:val="clear" w:color="auto" w:fill="auto"/>
            <w:tcMar>
              <w:top w:w="20" w:type="dxa"/>
              <w:left w:w="20" w:type="dxa"/>
              <w:bottom w:w="20" w:type="dxa"/>
              <w:right w:w="20" w:type="dxa"/>
            </w:tcMar>
          </w:tcPr>
          <w:p w14:paraId="5B716150" w14:textId="77777777" w:rsidR="006A4962" w:rsidRPr="00B76332" w:rsidRDefault="006A4962" w:rsidP="006A4962">
            <w:pPr>
              <w:pStyle w:val="T1TableStyle"/>
              <w:jc w:val="center"/>
              <w:rPr>
                <w:rFonts w:ascii="Calibri" w:eastAsia="Calibri" w:hAnsi="Calibri" w:cs="Calibri"/>
                <w:color w:val="000000"/>
                <w:sz w:val="2"/>
                <w:lang w:val="en-GB"/>
              </w:rPr>
            </w:pPr>
          </w:p>
        </w:tc>
        <w:tc>
          <w:tcPr>
            <w:tcW w:w="1717" w:type="dxa"/>
            <w:shd w:val="clear" w:color="auto" w:fill="auto"/>
            <w:tcMar>
              <w:top w:w="20" w:type="dxa"/>
              <w:left w:w="20" w:type="dxa"/>
              <w:bottom w:w="20" w:type="dxa"/>
              <w:right w:w="20" w:type="dxa"/>
            </w:tcMar>
          </w:tcPr>
          <w:p w14:paraId="27AF2D3B" w14:textId="77777777" w:rsidR="006A4962" w:rsidRPr="00B76332" w:rsidRDefault="006A4962" w:rsidP="006A4962">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722" w:type="dxa"/>
            <w:shd w:val="clear" w:color="auto" w:fill="auto"/>
            <w:tcMar>
              <w:top w:w="20" w:type="dxa"/>
              <w:left w:w="20" w:type="dxa"/>
              <w:bottom w:w="20" w:type="dxa"/>
              <w:right w:w="20" w:type="dxa"/>
            </w:tcMar>
          </w:tcPr>
          <w:p w14:paraId="0666EAE2" w14:textId="77777777" w:rsidR="006A4962" w:rsidRPr="00B76332" w:rsidRDefault="006A4962" w:rsidP="006A4962">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3056" w:type="dxa"/>
            <w:shd w:val="clear" w:color="auto" w:fill="auto"/>
            <w:tcMar>
              <w:top w:w="20" w:type="dxa"/>
              <w:left w:w="20" w:type="dxa"/>
              <w:bottom w:w="20" w:type="dxa"/>
              <w:right w:w="20" w:type="dxa"/>
            </w:tcMar>
          </w:tcPr>
          <w:p w14:paraId="354D874A" w14:textId="77777777" w:rsidR="006A4962" w:rsidRPr="00B76332" w:rsidRDefault="006A4962" w:rsidP="006A4962">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824" w:type="dxa"/>
            <w:shd w:val="clear" w:color="auto" w:fill="auto"/>
            <w:tcMar>
              <w:top w:w="20" w:type="dxa"/>
              <w:left w:w="20" w:type="dxa"/>
              <w:bottom w:w="20" w:type="dxa"/>
              <w:right w:w="20" w:type="dxa"/>
            </w:tcMar>
          </w:tcPr>
          <w:p w14:paraId="7A4BFBA5" w14:textId="77777777" w:rsidR="006A4962" w:rsidRPr="00B76332" w:rsidRDefault="006A4962" w:rsidP="006A4962">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459" w:type="dxa"/>
            <w:shd w:val="clear" w:color="auto" w:fill="auto"/>
            <w:tcMar>
              <w:top w:w="20" w:type="dxa"/>
              <w:left w:w="20" w:type="dxa"/>
              <w:bottom w:w="20" w:type="dxa"/>
              <w:right w:w="20" w:type="dxa"/>
            </w:tcMar>
          </w:tcPr>
          <w:p w14:paraId="5001DA02" w14:textId="77777777" w:rsidR="006A4962" w:rsidRPr="00B76332" w:rsidRDefault="006A4962" w:rsidP="006A4962">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463" w:type="dxa"/>
            <w:shd w:val="clear" w:color="auto" w:fill="auto"/>
            <w:tcMar>
              <w:top w:w="20" w:type="dxa"/>
              <w:left w:w="20" w:type="dxa"/>
              <w:bottom w:w="20" w:type="dxa"/>
              <w:right w:w="20" w:type="dxa"/>
            </w:tcMar>
          </w:tcPr>
          <w:p w14:paraId="72155C4F" w14:textId="77777777" w:rsidR="006A4962" w:rsidRPr="00B76332" w:rsidRDefault="006A4962" w:rsidP="006A4962">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r>
      <w:tr w:rsidR="006A4962" w:rsidRPr="00B76332" w14:paraId="14099B53" w14:textId="77777777" w:rsidTr="00AC2355">
        <w:trPr>
          <w:trHeight w:val="54"/>
          <w:jc w:val="center"/>
        </w:trPr>
        <w:tc>
          <w:tcPr>
            <w:tcW w:w="1717" w:type="dxa"/>
            <w:shd w:val="clear" w:color="auto" w:fill="auto"/>
            <w:tcMar>
              <w:top w:w="20" w:type="dxa"/>
              <w:left w:w="20" w:type="dxa"/>
              <w:bottom w:w="20" w:type="dxa"/>
              <w:right w:w="20" w:type="dxa"/>
            </w:tcMar>
          </w:tcPr>
          <w:p w14:paraId="1DE9D242" w14:textId="77777777" w:rsidR="006A4962" w:rsidRPr="00B76332" w:rsidRDefault="006A4962" w:rsidP="006A496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(17,253)</w:t>
            </w:r>
          </w:p>
        </w:tc>
        <w:tc>
          <w:tcPr>
            <w:tcW w:w="1717" w:type="dxa"/>
            <w:shd w:val="clear" w:color="auto" w:fill="auto"/>
            <w:tcMar>
              <w:top w:w="20" w:type="dxa"/>
              <w:left w:w="20" w:type="dxa"/>
              <w:bottom w:w="20" w:type="dxa"/>
              <w:right w:w="20" w:type="dxa"/>
            </w:tcMar>
            <w:vAlign w:val="center"/>
          </w:tcPr>
          <w:p w14:paraId="2E33E892" w14:textId="77777777" w:rsidR="006A4962" w:rsidRPr="00B76332" w:rsidRDefault="006A4962" w:rsidP="006A4962">
            <w:pPr>
              <w:pStyle w:val="T1TableStyle"/>
              <w:jc w:val="center"/>
              <w:rPr>
                <w:rFonts w:ascii="Verdana" w:eastAsia="Verdana" w:hAnsi="Verdana" w:cs="Verdana"/>
                <w:b/>
                <w:color w:val="000000"/>
                <w:sz w:val="2"/>
                <w:lang w:val="en-GB"/>
              </w:rPr>
            </w:pPr>
            <w:r w:rsidRPr="00B76332">
              <w:rPr>
                <w:rFonts w:ascii="Verdana" w:eastAsia="Verdana" w:hAnsi="Verdana" w:cs="Verdana"/>
                <w:b/>
                <w:color w:val="000000"/>
                <w:sz w:val="2"/>
                <w:lang w:val="en-GB"/>
              </w:rPr>
              <w:t xml:space="preserve"> </w:t>
            </w:r>
          </w:p>
        </w:tc>
        <w:tc>
          <w:tcPr>
            <w:tcW w:w="1722" w:type="dxa"/>
            <w:shd w:val="clear" w:color="auto" w:fill="auto"/>
            <w:tcMar>
              <w:top w:w="20" w:type="dxa"/>
              <w:left w:w="20" w:type="dxa"/>
              <w:bottom w:w="20" w:type="dxa"/>
              <w:right w:w="20" w:type="dxa"/>
            </w:tcMar>
          </w:tcPr>
          <w:p w14:paraId="186E0487" w14:textId="77777777" w:rsidR="006A4962" w:rsidRPr="00B76332" w:rsidRDefault="006A4962" w:rsidP="006A4962">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3056" w:type="dxa"/>
            <w:shd w:val="clear" w:color="auto" w:fill="auto"/>
            <w:tcMar>
              <w:top w:w="20" w:type="dxa"/>
              <w:left w:w="20" w:type="dxa"/>
              <w:bottom w:w="20" w:type="dxa"/>
              <w:right w:w="20" w:type="dxa"/>
            </w:tcMar>
            <w:vAlign w:val="center"/>
          </w:tcPr>
          <w:p w14:paraId="4FB08090" w14:textId="77777777" w:rsidR="006A4962" w:rsidRPr="00B76332" w:rsidRDefault="006A4962" w:rsidP="006A4962">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Opening Combined General Fund Balance</w:t>
            </w:r>
          </w:p>
        </w:tc>
        <w:tc>
          <w:tcPr>
            <w:tcW w:w="1824" w:type="dxa"/>
            <w:shd w:val="clear" w:color="auto" w:fill="auto"/>
            <w:tcMar>
              <w:top w:w="20" w:type="dxa"/>
              <w:left w:w="20" w:type="dxa"/>
              <w:bottom w:w="20" w:type="dxa"/>
              <w:right w:w="20" w:type="dxa"/>
            </w:tcMar>
          </w:tcPr>
          <w:p w14:paraId="41410621" w14:textId="77777777" w:rsidR="006A4962" w:rsidRPr="00B76332" w:rsidRDefault="006A4962"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w:t>
            </w:r>
            <w:r w:rsidR="009851E8">
              <w:rPr>
                <w:rFonts w:ascii="Verdana" w:eastAsia="Verdana" w:hAnsi="Verdana" w:cs="Verdana"/>
                <w:color w:val="000000"/>
                <w:sz w:val="16"/>
                <w:lang w:val="en-GB"/>
              </w:rPr>
              <w:t>19,501</w:t>
            </w:r>
            <w:r w:rsidRPr="00B76332">
              <w:rPr>
                <w:rFonts w:ascii="Verdana" w:eastAsia="Verdana" w:hAnsi="Verdana" w:cs="Verdana"/>
                <w:color w:val="000000"/>
                <w:sz w:val="16"/>
                <w:lang w:val="en-GB"/>
              </w:rPr>
              <w:t>)</w:t>
            </w:r>
          </w:p>
        </w:tc>
        <w:tc>
          <w:tcPr>
            <w:tcW w:w="1459" w:type="dxa"/>
            <w:shd w:val="clear" w:color="auto" w:fill="auto"/>
            <w:tcMar>
              <w:top w:w="20" w:type="dxa"/>
              <w:left w:w="20" w:type="dxa"/>
              <w:bottom w:w="20" w:type="dxa"/>
              <w:right w:w="20" w:type="dxa"/>
            </w:tcMar>
          </w:tcPr>
          <w:p w14:paraId="7694F674" w14:textId="77777777" w:rsidR="006A4962" w:rsidRPr="00B76332" w:rsidRDefault="006A4962" w:rsidP="006A4962">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463" w:type="dxa"/>
            <w:shd w:val="clear" w:color="auto" w:fill="auto"/>
            <w:tcMar>
              <w:top w:w="20" w:type="dxa"/>
              <w:left w:w="20" w:type="dxa"/>
              <w:bottom w:w="20" w:type="dxa"/>
              <w:right w:w="20" w:type="dxa"/>
            </w:tcMar>
          </w:tcPr>
          <w:p w14:paraId="4BBFB182" w14:textId="77777777" w:rsidR="006A4962" w:rsidRPr="00B76332" w:rsidRDefault="006A4962" w:rsidP="006A4962">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r>
      <w:tr w:rsidR="006A4962" w:rsidRPr="00B76332" w14:paraId="38EB3AB2" w14:textId="77777777" w:rsidTr="00AC2355">
        <w:trPr>
          <w:trHeight w:val="54"/>
          <w:jc w:val="center"/>
        </w:trPr>
        <w:tc>
          <w:tcPr>
            <w:tcW w:w="1717" w:type="dxa"/>
            <w:shd w:val="clear" w:color="auto" w:fill="auto"/>
            <w:tcMar>
              <w:top w:w="20" w:type="dxa"/>
              <w:left w:w="20" w:type="dxa"/>
              <w:bottom w:w="20" w:type="dxa"/>
              <w:right w:w="20" w:type="dxa"/>
            </w:tcMar>
          </w:tcPr>
          <w:p w14:paraId="6A54FBDA" w14:textId="77777777" w:rsidR="006A4962" w:rsidRPr="00B76332" w:rsidRDefault="006A4962" w:rsidP="006A4962">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(2,248)</w:t>
            </w:r>
          </w:p>
        </w:tc>
        <w:tc>
          <w:tcPr>
            <w:tcW w:w="1717" w:type="dxa"/>
            <w:shd w:val="clear" w:color="auto" w:fill="auto"/>
            <w:tcMar>
              <w:top w:w="20" w:type="dxa"/>
              <w:left w:w="20" w:type="dxa"/>
              <w:bottom w:w="20" w:type="dxa"/>
              <w:right w:w="20" w:type="dxa"/>
            </w:tcMar>
            <w:vAlign w:val="center"/>
          </w:tcPr>
          <w:p w14:paraId="594EDB99" w14:textId="77777777" w:rsidR="006A4962" w:rsidRPr="00B76332" w:rsidRDefault="006A4962" w:rsidP="006A4962">
            <w:pPr>
              <w:pStyle w:val="T1TableStyle"/>
              <w:jc w:val="center"/>
              <w:rPr>
                <w:rFonts w:ascii="Verdana" w:eastAsia="Verdana" w:hAnsi="Verdana" w:cs="Verdana"/>
                <w:b/>
                <w:color w:val="000000"/>
                <w:sz w:val="2"/>
                <w:lang w:val="en-GB"/>
              </w:rPr>
            </w:pPr>
            <w:r w:rsidRPr="00B76332">
              <w:rPr>
                <w:rFonts w:ascii="Verdana" w:eastAsia="Verdana" w:hAnsi="Verdana" w:cs="Verdana"/>
                <w:b/>
                <w:color w:val="000000"/>
                <w:sz w:val="2"/>
                <w:lang w:val="en-GB"/>
              </w:rPr>
              <w:t xml:space="preserve"> </w:t>
            </w:r>
          </w:p>
        </w:tc>
        <w:tc>
          <w:tcPr>
            <w:tcW w:w="1722" w:type="dxa"/>
            <w:shd w:val="clear" w:color="auto" w:fill="auto"/>
            <w:tcMar>
              <w:top w:w="20" w:type="dxa"/>
              <w:left w:w="20" w:type="dxa"/>
              <w:bottom w:w="20" w:type="dxa"/>
              <w:right w:w="20" w:type="dxa"/>
            </w:tcMar>
          </w:tcPr>
          <w:p w14:paraId="414B61A9" w14:textId="77777777" w:rsidR="006A4962" w:rsidRPr="00B76332" w:rsidRDefault="006A4962" w:rsidP="006A4962">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3056" w:type="dxa"/>
            <w:shd w:val="clear" w:color="auto" w:fill="auto"/>
            <w:tcMar>
              <w:top w:w="20" w:type="dxa"/>
              <w:left w:w="20" w:type="dxa"/>
              <w:bottom w:w="20" w:type="dxa"/>
              <w:right w:w="20" w:type="dxa"/>
            </w:tcMar>
            <w:vAlign w:val="center"/>
          </w:tcPr>
          <w:p w14:paraId="03EE6B83" w14:textId="5BC615B3" w:rsidR="006A4962" w:rsidRPr="00B76332" w:rsidRDefault="006A4962" w:rsidP="00AC2355">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Plus/less Surplus or Deficit on the General Fund Balance for the Year (Statutory basis)</w:t>
            </w:r>
          </w:p>
        </w:tc>
        <w:tc>
          <w:tcPr>
            <w:tcW w:w="1824" w:type="dxa"/>
            <w:shd w:val="clear" w:color="auto" w:fill="auto"/>
            <w:tcMar>
              <w:top w:w="20" w:type="dxa"/>
              <w:left w:w="20" w:type="dxa"/>
              <w:bottom w:w="20" w:type="dxa"/>
              <w:right w:w="20" w:type="dxa"/>
            </w:tcMar>
          </w:tcPr>
          <w:p w14:paraId="6C9F2F45" w14:textId="2234E281" w:rsidR="006A4962" w:rsidRPr="003B149B" w:rsidRDefault="003B149B">
            <w:pPr>
              <w:pStyle w:val="T1TableStyle"/>
              <w:jc w:val="right"/>
              <w:rPr>
                <w:rFonts w:ascii="Verdana" w:eastAsia="Verdana" w:hAnsi="Verdana" w:cs="Verdana"/>
                <w:color w:val="000000"/>
                <w:sz w:val="16"/>
                <w:lang w:val="en-GB"/>
              </w:rPr>
            </w:pPr>
            <w:r w:rsidRPr="003B149B">
              <w:rPr>
                <w:rFonts w:ascii="Verdana" w:eastAsia="Verdana" w:hAnsi="Verdana" w:cs="Verdana"/>
                <w:color w:val="000000"/>
                <w:sz w:val="16"/>
                <w:lang w:val="en-GB"/>
              </w:rPr>
              <w:t>(</w:t>
            </w:r>
            <w:r w:rsidR="00FD6078">
              <w:rPr>
                <w:rFonts w:ascii="Verdana" w:eastAsia="Verdana" w:hAnsi="Verdana" w:cs="Verdana"/>
                <w:color w:val="000000"/>
                <w:sz w:val="16"/>
                <w:lang w:val="en-GB"/>
              </w:rPr>
              <w:t>263</w:t>
            </w:r>
            <w:r w:rsidRPr="003B149B">
              <w:rPr>
                <w:rFonts w:ascii="Verdana" w:eastAsia="Verdana" w:hAnsi="Verdana" w:cs="Verdana"/>
                <w:color w:val="000000"/>
                <w:sz w:val="16"/>
                <w:lang w:val="en-GB"/>
              </w:rPr>
              <w:t>)</w:t>
            </w:r>
          </w:p>
        </w:tc>
        <w:tc>
          <w:tcPr>
            <w:tcW w:w="1459" w:type="dxa"/>
            <w:shd w:val="clear" w:color="auto" w:fill="auto"/>
            <w:tcMar>
              <w:top w:w="20" w:type="dxa"/>
              <w:left w:w="20" w:type="dxa"/>
              <w:bottom w:w="20" w:type="dxa"/>
              <w:right w:w="20" w:type="dxa"/>
            </w:tcMar>
          </w:tcPr>
          <w:p w14:paraId="31E54A20" w14:textId="77777777" w:rsidR="006A4962" w:rsidRPr="003B149B" w:rsidRDefault="006A4962" w:rsidP="006A4962">
            <w:pPr>
              <w:pStyle w:val="T1TableStyle"/>
              <w:jc w:val="center"/>
              <w:rPr>
                <w:rFonts w:ascii="Calibri" w:eastAsia="Calibri" w:hAnsi="Calibri" w:cs="Calibri"/>
                <w:color w:val="000000"/>
                <w:sz w:val="2"/>
                <w:lang w:val="en-GB"/>
              </w:rPr>
            </w:pPr>
          </w:p>
        </w:tc>
        <w:tc>
          <w:tcPr>
            <w:tcW w:w="1463" w:type="dxa"/>
            <w:shd w:val="clear" w:color="auto" w:fill="auto"/>
            <w:tcMar>
              <w:top w:w="20" w:type="dxa"/>
              <w:left w:w="20" w:type="dxa"/>
              <w:bottom w:w="20" w:type="dxa"/>
              <w:right w:w="20" w:type="dxa"/>
            </w:tcMar>
          </w:tcPr>
          <w:p w14:paraId="4459825E" w14:textId="77777777" w:rsidR="006A4962" w:rsidRPr="00B76332" w:rsidRDefault="006A4962" w:rsidP="006A4962">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r>
      <w:tr w:rsidR="006A4962" w:rsidRPr="00B76332" w14:paraId="4D970F25" w14:textId="77777777" w:rsidTr="00AC2355">
        <w:trPr>
          <w:trHeight w:hRule="exact" w:val="94"/>
          <w:jc w:val="center"/>
        </w:trPr>
        <w:tc>
          <w:tcPr>
            <w:tcW w:w="1717" w:type="dxa"/>
            <w:shd w:val="clear" w:color="auto" w:fill="auto"/>
            <w:tcMar>
              <w:top w:w="20" w:type="dxa"/>
              <w:left w:w="20" w:type="dxa"/>
              <w:bottom w:w="20" w:type="dxa"/>
              <w:right w:w="20" w:type="dxa"/>
            </w:tcMar>
          </w:tcPr>
          <w:p w14:paraId="3337A3BE" w14:textId="77777777" w:rsidR="006A4962" w:rsidRPr="00B76332" w:rsidRDefault="006A4962" w:rsidP="006A4962">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717" w:type="dxa"/>
            <w:shd w:val="clear" w:color="auto" w:fill="auto"/>
            <w:tcMar>
              <w:top w:w="20" w:type="dxa"/>
              <w:left w:w="20" w:type="dxa"/>
              <w:bottom w:w="20" w:type="dxa"/>
              <w:right w:w="20" w:type="dxa"/>
            </w:tcMar>
            <w:vAlign w:val="center"/>
          </w:tcPr>
          <w:p w14:paraId="78918B22" w14:textId="77777777" w:rsidR="006A4962" w:rsidRPr="00B76332" w:rsidRDefault="006A4962" w:rsidP="006A4962">
            <w:pPr>
              <w:pStyle w:val="T1TableStyle"/>
              <w:jc w:val="center"/>
              <w:rPr>
                <w:rFonts w:ascii="Verdana" w:eastAsia="Verdana" w:hAnsi="Verdana" w:cs="Verdana"/>
                <w:b/>
                <w:color w:val="000000"/>
                <w:sz w:val="2"/>
                <w:lang w:val="en-GB"/>
              </w:rPr>
            </w:pPr>
            <w:r w:rsidRPr="00B76332">
              <w:rPr>
                <w:rFonts w:ascii="Verdana" w:eastAsia="Verdana" w:hAnsi="Verdana" w:cs="Verdana"/>
                <w:b/>
                <w:color w:val="000000"/>
                <w:sz w:val="2"/>
                <w:lang w:val="en-GB"/>
              </w:rPr>
              <w:t xml:space="preserve"> </w:t>
            </w:r>
          </w:p>
        </w:tc>
        <w:tc>
          <w:tcPr>
            <w:tcW w:w="1722" w:type="dxa"/>
            <w:shd w:val="clear" w:color="auto" w:fill="auto"/>
            <w:tcMar>
              <w:top w:w="20" w:type="dxa"/>
              <w:left w:w="20" w:type="dxa"/>
              <w:bottom w:w="20" w:type="dxa"/>
              <w:right w:w="20" w:type="dxa"/>
            </w:tcMar>
          </w:tcPr>
          <w:p w14:paraId="029392C3" w14:textId="77777777" w:rsidR="006A4962" w:rsidRPr="00B76332" w:rsidRDefault="006A4962" w:rsidP="006A4962">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3056" w:type="dxa"/>
            <w:shd w:val="clear" w:color="auto" w:fill="auto"/>
            <w:tcMar>
              <w:top w:w="20" w:type="dxa"/>
              <w:left w:w="20" w:type="dxa"/>
              <w:bottom w:w="20" w:type="dxa"/>
              <w:right w:w="20" w:type="dxa"/>
            </w:tcMar>
            <w:vAlign w:val="center"/>
          </w:tcPr>
          <w:p w14:paraId="7271FC9B" w14:textId="77777777" w:rsidR="006A4962" w:rsidRPr="00B76332" w:rsidRDefault="006A4962" w:rsidP="006A4962">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824" w:type="dxa"/>
            <w:shd w:val="clear" w:color="auto" w:fill="auto"/>
            <w:tcMar>
              <w:top w:w="20" w:type="dxa"/>
              <w:left w:w="20" w:type="dxa"/>
              <w:bottom w:w="20" w:type="dxa"/>
              <w:right w:w="20" w:type="dxa"/>
            </w:tcMar>
          </w:tcPr>
          <w:p w14:paraId="19F4C83D" w14:textId="77777777" w:rsidR="006A4962" w:rsidRPr="003B149B" w:rsidRDefault="006A4962" w:rsidP="006A4962">
            <w:pPr>
              <w:pStyle w:val="T1TableStyle"/>
              <w:jc w:val="center"/>
              <w:rPr>
                <w:rFonts w:ascii="Verdana" w:eastAsia="Verdana" w:hAnsi="Verdana" w:cs="Verdana"/>
                <w:color w:val="000000"/>
                <w:sz w:val="2"/>
                <w:lang w:val="en-GB"/>
              </w:rPr>
            </w:pPr>
            <w:r w:rsidRPr="003B149B">
              <w:rPr>
                <w:rFonts w:ascii="Verdana" w:eastAsia="Verdana" w:hAnsi="Verdana" w:cs="Verdana"/>
                <w:color w:val="000000"/>
                <w:sz w:val="2"/>
                <w:lang w:val="en-GB"/>
              </w:rPr>
              <w:t xml:space="preserve"> </w:t>
            </w:r>
          </w:p>
        </w:tc>
        <w:tc>
          <w:tcPr>
            <w:tcW w:w="1459" w:type="dxa"/>
            <w:shd w:val="clear" w:color="auto" w:fill="auto"/>
            <w:tcMar>
              <w:top w:w="20" w:type="dxa"/>
              <w:left w:w="20" w:type="dxa"/>
              <w:bottom w:w="20" w:type="dxa"/>
              <w:right w:w="20" w:type="dxa"/>
            </w:tcMar>
          </w:tcPr>
          <w:p w14:paraId="5EB2955D" w14:textId="77777777" w:rsidR="006A4962" w:rsidRPr="003B149B" w:rsidRDefault="006A4962" w:rsidP="006A4962">
            <w:pPr>
              <w:pStyle w:val="T1TableStyle"/>
              <w:jc w:val="center"/>
              <w:rPr>
                <w:rFonts w:ascii="Verdana" w:eastAsia="Verdana" w:hAnsi="Verdana" w:cs="Verdana"/>
                <w:color w:val="000000"/>
                <w:sz w:val="2"/>
                <w:lang w:val="en-GB"/>
              </w:rPr>
            </w:pPr>
            <w:r w:rsidRPr="003B149B">
              <w:rPr>
                <w:rFonts w:ascii="Verdana" w:eastAsia="Verdana" w:hAnsi="Verdana" w:cs="Verdana"/>
                <w:color w:val="000000"/>
                <w:sz w:val="2"/>
                <w:lang w:val="en-GB"/>
              </w:rPr>
              <w:t xml:space="preserve"> </w:t>
            </w:r>
          </w:p>
        </w:tc>
        <w:tc>
          <w:tcPr>
            <w:tcW w:w="1463" w:type="dxa"/>
            <w:shd w:val="clear" w:color="auto" w:fill="auto"/>
            <w:tcMar>
              <w:top w:w="20" w:type="dxa"/>
              <w:left w:w="20" w:type="dxa"/>
              <w:bottom w:w="20" w:type="dxa"/>
              <w:right w:w="20" w:type="dxa"/>
            </w:tcMar>
          </w:tcPr>
          <w:p w14:paraId="0418FC63" w14:textId="77777777" w:rsidR="006A4962" w:rsidRPr="00B76332" w:rsidRDefault="006A4962" w:rsidP="006A4962">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r>
      <w:tr w:rsidR="006A4962" w:rsidRPr="00B76332" w14:paraId="58F43179" w14:textId="77777777" w:rsidTr="00AC2355">
        <w:trPr>
          <w:trHeight w:val="49"/>
          <w:jc w:val="center"/>
        </w:trPr>
        <w:tc>
          <w:tcPr>
            <w:tcW w:w="1717"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72CEC96" w14:textId="77777777" w:rsidR="006A4962" w:rsidRPr="00B76332" w:rsidRDefault="006A4962" w:rsidP="006A4962">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(19,501)</w:t>
            </w:r>
          </w:p>
        </w:tc>
        <w:tc>
          <w:tcPr>
            <w:tcW w:w="1717" w:type="dxa"/>
            <w:shd w:val="clear" w:color="auto" w:fill="auto"/>
            <w:tcMar>
              <w:top w:w="20" w:type="dxa"/>
              <w:left w:w="20" w:type="dxa"/>
              <w:bottom w:w="20" w:type="dxa"/>
              <w:right w:w="20" w:type="dxa"/>
            </w:tcMar>
            <w:vAlign w:val="center"/>
          </w:tcPr>
          <w:p w14:paraId="517D10C8" w14:textId="77777777" w:rsidR="006A4962" w:rsidRPr="00B76332" w:rsidRDefault="006A4962" w:rsidP="006A4962">
            <w:pPr>
              <w:pStyle w:val="T1TableStyle"/>
              <w:jc w:val="center"/>
              <w:rPr>
                <w:rFonts w:ascii="Verdana" w:eastAsia="Verdana" w:hAnsi="Verdana" w:cs="Verdana"/>
                <w:b/>
                <w:color w:val="000000"/>
                <w:sz w:val="2"/>
                <w:lang w:val="en-GB"/>
              </w:rPr>
            </w:pPr>
            <w:r w:rsidRPr="00B76332">
              <w:rPr>
                <w:rFonts w:ascii="Verdana" w:eastAsia="Verdana" w:hAnsi="Verdana" w:cs="Verdana"/>
                <w:b/>
                <w:color w:val="000000"/>
                <w:sz w:val="2"/>
                <w:lang w:val="en-GB"/>
              </w:rPr>
              <w:t xml:space="preserve"> </w:t>
            </w:r>
          </w:p>
        </w:tc>
        <w:tc>
          <w:tcPr>
            <w:tcW w:w="1722" w:type="dxa"/>
            <w:shd w:val="clear" w:color="auto" w:fill="auto"/>
            <w:tcMar>
              <w:top w:w="20" w:type="dxa"/>
              <w:left w:w="20" w:type="dxa"/>
              <w:bottom w:w="20" w:type="dxa"/>
              <w:right w:w="20" w:type="dxa"/>
            </w:tcMar>
          </w:tcPr>
          <w:p w14:paraId="45F99DC6" w14:textId="77777777" w:rsidR="006A4962" w:rsidRPr="00B76332" w:rsidRDefault="006A4962" w:rsidP="006A4962">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305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4269BF6" w14:textId="77777777" w:rsidR="006A4962" w:rsidRPr="00B76332" w:rsidRDefault="006A4962" w:rsidP="006A4962">
            <w:pPr>
              <w:pStyle w:val="T1TableStyle"/>
              <w:rPr>
                <w:rFonts w:ascii="Verdana" w:eastAsia="Verdana" w:hAnsi="Verdana" w:cs="Verdana"/>
                <w:b/>
                <w:color w:val="000000"/>
                <w:sz w:val="16"/>
                <w:lang w:val="en-GB"/>
              </w:rPr>
            </w:pPr>
            <w:r w:rsidRPr="00B76332">
              <w:rPr>
                <w:rFonts w:ascii="Verdana" w:eastAsia="Verdana" w:hAnsi="Verdana" w:cs="Verdana"/>
                <w:b/>
                <w:color w:val="000000"/>
                <w:sz w:val="16"/>
                <w:lang w:val="en-GB"/>
              </w:rPr>
              <w:t>Closing Combined General Fund Balance</w:t>
            </w:r>
          </w:p>
        </w:tc>
        <w:tc>
          <w:tcPr>
            <w:tcW w:w="182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839D67B" w14:textId="2BFDB5EF" w:rsidR="006A4962" w:rsidRPr="003B149B" w:rsidRDefault="006A4962">
            <w:pPr>
              <w:pStyle w:val="T1TableStyle"/>
              <w:jc w:val="right"/>
              <w:rPr>
                <w:rFonts w:ascii="Verdana" w:eastAsia="Verdana" w:hAnsi="Verdana" w:cs="Verdana"/>
                <w:b/>
                <w:color w:val="000000"/>
                <w:sz w:val="16"/>
                <w:lang w:val="en-GB"/>
              </w:rPr>
            </w:pPr>
            <w:r w:rsidRPr="003B149B">
              <w:rPr>
                <w:rFonts w:ascii="Verdana" w:eastAsia="Verdana" w:hAnsi="Verdana" w:cs="Verdana"/>
                <w:b/>
                <w:color w:val="000000"/>
                <w:sz w:val="16"/>
                <w:lang w:val="en-GB"/>
              </w:rPr>
              <w:t>(</w:t>
            </w:r>
            <w:r w:rsidR="00FD6078">
              <w:rPr>
                <w:rFonts w:ascii="Verdana" w:eastAsia="Verdana" w:hAnsi="Verdana" w:cs="Verdana"/>
                <w:b/>
                <w:color w:val="000000"/>
                <w:sz w:val="16"/>
                <w:lang w:val="en-GB"/>
              </w:rPr>
              <w:t>19,764</w:t>
            </w:r>
            <w:r w:rsidRPr="003B149B">
              <w:rPr>
                <w:rFonts w:ascii="Verdana" w:eastAsia="Verdana" w:hAnsi="Verdana" w:cs="Verdana"/>
                <w:b/>
                <w:color w:val="000000"/>
                <w:sz w:val="16"/>
                <w:lang w:val="en-GB"/>
              </w:rPr>
              <w:t>)</w:t>
            </w:r>
          </w:p>
        </w:tc>
        <w:tc>
          <w:tcPr>
            <w:tcW w:w="1459" w:type="dxa"/>
            <w:shd w:val="clear" w:color="auto" w:fill="auto"/>
            <w:tcMar>
              <w:top w:w="20" w:type="dxa"/>
              <w:left w:w="20" w:type="dxa"/>
              <w:bottom w:w="20" w:type="dxa"/>
              <w:right w:w="20" w:type="dxa"/>
            </w:tcMar>
          </w:tcPr>
          <w:p w14:paraId="4DE5E34E" w14:textId="77777777" w:rsidR="006A4962" w:rsidRPr="003B149B" w:rsidRDefault="006A4962" w:rsidP="006A4962">
            <w:pPr>
              <w:pStyle w:val="T1TableStyle"/>
              <w:jc w:val="center"/>
              <w:rPr>
                <w:rFonts w:ascii="Calibri" w:eastAsia="Calibri" w:hAnsi="Calibri" w:cs="Calibri"/>
                <w:color w:val="000000"/>
                <w:sz w:val="2"/>
                <w:lang w:val="en-GB"/>
              </w:rPr>
            </w:pPr>
            <w:r w:rsidRPr="003B149B">
              <w:rPr>
                <w:rFonts w:ascii="Calibri" w:eastAsia="Calibri" w:hAnsi="Calibri" w:cs="Calibri"/>
                <w:color w:val="000000"/>
                <w:sz w:val="2"/>
                <w:lang w:val="en-GB"/>
              </w:rPr>
              <w:t xml:space="preserve"> </w:t>
            </w:r>
            <w:r w:rsidR="009851E8" w:rsidRPr="003B149B">
              <w:rPr>
                <w:rFonts w:ascii="Calibri" w:eastAsia="Calibri" w:hAnsi="Calibri" w:cs="Calibri"/>
                <w:color w:val="000000"/>
                <w:sz w:val="2"/>
                <w:lang w:val="en-GB"/>
              </w:rPr>
              <w:t>X</w:t>
            </w:r>
          </w:p>
        </w:tc>
        <w:tc>
          <w:tcPr>
            <w:tcW w:w="1463" w:type="dxa"/>
            <w:shd w:val="clear" w:color="auto" w:fill="auto"/>
            <w:tcMar>
              <w:top w:w="20" w:type="dxa"/>
              <w:left w:w="20" w:type="dxa"/>
              <w:bottom w:w="20" w:type="dxa"/>
              <w:right w:w="20" w:type="dxa"/>
            </w:tcMar>
          </w:tcPr>
          <w:p w14:paraId="074E1123" w14:textId="77777777" w:rsidR="006A4962" w:rsidRPr="00B76332" w:rsidRDefault="006A4962" w:rsidP="006A4962">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r>
    </w:tbl>
    <w:p w14:paraId="3E3424AB" w14:textId="77777777" w:rsidR="00C878D2" w:rsidRPr="009851E8" w:rsidRDefault="00C878D2">
      <w:pPr>
        <w:pStyle w:val="T1TableStyle"/>
        <w:rPr>
          <w:rFonts w:ascii="Verdana" w:hAnsi="Verdana"/>
          <w:sz w:val="18"/>
          <w:szCs w:val="18"/>
          <w:lang w:val="en-GB"/>
        </w:rPr>
      </w:pPr>
      <w:r w:rsidRPr="009851E8">
        <w:rPr>
          <w:rFonts w:ascii="Verdana" w:hAnsi="Verdana"/>
          <w:sz w:val="18"/>
          <w:szCs w:val="18"/>
          <w:lang w:val="en-GB"/>
        </w:rPr>
        <w:t xml:space="preserve">Depreciation/Amortisation in </w:t>
      </w:r>
      <w:r w:rsidR="008B13D2" w:rsidRPr="009851E8">
        <w:rPr>
          <w:rFonts w:ascii="Verdana" w:hAnsi="Verdana"/>
          <w:sz w:val="18"/>
          <w:szCs w:val="18"/>
          <w:lang w:val="en-GB"/>
        </w:rPr>
        <w:t>20</w:t>
      </w:r>
      <w:r w:rsidRPr="009851E8">
        <w:rPr>
          <w:rFonts w:ascii="Verdana" w:hAnsi="Verdana"/>
          <w:sz w:val="18"/>
          <w:szCs w:val="18"/>
          <w:lang w:val="en-GB"/>
        </w:rPr>
        <w:t>/2</w:t>
      </w:r>
      <w:r w:rsidR="008B13D2" w:rsidRPr="009851E8">
        <w:rPr>
          <w:rFonts w:ascii="Verdana" w:hAnsi="Verdana"/>
          <w:sz w:val="18"/>
          <w:szCs w:val="18"/>
          <w:lang w:val="en-GB"/>
        </w:rPr>
        <w:t>1</w:t>
      </w:r>
      <w:r w:rsidRPr="009851E8">
        <w:rPr>
          <w:rFonts w:ascii="Verdana" w:hAnsi="Verdana"/>
          <w:sz w:val="18"/>
          <w:szCs w:val="18"/>
          <w:lang w:val="en-GB"/>
        </w:rPr>
        <w:t xml:space="preserve"> includes a figure of £</w:t>
      </w:r>
      <w:r w:rsidR="009851E8" w:rsidRPr="009851E8">
        <w:rPr>
          <w:rFonts w:ascii="Verdana" w:hAnsi="Verdana"/>
          <w:sz w:val="18"/>
          <w:szCs w:val="18"/>
          <w:lang w:val="en-GB"/>
        </w:rPr>
        <w:t>2.049</w:t>
      </w:r>
      <w:r w:rsidRPr="009851E8">
        <w:rPr>
          <w:rFonts w:ascii="Verdana" w:hAnsi="Verdana"/>
          <w:sz w:val="18"/>
          <w:szCs w:val="18"/>
          <w:lang w:val="en-GB"/>
        </w:rPr>
        <w:t>m for downward PPE Revaluations</w:t>
      </w:r>
    </w:p>
    <w:p w14:paraId="574F982C" w14:textId="77777777" w:rsidR="00241262" w:rsidRDefault="00241262">
      <w:pPr>
        <w:pStyle w:val="Normal0"/>
        <w:spacing w:after="160" w:line="259" w:lineRule="auto"/>
        <w:rPr>
          <w:rFonts w:ascii="Verdana" w:eastAsia="Verdana" w:hAnsi="Verdana" w:cs="Verdana"/>
          <w:b/>
          <w:szCs w:val="22"/>
          <w:lang w:val="en-GB"/>
        </w:rPr>
      </w:pPr>
    </w:p>
    <w:p w14:paraId="240A969E" w14:textId="77777777" w:rsidR="00CA6653" w:rsidRPr="00B76332" w:rsidRDefault="00CA6653">
      <w:pPr>
        <w:pStyle w:val="Normal0"/>
        <w:spacing w:after="160" w:line="259" w:lineRule="auto"/>
        <w:rPr>
          <w:rFonts w:ascii="Verdana" w:eastAsia="Verdana" w:hAnsi="Verdana" w:cs="Verdana"/>
          <w:b/>
          <w:szCs w:val="22"/>
          <w:lang w:val="en-GB"/>
        </w:rPr>
      </w:pPr>
      <w:r w:rsidRPr="00B76332">
        <w:rPr>
          <w:rFonts w:ascii="Verdana" w:eastAsia="Verdana" w:hAnsi="Verdana" w:cs="Verdana"/>
          <w:b/>
          <w:szCs w:val="22"/>
          <w:lang w:val="en-GB"/>
        </w:rPr>
        <w:t>PCC</w:t>
      </w:r>
    </w:p>
    <w:tbl>
      <w:tblPr>
        <w:tblW w:w="0" w:type="auto"/>
        <w:jc w:val="center"/>
        <w:tblLayout w:type="fixed"/>
        <w:tblLook w:val="04A0" w:firstRow="1" w:lastRow="0" w:firstColumn="1" w:lastColumn="0" w:noHBand="0" w:noVBand="1"/>
      </w:tblPr>
      <w:tblGrid>
        <w:gridCol w:w="1669"/>
        <w:gridCol w:w="1669"/>
        <w:gridCol w:w="1670"/>
        <w:gridCol w:w="2194"/>
        <w:gridCol w:w="1669"/>
        <w:gridCol w:w="1669"/>
        <w:gridCol w:w="1670"/>
      </w:tblGrid>
      <w:tr w:rsidR="004D417B" w:rsidRPr="00B76332" w14:paraId="68D162F8" w14:textId="77777777" w:rsidTr="00241262">
        <w:trPr>
          <w:trHeight w:val="177"/>
          <w:jc w:val="center"/>
        </w:trPr>
        <w:tc>
          <w:tcPr>
            <w:tcW w:w="5008" w:type="dxa"/>
            <w:gridSpan w:val="3"/>
            <w:shd w:val="clear" w:color="auto" w:fill="auto"/>
            <w:tcMar>
              <w:top w:w="20" w:type="dxa"/>
              <w:left w:w="20" w:type="dxa"/>
              <w:bottom w:w="20" w:type="dxa"/>
              <w:right w:w="20" w:type="dxa"/>
            </w:tcMar>
            <w:vAlign w:val="bottom"/>
          </w:tcPr>
          <w:p w14:paraId="4540E997" w14:textId="77777777" w:rsidR="00CA6653" w:rsidRPr="00B76332" w:rsidRDefault="00CA6653" w:rsidP="000E403F">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201</w:t>
            </w:r>
            <w:r w:rsidR="000E403F" w:rsidRPr="00B76332">
              <w:rPr>
                <w:rFonts w:ascii="Verdana" w:eastAsia="Verdana" w:hAnsi="Verdana" w:cs="Verdana"/>
                <w:b/>
                <w:color w:val="000000"/>
                <w:sz w:val="16"/>
                <w:lang w:val="en-GB"/>
              </w:rPr>
              <w:t>9</w:t>
            </w:r>
            <w:r w:rsidRPr="00B76332">
              <w:rPr>
                <w:rFonts w:ascii="Verdana" w:eastAsia="Verdana" w:hAnsi="Verdana" w:cs="Verdana"/>
                <w:b/>
                <w:color w:val="000000"/>
                <w:sz w:val="16"/>
                <w:lang w:val="en-GB"/>
              </w:rPr>
              <w:t>/</w:t>
            </w:r>
            <w:r w:rsidR="000E403F" w:rsidRPr="00B76332">
              <w:rPr>
                <w:rFonts w:ascii="Verdana" w:eastAsia="Verdana" w:hAnsi="Verdana" w:cs="Verdana"/>
                <w:b/>
                <w:color w:val="000000"/>
                <w:sz w:val="16"/>
                <w:lang w:val="en-GB"/>
              </w:rPr>
              <w:t>20</w:t>
            </w:r>
          </w:p>
        </w:tc>
        <w:tc>
          <w:tcPr>
            <w:tcW w:w="2194" w:type="dxa"/>
            <w:shd w:val="clear" w:color="auto" w:fill="auto"/>
            <w:tcMar>
              <w:top w:w="20" w:type="dxa"/>
              <w:left w:w="20" w:type="dxa"/>
              <w:bottom w:w="20" w:type="dxa"/>
              <w:right w:w="20" w:type="dxa"/>
            </w:tcMar>
            <w:vAlign w:val="bottom"/>
          </w:tcPr>
          <w:p w14:paraId="664E168D" w14:textId="77777777" w:rsidR="00CA6653" w:rsidRPr="00B76332" w:rsidRDefault="00CA6653">
            <w:pPr>
              <w:pStyle w:val="T1TableStyle"/>
              <w:jc w:val="center"/>
              <w:rPr>
                <w:rFonts w:ascii="Verdana" w:eastAsia="Verdana" w:hAnsi="Verdana" w:cs="Verdana"/>
                <w:b/>
                <w:color w:val="000000"/>
                <w:sz w:val="2"/>
                <w:lang w:val="en-GB"/>
              </w:rPr>
            </w:pPr>
            <w:r w:rsidRPr="00B76332">
              <w:rPr>
                <w:rFonts w:ascii="Verdana" w:eastAsia="Verdana" w:hAnsi="Verdana" w:cs="Verdana"/>
                <w:b/>
                <w:color w:val="000000"/>
                <w:sz w:val="2"/>
                <w:lang w:val="en-GB"/>
              </w:rPr>
              <w:t xml:space="preserve"> </w:t>
            </w:r>
          </w:p>
        </w:tc>
        <w:tc>
          <w:tcPr>
            <w:tcW w:w="5008" w:type="dxa"/>
            <w:gridSpan w:val="3"/>
            <w:shd w:val="clear" w:color="auto" w:fill="auto"/>
            <w:tcMar>
              <w:top w:w="20" w:type="dxa"/>
              <w:left w:w="20" w:type="dxa"/>
              <w:bottom w:w="20" w:type="dxa"/>
              <w:right w:w="20" w:type="dxa"/>
            </w:tcMar>
            <w:vAlign w:val="bottom"/>
          </w:tcPr>
          <w:p w14:paraId="5CC4111D" w14:textId="77777777" w:rsidR="00CA6653" w:rsidRPr="00B76332" w:rsidRDefault="00CA6653" w:rsidP="000E403F">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20</w:t>
            </w:r>
            <w:r w:rsidR="000E403F" w:rsidRPr="00B76332">
              <w:rPr>
                <w:rFonts w:ascii="Verdana" w:eastAsia="Verdana" w:hAnsi="Verdana" w:cs="Verdana"/>
                <w:b/>
                <w:color w:val="000000"/>
                <w:sz w:val="16"/>
                <w:lang w:val="en-GB"/>
              </w:rPr>
              <w:t>20</w:t>
            </w:r>
            <w:r w:rsidRPr="00B76332">
              <w:rPr>
                <w:rFonts w:ascii="Verdana" w:eastAsia="Verdana" w:hAnsi="Verdana" w:cs="Verdana"/>
                <w:b/>
                <w:color w:val="000000"/>
                <w:sz w:val="16"/>
                <w:lang w:val="en-GB"/>
              </w:rPr>
              <w:t>/2</w:t>
            </w:r>
            <w:r w:rsidR="000E403F" w:rsidRPr="00B76332">
              <w:rPr>
                <w:rFonts w:ascii="Verdana" w:eastAsia="Verdana" w:hAnsi="Verdana" w:cs="Verdana"/>
                <w:b/>
                <w:color w:val="000000"/>
                <w:sz w:val="16"/>
                <w:lang w:val="en-GB"/>
              </w:rPr>
              <w:t>1</w:t>
            </w:r>
          </w:p>
        </w:tc>
      </w:tr>
      <w:tr w:rsidR="004D417B" w:rsidRPr="00B76332" w14:paraId="5BFEB5F7" w14:textId="77777777" w:rsidTr="00241262">
        <w:trPr>
          <w:trHeight w:val="571"/>
          <w:jc w:val="center"/>
        </w:trPr>
        <w:tc>
          <w:tcPr>
            <w:tcW w:w="1669" w:type="dxa"/>
            <w:shd w:val="clear" w:color="auto" w:fill="auto"/>
            <w:tcMar>
              <w:top w:w="20" w:type="dxa"/>
              <w:left w:w="20" w:type="dxa"/>
              <w:bottom w:w="20" w:type="dxa"/>
              <w:right w:w="20" w:type="dxa"/>
            </w:tcMar>
          </w:tcPr>
          <w:p w14:paraId="43CEB157" w14:textId="77777777" w:rsidR="00CA6653" w:rsidRPr="00B76332" w:rsidRDefault="00CA6653">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Net Expenditure Chargeable to the General Fund Balance</w:t>
            </w:r>
          </w:p>
        </w:tc>
        <w:tc>
          <w:tcPr>
            <w:tcW w:w="1669" w:type="dxa"/>
            <w:shd w:val="clear" w:color="auto" w:fill="auto"/>
            <w:tcMar>
              <w:top w:w="20" w:type="dxa"/>
              <w:left w:w="20" w:type="dxa"/>
              <w:bottom w:w="20" w:type="dxa"/>
              <w:right w:w="20" w:type="dxa"/>
            </w:tcMar>
          </w:tcPr>
          <w:p w14:paraId="6B762A00" w14:textId="77777777" w:rsidR="00CA6653" w:rsidRPr="00B76332" w:rsidRDefault="00CA6653">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Adjustments</w:t>
            </w:r>
          </w:p>
        </w:tc>
        <w:tc>
          <w:tcPr>
            <w:tcW w:w="1670" w:type="dxa"/>
            <w:shd w:val="clear" w:color="auto" w:fill="auto"/>
            <w:tcMar>
              <w:top w:w="20" w:type="dxa"/>
              <w:left w:w="20" w:type="dxa"/>
              <w:bottom w:w="20" w:type="dxa"/>
              <w:right w:w="20" w:type="dxa"/>
            </w:tcMar>
          </w:tcPr>
          <w:p w14:paraId="2F362236" w14:textId="77777777" w:rsidR="00CA6653" w:rsidRPr="00B76332" w:rsidRDefault="00CA6653">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 xml:space="preserve">Net Expenditure in the </w:t>
            </w:r>
            <w:r w:rsidR="0044571C" w:rsidRPr="00B76332">
              <w:rPr>
                <w:rFonts w:ascii="Verdana" w:eastAsia="Verdana" w:hAnsi="Verdana" w:cs="Verdana"/>
                <w:b/>
                <w:color w:val="000000"/>
                <w:sz w:val="16"/>
                <w:lang w:val="en-GB"/>
              </w:rPr>
              <w:t>CIES</w:t>
            </w:r>
          </w:p>
        </w:tc>
        <w:tc>
          <w:tcPr>
            <w:tcW w:w="2194" w:type="dxa"/>
            <w:shd w:val="clear" w:color="auto" w:fill="auto"/>
            <w:tcMar>
              <w:top w:w="20" w:type="dxa"/>
              <w:left w:w="20" w:type="dxa"/>
              <w:bottom w:w="20" w:type="dxa"/>
              <w:right w:w="20" w:type="dxa"/>
            </w:tcMar>
            <w:vAlign w:val="bottom"/>
          </w:tcPr>
          <w:p w14:paraId="4ACB2DC9" w14:textId="77777777" w:rsidR="00CA6653" w:rsidRPr="00B76332" w:rsidRDefault="00CA6653">
            <w:pPr>
              <w:pStyle w:val="T1TableStyle"/>
              <w:jc w:val="center"/>
              <w:rPr>
                <w:rFonts w:ascii="Verdana" w:eastAsia="Verdana" w:hAnsi="Verdana" w:cs="Verdana"/>
                <w:b/>
                <w:color w:val="000000"/>
                <w:sz w:val="2"/>
                <w:lang w:val="en-GB"/>
              </w:rPr>
            </w:pPr>
            <w:r w:rsidRPr="00B76332">
              <w:rPr>
                <w:rFonts w:ascii="Verdana" w:eastAsia="Verdana" w:hAnsi="Verdana" w:cs="Verdana"/>
                <w:b/>
                <w:color w:val="000000"/>
                <w:sz w:val="2"/>
                <w:lang w:val="en-GB"/>
              </w:rPr>
              <w:t xml:space="preserve"> </w:t>
            </w:r>
          </w:p>
        </w:tc>
        <w:tc>
          <w:tcPr>
            <w:tcW w:w="1669" w:type="dxa"/>
            <w:shd w:val="clear" w:color="auto" w:fill="auto"/>
            <w:tcMar>
              <w:top w:w="20" w:type="dxa"/>
              <w:left w:w="20" w:type="dxa"/>
              <w:bottom w:w="20" w:type="dxa"/>
              <w:right w:w="20" w:type="dxa"/>
            </w:tcMar>
          </w:tcPr>
          <w:p w14:paraId="6FA84C63" w14:textId="77777777" w:rsidR="00CA6653" w:rsidRPr="00B76332" w:rsidRDefault="00CA6653">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Net Expenditure Chargeable to the General Fund Balance</w:t>
            </w:r>
          </w:p>
        </w:tc>
        <w:tc>
          <w:tcPr>
            <w:tcW w:w="1669" w:type="dxa"/>
            <w:shd w:val="clear" w:color="auto" w:fill="auto"/>
            <w:tcMar>
              <w:top w:w="20" w:type="dxa"/>
              <w:left w:w="20" w:type="dxa"/>
              <w:bottom w:w="20" w:type="dxa"/>
              <w:right w:w="20" w:type="dxa"/>
            </w:tcMar>
          </w:tcPr>
          <w:p w14:paraId="26876009" w14:textId="77777777" w:rsidR="00CA6653" w:rsidRPr="00B76332" w:rsidRDefault="00CA6653">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Adjustments</w:t>
            </w:r>
          </w:p>
        </w:tc>
        <w:tc>
          <w:tcPr>
            <w:tcW w:w="1670" w:type="dxa"/>
            <w:shd w:val="clear" w:color="auto" w:fill="auto"/>
            <w:tcMar>
              <w:top w:w="20" w:type="dxa"/>
              <w:left w:w="20" w:type="dxa"/>
              <w:bottom w:w="20" w:type="dxa"/>
              <w:right w:w="20" w:type="dxa"/>
            </w:tcMar>
          </w:tcPr>
          <w:p w14:paraId="327C0CAA" w14:textId="77777777" w:rsidR="00CA6653" w:rsidRPr="00B76332" w:rsidRDefault="00CA6653">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 xml:space="preserve">Net Expenditure in the </w:t>
            </w:r>
            <w:r w:rsidR="0044571C" w:rsidRPr="00B76332">
              <w:rPr>
                <w:rFonts w:ascii="Verdana" w:eastAsia="Verdana" w:hAnsi="Verdana" w:cs="Verdana"/>
                <w:b/>
                <w:color w:val="000000"/>
                <w:sz w:val="16"/>
                <w:lang w:val="en-GB"/>
              </w:rPr>
              <w:t>CIES</w:t>
            </w:r>
          </w:p>
        </w:tc>
      </w:tr>
      <w:tr w:rsidR="004D417B" w:rsidRPr="00B76332" w14:paraId="45B0025A" w14:textId="77777777" w:rsidTr="00241262">
        <w:trPr>
          <w:trHeight w:val="177"/>
          <w:jc w:val="center"/>
        </w:trPr>
        <w:tc>
          <w:tcPr>
            <w:tcW w:w="1669" w:type="dxa"/>
            <w:tcBorders>
              <w:bottom w:val="single" w:sz="4" w:space="0" w:color="auto"/>
            </w:tcBorders>
            <w:shd w:val="clear" w:color="auto" w:fill="auto"/>
            <w:tcMar>
              <w:top w:w="20" w:type="dxa"/>
              <w:left w:w="20" w:type="dxa"/>
              <w:bottom w:w="20" w:type="dxa"/>
              <w:right w:w="20" w:type="dxa"/>
            </w:tcMar>
            <w:vAlign w:val="bottom"/>
          </w:tcPr>
          <w:p w14:paraId="5597A743" w14:textId="77777777" w:rsidR="00CA6653" w:rsidRPr="00B76332" w:rsidRDefault="00CA6653">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£000</w:t>
            </w:r>
          </w:p>
        </w:tc>
        <w:tc>
          <w:tcPr>
            <w:tcW w:w="1669" w:type="dxa"/>
            <w:tcBorders>
              <w:bottom w:val="single" w:sz="4" w:space="0" w:color="auto"/>
            </w:tcBorders>
            <w:shd w:val="clear" w:color="auto" w:fill="auto"/>
            <w:tcMar>
              <w:top w:w="20" w:type="dxa"/>
              <w:left w:w="20" w:type="dxa"/>
              <w:bottom w:w="20" w:type="dxa"/>
              <w:right w:w="20" w:type="dxa"/>
            </w:tcMar>
            <w:vAlign w:val="bottom"/>
          </w:tcPr>
          <w:p w14:paraId="35F889B6" w14:textId="77777777" w:rsidR="00CA6653" w:rsidRPr="00B76332" w:rsidRDefault="00CA6653">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£000</w:t>
            </w:r>
          </w:p>
        </w:tc>
        <w:tc>
          <w:tcPr>
            <w:tcW w:w="1670" w:type="dxa"/>
            <w:tcBorders>
              <w:bottom w:val="single" w:sz="4" w:space="0" w:color="auto"/>
            </w:tcBorders>
            <w:shd w:val="clear" w:color="auto" w:fill="auto"/>
            <w:tcMar>
              <w:top w:w="20" w:type="dxa"/>
              <w:left w:w="20" w:type="dxa"/>
              <w:bottom w:w="20" w:type="dxa"/>
              <w:right w:w="20" w:type="dxa"/>
            </w:tcMar>
            <w:vAlign w:val="bottom"/>
          </w:tcPr>
          <w:p w14:paraId="1AC7D2D3" w14:textId="77777777" w:rsidR="00CA6653" w:rsidRPr="00B76332" w:rsidRDefault="00CA6653">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£000</w:t>
            </w:r>
          </w:p>
        </w:tc>
        <w:tc>
          <w:tcPr>
            <w:tcW w:w="2194" w:type="dxa"/>
            <w:tcBorders>
              <w:bottom w:val="single" w:sz="4" w:space="0" w:color="auto"/>
            </w:tcBorders>
            <w:shd w:val="clear" w:color="auto" w:fill="auto"/>
            <w:tcMar>
              <w:top w:w="20" w:type="dxa"/>
              <w:left w:w="20" w:type="dxa"/>
              <w:bottom w:w="20" w:type="dxa"/>
              <w:right w:w="20" w:type="dxa"/>
            </w:tcMar>
            <w:vAlign w:val="bottom"/>
          </w:tcPr>
          <w:p w14:paraId="7EEFBBF8" w14:textId="77777777" w:rsidR="00CA6653" w:rsidRPr="00B76332" w:rsidRDefault="00CA6653">
            <w:pPr>
              <w:pStyle w:val="T1TableStyle"/>
              <w:jc w:val="right"/>
              <w:rPr>
                <w:rFonts w:ascii="Verdana" w:eastAsia="Verdana" w:hAnsi="Verdana" w:cs="Verdana"/>
                <w:b/>
                <w:color w:val="000000"/>
                <w:sz w:val="2"/>
                <w:lang w:val="en-GB"/>
              </w:rPr>
            </w:pPr>
            <w:r w:rsidRPr="00B76332">
              <w:rPr>
                <w:rFonts w:ascii="Verdana" w:eastAsia="Verdana" w:hAnsi="Verdana" w:cs="Verdana"/>
                <w:b/>
                <w:color w:val="000000"/>
                <w:sz w:val="2"/>
                <w:lang w:val="en-GB"/>
              </w:rPr>
              <w:t xml:space="preserve"> </w:t>
            </w:r>
          </w:p>
        </w:tc>
        <w:tc>
          <w:tcPr>
            <w:tcW w:w="1669" w:type="dxa"/>
            <w:tcBorders>
              <w:bottom w:val="single" w:sz="4" w:space="0" w:color="auto"/>
            </w:tcBorders>
            <w:shd w:val="clear" w:color="auto" w:fill="auto"/>
            <w:tcMar>
              <w:top w:w="20" w:type="dxa"/>
              <w:left w:w="20" w:type="dxa"/>
              <w:bottom w:w="20" w:type="dxa"/>
              <w:right w:w="20" w:type="dxa"/>
            </w:tcMar>
            <w:vAlign w:val="bottom"/>
          </w:tcPr>
          <w:p w14:paraId="4E0B18B2" w14:textId="77777777" w:rsidR="00CA6653" w:rsidRPr="00B76332" w:rsidRDefault="00CA6653">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£000</w:t>
            </w:r>
          </w:p>
        </w:tc>
        <w:tc>
          <w:tcPr>
            <w:tcW w:w="1669" w:type="dxa"/>
            <w:tcBorders>
              <w:bottom w:val="single" w:sz="4" w:space="0" w:color="auto"/>
            </w:tcBorders>
            <w:shd w:val="clear" w:color="auto" w:fill="auto"/>
            <w:tcMar>
              <w:top w:w="20" w:type="dxa"/>
              <w:left w:w="20" w:type="dxa"/>
              <w:bottom w:w="20" w:type="dxa"/>
              <w:right w:w="20" w:type="dxa"/>
            </w:tcMar>
            <w:vAlign w:val="bottom"/>
          </w:tcPr>
          <w:p w14:paraId="1ABF4B65" w14:textId="77777777" w:rsidR="00CA6653" w:rsidRPr="00B76332" w:rsidRDefault="00CA6653">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£000</w:t>
            </w:r>
          </w:p>
        </w:tc>
        <w:tc>
          <w:tcPr>
            <w:tcW w:w="1670" w:type="dxa"/>
            <w:tcBorders>
              <w:bottom w:val="single" w:sz="4" w:space="0" w:color="auto"/>
            </w:tcBorders>
            <w:shd w:val="clear" w:color="auto" w:fill="auto"/>
            <w:tcMar>
              <w:top w:w="20" w:type="dxa"/>
              <w:left w:w="20" w:type="dxa"/>
              <w:bottom w:w="20" w:type="dxa"/>
              <w:right w:w="20" w:type="dxa"/>
            </w:tcMar>
            <w:vAlign w:val="bottom"/>
          </w:tcPr>
          <w:p w14:paraId="37BC164B" w14:textId="77777777" w:rsidR="00CA6653" w:rsidRPr="00B76332" w:rsidRDefault="00CA6653">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£000</w:t>
            </w:r>
          </w:p>
        </w:tc>
      </w:tr>
      <w:tr w:rsidR="000E403F" w:rsidRPr="00B76332" w14:paraId="0ACC7E02" w14:textId="77777777" w:rsidTr="00241262">
        <w:trPr>
          <w:trHeight w:val="177"/>
          <w:jc w:val="center"/>
        </w:trPr>
        <w:tc>
          <w:tcPr>
            <w:tcW w:w="1669" w:type="dxa"/>
            <w:tcBorders>
              <w:top w:val="single" w:sz="4" w:space="0" w:color="auto"/>
            </w:tcBorders>
            <w:shd w:val="clear" w:color="auto" w:fill="auto"/>
            <w:tcMar>
              <w:top w:w="20" w:type="dxa"/>
              <w:left w:w="20" w:type="dxa"/>
              <w:bottom w:w="20" w:type="dxa"/>
              <w:right w:w="20" w:type="dxa"/>
            </w:tcMar>
          </w:tcPr>
          <w:p w14:paraId="0C571F00"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824</w:t>
            </w:r>
          </w:p>
        </w:tc>
        <w:tc>
          <w:tcPr>
            <w:tcW w:w="1669" w:type="dxa"/>
            <w:tcBorders>
              <w:top w:val="single" w:sz="4" w:space="0" w:color="auto"/>
            </w:tcBorders>
            <w:shd w:val="clear" w:color="auto" w:fill="auto"/>
            <w:tcMar>
              <w:top w:w="20" w:type="dxa"/>
              <w:left w:w="20" w:type="dxa"/>
              <w:bottom w:w="20" w:type="dxa"/>
              <w:right w:w="20" w:type="dxa"/>
            </w:tcMar>
          </w:tcPr>
          <w:p w14:paraId="054CF07C"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141</w:t>
            </w:r>
          </w:p>
        </w:tc>
        <w:tc>
          <w:tcPr>
            <w:tcW w:w="1670" w:type="dxa"/>
            <w:tcBorders>
              <w:top w:val="single" w:sz="4" w:space="0" w:color="auto"/>
            </w:tcBorders>
            <w:shd w:val="clear" w:color="auto" w:fill="auto"/>
            <w:tcMar>
              <w:top w:w="20" w:type="dxa"/>
              <w:left w:w="20" w:type="dxa"/>
              <w:bottom w:w="20" w:type="dxa"/>
              <w:right w:w="20" w:type="dxa"/>
            </w:tcMar>
          </w:tcPr>
          <w:p w14:paraId="73B28256"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965</w:t>
            </w:r>
          </w:p>
        </w:tc>
        <w:tc>
          <w:tcPr>
            <w:tcW w:w="2194" w:type="dxa"/>
            <w:tcBorders>
              <w:top w:val="single" w:sz="4" w:space="0" w:color="auto"/>
            </w:tcBorders>
            <w:shd w:val="clear" w:color="auto" w:fill="auto"/>
            <w:tcMar>
              <w:top w:w="20" w:type="dxa"/>
              <w:left w:w="20" w:type="dxa"/>
              <w:bottom w:w="20" w:type="dxa"/>
              <w:right w:w="20" w:type="dxa"/>
            </w:tcMar>
          </w:tcPr>
          <w:p w14:paraId="223F0D69" w14:textId="77777777" w:rsidR="000E403F" w:rsidRPr="00B76332" w:rsidRDefault="000E403F" w:rsidP="000E403F">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Staff Payroll</w:t>
            </w:r>
          </w:p>
        </w:tc>
        <w:tc>
          <w:tcPr>
            <w:tcW w:w="1669" w:type="dxa"/>
            <w:tcBorders>
              <w:top w:val="single" w:sz="4" w:space="0" w:color="auto"/>
            </w:tcBorders>
            <w:shd w:val="clear" w:color="auto" w:fill="auto"/>
            <w:tcMar>
              <w:top w:w="20" w:type="dxa"/>
              <w:left w:w="20" w:type="dxa"/>
              <w:bottom w:w="20" w:type="dxa"/>
              <w:right w:w="20" w:type="dxa"/>
            </w:tcMar>
          </w:tcPr>
          <w:p w14:paraId="67F24BD6" w14:textId="77777777" w:rsidR="000E403F" w:rsidRPr="00B76332" w:rsidRDefault="0046020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955</w:t>
            </w:r>
          </w:p>
        </w:tc>
        <w:tc>
          <w:tcPr>
            <w:tcW w:w="1669" w:type="dxa"/>
            <w:tcBorders>
              <w:top w:val="single" w:sz="4" w:space="0" w:color="auto"/>
            </w:tcBorders>
            <w:shd w:val="clear" w:color="auto" w:fill="auto"/>
            <w:tcMar>
              <w:top w:w="20" w:type="dxa"/>
              <w:left w:w="20" w:type="dxa"/>
              <w:bottom w:w="20" w:type="dxa"/>
              <w:right w:w="20" w:type="dxa"/>
            </w:tcMar>
          </w:tcPr>
          <w:p w14:paraId="555430A6" w14:textId="77777777" w:rsidR="000E403F" w:rsidRPr="00B76332" w:rsidRDefault="0046020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134</w:t>
            </w:r>
          </w:p>
        </w:tc>
        <w:tc>
          <w:tcPr>
            <w:tcW w:w="1670" w:type="dxa"/>
            <w:tcBorders>
              <w:top w:val="single" w:sz="4" w:space="0" w:color="auto"/>
            </w:tcBorders>
            <w:shd w:val="clear" w:color="auto" w:fill="auto"/>
            <w:tcMar>
              <w:top w:w="20" w:type="dxa"/>
              <w:left w:w="20" w:type="dxa"/>
              <w:bottom w:w="20" w:type="dxa"/>
              <w:right w:w="20" w:type="dxa"/>
            </w:tcMar>
          </w:tcPr>
          <w:p w14:paraId="19DB3D54" w14:textId="77777777" w:rsidR="000E403F" w:rsidRPr="00B76332" w:rsidRDefault="0046020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1,089</w:t>
            </w:r>
          </w:p>
        </w:tc>
      </w:tr>
      <w:tr w:rsidR="000E403F" w:rsidRPr="00B76332" w14:paraId="734B5A72" w14:textId="77777777" w:rsidTr="00241262">
        <w:trPr>
          <w:trHeight w:val="177"/>
          <w:jc w:val="center"/>
        </w:trPr>
        <w:tc>
          <w:tcPr>
            <w:tcW w:w="1669" w:type="dxa"/>
            <w:shd w:val="clear" w:color="auto" w:fill="auto"/>
            <w:tcMar>
              <w:top w:w="20" w:type="dxa"/>
              <w:left w:w="20" w:type="dxa"/>
              <w:bottom w:w="20" w:type="dxa"/>
              <w:right w:w="20" w:type="dxa"/>
            </w:tcMar>
          </w:tcPr>
          <w:p w14:paraId="620AD8EF"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22</w:t>
            </w:r>
          </w:p>
        </w:tc>
        <w:tc>
          <w:tcPr>
            <w:tcW w:w="1669" w:type="dxa"/>
            <w:shd w:val="clear" w:color="auto" w:fill="auto"/>
            <w:tcMar>
              <w:top w:w="20" w:type="dxa"/>
              <w:left w:w="20" w:type="dxa"/>
              <w:bottom w:w="20" w:type="dxa"/>
              <w:right w:w="20" w:type="dxa"/>
            </w:tcMar>
          </w:tcPr>
          <w:p w14:paraId="55312A3B"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670" w:type="dxa"/>
            <w:shd w:val="clear" w:color="auto" w:fill="auto"/>
            <w:tcMar>
              <w:top w:w="20" w:type="dxa"/>
              <w:left w:w="20" w:type="dxa"/>
              <w:bottom w:w="20" w:type="dxa"/>
              <w:right w:w="20" w:type="dxa"/>
            </w:tcMar>
          </w:tcPr>
          <w:p w14:paraId="5A2DF85E"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22</w:t>
            </w:r>
          </w:p>
        </w:tc>
        <w:tc>
          <w:tcPr>
            <w:tcW w:w="2194" w:type="dxa"/>
            <w:shd w:val="clear" w:color="auto" w:fill="auto"/>
            <w:tcMar>
              <w:top w:w="20" w:type="dxa"/>
              <w:left w:w="20" w:type="dxa"/>
              <w:bottom w:w="20" w:type="dxa"/>
              <w:right w:w="20" w:type="dxa"/>
            </w:tcMar>
          </w:tcPr>
          <w:p w14:paraId="309E0D4F" w14:textId="77777777" w:rsidR="000E403F" w:rsidRPr="00B76332" w:rsidRDefault="000E403F" w:rsidP="000E403F">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Staff Overtime</w:t>
            </w:r>
          </w:p>
        </w:tc>
        <w:tc>
          <w:tcPr>
            <w:tcW w:w="1669" w:type="dxa"/>
            <w:shd w:val="clear" w:color="auto" w:fill="auto"/>
            <w:tcMar>
              <w:top w:w="20" w:type="dxa"/>
              <w:left w:w="20" w:type="dxa"/>
              <w:bottom w:w="20" w:type="dxa"/>
              <w:right w:w="20" w:type="dxa"/>
            </w:tcMar>
          </w:tcPr>
          <w:p w14:paraId="3A715D67" w14:textId="77777777" w:rsidR="000E403F"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4</w:t>
            </w:r>
          </w:p>
        </w:tc>
        <w:tc>
          <w:tcPr>
            <w:tcW w:w="1669" w:type="dxa"/>
            <w:shd w:val="clear" w:color="auto" w:fill="auto"/>
            <w:tcMar>
              <w:top w:w="20" w:type="dxa"/>
              <w:left w:w="20" w:type="dxa"/>
              <w:bottom w:w="20" w:type="dxa"/>
              <w:right w:w="20" w:type="dxa"/>
            </w:tcMar>
          </w:tcPr>
          <w:p w14:paraId="2A18F9C2" w14:textId="77777777" w:rsidR="000E403F" w:rsidRPr="00B76332" w:rsidRDefault="009851E8" w:rsidP="000E403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670" w:type="dxa"/>
            <w:shd w:val="clear" w:color="auto" w:fill="auto"/>
            <w:tcMar>
              <w:top w:w="20" w:type="dxa"/>
              <w:left w:w="20" w:type="dxa"/>
              <w:bottom w:w="20" w:type="dxa"/>
              <w:right w:w="20" w:type="dxa"/>
            </w:tcMar>
          </w:tcPr>
          <w:p w14:paraId="1B3249F1" w14:textId="77777777" w:rsidR="000E403F" w:rsidRPr="00B76332" w:rsidRDefault="0046020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4</w:t>
            </w:r>
          </w:p>
        </w:tc>
      </w:tr>
      <w:tr w:rsidR="000E403F" w:rsidRPr="00B76332" w14:paraId="4C813725" w14:textId="77777777" w:rsidTr="00241262">
        <w:trPr>
          <w:trHeight w:val="177"/>
          <w:jc w:val="center"/>
        </w:trPr>
        <w:tc>
          <w:tcPr>
            <w:tcW w:w="1669" w:type="dxa"/>
            <w:shd w:val="clear" w:color="auto" w:fill="auto"/>
            <w:tcMar>
              <w:top w:w="20" w:type="dxa"/>
              <w:left w:w="20" w:type="dxa"/>
              <w:bottom w:w="20" w:type="dxa"/>
              <w:right w:w="20" w:type="dxa"/>
            </w:tcMar>
          </w:tcPr>
          <w:p w14:paraId="2CD9B496"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4</w:t>
            </w:r>
          </w:p>
        </w:tc>
        <w:tc>
          <w:tcPr>
            <w:tcW w:w="1669" w:type="dxa"/>
            <w:shd w:val="clear" w:color="auto" w:fill="auto"/>
            <w:tcMar>
              <w:top w:w="20" w:type="dxa"/>
              <w:left w:w="20" w:type="dxa"/>
              <w:bottom w:w="20" w:type="dxa"/>
              <w:right w:w="20" w:type="dxa"/>
            </w:tcMar>
          </w:tcPr>
          <w:p w14:paraId="36F1AAFF"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670" w:type="dxa"/>
            <w:shd w:val="clear" w:color="auto" w:fill="auto"/>
            <w:tcMar>
              <w:top w:w="20" w:type="dxa"/>
              <w:left w:w="20" w:type="dxa"/>
              <w:bottom w:w="20" w:type="dxa"/>
              <w:right w:w="20" w:type="dxa"/>
            </w:tcMar>
          </w:tcPr>
          <w:p w14:paraId="7039BD91"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4</w:t>
            </w:r>
          </w:p>
        </w:tc>
        <w:tc>
          <w:tcPr>
            <w:tcW w:w="2194" w:type="dxa"/>
            <w:shd w:val="clear" w:color="auto" w:fill="auto"/>
            <w:tcMar>
              <w:top w:w="20" w:type="dxa"/>
              <w:left w:w="20" w:type="dxa"/>
              <w:bottom w:w="20" w:type="dxa"/>
              <w:right w:w="20" w:type="dxa"/>
            </w:tcMar>
          </w:tcPr>
          <w:p w14:paraId="722A6812" w14:textId="77777777" w:rsidR="000E403F" w:rsidRPr="00B76332" w:rsidRDefault="000E403F" w:rsidP="000E403F">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Training</w:t>
            </w:r>
          </w:p>
        </w:tc>
        <w:tc>
          <w:tcPr>
            <w:tcW w:w="1669" w:type="dxa"/>
            <w:shd w:val="clear" w:color="auto" w:fill="auto"/>
            <w:tcMar>
              <w:top w:w="20" w:type="dxa"/>
              <w:left w:w="20" w:type="dxa"/>
              <w:bottom w:w="20" w:type="dxa"/>
              <w:right w:w="20" w:type="dxa"/>
            </w:tcMar>
          </w:tcPr>
          <w:p w14:paraId="5FE7793E" w14:textId="77777777" w:rsidR="000E403F" w:rsidRPr="00B76332" w:rsidRDefault="001575A6"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669" w:type="dxa"/>
            <w:shd w:val="clear" w:color="auto" w:fill="auto"/>
            <w:tcMar>
              <w:top w:w="20" w:type="dxa"/>
              <w:left w:w="20" w:type="dxa"/>
              <w:bottom w:w="20" w:type="dxa"/>
              <w:right w:w="20" w:type="dxa"/>
            </w:tcMar>
          </w:tcPr>
          <w:p w14:paraId="4E231F5B" w14:textId="77777777" w:rsidR="000E403F" w:rsidRPr="00B76332" w:rsidRDefault="009851E8" w:rsidP="000E403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670" w:type="dxa"/>
            <w:shd w:val="clear" w:color="auto" w:fill="auto"/>
            <w:tcMar>
              <w:top w:w="20" w:type="dxa"/>
              <w:left w:w="20" w:type="dxa"/>
              <w:bottom w:w="20" w:type="dxa"/>
              <w:right w:w="20" w:type="dxa"/>
            </w:tcMar>
          </w:tcPr>
          <w:p w14:paraId="3476CC1D" w14:textId="77777777" w:rsidR="000E403F" w:rsidRPr="00B76332" w:rsidRDefault="001575A6"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r>
      <w:tr w:rsidR="000E403F" w:rsidRPr="00B76332" w14:paraId="07AC19AE" w14:textId="77777777" w:rsidTr="00241262">
        <w:trPr>
          <w:trHeight w:val="177"/>
          <w:jc w:val="center"/>
        </w:trPr>
        <w:tc>
          <w:tcPr>
            <w:tcW w:w="1669" w:type="dxa"/>
            <w:shd w:val="clear" w:color="auto" w:fill="auto"/>
            <w:tcMar>
              <w:top w:w="20" w:type="dxa"/>
              <w:left w:w="20" w:type="dxa"/>
              <w:bottom w:w="20" w:type="dxa"/>
              <w:right w:w="20" w:type="dxa"/>
            </w:tcMar>
          </w:tcPr>
          <w:p w14:paraId="142D72A4"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16</w:t>
            </w:r>
          </w:p>
        </w:tc>
        <w:tc>
          <w:tcPr>
            <w:tcW w:w="1669" w:type="dxa"/>
            <w:shd w:val="clear" w:color="auto" w:fill="auto"/>
            <w:tcMar>
              <w:top w:w="20" w:type="dxa"/>
              <w:left w:w="20" w:type="dxa"/>
              <w:bottom w:w="20" w:type="dxa"/>
              <w:right w:w="20" w:type="dxa"/>
            </w:tcMar>
          </w:tcPr>
          <w:p w14:paraId="2E93BC25"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670" w:type="dxa"/>
            <w:shd w:val="clear" w:color="auto" w:fill="auto"/>
            <w:tcMar>
              <w:top w:w="20" w:type="dxa"/>
              <w:left w:w="20" w:type="dxa"/>
              <w:bottom w:w="20" w:type="dxa"/>
              <w:right w:w="20" w:type="dxa"/>
            </w:tcMar>
          </w:tcPr>
          <w:p w14:paraId="74A5A49D"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16</w:t>
            </w:r>
          </w:p>
        </w:tc>
        <w:tc>
          <w:tcPr>
            <w:tcW w:w="2194" w:type="dxa"/>
            <w:shd w:val="clear" w:color="auto" w:fill="auto"/>
            <w:tcMar>
              <w:top w:w="20" w:type="dxa"/>
              <w:left w:w="20" w:type="dxa"/>
              <w:bottom w:w="20" w:type="dxa"/>
              <w:right w:w="20" w:type="dxa"/>
            </w:tcMar>
          </w:tcPr>
          <w:p w14:paraId="11A91EB0" w14:textId="77777777" w:rsidR="000E403F" w:rsidRPr="00B76332" w:rsidRDefault="000E403F" w:rsidP="000E403F">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Other Payroll Costs</w:t>
            </w:r>
          </w:p>
        </w:tc>
        <w:tc>
          <w:tcPr>
            <w:tcW w:w="1669" w:type="dxa"/>
            <w:shd w:val="clear" w:color="auto" w:fill="auto"/>
            <w:tcMar>
              <w:top w:w="20" w:type="dxa"/>
              <w:left w:w="20" w:type="dxa"/>
              <w:bottom w:w="20" w:type="dxa"/>
              <w:right w:w="20" w:type="dxa"/>
            </w:tcMar>
          </w:tcPr>
          <w:p w14:paraId="200AFEF6" w14:textId="77777777" w:rsidR="000E403F" w:rsidRPr="00B76332" w:rsidRDefault="0046020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w:t>
            </w:r>
            <w:r w:rsidR="001575A6" w:rsidRPr="00B76332">
              <w:rPr>
                <w:rFonts w:ascii="Verdana" w:eastAsia="Verdana" w:hAnsi="Verdana" w:cs="Verdana"/>
                <w:color w:val="000000"/>
                <w:sz w:val="16"/>
                <w:lang w:val="en-GB"/>
              </w:rPr>
              <w:t>2</w:t>
            </w:r>
          </w:p>
        </w:tc>
        <w:tc>
          <w:tcPr>
            <w:tcW w:w="1669" w:type="dxa"/>
            <w:shd w:val="clear" w:color="auto" w:fill="auto"/>
            <w:tcMar>
              <w:top w:w="20" w:type="dxa"/>
              <w:left w:w="20" w:type="dxa"/>
              <w:bottom w:w="20" w:type="dxa"/>
              <w:right w:w="20" w:type="dxa"/>
            </w:tcMar>
          </w:tcPr>
          <w:p w14:paraId="60E3DF9C" w14:textId="77777777" w:rsidR="000E403F" w:rsidRPr="00B76332" w:rsidRDefault="009851E8" w:rsidP="000E403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670" w:type="dxa"/>
            <w:shd w:val="clear" w:color="auto" w:fill="auto"/>
            <w:tcMar>
              <w:top w:w="20" w:type="dxa"/>
              <w:left w:w="20" w:type="dxa"/>
              <w:bottom w:w="20" w:type="dxa"/>
              <w:right w:w="20" w:type="dxa"/>
            </w:tcMar>
          </w:tcPr>
          <w:p w14:paraId="21063F03" w14:textId="77777777" w:rsidR="000E403F" w:rsidRPr="00B76332" w:rsidRDefault="001575A6"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12</w:t>
            </w:r>
          </w:p>
        </w:tc>
      </w:tr>
      <w:tr w:rsidR="000E403F" w:rsidRPr="00B76332" w14:paraId="4860D663" w14:textId="77777777" w:rsidTr="00241262">
        <w:trPr>
          <w:trHeight w:val="177"/>
          <w:jc w:val="center"/>
        </w:trPr>
        <w:tc>
          <w:tcPr>
            <w:tcW w:w="1669" w:type="dxa"/>
            <w:shd w:val="clear" w:color="auto" w:fill="auto"/>
            <w:tcMar>
              <w:top w:w="20" w:type="dxa"/>
              <w:left w:w="20" w:type="dxa"/>
              <w:bottom w:w="20" w:type="dxa"/>
              <w:right w:w="20" w:type="dxa"/>
            </w:tcMar>
          </w:tcPr>
          <w:p w14:paraId="7061D58A"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52</w:t>
            </w:r>
          </w:p>
        </w:tc>
        <w:tc>
          <w:tcPr>
            <w:tcW w:w="1669" w:type="dxa"/>
            <w:shd w:val="clear" w:color="auto" w:fill="auto"/>
            <w:tcMar>
              <w:top w:w="20" w:type="dxa"/>
              <w:left w:w="20" w:type="dxa"/>
              <w:bottom w:w="20" w:type="dxa"/>
              <w:right w:w="20" w:type="dxa"/>
            </w:tcMar>
          </w:tcPr>
          <w:p w14:paraId="744A0B36"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670" w:type="dxa"/>
            <w:shd w:val="clear" w:color="auto" w:fill="auto"/>
            <w:tcMar>
              <w:top w:w="20" w:type="dxa"/>
              <w:left w:w="20" w:type="dxa"/>
              <w:bottom w:w="20" w:type="dxa"/>
              <w:right w:w="20" w:type="dxa"/>
            </w:tcMar>
          </w:tcPr>
          <w:p w14:paraId="579D0F07"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52</w:t>
            </w:r>
          </w:p>
        </w:tc>
        <w:tc>
          <w:tcPr>
            <w:tcW w:w="2194" w:type="dxa"/>
            <w:shd w:val="clear" w:color="auto" w:fill="auto"/>
            <w:tcMar>
              <w:top w:w="20" w:type="dxa"/>
              <w:left w:w="20" w:type="dxa"/>
              <w:bottom w:w="20" w:type="dxa"/>
              <w:right w:w="20" w:type="dxa"/>
            </w:tcMar>
          </w:tcPr>
          <w:p w14:paraId="3F56557C" w14:textId="77777777" w:rsidR="000E403F" w:rsidRPr="00B76332" w:rsidRDefault="000E403F" w:rsidP="000E403F">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Premises</w:t>
            </w:r>
          </w:p>
        </w:tc>
        <w:tc>
          <w:tcPr>
            <w:tcW w:w="1669" w:type="dxa"/>
            <w:shd w:val="clear" w:color="auto" w:fill="auto"/>
            <w:tcMar>
              <w:top w:w="20" w:type="dxa"/>
              <w:left w:w="20" w:type="dxa"/>
              <w:bottom w:w="20" w:type="dxa"/>
              <w:right w:w="20" w:type="dxa"/>
            </w:tcMar>
          </w:tcPr>
          <w:p w14:paraId="6E1A5CFF" w14:textId="77777777" w:rsidR="000E403F" w:rsidRPr="00B76332" w:rsidRDefault="0046020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4</w:t>
            </w:r>
            <w:r w:rsidR="001575A6" w:rsidRPr="00B76332">
              <w:rPr>
                <w:rFonts w:ascii="Verdana" w:eastAsia="Verdana" w:hAnsi="Verdana" w:cs="Verdana"/>
                <w:color w:val="000000"/>
                <w:sz w:val="16"/>
                <w:lang w:val="en-GB"/>
              </w:rPr>
              <w:t>6</w:t>
            </w:r>
          </w:p>
        </w:tc>
        <w:tc>
          <w:tcPr>
            <w:tcW w:w="1669" w:type="dxa"/>
            <w:shd w:val="clear" w:color="auto" w:fill="auto"/>
            <w:tcMar>
              <w:top w:w="20" w:type="dxa"/>
              <w:left w:w="20" w:type="dxa"/>
              <w:bottom w:w="20" w:type="dxa"/>
              <w:right w:w="20" w:type="dxa"/>
            </w:tcMar>
          </w:tcPr>
          <w:p w14:paraId="046E9282" w14:textId="77777777" w:rsidR="000E403F" w:rsidRPr="00B76332" w:rsidRDefault="009851E8" w:rsidP="000E403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670" w:type="dxa"/>
            <w:shd w:val="clear" w:color="auto" w:fill="auto"/>
            <w:tcMar>
              <w:top w:w="20" w:type="dxa"/>
              <w:left w:w="20" w:type="dxa"/>
              <w:bottom w:w="20" w:type="dxa"/>
              <w:right w:w="20" w:type="dxa"/>
            </w:tcMar>
          </w:tcPr>
          <w:p w14:paraId="20F7400C" w14:textId="77777777" w:rsidR="000E403F"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4</w:t>
            </w:r>
            <w:r w:rsidR="00460206" w:rsidRPr="00B76332">
              <w:rPr>
                <w:rFonts w:ascii="Verdana" w:eastAsia="Verdana" w:hAnsi="Verdana" w:cs="Verdana"/>
                <w:color w:val="000000"/>
                <w:sz w:val="16"/>
                <w:lang w:val="en-GB"/>
              </w:rPr>
              <w:t>6</w:t>
            </w:r>
          </w:p>
        </w:tc>
      </w:tr>
      <w:tr w:rsidR="000E403F" w:rsidRPr="00B76332" w14:paraId="55602B28" w14:textId="77777777" w:rsidTr="00241262">
        <w:trPr>
          <w:trHeight w:val="177"/>
          <w:jc w:val="center"/>
        </w:trPr>
        <w:tc>
          <w:tcPr>
            <w:tcW w:w="1669" w:type="dxa"/>
            <w:shd w:val="clear" w:color="auto" w:fill="auto"/>
            <w:tcMar>
              <w:top w:w="20" w:type="dxa"/>
              <w:left w:w="20" w:type="dxa"/>
              <w:bottom w:w="20" w:type="dxa"/>
              <w:right w:w="20" w:type="dxa"/>
            </w:tcMar>
          </w:tcPr>
          <w:p w14:paraId="460D7F7D"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2,041</w:t>
            </w:r>
          </w:p>
        </w:tc>
        <w:tc>
          <w:tcPr>
            <w:tcW w:w="1669" w:type="dxa"/>
            <w:shd w:val="clear" w:color="auto" w:fill="auto"/>
            <w:tcMar>
              <w:top w:w="20" w:type="dxa"/>
              <w:left w:w="20" w:type="dxa"/>
              <w:bottom w:w="20" w:type="dxa"/>
              <w:right w:w="20" w:type="dxa"/>
            </w:tcMar>
          </w:tcPr>
          <w:p w14:paraId="0EE0AAFD"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670" w:type="dxa"/>
            <w:shd w:val="clear" w:color="auto" w:fill="auto"/>
            <w:tcMar>
              <w:top w:w="20" w:type="dxa"/>
              <w:left w:w="20" w:type="dxa"/>
              <w:bottom w:w="20" w:type="dxa"/>
              <w:right w:w="20" w:type="dxa"/>
            </w:tcMar>
          </w:tcPr>
          <w:p w14:paraId="5C0C77D0"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2,041</w:t>
            </w:r>
          </w:p>
        </w:tc>
        <w:tc>
          <w:tcPr>
            <w:tcW w:w="2194" w:type="dxa"/>
            <w:shd w:val="clear" w:color="auto" w:fill="auto"/>
            <w:tcMar>
              <w:top w:w="20" w:type="dxa"/>
              <w:left w:w="20" w:type="dxa"/>
              <w:bottom w:w="20" w:type="dxa"/>
              <w:right w:w="20" w:type="dxa"/>
            </w:tcMar>
          </w:tcPr>
          <w:p w14:paraId="655D4079" w14:textId="77777777" w:rsidR="000E403F" w:rsidRPr="00B76332" w:rsidRDefault="000E403F" w:rsidP="000E403F">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Supplies and Services</w:t>
            </w:r>
          </w:p>
        </w:tc>
        <w:tc>
          <w:tcPr>
            <w:tcW w:w="1669" w:type="dxa"/>
            <w:shd w:val="clear" w:color="auto" w:fill="auto"/>
            <w:tcMar>
              <w:top w:w="20" w:type="dxa"/>
              <w:left w:w="20" w:type="dxa"/>
              <w:bottom w:w="20" w:type="dxa"/>
              <w:right w:w="20" w:type="dxa"/>
            </w:tcMar>
          </w:tcPr>
          <w:p w14:paraId="457F60F6" w14:textId="77777777" w:rsidR="000E403F" w:rsidRPr="00B76332" w:rsidRDefault="0046020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3,303</w:t>
            </w:r>
          </w:p>
        </w:tc>
        <w:tc>
          <w:tcPr>
            <w:tcW w:w="1669" w:type="dxa"/>
            <w:shd w:val="clear" w:color="auto" w:fill="auto"/>
            <w:tcMar>
              <w:top w:w="20" w:type="dxa"/>
              <w:left w:w="20" w:type="dxa"/>
              <w:bottom w:w="20" w:type="dxa"/>
              <w:right w:w="20" w:type="dxa"/>
            </w:tcMar>
          </w:tcPr>
          <w:p w14:paraId="42B792A3" w14:textId="77777777" w:rsidR="000E403F" w:rsidRPr="00B76332" w:rsidRDefault="009851E8" w:rsidP="000E403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670" w:type="dxa"/>
            <w:shd w:val="clear" w:color="auto" w:fill="auto"/>
            <w:tcMar>
              <w:top w:w="20" w:type="dxa"/>
              <w:left w:w="20" w:type="dxa"/>
              <w:bottom w:w="20" w:type="dxa"/>
              <w:right w:w="20" w:type="dxa"/>
            </w:tcMar>
          </w:tcPr>
          <w:p w14:paraId="178145D1" w14:textId="77777777" w:rsidR="000E403F" w:rsidRPr="00B76332" w:rsidRDefault="0046020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3,303</w:t>
            </w:r>
          </w:p>
        </w:tc>
      </w:tr>
      <w:tr w:rsidR="000E403F" w:rsidRPr="00B76332" w14:paraId="51B36946" w14:textId="77777777" w:rsidTr="00241262">
        <w:trPr>
          <w:trHeight w:val="177"/>
          <w:jc w:val="center"/>
        </w:trPr>
        <w:tc>
          <w:tcPr>
            <w:tcW w:w="1669" w:type="dxa"/>
            <w:shd w:val="clear" w:color="auto" w:fill="auto"/>
            <w:tcMar>
              <w:top w:w="20" w:type="dxa"/>
              <w:left w:w="20" w:type="dxa"/>
              <w:bottom w:w="20" w:type="dxa"/>
              <w:right w:w="20" w:type="dxa"/>
            </w:tcMar>
          </w:tcPr>
          <w:p w14:paraId="65647B44"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15</w:t>
            </w:r>
          </w:p>
        </w:tc>
        <w:tc>
          <w:tcPr>
            <w:tcW w:w="1669" w:type="dxa"/>
            <w:shd w:val="clear" w:color="auto" w:fill="auto"/>
            <w:tcMar>
              <w:top w:w="20" w:type="dxa"/>
              <w:left w:w="20" w:type="dxa"/>
              <w:bottom w:w="20" w:type="dxa"/>
              <w:right w:w="20" w:type="dxa"/>
            </w:tcMar>
          </w:tcPr>
          <w:p w14:paraId="5AD9C275"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670" w:type="dxa"/>
            <w:shd w:val="clear" w:color="auto" w:fill="auto"/>
            <w:tcMar>
              <w:top w:w="20" w:type="dxa"/>
              <w:left w:w="20" w:type="dxa"/>
              <w:bottom w:w="20" w:type="dxa"/>
              <w:right w:w="20" w:type="dxa"/>
            </w:tcMar>
          </w:tcPr>
          <w:p w14:paraId="6F05EBC7"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15</w:t>
            </w:r>
          </w:p>
        </w:tc>
        <w:tc>
          <w:tcPr>
            <w:tcW w:w="2194" w:type="dxa"/>
            <w:shd w:val="clear" w:color="auto" w:fill="auto"/>
            <w:tcMar>
              <w:top w:w="20" w:type="dxa"/>
              <w:left w:w="20" w:type="dxa"/>
              <w:bottom w:w="20" w:type="dxa"/>
              <w:right w:w="20" w:type="dxa"/>
            </w:tcMar>
          </w:tcPr>
          <w:p w14:paraId="51331300" w14:textId="77777777" w:rsidR="000E403F" w:rsidRPr="00B76332" w:rsidRDefault="000E403F" w:rsidP="000E403F">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Transport</w:t>
            </w:r>
          </w:p>
        </w:tc>
        <w:tc>
          <w:tcPr>
            <w:tcW w:w="1669" w:type="dxa"/>
            <w:shd w:val="clear" w:color="auto" w:fill="auto"/>
            <w:tcMar>
              <w:top w:w="20" w:type="dxa"/>
              <w:left w:w="20" w:type="dxa"/>
              <w:bottom w:w="20" w:type="dxa"/>
              <w:right w:w="20" w:type="dxa"/>
            </w:tcMar>
          </w:tcPr>
          <w:p w14:paraId="2F6CBB72" w14:textId="77777777" w:rsidR="000E403F" w:rsidRPr="00B76332" w:rsidRDefault="001575A6" w:rsidP="001575A6">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2</w:t>
            </w:r>
          </w:p>
        </w:tc>
        <w:tc>
          <w:tcPr>
            <w:tcW w:w="1669" w:type="dxa"/>
            <w:shd w:val="clear" w:color="auto" w:fill="auto"/>
            <w:tcMar>
              <w:top w:w="20" w:type="dxa"/>
              <w:left w:w="20" w:type="dxa"/>
              <w:bottom w:w="20" w:type="dxa"/>
              <w:right w:w="20" w:type="dxa"/>
            </w:tcMar>
          </w:tcPr>
          <w:p w14:paraId="795FD316" w14:textId="77777777" w:rsidR="000E403F" w:rsidRPr="00B76332" w:rsidRDefault="009851E8" w:rsidP="000E403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670" w:type="dxa"/>
            <w:shd w:val="clear" w:color="auto" w:fill="auto"/>
            <w:tcMar>
              <w:top w:w="20" w:type="dxa"/>
              <w:left w:w="20" w:type="dxa"/>
              <w:bottom w:w="20" w:type="dxa"/>
              <w:right w:w="20" w:type="dxa"/>
            </w:tcMar>
          </w:tcPr>
          <w:p w14:paraId="6C31E88D" w14:textId="77777777" w:rsidR="000E403F" w:rsidRPr="00B76332" w:rsidRDefault="001575A6"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2</w:t>
            </w:r>
          </w:p>
        </w:tc>
      </w:tr>
      <w:tr w:rsidR="000E403F" w:rsidRPr="00B76332" w14:paraId="4447698F" w14:textId="77777777" w:rsidTr="00241262">
        <w:trPr>
          <w:trHeight w:val="177"/>
          <w:jc w:val="center"/>
        </w:trPr>
        <w:tc>
          <w:tcPr>
            <w:tcW w:w="1669" w:type="dxa"/>
            <w:shd w:val="clear" w:color="auto" w:fill="auto"/>
            <w:tcMar>
              <w:top w:w="20" w:type="dxa"/>
              <w:left w:w="20" w:type="dxa"/>
              <w:bottom w:w="20" w:type="dxa"/>
              <w:right w:w="20" w:type="dxa"/>
            </w:tcMar>
          </w:tcPr>
          <w:p w14:paraId="6ADA8C9A"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(11,196)</w:t>
            </w:r>
          </w:p>
        </w:tc>
        <w:tc>
          <w:tcPr>
            <w:tcW w:w="1669" w:type="dxa"/>
            <w:shd w:val="clear" w:color="auto" w:fill="auto"/>
            <w:tcMar>
              <w:top w:w="20" w:type="dxa"/>
              <w:left w:w="20" w:type="dxa"/>
              <w:bottom w:w="20" w:type="dxa"/>
              <w:right w:w="20" w:type="dxa"/>
            </w:tcMar>
          </w:tcPr>
          <w:p w14:paraId="5D50D88B"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11,196</w:t>
            </w:r>
          </w:p>
        </w:tc>
        <w:tc>
          <w:tcPr>
            <w:tcW w:w="1670" w:type="dxa"/>
            <w:shd w:val="clear" w:color="auto" w:fill="auto"/>
            <w:tcMar>
              <w:top w:w="20" w:type="dxa"/>
              <w:left w:w="20" w:type="dxa"/>
              <w:bottom w:w="20" w:type="dxa"/>
              <w:right w:w="20" w:type="dxa"/>
            </w:tcMar>
          </w:tcPr>
          <w:p w14:paraId="01903C38"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2194" w:type="dxa"/>
            <w:shd w:val="clear" w:color="auto" w:fill="auto"/>
            <w:tcMar>
              <w:top w:w="20" w:type="dxa"/>
              <w:left w:w="20" w:type="dxa"/>
              <w:bottom w:w="20" w:type="dxa"/>
              <w:right w:w="20" w:type="dxa"/>
            </w:tcMar>
          </w:tcPr>
          <w:p w14:paraId="1562DD27" w14:textId="77777777" w:rsidR="000E403F" w:rsidRPr="00B76332" w:rsidRDefault="000E403F" w:rsidP="000E403F">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Depreciation/Amortisation (Proxy)</w:t>
            </w:r>
          </w:p>
        </w:tc>
        <w:tc>
          <w:tcPr>
            <w:tcW w:w="1669" w:type="dxa"/>
            <w:shd w:val="clear" w:color="auto" w:fill="auto"/>
            <w:tcMar>
              <w:top w:w="20" w:type="dxa"/>
              <w:left w:w="20" w:type="dxa"/>
              <w:bottom w:w="20" w:type="dxa"/>
              <w:right w:w="20" w:type="dxa"/>
            </w:tcMar>
          </w:tcPr>
          <w:p w14:paraId="0CCAEC7A" w14:textId="77777777" w:rsidR="000E403F" w:rsidRPr="00B76332" w:rsidRDefault="009851E8" w:rsidP="001575A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(10,521</w:t>
            </w:r>
            <w:r w:rsidR="00460206" w:rsidRPr="00B76332">
              <w:rPr>
                <w:rFonts w:ascii="Verdana" w:eastAsia="Verdana" w:hAnsi="Verdana" w:cs="Verdana"/>
                <w:color w:val="000000"/>
                <w:sz w:val="16"/>
                <w:lang w:val="en-GB"/>
              </w:rPr>
              <w:t>)</w:t>
            </w:r>
          </w:p>
        </w:tc>
        <w:tc>
          <w:tcPr>
            <w:tcW w:w="1669" w:type="dxa"/>
            <w:shd w:val="clear" w:color="auto" w:fill="auto"/>
            <w:tcMar>
              <w:top w:w="20" w:type="dxa"/>
              <w:left w:w="20" w:type="dxa"/>
              <w:bottom w:w="20" w:type="dxa"/>
              <w:right w:w="20" w:type="dxa"/>
            </w:tcMar>
          </w:tcPr>
          <w:p w14:paraId="5FDEB1FD" w14:textId="77777777" w:rsidR="000E403F" w:rsidRPr="00B76332" w:rsidRDefault="009851E8" w:rsidP="001575A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10,521</w:t>
            </w:r>
          </w:p>
        </w:tc>
        <w:tc>
          <w:tcPr>
            <w:tcW w:w="1670" w:type="dxa"/>
            <w:shd w:val="clear" w:color="auto" w:fill="auto"/>
            <w:tcMar>
              <w:top w:w="20" w:type="dxa"/>
              <w:left w:w="20" w:type="dxa"/>
              <w:bottom w:w="20" w:type="dxa"/>
              <w:right w:w="20" w:type="dxa"/>
            </w:tcMar>
          </w:tcPr>
          <w:p w14:paraId="7D5F18CD" w14:textId="77777777" w:rsidR="000E403F" w:rsidRPr="00B76332" w:rsidRDefault="009851E8" w:rsidP="000E403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0E403F" w:rsidRPr="00B76332" w14:paraId="2D9898B7" w14:textId="77777777" w:rsidTr="00241262">
        <w:trPr>
          <w:trHeight w:val="177"/>
          <w:jc w:val="center"/>
        </w:trPr>
        <w:tc>
          <w:tcPr>
            <w:tcW w:w="1669" w:type="dxa"/>
            <w:shd w:val="clear" w:color="auto" w:fill="auto"/>
            <w:tcMar>
              <w:top w:w="20" w:type="dxa"/>
              <w:left w:w="20" w:type="dxa"/>
              <w:bottom w:w="20" w:type="dxa"/>
              <w:right w:w="20" w:type="dxa"/>
            </w:tcMar>
          </w:tcPr>
          <w:p w14:paraId="02A95ACF"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(911)</w:t>
            </w:r>
          </w:p>
        </w:tc>
        <w:tc>
          <w:tcPr>
            <w:tcW w:w="1669" w:type="dxa"/>
            <w:shd w:val="clear" w:color="auto" w:fill="auto"/>
            <w:tcMar>
              <w:top w:w="20" w:type="dxa"/>
              <w:left w:w="20" w:type="dxa"/>
              <w:bottom w:w="20" w:type="dxa"/>
              <w:right w:w="20" w:type="dxa"/>
            </w:tcMar>
          </w:tcPr>
          <w:p w14:paraId="360D7218"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670" w:type="dxa"/>
            <w:shd w:val="clear" w:color="auto" w:fill="auto"/>
            <w:tcMar>
              <w:top w:w="20" w:type="dxa"/>
              <w:left w:w="20" w:type="dxa"/>
              <w:bottom w:w="20" w:type="dxa"/>
              <w:right w:w="20" w:type="dxa"/>
            </w:tcMar>
          </w:tcPr>
          <w:p w14:paraId="3CDED3B8"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(911)</w:t>
            </w:r>
          </w:p>
        </w:tc>
        <w:tc>
          <w:tcPr>
            <w:tcW w:w="2194" w:type="dxa"/>
            <w:shd w:val="clear" w:color="auto" w:fill="auto"/>
            <w:tcMar>
              <w:top w:w="20" w:type="dxa"/>
              <w:left w:w="20" w:type="dxa"/>
              <w:bottom w:w="20" w:type="dxa"/>
              <w:right w:w="20" w:type="dxa"/>
            </w:tcMar>
          </w:tcPr>
          <w:p w14:paraId="4B6D11E2" w14:textId="77777777" w:rsidR="000E403F" w:rsidRPr="00B76332" w:rsidRDefault="000E403F" w:rsidP="000E403F">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Income</w:t>
            </w:r>
          </w:p>
        </w:tc>
        <w:tc>
          <w:tcPr>
            <w:tcW w:w="1669" w:type="dxa"/>
            <w:shd w:val="clear" w:color="auto" w:fill="auto"/>
            <w:tcMar>
              <w:top w:w="20" w:type="dxa"/>
              <w:left w:w="20" w:type="dxa"/>
              <w:bottom w:w="20" w:type="dxa"/>
              <w:right w:w="20" w:type="dxa"/>
            </w:tcMar>
          </w:tcPr>
          <w:p w14:paraId="3253F55A" w14:textId="77777777" w:rsidR="000E403F" w:rsidRPr="00B76332" w:rsidRDefault="00460206" w:rsidP="00382149">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(1,862)</w:t>
            </w:r>
          </w:p>
        </w:tc>
        <w:tc>
          <w:tcPr>
            <w:tcW w:w="1669" w:type="dxa"/>
            <w:shd w:val="clear" w:color="auto" w:fill="auto"/>
            <w:tcMar>
              <w:top w:w="20" w:type="dxa"/>
              <w:left w:w="20" w:type="dxa"/>
              <w:bottom w:w="20" w:type="dxa"/>
              <w:right w:w="20" w:type="dxa"/>
            </w:tcMar>
          </w:tcPr>
          <w:p w14:paraId="59F846E6" w14:textId="77777777" w:rsidR="000E403F" w:rsidRPr="00B76332" w:rsidRDefault="009851E8" w:rsidP="000E403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670" w:type="dxa"/>
            <w:shd w:val="clear" w:color="auto" w:fill="auto"/>
            <w:tcMar>
              <w:top w:w="20" w:type="dxa"/>
              <w:left w:w="20" w:type="dxa"/>
              <w:bottom w:w="20" w:type="dxa"/>
              <w:right w:w="20" w:type="dxa"/>
            </w:tcMar>
          </w:tcPr>
          <w:p w14:paraId="24C4D127" w14:textId="77777777" w:rsidR="000E403F" w:rsidRPr="00B76332" w:rsidRDefault="00460206" w:rsidP="00382149">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(1,862)</w:t>
            </w:r>
          </w:p>
        </w:tc>
      </w:tr>
      <w:tr w:rsidR="000E403F" w:rsidRPr="00866B39" w14:paraId="6869ED9C" w14:textId="77777777" w:rsidTr="00241262">
        <w:trPr>
          <w:trHeight w:val="49"/>
          <w:jc w:val="center"/>
        </w:trPr>
        <w:tc>
          <w:tcPr>
            <w:tcW w:w="1669" w:type="dxa"/>
            <w:tcBorders>
              <w:top w:val="single" w:sz="2" w:space="0" w:color="000000"/>
              <w:bottom w:val="single" w:sz="12" w:space="0" w:color="000000"/>
            </w:tcBorders>
            <w:shd w:val="clear" w:color="auto" w:fill="auto"/>
            <w:tcMar>
              <w:top w:w="20" w:type="dxa"/>
              <w:left w:w="20" w:type="dxa"/>
              <w:bottom w:w="20" w:type="dxa"/>
              <w:right w:w="20" w:type="dxa"/>
            </w:tcMar>
          </w:tcPr>
          <w:p w14:paraId="52276C43" w14:textId="77777777" w:rsidR="000E403F" w:rsidRPr="00B76332" w:rsidRDefault="000E403F" w:rsidP="000E403F">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(9,133)</w:t>
            </w:r>
          </w:p>
        </w:tc>
        <w:tc>
          <w:tcPr>
            <w:tcW w:w="1669" w:type="dxa"/>
            <w:tcBorders>
              <w:top w:val="single" w:sz="2" w:space="0" w:color="000000"/>
              <w:bottom w:val="single" w:sz="12" w:space="0" w:color="000000"/>
            </w:tcBorders>
            <w:shd w:val="clear" w:color="auto" w:fill="auto"/>
            <w:tcMar>
              <w:top w:w="20" w:type="dxa"/>
              <w:left w:w="20" w:type="dxa"/>
              <w:bottom w:w="20" w:type="dxa"/>
              <w:right w:w="20" w:type="dxa"/>
            </w:tcMar>
          </w:tcPr>
          <w:p w14:paraId="4D7120A1" w14:textId="45506C6A" w:rsidR="000E403F" w:rsidRPr="00B76332" w:rsidRDefault="000E403F" w:rsidP="00241262">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 xml:space="preserve">          </w:t>
            </w:r>
            <w:r w:rsidR="00241262">
              <w:rPr>
                <w:rFonts w:ascii="Verdana" w:eastAsia="Verdana" w:hAnsi="Verdana" w:cs="Verdana"/>
                <w:b/>
                <w:color w:val="000000"/>
                <w:sz w:val="16"/>
                <w:lang w:val="en-GB"/>
              </w:rPr>
              <w:t xml:space="preserve">       </w:t>
            </w:r>
            <w:r w:rsidRPr="00B76332">
              <w:rPr>
                <w:rFonts w:ascii="Verdana" w:eastAsia="Verdana" w:hAnsi="Verdana" w:cs="Verdana"/>
                <w:b/>
                <w:color w:val="000000"/>
                <w:sz w:val="16"/>
                <w:lang w:val="en-GB"/>
              </w:rPr>
              <w:t xml:space="preserve"> 11,337</w:t>
            </w:r>
          </w:p>
        </w:tc>
        <w:tc>
          <w:tcPr>
            <w:tcW w:w="1670" w:type="dxa"/>
            <w:tcBorders>
              <w:top w:val="single" w:sz="2" w:space="0" w:color="000000"/>
              <w:bottom w:val="single" w:sz="12" w:space="0" w:color="000000"/>
            </w:tcBorders>
            <w:shd w:val="clear" w:color="auto" w:fill="auto"/>
            <w:tcMar>
              <w:top w:w="20" w:type="dxa"/>
              <w:left w:w="20" w:type="dxa"/>
              <w:bottom w:w="20" w:type="dxa"/>
              <w:right w:w="20" w:type="dxa"/>
            </w:tcMar>
          </w:tcPr>
          <w:p w14:paraId="07FD959C" w14:textId="77777777" w:rsidR="000E403F" w:rsidRPr="00B76332" w:rsidRDefault="000E403F" w:rsidP="000E403F">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2,204</w:t>
            </w:r>
          </w:p>
        </w:tc>
        <w:tc>
          <w:tcPr>
            <w:tcW w:w="2194" w:type="dxa"/>
            <w:tcBorders>
              <w:top w:val="single" w:sz="2" w:space="0" w:color="000000"/>
              <w:bottom w:val="single" w:sz="12" w:space="0" w:color="000000"/>
            </w:tcBorders>
            <w:shd w:val="clear" w:color="auto" w:fill="auto"/>
            <w:tcMar>
              <w:top w:w="20" w:type="dxa"/>
              <w:left w:w="20" w:type="dxa"/>
              <w:bottom w:w="20" w:type="dxa"/>
              <w:right w:w="20" w:type="dxa"/>
            </w:tcMar>
          </w:tcPr>
          <w:p w14:paraId="26614256" w14:textId="77777777" w:rsidR="000E403F" w:rsidRPr="00B76332" w:rsidRDefault="000E403F" w:rsidP="000E403F">
            <w:pPr>
              <w:pStyle w:val="T1TableStyle"/>
              <w:rPr>
                <w:rFonts w:ascii="Verdana" w:eastAsia="Verdana" w:hAnsi="Verdana" w:cs="Verdana"/>
                <w:b/>
                <w:color w:val="000000"/>
                <w:sz w:val="16"/>
                <w:lang w:val="en-GB"/>
              </w:rPr>
            </w:pPr>
            <w:r w:rsidRPr="00B76332">
              <w:rPr>
                <w:rFonts w:ascii="Verdana" w:eastAsia="Verdana" w:hAnsi="Verdana" w:cs="Verdana"/>
                <w:b/>
                <w:color w:val="000000"/>
                <w:sz w:val="16"/>
                <w:lang w:val="en-GB"/>
              </w:rPr>
              <w:t>Net Cost of Services</w:t>
            </w:r>
          </w:p>
        </w:tc>
        <w:tc>
          <w:tcPr>
            <w:tcW w:w="1669" w:type="dxa"/>
            <w:tcBorders>
              <w:top w:val="single" w:sz="2" w:space="0" w:color="000000"/>
              <w:bottom w:val="single" w:sz="12" w:space="0" w:color="000000"/>
            </w:tcBorders>
            <w:shd w:val="clear" w:color="auto" w:fill="auto"/>
            <w:tcMar>
              <w:top w:w="20" w:type="dxa"/>
              <w:left w:w="20" w:type="dxa"/>
              <w:bottom w:w="20" w:type="dxa"/>
              <w:right w:w="20" w:type="dxa"/>
            </w:tcMar>
          </w:tcPr>
          <w:p w14:paraId="7C3AADB6" w14:textId="77777777" w:rsidR="000E403F" w:rsidRPr="00866B39" w:rsidRDefault="00866B39" w:rsidP="00382149">
            <w:pPr>
              <w:pStyle w:val="T1TableStyle"/>
              <w:jc w:val="right"/>
              <w:rPr>
                <w:rFonts w:ascii="Verdana" w:eastAsia="Verdana" w:hAnsi="Verdana" w:cs="Verdana"/>
                <w:b/>
                <w:color w:val="000000"/>
                <w:sz w:val="16"/>
                <w:lang w:val="en-GB"/>
              </w:rPr>
            </w:pPr>
            <w:r w:rsidRPr="00866B39">
              <w:rPr>
                <w:rFonts w:ascii="Verdana" w:eastAsia="Verdana" w:hAnsi="Verdana" w:cs="Verdana"/>
                <w:b/>
                <w:color w:val="000000"/>
                <w:sz w:val="16"/>
                <w:lang w:val="en-GB"/>
              </w:rPr>
              <w:t>(8,061</w:t>
            </w:r>
            <w:r w:rsidR="00460206" w:rsidRPr="00866B39">
              <w:rPr>
                <w:rFonts w:ascii="Verdana" w:eastAsia="Verdana" w:hAnsi="Verdana" w:cs="Verdana"/>
                <w:b/>
                <w:color w:val="000000"/>
                <w:sz w:val="16"/>
                <w:lang w:val="en-GB"/>
              </w:rPr>
              <w:t>)</w:t>
            </w:r>
          </w:p>
        </w:tc>
        <w:tc>
          <w:tcPr>
            <w:tcW w:w="1669" w:type="dxa"/>
            <w:tcBorders>
              <w:top w:val="single" w:sz="2" w:space="0" w:color="000000"/>
              <w:bottom w:val="single" w:sz="12" w:space="0" w:color="000000"/>
            </w:tcBorders>
            <w:shd w:val="clear" w:color="auto" w:fill="auto"/>
            <w:tcMar>
              <w:top w:w="20" w:type="dxa"/>
              <w:left w:w="20" w:type="dxa"/>
              <w:bottom w:w="20" w:type="dxa"/>
              <w:right w:w="20" w:type="dxa"/>
            </w:tcMar>
          </w:tcPr>
          <w:p w14:paraId="72272277" w14:textId="395C0157" w:rsidR="000E403F" w:rsidRPr="00866B39" w:rsidRDefault="009851E8" w:rsidP="00692F04">
            <w:pPr>
              <w:pStyle w:val="T1TableStyle"/>
              <w:jc w:val="center"/>
              <w:rPr>
                <w:rFonts w:ascii="Verdana" w:eastAsia="Verdana" w:hAnsi="Verdana" w:cs="Verdana"/>
                <w:b/>
                <w:color w:val="000000"/>
                <w:sz w:val="16"/>
                <w:lang w:val="en-GB"/>
              </w:rPr>
            </w:pPr>
            <w:r w:rsidRPr="00866B39">
              <w:rPr>
                <w:rFonts w:ascii="Verdana" w:eastAsia="Verdana" w:hAnsi="Verdana" w:cs="Verdana"/>
                <w:b/>
                <w:color w:val="000000"/>
                <w:sz w:val="16"/>
                <w:lang w:val="en-GB"/>
              </w:rPr>
              <w:t xml:space="preserve">          </w:t>
            </w:r>
            <w:r w:rsidR="00241262">
              <w:rPr>
                <w:rFonts w:ascii="Verdana" w:eastAsia="Verdana" w:hAnsi="Verdana" w:cs="Verdana"/>
                <w:b/>
                <w:color w:val="000000"/>
                <w:sz w:val="16"/>
                <w:lang w:val="en-GB"/>
              </w:rPr>
              <w:t xml:space="preserve">      </w:t>
            </w:r>
            <w:r w:rsidRPr="00866B39">
              <w:rPr>
                <w:rFonts w:ascii="Verdana" w:eastAsia="Verdana" w:hAnsi="Verdana" w:cs="Verdana"/>
                <w:b/>
                <w:color w:val="000000"/>
                <w:sz w:val="16"/>
                <w:lang w:val="en-GB"/>
              </w:rPr>
              <w:t xml:space="preserve">  </w:t>
            </w:r>
            <w:r w:rsidR="00692F04" w:rsidRPr="00866B39">
              <w:rPr>
                <w:rFonts w:ascii="Verdana" w:eastAsia="Verdana" w:hAnsi="Verdana" w:cs="Verdana"/>
                <w:b/>
                <w:color w:val="000000"/>
                <w:sz w:val="16"/>
                <w:lang w:val="en-GB"/>
              </w:rPr>
              <w:t>10,655</w:t>
            </w:r>
          </w:p>
        </w:tc>
        <w:tc>
          <w:tcPr>
            <w:tcW w:w="1670" w:type="dxa"/>
            <w:tcBorders>
              <w:top w:val="single" w:sz="2" w:space="0" w:color="000000"/>
              <w:bottom w:val="single" w:sz="12" w:space="0" w:color="000000"/>
            </w:tcBorders>
            <w:shd w:val="clear" w:color="auto" w:fill="auto"/>
            <w:tcMar>
              <w:top w:w="20" w:type="dxa"/>
              <w:left w:w="20" w:type="dxa"/>
              <w:bottom w:w="20" w:type="dxa"/>
              <w:right w:w="20" w:type="dxa"/>
            </w:tcMar>
          </w:tcPr>
          <w:p w14:paraId="6262191A" w14:textId="77777777" w:rsidR="000E403F" w:rsidRPr="00866B39" w:rsidRDefault="00460206" w:rsidP="00382149">
            <w:pPr>
              <w:pStyle w:val="T1TableStyle"/>
              <w:jc w:val="right"/>
              <w:rPr>
                <w:rFonts w:ascii="Verdana" w:eastAsia="Verdana" w:hAnsi="Verdana" w:cs="Verdana"/>
                <w:b/>
                <w:color w:val="000000"/>
                <w:sz w:val="16"/>
                <w:lang w:val="en-GB"/>
              </w:rPr>
            </w:pPr>
            <w:r w:rsidRPr="00866B39">
              <w:rPr>
                <w:rFonts w:ascii="Verdana" w:eastAsia="Verdana" w:hAnsi="Verdana" w:cs="Verdana"/>
                <w:b/>
                <w:color w:val="000000"/>
                <w:sz w:val="16"/>
                <w:lang w:val="en-GB"/>
              </w:rPr>
              <w:t>2,59</w:t>
            </w:r>
            <w:r w:rsidR="00382149" w:rsidRPr="00866B39">
              <w:rPr>
                <w:rFonts w:ascii="Verdana" w:eastAsia="Verdana" w:hAnsi="Verdana" w:cs="Verdana"/>
                <w:b/>
                <w:color w:val="000000"/>
                <w:sz w:val="16"/>
                <w:lang w:val="en-GB"/>
              </w:rPr>
              <w:t>4</w:t>
            </w:r>
          </w:p>
        </w:tc>
      </w:tr>
      <w:tr w:rsidR="000E403F" w:rsidRPr="00866B39" w14:paraId="32BF4600" w14:textId="77777777" w:rsidTr="00241262">
        <w:trPr>
          <w:trHeight w:hRule="exact" w:val="62"/>
          <w:jc w:val="center"/>
        </w:trPr>
        <w:tc>
          <w:tcPr>
            <w:tcW w:w="1669" w:type="dxa"/>
            <w:shd w:val="clear" w:color="auto" w:fill="auto"/>
            <w:tcMar>
              <w:top w:w="20" w:type="dxa"/>
              <w:left w:w="20" w:type="dxa"/>
              <w:bottom w:w="20" w:type="dxa"/>
              <w:right w:w="20" w:type="dxa"/>
            </w:tcMar>
          </w:tcPr>
          <w:p w14:paraId="42CD5A7B" w14:textId="77777777" w:rsidR="000E403F" w:rsidRPr="00B76332" w:rsidRDefault="000E403F" w:rsidP="000E403F">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669" w:type="dxa"/>
            <w:shd w:val="clear" w:color="auto" w:fill="auto"/>
            <w:tcMar>
              <w:top w:w="20" w:type="dxa"/>
              <w:left w:w="20" w:type="dxa"/>
              <w:bottom w:w="20" w:type="dxa"/>
              <w:right w:w="20" w:type="dxa"/>
            </w:tcMar>
          </w:tcPr>
          <w:p w14:paraId="5B14EE3C" w14:textId="77777777" w:rsidR="000E403F" w:rsidRPr="00B76332" w:rsidRDefault="000E403F" w:rsidP="000E403F">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670" w:type="dxa"/>
            <w:shd w:val="clear" w:color="auto" w:fill="auto"/>
            <w:tcMar>
              <w:top w:w="20" w:type="dxa"/>
              <w:left w:w="20" w:type="dxa"/>
              <w:bottom w:w="20" w:type="dxa"/>
              <w:right w:w="20" w:type="dxa"/>
            </w:tcMar>
          </w:tcPr>
          <w:p w14:paraId="4D044D8F" w14:textId="77777777" w:rsidR="000E403F" w:rsidRPr="00B76332" w:rsidRDefault="000E403F" w:rsidP="000E403F">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2194" w:type="dxa"/>
            <w:shd w:val="clear" w:color="auto" w:fill="auto"/>
            <w:tcMar>
              <w:top w:w="20" w:type="dxa"/>
              <w:left w:w="20" w:type="dxa"/>
              <w:bottom w:w="20" w:type="dxa"/>
              <w:right w:w="20" w:type="dxa"/>
            </w:tcMar>
          </w:tcPr>
          <w:p w14:paraId="39205804" w14:textId="77777777" w:rsidR="000E403F" w:rsidRPr="00B76332" w:rsidRDefault="000E403F" w:rsidP="000E403F">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669" w:type="dxa"/>
            <w:shd w:val="clear" w:color="auto" w:fill="auto"/>
            <w:tcMar>
              <w:top w:w="20" w:type="dxa"/>
              <w:left w:w="20" w:type="dxa"/>
              <w:bottom w:w="20" w:type="dxa"/>
              <w:right w:w="20" w:type="dxa"/>
            </w:tcMar>
          </w:tcPr>
          <w:p w14:paraId="28DD6EF7" w14:textId="77777777" w:rsidR="000E403F" w:rsidRPr="00866B39" w:rsidRDefault="000E403F" w:rsidP="000E403F">
            <w:pPr>
              <w:pStyle w:val="T1TableStyle"/>
              <w:jc w:val="center"/>
              <w:rPr>
                <w:rFonts w:ascii="Calibri" w:eastAsia="Calibri" w:hAnsi="Calibri" w:cs="Calibri"/>
                <w:color w:val="000000"/>
                <w:sz w:val="2"/>
                <w:lang w:val="en-GB"/>
              </w:rPr>
            </w:pPr>
          </w:p>
        </w:tc>
        <w:tc>
          <w:tcPr>
            <w:tcW w:w="1669" w:type="dxa"/>
            <w:shd w:val="clear" w:color="auto" w:fill="auto"/>
            <w:tcMar>
              <w:top w:w="20" w:type="dxa"/>
              <w:left w:w="20" w:type="dxa"/>
              <w:bottom w:w="20" w:type="dxa"/>
              <w:right w:w="20" w:type="dxa"/>
            </w:tcMar>
          </w:tcPr>
          <w:p w14:paraId="51F6C795" w14:textId="77777777" w:rsidR="000E403F" w:rsidRPr="00866B39" w:rsidRDefault="000E403F" w:rsidP="000E403F">
            <w:pPr>
              <w:pStyle w:val="T1TableStyle"/>
              <w:jc w:val="center"/>
              <w:rPr>
                <w:rFonts w:ascii="Calibri" w:eastAsia="Calibri" w:hAnsi="Calibri" w:cs="Calibri"/>
                <w:color w:val="000000"/>
                <w:sz w:val="2"/>
                <w:lang w:val="en-GB"/>
              </w:rPr>
            </w:pPr>
          </w:p>
        </w:tc>
        <w:tc>
          <w:tcPr>
            <w:tcW w:w="1670" w:type="dxa"/>
            <w:shd w:val="clear" w:color="auto" w:fill="auto"/>
            <w:tcMar>
              <w:top w:w="20" w:type="dxa"/>
              <w:left w:w="20" w:type="dxa"/>
              <w:bottom w:w="20" w:type="dxa"/>
              <w:right w:w="20" w:type="dxa"/>
            </w:tcMar>
          </w:tcPr>
          <w:p w14:paraId="03536E68" w14:textId="77777777" w:rsidR="000E403F" w:rsidRPr="00866B39" w:rsidRDefault="000E403F" w:rsidP="000E403F">
            <w:pPr>
              <w:pStyle w:val="T1TableStyle"/>
              <w:jc w:val="center"/>
              <w:rPr>
                <w:rFonts w:ascii="Calibri" w:eastAsia="Calibri" w:hAnsi="Calibri" w:cs="Calibri"/>
                <w:color w:val="000000"/>
                <w:sz w:val="2"/>
                <w:lang w:val="en-GB"/>
              </w:rPr>
            </w:pPr>
          </w:p>
        </w:tc>
      </w:tr>
      <w:tr w:rsidR="000E403F" w:rsidRPr="00866B39" w14:paraId="6CFAFBF7" w14:textId="77777777" w:rsidTr="00241262">
        <w:trPr>
          <w:trHeight w:val="292"/>
          <w:jc w:val="center"/>
        </w:trPr>
        <w:tc>
          <w:tcPr>
            <w:tcW w:w="1669" w:type="dxa"/>
            <w:shd w:val="clear" w:color="auto" w:fill="auto"/>
            <w:tcMar>
              <w:top w:w="20" w:type="dxa"/>
              <w:left w:w="20" w:type="dxa"/>
              <w:bottom w:w="20" w:type="dxa"/>
              <w:right w:w="20" w:type="dxa"/>
            </w:tcMar>
          </w:tcPr>
          <w:p w14:paraId="6EED4D02"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6,885</w:t>
            </w:r>
          </w:p>
        </w:tc>
        <w:tc>
          <w:tcPr>
            <w:tcW w:w="1669" w:type="dxa"/>
            <w:shd w:val="clear" w:color="auto" w:fill="auto"/>
            <w:tcMar>
              <w:top w:w="20" w:type="dxa"/>
              <w:left w:w="20" w:type="dxa"/>
              <w:bottom w:w="20" w:type="dxa"/>
              <w:right w:w="20" w:type="dxa"/>
            </w:tcMar>
          </w:tcPr>
          <w:p w14:paraId="20B042DC"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(8,245)</w:t>
            </w:r>
          </w:p>
        </w:tc>
        <w:tc>
          <w:tcPr>
            <w:tcW w:w="1670" w:type="dxa"/>
            <w:shd w:val="clear" w:color="auto" w:fill="auto"/>
            <w:tcMar>
              <w:top w:w="20" w:type="dxa"/>
              <w:left w:w="20" w:type="dxa"/>
              <w:bottom w:w="20" w:type="dxa"/>
              <w:right w:w="20" w:type="dxa"/>
            </w:tcMar>
          </w:tcPr>
          <w:p w14:paraId="2501B296"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(1,360)</w:t>
            </w:r>
          </w:p>
        </w:tc>
        <w:tc>
          <w:tcPr>
            <w:tcW w:w="2194" w:type="dxa"/>
            <w:shd w:val="clear" w:color="auto" w:fill="auto"/>
            <w:tcMar>
              <w:top w:w="20" w:type="dxa"/>
              <w:left w:w="20" w:type="dxa"/>
              <w:bottom w:w="20" w:type="dxa"/>
              <w:right w:w="20" w:type="dxa"/>
            </w:tcMar>
          </w:tcPr>
          <w:p w14:paraId="4D2CF4F7" w14:textId="77777777" w:rsidR="000E403F" w:rsidRPr="00B76332" w:rsidRDefault="000E403F" w:rsidP="000E403F">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Other Income and Expenditure</w:t>
            </w:r>
          </w:p>
        </w:tc>
        <w:tc>
          <w:tcPr>
            <w:tcW w:w="1669" w:type="dxa"/>
            <w:shd w:val="clear" w:color="auto" w:fill="auto"/>
            <w:tcMar>
              <w:top w:w="20" w:type="dxa"/>
              <w:left w:w="20" w:type="dxa"/>
              <w:bottom w:w="20" w:type="dxa"/>
              <w:right w:w="20" w:type="dxa"/>
            </w:tcMar>
          </w:tcPr>
          <w:p w14:paraId="50BE84B7" w14:textId="17E735D0" w:rsidR="000E403F" w:rsidRPr="00866B39" w:rsidRDefault="00FD6078">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7,798</w:t>
            </w:r>
          </w:p>
        </w:tc>
        <w:tc>
          <w:tcPr>
            <w:tcW w:w="1669" w:type="dxa"/>
            <w:shd w:val="clear" w:color="auto" w:fill="auto"/>
            <w:tcMar>
              <w:top w:w="20" w:type="dxa"/>
              <w:left w:w="20" w:type="dxa"/>
              <w:bottom w:w="20" w:type="dxa"/>
              <w:right w:w="20" w:type="dxa"/>
            </w:tcMar>
          </w:tcPr>
          <w:p w14:paraId="37F64A48" w14:textId="1C0830F9" w:rsidR="000E403F" w:rsidRPr="00866B39" w:rsidRDefault="00460206" w:rsidP="00382149">
            <w:pPr>
              <w:pStyle w:val="T1TableStyle"/>
              <w:jc w:val="right"/>
              <w:rPr>
                <w:rFonts w:ascii="Verdana" w:eastAsia="Verdana" w:hAnsi="Verdana" w:cs="Verdana"/>
                <w:color w:val="000000"/>
                <w:sz w:val="16"/>
                <w:lang w:val="en-GB"/>
              </w:rPr>
            </w:pPr>
            <w:r w:rsidRPr="00866B39">
              <w:rPr>
                <w:rFonts w:ascii="Verdana" w:eastAsia="Verdana" w:hAnsi="Verdana" w:cs="Verdana"/>
                <w:color w:val="000000"/>
                <w:sz w:val="16"/>
                <w:lang w:val="en-GB"/>
              </w:rPr>
              <w:t>(</w:t>
            </w:r>
            <w:r w:rsidR="00042EEB">
              <w:rPr>
                <w:rFonts w:ascii="Verdana" w:eastAsia="Verdana" w:hAnsi="Verdana" w:cs="Verdana"/>
                <w:color w:val="000000"/>
                <w:sz w:val="16"/>
                <w:lang w:val="en-GB"/>
              </w:rPr>
              <w:t>6,348</w:t>
            </w:r>
            <w:r w:rsidRPr="00866B39">
              <w:rPr>
                <w:rFonts w:ascii="Verdana" w:eastAsia="Verdana" w:hAnsi="Verdana" w:cs="Verdana"/>
                <w:color w:val="000000"/>
                <w:sz w:val="16"/>
                <w:lang w:val="en-GB"/>
              </w:rPr>
              <w:t>)</w:t>
            </w:r>
          </w:p>
        </w:tc>
        <w:tc>
          <w:tcPr>
            <w:tcW w:w="1670" w:type="dxa"/>
            <w:shd w:val="clear" w:color="auto" w:fill="auto"/>
            <w:tcMar>
              <w:top w:w="20" w:type="dxa"/>
              <w:left w:w="20" w:type="dxa"/>
              <w:bottom w:w="20" w:type="dxa"/>
              <w:right w:w="20" w:type="dxa"/>
            </w:tcMar>
          </w:tcPr>
          <w:p w14:paraId="7E8C71E9" w14:textId="303F3567" w:rsidR="000E403F" w:rsidRPr="00866B39" w:rsidRDefault="00FD6078">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1,450</w:t>
            </w:r>
          </w:p>
        </w:tc>
      </w:tr>
      <w:tr w:rsidR="000E403F" w:rsidRPr="00866B39" w14:paraId="400077C3" w14:textId="77777777" w:rsidTr="00241262">
        <w:trPr>
          <w:trHeight w:hRule="exact" w:val="94"/>
          <w:jc w:val="center"/>
        </w:trPr>
        <w:tc>
          <w:tcPr>
            <w:tcW w:w="1669" w:type="dxa"/>
            <w:shd w:val="clear" w:color="auto" w:fill="auto"/>
            <w:tcMar>
              <w:top w:w="20" w:type="dxa"/>
              <w:left w:w="20" w:type="dxa"/>
              <w:bottom w:w="20" w:type="dxa"/>
              <w:right w:w="20" w:type="dxa"/>
            </w:tcMar>
          </w:tcPr>
          <w:p w14:paraId="73A12A8A" w14:textId="77777777" w:rsidR="000E403F" w:rsidRPr="00B76332" w:rsidRDefault="000E403F" w:rsidP="000E403F">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669" w:type="dxa"/>
            <w:shd w:val="clear" w:color="auto" w:fill="auto"/>
            <w:tcMar>
              <w:top w:w="20" w:type="dxa"/>
              <w:left w:w="20" w:type="dxa"/>
              <w:bottom w:w="20" w:type="dxa"/>
              <w:right w:w="20" w:type="dxa"/>
            </w:tcMar>
          </w:tcPr>
          <w:p w14:paraId="08E9DB0F" w14:textId="77777777" w:rsidR="000E403F" w:rsidRPr="00B76332" w:rsidRDefault="000E403F" w:rsidP="000E403F">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670" w:type="dxa"/>
            <w:shd w:val="clear" w:color="auto" w:fill="auto"/>
            <w:tcMar>
              <w:top w:w="20" w:type="dxa"/>
              <w:left w:w="20" w:type="dxa"/>
              <w:bottom w:w="20" w:type="dxa"/>
              <w:right w:w="20" w:type="dxa"/>
            </w:tcMar>
          </w:tcPr>
          <w:p w14:paraId="0E8589B9" w14:textId="77777777" w:rsidR="000E403F" w:rsidRPr="00B76332" w:rsidRDefault="000E403F" w:rsidP="000E403F">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2194" w:type="dxa"/>
            <w:shd w:val="clear" w:color="auto" w:fill="auto"/>
            <w:tcMar>
              <w:top w:w="20" w:type="dxa"/>
              <w:left w:w="20" w:type="dxa"/>
              <w:bottom w:w="20" w:type="dxa"/>
              <w:right w:w="20" w:type="dxa"/>
            </w:tcMar>
          </w:tcPr>
          <w:p w14:paraId="34012552" w14:textId="77777777" w:rsidR="000E403F" w:rsidRPr="00B76332" w:rsidRDefault="000E403F" w:rsidP="000E403F">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669" w:type="dxa"/>
            <w:shd w:val="clear" w:color="auto" w:fill="auto"/>
            <w:tcMar>
              <w:top w:w="20" w:type="dxa"/>
              <w:left w:w="20" w:type="dxa"/>
              <w:bottom w:w="20" w:type="dxa"/>
              <w:right w:w="20" w:type="dxa"/>
            </w:tcMar>
          </w:tcPr>
          <w:p w14:paraId="2B018D96" w14:textId="77777777" w:rsidR="000E403F" w:rsidRPr="00866B39" w:rsidRDefault="000E403F" w:rsidP="000E403F">
            <w:pPr>
              <w:pStyle w:val="T1TableStyle"/>
              <w:jc w:val="center"/>
              <w:rPr>
                <w:rFonts w:ascii="Calibri" w:eastAsia="Calibri" w:hAnsi="Calibri" w:cs="Calibri"/>
                <w:color w:val="000000"/>
                <w:sz w:val="2"/>
                <w:lang w:val="en-GB"/>
              </w:rPr>
            </w:pPr>
          </w:p>
        </w:tc>
        <w:tc>
          <w:tcPr>
            <w:tcW w:w="1669" w:type="dxa"/>
            <w:shd w:val="clear" w:color="auto" w:fill="auto"/>
            <w:tcMar>
              <w:top w:w="20" w:type="dxa"/>
              <w:left w:w="20" w:type="dxa"/>
              <w:bottom w:w="20" w:type="dxa"/>
              <w:right w:w="20" w:type="dxa"/>
            </w:tcMar>
          </w:tcPr>
          <w:p w14:paraId="75A18250" w14:textId="77777777" w:rsidR="000E403F" w:rsidRPr="00866B39" w:rsidRDefault="000E403F" w:rsidP="000E403F">
            <w:pPr>
              <w:pStyle w:val="T1TableStyle"/>
              <w:jc w:val="center"/>
              <w:rPr>
                <w:rFonts w:ascii="Calibri" w:eastAsia="Calibri" w:hAnsi="Calibri" w:cs="Calibri"/>
                <w:color w:val="000000"/>
                <w:sz w:val="2"/>
                <w:lang w:val="en-GB"/>
              </w:rPr>
            </w:pPr>
          </w:p>
        </w:tc>
        <w:tc>
          <w:tcPr>
            <w:tcW w:w="1670" w:type="dxa"/>
            <w:shd w:val="clear" w:color="auto" w:fill="auto"/>
            <w:tcMar>
              <w:top w:w="20" w:type="dxa"/>
              <w:left w:w="20" w:type="dxa"/>
              <w:bottom w:w="20" w:type="dxa"/>
              <w:right w:w="20" w:type="dxa"/>
            </w:tcMar>
          </w:tcPr>
          <w:p w14:paraId="50113A90" w14:textId="77777777" w:rsidR="000E403F" w:rsidRPr="00866B39" w:rsidRDefault="000E403F" w:rsidP="000E403F">
            <w:pPr>
              <w:pStyle w:val="T1TableStyle"/>
              <w:jc w:val="center"/>
              <w:rPr>
                <w:rFonts w:ascii="Calibri" w:eastAsia="Calibri" w:hAnsi="Calibri" w:cs="Calibri"/>
                <w:color w:val="000000"/>
                <w:sz w:val="2"/>
                <w:lang w:val="en-GB"/>
              </w:rPr>
            </w:pPr>
          </w:p>
        </w:tc>
      </w:tr>
      <w:tr w:rsidR="000E403F" w:rsidRPr="00866B39" w14:paraId="5698AAD4" w14:textId="77777777" w:rsidTr="00241262">
        <w:trPr>
          <w:trHeight w:val="49"/>
          <w:jc w:val="center"/>
        </w:trPr>
        <w:tc>
          <w:tcPr>
            <w:tcW w:w="1669" w:type="dxa"/>
            <w:tcBorders>
              <w:top w:val="single" w:sz="2" w:space="0" w:color="000000"/>
              <w:bottom w:val="single" w:sz="12" w:space="0" w:color="000000"/>
            </w:tcBorders>
            <w:shd w:val="clear" w:color="auto" w:fill="auto"/>
            <w:tcMar>
              <w:top w:w="20" w:type="dxa"/>
              <w:left w:w="20" w:type="dxa"/>
              <w:bottom w:w="20" w:type="dxa"/>
              <w:right w:w="20" w:type="dxa"/>
            </w:tcMar>
          </w:tcPr>
          <w:p w14:paraId="6CFF3852" w14:textId="77777777" w:rsidR="000E403F" w:rsidRPr="00B76332" w:rsidRDefault="000E403F" w:rsidP="000E403F">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(2,248)</w:t>
            </w:r>
          </w:p>
        </w:tc>
        <w:tc>
          <w:tcPr>
            <w:tcW w:w="1669" w:type="dxa"/>
            <w:tcBorders>
              <w:top w:val="single" w:sz="2" w:space="0" w:color="000000"/>
              <w:bottom w:val="single" w:sz="12" w:space="0" w:color="000000"/>
            </w:tcBorders>
            <w:shd w:val="clear" w:color="auto" w:fill="auto"/>
            <w:tcMar>
              <w:top w:w="20" w:type="dxa"/>
              <w:left w:w="20" w:type="dxa"/>
              <w:bottom w:w="20" w:type="dxa"/>
              <w:right w:w="20" w:type="dxa"/>
            </w:tcMar>
          </w:tcPr>
          <w:p w14:paraId="1620A2BE" w14:textId="77777777" w:rsidR="000E403F" w:rsidRPr="00B76332" w:rsidRDefault="000E403F" w:rsidP="000E403F">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3,092</w:t>
            </w:r>
          </w:p>
        </w:tc>
        <w:tc>
          <w:tcPr>
            <w:tcW w:w="1670" w:type="dxa"/>
            <w:tcBorders>
              <w:top w:val="single" w:sz="2" w:space="0" w:color="000000"/>
              <w:bottom w:val="single" w:sz="12" w:space="0" w:color="000000"/>
            </w:tcBorders>
            <w:shd w:val="clear" w:color="auto" w:fill="auto"/>
            <w:tcMar>
              <w:top w:w="20" w:type="dxa"/>
              <w:left w:w="20" w:type="dxa"/>
              <w:bottom w:w="20" w:type="dxa"/>
              <w:right w:w="20" w:type="dxa"/>
            </w:tcMar>
          </w:tcPr>
          <w:p w14:paraId="7D101DB9" w14:textId="77777777" w:rsidR="000E403F" w:rsidRPr="00B76332" w:rsidRDefault="000E403F" w:rsidP="000E403F">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844</w:t>
            </w:r>
          </w:p>
          <w:p w14:paraId="6E514614" w14:textId="77777777" w:rsidR="000E403F" w:rsidRPr="00B76332" w:rsidRDefault="000E403F" w:rsidP="000E403F">
            <w:pPr>
              <w:pStyle w:val="T1TableStyle"/>
              <w:jc w:val="right"/>
              <w:rPr>
                <w:rFonts w:ascii="Verdana" w:eastAsia="Verdana" w:hAnsi="Verdana" w:cs="Verdana"/>
                <w:b/>
                <w:color w:val="000000"/>
                <w:sz w:val="16"/>
                <w:lang w:val="en-GB"/>
              </w:rPr>
            </w:pPr>
          </w:p>
        </w:tc>
        <w:tc>
          <w:tcPr>
            <w:tcW w:w="2194" w:type="dxa"/>
            <w:tcBorders>
              <w:top w:val="single" w:sz="2" w:space="0" w:color="000000"/>
              <w:bottom w:val="single" w:sz="12" w:space="0" w:color="000000"/>
            </w:tcBorders>
            <w:shd w:val="clear" w:color="auto" w:fill="auto"/>
            <w:tcMar>
              <w:top w:w="20" w:type="dxa"/>
              <w:left w:w="20" w:type="dxa"/>
              <w:bottom w:w="20" w:type="dxa"/>
              <w:right w:w="20" w:type="dxa"/>
            </w:tcMar>
          </w:tcPr>
          <w:p w14:paraId="3EFA617B" w14:textId="77777777" w:rsidR="000E403F" w:rsidRPr="00B76332" w:rsidRDefault="000E403F" w:rsidP="000E403F">
            <w:pPr>
              <w:pStyle w:val="T1TableStyle"/>
              <w:rPr>
                <w:rFonts w:ascii="Verdana" w:eastAsia="Verdana" w:hAnsi="Verdana" w:cs="Verdana"/>
                <w:b/>
                <w:color w:val="000000"/>
                <w:sz w:val="16"/>
                <w:lang w:val="en-GB"/>
              </w:rPr>
            </w:pPr>
            <w:r w:rsidRPr="00B76332">
              <w:rPr>
                <w:rFonts w:ascii="Verdana" w:eastAsia="Verdana" w:hAnsi="Verdana" w:cs="Verdana"/>
                <w:b/>
                <w:color w:val="000000"/>
                <w:sz w:val="16"/>
                <w:lang w:val="en-GB"/>
              </w:rPr>
              <w:t>(Surplus) or Deficit on Provision of Services</w:t>
            </w:r>
          </w:p>
        </w:tc>
        <w:tc>
          <w:tcPr>
            <w:tcW w:w="1669" w:type="dxa"/>
            <w:tcBorders>
              <w:top w:val="single" w:sz="2" w:space="0" w:color="000000"/>
              <w:bottom w:val="single" w:sz="12" w:space="0" w:color="000000"/>
            </w:tcBorders>
            <w:shd w:val="clear" w:color="auto" w:fill="auto"/>
            <w:tcMar>
              <w:top w:w="20" w:type="dxa"/>
              <w:left w:w="20" w:type="dxa"/>
              <w:bottom w:w="20" w:type="dxa"/>
              <w:right w:w="20" w:type="dxa"/>
            </w:tcMar>
          </w:tcPr>
          <w:p w14:paraId="267A7B09" w14:textId="3BCCF07B" w:rsidR="000E403F" w:rsidRPr="00866B39" w:rsidRDefault="00866B39">
            <w:pPr>
              <w:pStyle w:val="T1TableStyle"/>
              <w:jc w:val="right"/>
              <w:rPr>
                <w:rFonts w:ascii="Verdana" w:eastAsia="Verdana" w:hAnsi="Verdana" w:cs="Verdana"/>
                <w:b/>
                <w:color w:val="000000"/>
                <w:sz w:val="16"/>
                <w:lang w:val="en-GB"/>
              </w:rPr>
            </w:pPr>
            <w:r w:rsidRPr="00866B39">
              <w:rPr>
                <w:rFonts w:ascii="Verdana" w:eastAsia="Verdana" w:hAnsi="Verdana" w:cs="Verdana"/>
                <w:b/>
                <w:color w:val="000000"/>
                <w:sz w:val="16"/>
                <w:lang w:val="en-GB"/>
              </w:rPr>
              <w:t>(</w:t>
            </w:r>
            <w:r w:rsidR="00FD6078">
              <w:rPr>
                <w:rFonts w:ascii="Verdana" w:eastAsia="Verdana" w:hAnsi="Verdana" w:cs="Verdana"/>
                <w:b/>
                <w:color w:val="000000"/>
                <w:sz w:val="16"/>
                <w:lang w:val="en-GB"/>
              </w:rPr>
              <w:t>263</w:t>
            </w:r>
            <w:r w:rsidR="00460206" w:rsidRPr="00866B39">
              <w:rPr>
                <w:rFonts w:ascii="Verdana" w:eastAsia="Verdana" w:hAnsi="Verdana" w:cs="Verdana"/>
                <w:b/>
                <w:color w:val="000000"/>
                <w:sz w:val="16"/>
                <w:lang w:val="en-GB"/>
              </w:rPr>
              <w:t>)</w:t>
            </w:r>
          </w:p>
        </w:tc>
        <w:tc>
          <w:tcPr>
            <w:tcW w:w="1669" w:type="dxa"/>
            <w:tcBorders>
              <w:top w:val="single" w:sz="2" w:space="0" w:color="000000"/>
              <w:bottom w:val="single" w:sz="12" w:space="0" w:color="000000"/>
            </w:tcBorders>
            <w:shd w:val="clear" w:color="auto" w:fill="auto"/>
            <w:tcMar>
              <w:top w:w="20" w:type="dxa"/>
              <w:left w:w="20" w:type="dxa"/>
              <w:bottom w:w="20" w:type="dxa"/>
              <w:right w:w="20" w:type="dxa"/>
            </w:tcMar>
          </w:tcPr>
          <w:p w14:paraId="43CEC975" w14:textId="690D57F5" w:rsidR="000E403F" w:rsidRPr="00866B39" w:rsidRDefault="00042EEB">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w:t>
            </w:r>
            <w:r w:rsidR="00692F04" w:rsidRPr="00866B39">
              <w:rPr>
                <w:rFonts w:ascii="Verdana" w:eastAsia="Verdana" w:hAnsi="Verdana" w:cs="Verdana"/>
                <w:b/>
                <w:color w:val="000000"/>
                <w:sz w:val="16"/>
                <w:lang w:val="en-GB"/>
              </w:rPr>
              <w:t>,</w:t>
            </w:r>
            <w:r>
              <w:rPr>
                <w:rFonts w:ascii="Verdana" w:eastAsia="Verdana" w:hAnsi="Verdana" w:cs="Verdana"/>
                <w:b/>
                <w:color w:val="000000"/>
                <w:sz w:val="16"/>
                <w:lang w:val="en-GB"/>
              </w:rPr>
              <w:t>307</w:t>
            </w:r>
          </w:p>
        </w:tc>
        <w:tc>
          <w:tcPr>
            <w:tcW w:w="1670" w:type="dxa"/>
            <w:tcBorders>
              <w:top w:val="single" w:sz="2" w:space="0" w:color="000000"/>
              <w:bottom w:val="single" w:sz="12" w:space="0" w:color="000000"/>
            </w:tcBorders>
            <w:shd w:val="clear" w:color="auto" w:fill="auto"/>
            <w:tcMar>
              <w:top w:w="20" w:type="dxa"/>
              <w:left w:w="20" w:type="dxa"/>
              <w:bottom w:w="20" w:type="dxa"/>
              <w:right w:w="20" w:type="dxa"/>
            </w:tcMar>
          </w:tcPr>
          <w:p w14:paraId="6F136864" w14:textId="1B600B0A" w:rsidR="000E403F" w:rsidRPr="00866B39" w:rsidRDefault="00FD6078">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4,044</w:t>
            </w:r>
          </w:p>
        </w:tc>
      </w:tr>
      <w:tr w:rsidR="000E403F" w:rsidRPr="00B76332" w14:paraId="5F07A330" w14:textId="77777777" w:rsidTr="00241262">
        <w:trPr>
          <w:trHeight w:hRule="exact" w:val="104"/>
          <w:jc w:val="center"/>
        </w:trPr>
        <w:tc>
          <w:tcPr>
            <w:tcW w:w="1669" w:type="dxa"/>
            <w:shd w:val="clear" w:color="auto" w:fill="auto"/>
            <w:tcMar>
              <w:top w:w="20" w:type="dxa"/>
              <w:left w:w="20" w:type="dxa"/>
              <w:bottom w:w="20" w:type="dxa"/>
              <w:right w:w="20" w:type="dxa"/>
            </w:tcMar>
          </w:tcPr>
          <w:p w14:paraId="39DE7370" w14:textId="77777777" w:rsidR="000E403F" w:rsidRPr="00B76332" w:rsidRDefault="000E403F" w:rsidP="000E403F">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669" w:type="dxa"/>
            <w:shd w:val="clear" w:color="auto" w:fill="auto"/>
            <w:tcMar>
              <w:top w:w="20" w:type="dxa"/>
              <w:left w:w="20" w:type="dxa"/>
              <w:bottom w:w="20" w:type="dxa"/>
              <w:right w:w="20" w:type="dxa"/>
            </w:tcMar>
          </w:tcPr>
          <w:p w14:paraId="25FF6329" w14:textId="77777777" w:rsidR="000E403F" w:rsidRPr="00B76332" w:rsidRDefault="000E403F" w:rsidP="000E403F">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670" w:type="dxa"/>
            <w:shd w:val="clear" w:color="auto" w:fill="auto"/>
            <w:tcMar>
              <w:top w:w="20" w:type="dxa"/>
              <w:left w:w="20" w:type="dxa"/>
              <w:bottom w:w="20" w:type="dxa"/>
              <w:right w:w="20" w:type="dxa"/>
            </w:tcMar>
          </w:tcPr>
          <w:p w14:paraId="518BDCB5" w14:textId="77777777" w:rsidR="000E403F" w:rsidRPr="00B76332" w:rsidRDefault="000E403F" w:rsidP="000E403F">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2194" w:type="dxa"/>
            <w:shd w:val="clear" w:color="auto" w:fill="auto"/>
            <w:tcMar>
              <w:top w:w="20" w:type="dxa"/>
              <w:left w:w="20" w:type="dxa"/>
              <w:bottom w:w="20" w:type="dxa"/>
              <w:right w:w="20" w:type="dxa"/>
            </w:tcMar>
          </w:tcPr>
          <w:p w14:paraId="7D9EEA29" w14:textId="77777777" w:rsidR="000E403F" w:rsidRPr="00B76332" w:rsidRDefault="000E403F" w:rsidP="000E403F">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669" w:type="dxa"/>
            <w:shd w:val="clear" w:color="auto" w:fill="auto"/>
            <w:tcMar>
              <w:top w:w="20" w:type="dxa"/>
              <w:left w:w="20" w:type="dxa"/>
              <w:bottom w:w="20" w:type="dxa"/>
              <w:right w:w="20" w:type="dxa"/>
            </w:tcMar>
          </w:tcPr>
          <w:p w14:paraId="548A2200" w14:textId="77777777" w:rsidR="000E403F" w:rsidRPr="00B76332" w:rsidRDefault="000E403F" w:rsidP="000E403F">
            <w:pPr>
              <w:pStyle w:val="T1TableStyle"/>
              <w:jc w:val="center"/>
              <w:rPr>
                <w:rFonts w:ascii="Calibri" w:eastAsia="Calibri" w:hAnsi="Calibri" w:cs="Calibri"/>
                <w:color w:val="000000"/>
                <w:sz w:val="2"/>
                <w:lang w:val="en-GB"/>
              </w:rPr>
            </w:pPr>
          </w:p>
        </w:tc>
        <w:tc>
          <w:tcPr>
            <w:tcW w:w="1669" w:type="dxa"/>
            <w:shd w:val="clear" w:color="auto" w:fill="auto"/>
            <w:tcMar>
              <w:top w:w="20" w:type="dxa"/>
              <w:left w:w="20" w:type="dxa"/>
              <w:bottom w:w="20" w:type="dxa"/>
              <w:right w:w="20" w:type="dxa"/>
            </w:tcMar>
          </w:tcPr>
          <w:p w14:paraId="5247449F" w14:textId="77777777" w:rsidR="000E403F" w:rsidRPr="00B76332" w:rsidRDefault="000E403F" w:rsidP="000E403F">
            <w:pPr>
              <w:pStyle w:val="T1TableStyle"/>
              <w:jc w:val="center"/>
              <w:rPr>
                <w:rFonts w:ascii="Calibri" w:eastAsia="Calibri" w:hAnsi="Calibri" w:cs="Calibri"/>
                <w:color w:val="000000"/>
                <w:sz w:val="2"/>
                <w:lang w:val="en-GB"/>
              </w:rPr>
            </w:pPr>
          </w:p>
        </w:tc>
        <w:tc>
          <w:tcPr>
            <w:tcW w:w="1670" w:type="dxa"/>
            <w:shd w:val="clear" w:color="auto" w:fill="auto"/>
            <w:tcMar>
              <w:top w:w="20" w:type="dxa"/>
              <w:left w:w="20" w:type="dxa"/>
              <w:bottom w:w="20" w:type="dxa"/>
              <w:right w:w="20" w:type="dxa"/>
            </w:tcMar>
          </w:tcPr>
          <w:p w14:paraId="132073D0" w14:textId="77777777" w:rsidR="000E403F" w:rsidRPr="00B76332" w:rsidRDefault="000E403F" w:rsidP="000E403F">
            <w:pPr>
              <w:pStyle w:val="T1TableStyle"/>
              <w:jc w:val="center"/>
              <w:rPr>
                <w:rFonts w:ascii="Calibri" w:eastAsia="Calibri" w:hAnsi="Calibri" w:cs="Calibri"/>
                <w:color w:val="000000"/>
                <w:sz w:val="2"/>
                <w:lang w:val="en-GB"/>
              </w:rPr>
            </w:pPr>
          </w:p>
        </w:tc>
      </w:tr>
      <w:tr w:rsidR="000E403F" w:rsidRPr="00B76332" w14:paraId="7AEED498" w14:textId="77777777" w:rsidTr="00241262">
        <w:trPr>
          <w:trHeight w:val="127"/>
          <w:jc w:val="center"/>
        </w:trPr>
        <w:tc>
          <w:tcPr>
            <w:tcW w:w="1669" w:type="dxa"/>
            <w:shd w:val="clear" w:color="auto" w:fill="auto"/>
            <w:tcMar>
              <w:top w:w="20" w:type="dxa"/>
              <w:left w:w="20" w:type="dxa"/>
              <w:bottom w:w="20" w:type="dxa"/>
              <w:right w:w="20" w:type="dxa"/>
            </w:tcMar>
          </w:tcPr>
          <w:p w14:paraId="430C6438" w14:textId="77777777"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(17,253)</w:t>
            </w:r>
          </w:p>
        </w:tc>
        <w:tc>
          <w:tcPr>
            <w:tcW w:w="1669" w:type="dxa"/>
            <w:shd w:val="clear" w:color="auto" w:fill="auto"/>
            <w:tcMar>
              <w:top w:w="20" w:type="dxa"/>
              <w:left w:w="20" w:type="dxa"/>
              <w:bottom w:w="20" w:type="dxa"/>
              <w:right w:w="20" w:type="dxa"/>
            </w:tcMar>
          </w:tcPr>
          <w:p w14:paraId="4D6D94E1" w14:textId="77777777" w:rsidR="000E403F" w:rsidRPr="00B76332" w:rsidRDefault="000E403F" w:rsidP="000E403F">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670" w:type="dxa"/>
            <w:shd w:val="clear" w:color="auto" w:fill="auto"/>
            <w:tcMar>
              <w:top w:w="20" w:type="dxa"/>
              <w:left w:w="20" w:type="dxa"/>
              <w:bottom w:w="20" w:type="dxa"/>
              <w:right w:w="20" w:type="dxa"/>
            </w:tcMar>
          </w:tcPr>
          <w:p w14:paraId="7FF56216" w14:textId="77777777" w:rsidR="000E403F" w:rsidRPr="00B76332" w:rsidRDefault="000E403F" w:rsidP="000E403F">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2194" w:type="dxa"/>
            <w:shd w:val="clear" w:color="auto" w:fill="auto"/>
            <w:tcMar>
              <w:top w:w="20" w:type="dxa"/>
              <w:left w:w="20" w:type="dxa"/>
              <w:bottom w:w="20" w:type="dxa"/>
              <w:right w:w="20" w:type="dxa"/>
            </w:tcMar>
            <w:vAlign w:val="center"/>
          </w:tcPr>
          <w:p w14:paraId="03C0EAD8" w14:textId="77777777" w:rsidR="000E403F" w:rsidRPr="00B76332" w:rsidRDefault="000E403F" w:rsidP="000E403F">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Opening Combined General Fund Balance</w:t>
            </w:r>
          </w:p>
        </w:tc>
        <w:tc>
          <w:tcPr>
            <w:tcW w:w="1669" w:type="dxa"/>
            <w:shd w:val="clear" w:color="auto" w:fill="auto"/>
            <w:tcMar>
              <w:top w:w="20" w:type="dxa"/>
              <w:left w:w="20" w:type="dxa"/>
              <w:bottom w:w="20" w:type="dxa"/>
              <w:right w:w="20" w:type="dxa"/>
            </w:tcMar>
          </w:tcPr>
          <w:p w14:paraId="1AFE15E5" w14:textId="77777777" w:rsidR="000E403F" w:rsidRPr="00692F04" w:rsidRDefault="0040495E" w:rsidP="00382149">
            <w:pPr>
              <w:pStyle w:val="T1TableStyle"/>
              <w:jc w:val="right"/>
              <w:rPr>
                <w:rFonts w:ascii="Verdana" w:eastAsia="Verdana" w:hAnsi="Verdana" w:cs="Verdana"/>
                <w:color w:val="000000"/>
                <w:sz w:val="16"/>
                <w:lang w:val="en-GB"/>
              </w:rPr>
            </w:pPr>
            <w:r w:rsidRPr="00692F04">
              <w:rPr>
                <w:rFonts w:ascii="Verdana" w:eastAsia="Verdana" w:hAnsi="Verdana" w:cs="Verdana"/>
                <w:color w:val="000000"/>
                <w:sz w:val="16"/>
                <w:lang w:val="en-GB"/>
              </w:rPr>
              <w:t>(</w:t>
            </w:r>
            <w:r w:rsidR="00692F04" w:rsidRPr="00692F04">
              <w:rPr>
                <w:rFonts w:ascii="Verdana" w:eastAsia="Verdana" w:hAnsi="Verdana" w:cs="Verdana"/>
                <w:color w:val="000000"/>
                <w:sz w:val="16"/>
                <w:lang w:val="en-GB"/>
              </w:rPr>
              <w:t>19,501</w:t>
            </w:r>
            <w:r w:rsidRPr="00692F04">
              <w:rPr>
                <w:rFonts w:ascii="Verdana" w:eastAsia="Verdana" w:hAnsi="Verdana" w:cs="Verdana"/>
                <w:color w:val="000000"/>
                <w:sz w:val="16"/>
                <w:lang w:val="en-GB"/>
              </w:rPr>
              <w:t>)</w:t>
            </w:r>
          </w:p>
        </w:tc>
        <w:tc>
          <w:tcPr>
            <w:tcW w:w="1669" w:type="dxa"/>
            <w:shd w:val="clear" w:color="auto" w:fill="auto"/>
            <w:tcMar>
              <w:top w:w="20" w:type="dxa"/>
              <w:left w:w="20" w:type="dxa"/>
              <w:bottom w:w="20" w:type="dxa"/>
              <w:right w:w="20" w:type="dxa"/>
            </w:tcMar>
          </w:tcPr>
          <w:p w14:paraId="209AB93A" w14:textId="77777777" w:rsidR="000E403F" w:rsidRPr="00692F04" w:rsidRDefault="000E403F" w:rsidP="000E403F">
            <w:pPr>
              <w:pStyle w:val="T1TableStyle"/>
              <w:jc w:val="center"/>
              <w:rPr>
                <w:rFonts w:ascii="Verdana" w:eastAsia="Verdana" w:hAnsi="Verdana" w:cs="Verdana"/>
                <w:color w:val="000000"/>
                <w:sz w:val="2"/>
                <w:lang w:val="en-GB"/>
              </w:rPr>
            </w:pPr>
          </w:p>
        </w:tc>
        <w:tc>
          <w:tcPr>
            <w:tcW w:w="1670" w:type="dxa"/>
            <w:shd w:val="clear" w:color="auto" w:fill="auto"/>
            <w:tcMar>
              <w:top w:w="20" w:type="dxa"/>
              <w:left w:w="20" w:type="dxa"/>
              <w:bottom w:w="20" w:type="dxa"/>
              <w:right w:w="20" w:type="dxa"/>
            </w:tcMar>
          </w:tcPr>
          <w:p w14:paraId="6AC0A109" w14:textId="77777777" w:rsidR="000E403F" w:rsidRPr="00B76332" w:rsidRDefault="000E403F" w:rsidP="000E403F">
            <w:pPr>
              <w:pStyle w:val="T1TableStyle"/>
              <w:jc w:val="center"/>
              <w:rPr>
                <w:rFonts w:ascii="Verdana" w:eastAsia="Verdana" w:hAnsi="Verdana" w:cs="Verdana"/>
                <w:color w:val="000000"/>
                <w:sz w:val="2"/>
                <w:lang w:val="en-GB"/>
              </w:rPr>
            </w:pPr>
          </w:p>
        </w:tc>
      </w:tr>
      <w:tr w:rsidR="000E403F" w:rsidRPr="00B76332" w14:paraId="332E31D3" w14:textId="77777777" w:rsidTr="00241262">
        <w:trPr>
          <w:trHeight w:val="54"/>
          <w:jc w:val="center"/>
        </w:trPr>
        <w:tc>
          <w:tcPr>
            <w:tcW w:w="1669" w:type="dxa"/>
            <w:shd w:val="clear" w:color="auto" w:fill="auto"/>
            <w:tcMar>
              <w:top w:w="20" w:type="dxa"/>
              <w:left w:w="20" w:type="dxa"/>
              <w:bottom w:w="20" w:type="dxa"/>
              <w:right w:w="20" w:type="dxa"/>
            </w:tcMar>
          </w:tcPr>
          <w:p w14:paraId="5BB3EA76" w14:textId="2704EAB1" w:rsidR="000E403F" w:rsidRPr="00B76332" w:rsidRDefault="000E403F" w:rsidP="000E403F">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(2,248)</w:t>
            </w:r>
          </w:p>
        </w:tc>
        <w:tc>
          <w:tcPr>
            <w:tcW w:w="1669" w:type="dxa"/>
            <w:shd w:val="clear" w:color="auto" w:fill="auto"/>
            <w:tcMar>
              <w:top w:w="20" w:type="dxa"/>
              <w:left w:w="20" w:type="dxa"/>
              <w:bottom w:w="20" w:type="dxa"/>
              <w:right w:w="20" w:type="dxa"/>
            </w:tcMar>
          </w:tcPr>
          <w:p w14:paraId="20369174" w14:textId="77777777" w:rsidR="000E403F" w:rsidRPr="00B76332" w:rsidRDefault="000E403F" w:rsidP="000E403F">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670" w:type="dxa"/>
            <w:shd w:val="clear" w:color="auto" w:fill="auto"/>
            <w:tcMar>
              <w:top w:w="20" w:type="dxa"/>
              <w:left w:w="20" w:type="dxa"/>
              <w:bottom w:w="20" w:type="dxa"/>
              <w:right w:w="20" w:type="dxa"/>
            </w:tcMar>
          </w:tcPr>
          <w:p w14:paraId="6876C7C9" w14:textId="77777777" w:rsidR="000E403F" w:rsidRPr="00B76332" w:rsidRDefault="000E403F" w:rsidP="000E403F">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2194" w:type="dxa"/>
            <w:shd w:val="clear" w:color="auto" w:fill="auto"/>
            <w:tcMar>
              <w:top w:w="20" w:type="dxa"/>
              <w:left w:w="20" w:type="dxa"/>
              <w:bottom w:w="20" w:type="dxa"/>
              <w:right w:w="20" w:type="dxa"/>
            </w:tcMar>
            <w:vAlign w:val="center"/>
          </w:tcPr>
          <w:p w14:paraId="2FDB5026" w14:textId="205AD2A4" w:rsidR="000E403F" w:rsidRPr="00B76332" w:rsidRDefault="000E403F" w:rsidP="00241262">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 xml:space="preserve">Plus/less </w:t>
            </w:r>
            <w:r w:rsidR="00241262">
              <w:rPr>
                <w:rFonts w:ascii="Verdana" w:eastAsia="Verdana" w:hAnsi="Verdana" w:cs="Verdana"/>
                <w:color w:val="000000"/>
                <w:sz w:val="16"/>
                <w:lang w:val="en-GB"/>
              </w:rPr>
              <w:t>(</w:t>
            </w:r>
            <w:r w:rsidRPr="00B76332">
              <w:rPr>
                <w:rFonts w:ascii="Verdana" w:eastAsia="Verdana" w:hAnsi="Verdana" w:cs="Verdana"/>
                <w:color w:val="000000"/>
                <w:sz w:val="16"/>
                <w:lang w:val="en-GB"/>
              </w:rPr>
              <w:t>Surplus</w:t>
            </w:r>
            <w:r w:rsidR="00241262">
              <w:rPr>
                <w:rFonts w:ascii="Verdana" w:eastAsia="Verdana" w:hAnsi="Verdana" w:cs="Verdana"/>
                <w:color w:val="000000"/>
                <w:sz w:val="16"/>
                <w:lang w:val="en-GB"/>
              </w:rPr>
              <w:t>)</w:t>
            </w:r>
            <w:r w:rsidRPr="00B76332">
              <w:rPr>
                <w:rFonts w:ascii="Verdana" w:eastAsia="Verdana" w:hAnsi="Verdana" w:cs="Verdana"/>
                <w:color w:val="000000"/>
                <w:sz w:val="16"/>
                <w:lang w:val="en-GB"/>
              </w:rPr>
              <w:t xml:space="preserve"> or Deficit on the General Fund Balance for the Year (Statutory basis)</w:t>
            </w:r>
          </w:p>
        </w:tc>
        <w:tc>
          <w:tcPr>
            <w:tcW w:w="1669" w:type="dxa"/>
            <w:shd w:val="clear" w:color="auto" w:fill="auto"/>
            <w:tcMar>
              <w:top w:w="20" w:type="dxa"/>
              <w:left w:w="20" w:type="dxa"/>
              <w:bottom w:w="20" w:type="dxa"/>
              <w:right w:w="20" w:type="dxa"/>
            </w:tcMar>
          </w:tcPr>
          <w:p w14:paraId="0B9E8B63" w14:textId="263F0EC0" w:rsidR="000E403F" w:rsidRPr="00866B39" w:rsidRDefault="00866B39">
            <w:pPr>
              <w:pStyle w:val="T1TableStyle"/>
              <w:jc w:val="right"/>
              <w:rPr>
                <w:rFonts w:ascii="Verdana" w:eastAsia="Verdana" w:hAnsi="Verdana" w:cs="Verdana"/>
                <w:color w:val="000000"/>
                <w:sz w:val="16"/>
                <w:lang w:val="en-GB"/>
              </w:rPr>
            </w:pPr>
            <w:r w:rsidRPr="00866B39">
              <w:rPr>
                <w:rFonts w:ascii="Verdana" w:eastAsia="Verdana" w:hAnsi="Verdana" w:cs="Verdana"/>
                <w:color w:val="000000"/>
                <w:sz w:val="16"/>
                <w:lang w:val="en-GB"/>
              </w:rPr>
              <w:t>(</w:t>
            </w:r>
            <w:r w:rsidR="00FD6078">
              <w:rPr>
                <w:rFonts w:ascii="Verdana" w:eastAsia="Verdana" w:hAnsi="Verdana" w:cs="Verdana"/>
                <w:color w:val="000000"/>
                <w:sz w:val="16"/>
                <w:lang w:val="en-GB"/>
              </w:rPr>
              <w:t>263</w:t>
            </w:r>
            <w:r w:rsidRPr="00866B39">
              <w:rPr>
                <w:rFonts w:ascii="Verdana" w:eastAsia="Verdana" w:hAnsi="Verdana" w:cs="Verdana"/>
                <w:color w:val="000000"/>
                <w:sz w:val="16"/>
                <w:lang w:val="en-GB"/>
              </w:rPr>
              <w:t>)</w:t>
            </w:r>
          </w:p>
        </w:tc>
        <w:tc>
          <w:tcPr>
            <w:tcW w:w="1669" w:type="dxa"/>
            <w:shd w:val="clear" w:color="auto" w:fill="auto"/>
            <w:tcMar>
              <w:top w:w="20" w:type="dxa"/>
              <w:left w:w="20" w:type="dxa"/>
              <w:bottom w:w="20" w:type="dxa"/>
              <w:right w:w="20" w:type="dxa"/>
            </w:tcMar>
          </w:tcPr>
          <w:p w14:paraId="5C5616AD" w14:textId="77777777" w:rsidR="000E403F" w:rsidRPr="00866B39" w:rsidRDefault="000E403F" w:rsidP="000E403F">
            <w:pPr>
              <w:pStyle w:val="T1TableStyle"/>
              <w:jc w:val="center"/>
              <w:rPr>
                <w:rFonts w:ascii="Calibri" w:eastAsia="Calibri" w:hAnsi="Calibri" w:cs="Calibri"/>
                <w:color w:val="000000"/>
                <w:sz w:val="2"/>
                <w:lang w:val="en-GB"/>
              </w:rPr>
            </w:pPr>
          </w:p>
        </w:tc>
        <w:tc>
          <w:tcPr>
            <w:tcW w:w="1670" w:type="dxa"/>
            <w:shd w:val="clear" w:color="auto" w:fill="auto"/>
            <w:tcMar>
              <w:top w:w="20" w:type="dxa"/>
              <w:left w:w="20" w:type="dxa"/>
              <w:bottom w:w="20" w:type="dxa"/>
              <w:right w:w="20" w:type="dxa"/>
            </w:tcMar>
          </w:tcPr>
          <w:p w14:paraId="6DB0D026" w14:textId="77777777" w:rsidR="000E403F" w:rsidRPr="00B76332" w:rsidRDefault="000E403F" w:rsidP="000E403F">
            <w:pPr>
              <w:pStyle w:val="T1TableStyle"/>
              <w:jc w:val="center"/>
              <w:rPr>
                <w:rFonts w:ascii="Calibri" w:eastAsia="Calibri" w:hAnsi="Calibri" w:cs="Calibri"/>
                <w:color w:val="000000"/>
                <w:sz w:val="2"/>
                <w:lang w:val="en-GB"/>
              </w:rPr>
            </w:pPr>
          </w:p>
        </w:tc>
      </w:tr>
      <w:tr w:rsidR="000E403F" w:rsidRPr="003516A4" w14:paraId="443E4767" w14:textId="77777777" w:rsidTr="00241262">
        <w:trPr>
          <w:trHeight w:val="49"/>
          <w:jc w:val="center"/>
        </w:trPr>
        <w:tc>
          <w:tcPr>
            <w:tcW w:w="166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8ED7CE1" w14:textId="77777777" w:rsidR="000E403F" w:rsidRPr="00B76332" w:rsidRDefault="000E403F" w:rsidP="000E403F">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(19,501)</w:t>
            </w:r>
          </w:p>
        </w:tc>
        <w:tc>
          <w:tcPr>
            <w:tcW w:w="1669" w:type="dxa"/>
            <w:shd w:val="clear" w:color="auto" w:fill="auto"/>
            <w:tcMar>
              <w:top w:w="20" w:type="dxa"/>
              <w:left w:w="20" w:type="dxa"/>
              <w:bottom w:w="20" w:type="dxa"/>
              <w:right w:w="20" w:type="dxa"/>
            </w:tcMar>
          </w:tcPr>
          <w:p w14:paraId="19DC8BF9" w14:textId="77777777" w:rsidR="000E403F" w:rsidRPr="00B76332" w:rsidRDefault="000E403F" w:rsidP="000E403F">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1670" w:type="dxa"/>
            <w:shd w:val="clear" w:color="auto" w:fill="auto"/>
            <w:tcMar>
              <w:top w:w="20" w:type="dxa"/>
              <w:left w:w="20" w:type="dxa"/>
              <w:bottom w:w="20" w:type="dxa"/>
              <w:right w:w="20" w:type="dxa"/>
            </w:tcMar>
          </w:tcPr>
          <w:p w14:paraId="3CF286D4" w14:textId="77777777" w:rsidR="000E403F" w:rsidRPr="00B76332" w:rsidRDefault="000E403F" w:rsidP="000E403F">
            <w:pPr>
              <w:pStyle w:val="T1TableStyle"/>
              <w:jc w:val="center"/>
              <w:rPr>
                <w:rFonts w:ascii="Calibri" w:eastAsia="Calibri" w:hAnsi="Calibri" w:cs="Calibri"/>
                <w:color w:val="000000"/>
                <w:sz w:val="2"/>
                <w:lang w:val="en-GB"/>
              </w:rPr>
            </w:pPr>
            <w:r w:rsidRPr="00B76332">
              <w:rPr>
                <w:rFonts w:ascii="Calibri" w:eastAsia="Calibri" w:hAnsi="Calibri" w:cs="Calibri"/>
                <w:color w:val="000000"/>
                <w:sz w:val="2"/>
                <w:lang w:val="en-GB"/>
              </w:rPr>
              <w:t xml:space="preserve"> </w:t>
            </w:r>
          </w:p>
        </w:tc>
        <w:tc>
          <w:tcPr>
            <w:tcW w:w="219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F2B55C6" w14:textId="77777777" w:rsidR="000E403F" w:rsidRPr="00B76332" w:rsidRDefault="000E403F" w:rsidP="000E403F">
            <w:pPr>
              <w:pStyle w:val="T1TableStyle"/>
              <w:rPr>
                <w:rFonts w:ascii="Verdana" w:eastAsia="Verdana" w:hAnsi="Verdana" w:cs="Verdana"/>
                <w:b/>
                <w:color w:val="000000"/>
                <w:sz w:val="16"/>
                <w:lang w:val="en-GB"/>
              </w:rPr>
            </w:pPr>
            <w:r w:rsidRPr="00B76332">
              <w:rPr>
                <w:rFonts w:ascii="Verdana" w:eastAsia="Verdana" w:hAnsi="Verdana" w:cs="Verdana"/>
                <w:b/>
                <w:color w:val="000000"/>
                <w:sz w:val="16"/>
                <w:lang w:val="en-GB"/>
              </w:rPr>
              <w:t>Closing Combined General Fund Balance</w:t>
            </w:r>
          </w:p>
        </w:tc>
        <w:tc>
          <w:tcPr>
            <w:tcW w:w="166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C864FD6" w14:textId="21971495" w:rsidR="000E403F" w:rsidRPr="00866B39" w:rsidRDefault="0040495E">
            <w:pPr>
              <w:pStyle w:val="T1TableStyle"/>
              <w:jc w:val="right"/>
              <w:rPr>
                <w:rFonts w:ascii="Verdana" w:eastAsia="Verdana" w:hAnsi="Verdana" w:cs="Verdana"/>
                <w:b/>
                <w:color w:val="000000"/>
                <w:sz w:val="16"/>
                <w:lang w:val="en-GB"/>
              </w:rPr>
            </w:pPr>
            <w:r w:rsidRPr="00866B39">
              <w:rPr>
                <w:rFonts w:ascii="Verdana" w:eastAsia="Verdana" w:hAnsi="Verdana" w:cs="Verdana"/>
                <w:b/>
                <w:color w:val="000000"/>
                <w:sz w:val="16"/>
                <w:lang w:val="en-GB"/>
              </w:rPr>
              <w:t>(</w:t>
            </w:r>
            <w:r w:rsidR="00FD6078">
              <w:rPr>
                <w:rFonts w:ascii="Verdana" w:eastAsia="Verdana" w:hAnsi="Verdana" w:cs="Verdana"/>
                <w:b/>
                <w:color w:val="000000"/>
                <w:sz w:val="16"/>
                <w:lang w:val="en-GB"/>
              </w:rPr>
              <w:t>19,764</w:t>
            </w:r>
            <w:r w:rsidRPr="00866B39">
              <w:rPr>
                <w:rFonts w:ascii="Verdana" w:eastAsia="Verdana" w:hAnsi="Verdana" w:cs="Verdana"/>
                <w:b/>
                <w:color w:val="000000"/>
                <w:sz w:val="16"/>
                <w:lang w:val="en-GB"/>
              </w:rPr>
              <w:t>)</w:t>
            </w:r>
          </w:p>
        </w:tc>
        <w:tc>
          <w:tcPr>
            <w:tcW w:w="1669" w:type="dxa"/>
            <w:shd w:val="clear" w:color="auto" w:fill="auto"/>
            <w:tcMar>
              <w:top w:w="20" w:type="dxa"/>
              <w:left w:w="20" w:type="dxa"/>
              <w:bottom w:w="20" w:type="dxa"/>
              <w:right w:w="20" w:type="dxa"/>
            </w:tcMar>
          </w:tcPr>
          <w:p w14:paraId="47B1CCD0" w14:textId="77777777" w:rsidR="000E403F" w:rsidRPr="00866B39" w:rsidRDefault="000E403F" w:rsidP="000E403F">
            <w:pPr>
              <w:pStyle w:val="T1TableStyle"/>
              <w:jc w:val="center"/>
              <w:rPr>
                <w:rFonts w:ascii="Calibri" w:eastAsia="Calibri" w:hAnsi="Calibri" w:cs="Calibri"/>
                <w:color w:val="000000"/>
                <w:sz w:val="2"/>
                <w:lang w:val="en-GB"/>
              </w:rPr>
            </w:pPr>
          </w:p>
        </w:tc>
        <w:tc>
          <w:tcPr>
            <w:tcW w:w="1670" w:type="dxa"/>
            <w:shd w:val="clear" w:color="auto" w:fill="auto"/>
            <w:tcMar>
              <w:top w:w="20" w:type="dxa"/>
              <w:left w:w="20" w:type="dxa"/>
              <w:bottom w:w="20" w:type="dxa"/>
              <w:right w:w="20" w:type="dxa"/>
            </w:tcMar>
          </w:tcPr>
          <w:p w14:paraId="0B0B1C03" w14:textId="77777777" w:rsidR="000E403F" w:rsidRPr="00B76332" w:rsidRDefault="000E403F" w:rsidP="000E403F">
            <w:pPr>
              <w:pStyle w:val="T1TableStyle"/>
              <w:jc w:val="center"/>
              <w:rPr>
                <w:rFonts w:ascii="Calibri" w:eastAsia="Calibri" w:hAnsi="Calibri" w:cs="Calibri"/>
                <w:color w:val="000000"/>
                <w:sz w:val="2"/>
                <w:lang w:val="en-GB"/>
              </w:rPr>
            </w:pPr>
          </w:p>
        </w:tc>
      </w:tr>
    </w:tbl>
    <w:p w14:paraId="2446099F" w14:textId="77777777" w:rsidR="00CA6653" w:rsidRPr="00692F04" w:rsidRDefault="00CA6653">
      <w:pPr>
        <w:pStyle w:val="T1TableStyle"/>
        <w:rPr>
          <w:lang w:val="en-GB"/>
        </w:rPr>
      </w:pPr>
    </w:p>
    <w:p w14:paraId="1BB9F030" w14:textId="77777777" w:rsidR="00CA6653" w:rsidRPr="003516A4" w:rsidRDefault="00CA6653" w:rsidP="00CA6653">
      <w:pPr>
        <w:pStyle w:val="Normal0"/>
        <w:spacing w:line="240" w:lineRule="auto"/>
        <w:rPr>
          <w:rFonts w:ascii="Verdana" w:hAnsi="Verdana"/>
          <w:sz w:val="22"/>
          <w:szCs w:val="22"/>
          <w:highlight w:val="yellow"/>
          <w:lang w:val="en-GB"/>
        </w:rPr>
      </w:pPr>
    </w:p>
    <w:p w14:paraId="47401164" w14:textId="77777777" w:rsidR="003521A8" w:rsidRPr="003516A4" w:rsidRDefault="003521A8">
      <w:pPr>
        <w:rPr>
          <w:rFonts w:asciiTheme="majorHAnsi" w:eastAsiaTheme="majorEastAsia" w:hAnsiTheme="majorHAnsi" w:cstheme="majorBidi"/>
          <w:color w:val="2E74B5" w:themeColor="accent1" w:themeShade="BF"/>
          <w:sz w:val="32"/>
          <w:szCs w:val="32"/>
          <w:highlight w:val="yellow"/>
          <w:lang w:val="pt-BR"/>
        </w:rPr>
      </w:pPr>
      <w:r w:rsidRPr="003516A4">
        <w:rPr>
          <w:highlight w:val="yellow"/>
        </w:rPr>
        <w:br w:type="page"/>
      </w:r>
    </w:p>
    <w:p w14:paraId="7FE80CC1" w14:textId="77777777" w:rsidR="00CA6653" w:rsidRPr="00852B4D" w:rsidRDefault="00CA6653" w:rsidP="00A31A9E">
      <w:pPr>
        <w:pStyle w:val="Heading1"/>
      </w:pPr>
      <w:bookmarkStart w:id="20" w:name="_Toc75122774"/>
      <w:r w:rsidRPr="00852B4D">
        <w:t>Note 6 - Adjustments between Accounting Basis and Funding Basis under Regulations</w:t>
      </w:r>
      <w:bookmarkEnd w:id="20"/>
    </w:p>
    <w:p w14:paraId="649FBACA" w14:textId="143407D8" w:rsidR="00CA6653" w:rsidRDefault="00CA6653">
      <w:pPr>
        <w:pStyle w:val="Normal0"/>
        <w:spacing w:after="160" w:line="259" w:lineRule="auto"/>
        <w:rPr>
          <w:rFonts w:ascii="Verdana" w:eastAsia="Verdana" w:hAnsi="Verdana" w:cs="Verdana"/>
          <w:sz w:val="22"/>
          <w:szCs w:val="22"/>
          <w:lang w:val="en-GB"/>
        </w:rPr>
      </w:pPr>
      <w:r w:rsidRPr="00852B4D">
        <w:rPr>
          <w:rFonts w:ascii="Verdana" w:eastAsia="Verdana" w:hAnsi="Verdana" w:cs="Verdana"/>
          <w:sz w:val="22"/>
          <w:szCs w:val="22"/>
          <w:lang w:val="en-GB"/>
        </w:rPr>
        <w:t>The table below details the adjustments made to the Total Comprehensive Income and Expenditure Statement recognised by the Group in the year, in accordance with proper accounting practice to the resources that are specified by statutory provisions as being available to the Group to meet future capital and revenue expenditure.</w:t>
      </w:r>
    </w:p>
    <w:p w14:paraId="75A0AFB9" w14:textId="77777777" w:rsidR="00A16DB1" w:rsidRDefault="00A16DB1">
      <w:pPr>
        <w:pStyle w:val="Normal0"/>
        <w:spacing w:after="160" w:line="259" w:lineRule="auto"/>
        <w:rPr>
          <w:rFonts w:ascii="Verdana" w:eastAsia="Verdana" w:hAnsi="Verdana" w:cs="Verdana"/>
          <w:sz w:val="22"/>
          <w:szCs w:val="22"/>
          <w:lang w:val="en-GB"/>
        </w:rPr>
      </w:pPr>
    </w:p>
    <w:tbl>
      <w:tblPr>
        <w:tblW w:w="0" w:type="auto"/>
        <w:jc w:val="center"/>
        <w:tblLayout w:type="fixed"/>
        <w:tblLook w:val="04A0" w:firstRow="1" w:lastRow="0" w:firstColumn="1" w:lastColumn="0" w:noHBand="0" w:noVBand="1"/>
      </w:tblPr>
      <w:tblGrid>
        <w:gridCol w:w="7472"/>
        <w:gridCol w:w="1324"/>
        <w:gridCol w:w="1330"/>
        <w:gridCol w:w="1330"/>
        <w:gridCol w:w="1340"/>
        <w:gridCol w:w="97"/>
      </w:tblGrid>
      <w:tr w:rsidR="004D417B" w:rsidRPr="00852B4D" w14:paraId="153350C6" w14:textId="77777777" w:rsidTr="00A16DB1">
        <w:trPr>
          <w:gridAfter w:val="1"/>
          <w:wAfter w:w="97" w:type="dxa"/>
          <w:trHeight w:val="201"/>
          <w:jc w:val="center"/>
        </w:trPr>
        <w:tc>
          <w:tcPr>
            <w:tcW w:w="7472" w:type="dxa"/>
            <w:shd w:val="clear" w:color="auto" w:fill="auto"/>
            <w:tcMar>
              <w:top w:w="20" w:type="dxa"/>
              <w:left w:w="20" w:type="dxa"/>
              <w:bottom w:w="20" w:type="dxa"/>
              <w:right w:w="20" w:type="dxa"/>
            </w:tcMar>
          </w:tcPr>
          <w:p w14:paraId="5ECDBD22" w14:textId="77777777" w:rsidR="00CA6653" w:rsidRPr="00852B4D" w:rsidRDefault="0090362D" w:rsidP="00333DE9">
            <w:pPr>
              <w:pStyle w:val="T1TableStyle"/>
              <w:jc w:val="center"/>
              <w:rPr>
                <w:rFonts w:ascii="Verdana" w:eastAsia="Verdana" w:hAnsi="Verdana" w:cs="Verdana"/>
                <w:b/>
                <w:color w:val="000000"/>
                <w:sz w:val="16"/>
                <w:lang w:val="en-GB"/>
              </w:rPr>
            </w:pPr>
            <w:r w:rsidRPr="00852B4D">
              <w:rPr>
                <w:rFonts w:ascii="Verdana" w:eastAsia="Verdana" w:hAnsi="Verdana" w:cs="Verdana"/>
                <w:b/>
                <w:color w:val="000000"/>
                <w:sz w:val="16"/>
                <w:lang w:val="en-GB"/>
              </w:rPr>
              <w:t xml:space="preserve">Group </w:t>
            </w:r>
            <w:r w:rsidR="00CA6653" w:rsidRPr="00852B4D">
              <w:rPr>
                <w:rFonts w:ascii="Verdana" w:eastAsia="Verdana" w:hAnsi="Verdana" w:cs="Verdana"/>
                <w:b/>
                <w:color w:val="000000"/>
                <w:sz w:val="16"/>
                <w:lang w:val="en-GB"/>
              </w:rPr>
              <w:t>20</w:t>
            </w:r>
            <w:r w:rsidR="00333DE9" w:rsidRPr="00852B4D">
              <w:rPr>
                <w:rFonts w:ascii="Verdana" w:eastAsia="Verdana" w:hAnsi="Verdana" w:cs="Verdana"/>
                <w:b/>
                <w:color w:val="000000"/>
                <w:sz w:val="16"/>
                <w:lang w:val="en-GB"/>
              </w:rPr>
              <w:t>20</w:t>
            </w:r>
            <w:r w:rsidR="00CA6653" w:rsidRPr="00852B4D">
              <w:rPr>
                <w:rFonts w:ascii="Verdana" w:eastAsia="Verdana" w:hAnsi="Verdana" w:cs="Verdana"/>
                <w:b/>
                <w:color w:val="000000"/>
                <w:sz w:val="16"/>
                <w:lang w:val="en-GB"/>
              </w:rPr>
              <w:t>/202</w:t>
            </w:r>
            <w:r w:rsidR="00333DE9" w:rsidRPr="00852B4D">
              <w:rPr>
                <w:rFonts w:ascii="Verdana" w:eastAsia="Verdana" w:hAnsi="Verdana" w:cs="Verdana"/>
                <w:b/>
                <w:color w:val="000000"/>
                <w:sz w:val="16"/>
                <w:lang w:val="en-GB"/>
              </w:rPr>
              <w:t>1</w:t>
            </w:r>
          </w:p>
        </w:tc>
        <w:tc>
          <w:tcPr>
            <w:tcW w:w="1324" w:type="dxa"/>
            <w:shd w:val="clear" w:color="auto" w:fill="auto"/>
            <w:tcMar>
              <w:top w:w="20" w:type="dxa"/>
              <w:left w:w="20" w:type="dxa"/>
              <w:bottom w:w="20" w:type="dxa"/>
              <w:right w:w="20" w:type="dxa"/>
            </w:tcMar>
          </w:tcPr>
          <w:p w14:paraId="15DDB4D2" w14:textId="77777777" w:rsidR="00CA6653" w:rsidRPr="00852B4D" w:rsidRDefault="00CA6653">
            <w:pPr>
              <w:pStyle w:val="T1TableStyle"/>
              <w:jc w:val="center"/>
              <w:rPr>
                <w:rFonts w:ascii="Verdana" w:eastAsia="Verdana" w:hAnsi="Verdana" w:cs="Verdana"/>
                <w:b/>
                <w:color w:val="000000"/>
                <w:sz w:val="16"/>
                <w:lang w:val="en-GB"/>
              </w:rPr>
            </w:pPr>
            <w:r w:rsidRPr="00852B4D">
              <w:rPr>
                <w:rFonts w:ascii="Verdana" w:eastAsia="Verdana" w:hAnsi="Verdana" w:cs="Verdana"/>
                <w:b/>
                <w:color w:val="000000"/>
                <w:sz w:val="16"/>
                <w:lang w:val="en-GB"/>
              </w:rPr>
              <w:t>General Fund Balance</w:t>
            </w:r>
          </w:p>
        </w:tc>
        <w:tc>
          <w:tcPr>
            <w:tcW w:w="1330" w:type="dxa"/>
            <w:shd w:val="clear" w:color="auto" w:fill="auto"/>
            <w:tcMar>
              <w:top w:w="20" w:type="dxa"/>
              <w:left w:w="20" w:type="dxa"/>
              <w:bottom w:w="20" w:type="dxa"/>
              <w:right w:w="20" w:type="dxa"/>
            </w:tcMar>
          </w:tcPr>
          <w:p w14:paraId="756E8C3E" w14:textId="77777777" w:rsidR="00CA6653" w:rsidRPr="00852B4D" w:rsidRDefault="00CA6653">
            <w:pPr>
              <w:pStyle w:val="T1TableStyle"/>
              <w:jc w:val="center"/>
              <w:rPr>
                <w:rFonts w:ascii="Verdana" w:eastAsia="Verdana" w:hAnsi="Verdana" w:cs="Verdana"/>
                <w:b/>
                <w:color w:val="000000"/>
                <w:sz w:val="16"/>
                <w:lang w:val="en-GB"/>
              </w:rPr>
            </w:pPr>
            <w:r w:rsidRPr="00852B4D">
              <w:rPr>
                <w:rFonts w:ascii="Verdana" w:eastAsia="Verdana" w:hAnsi="Verdana" w:cs="Verdana"/>
                <w:b/>
                <w:color w:val="000000"/>
                <w:sz w:val="16"/>
                <w:lang w:val="en-GB"/>
              </w:rPr>
              <w:t>Capital Receipts Reserve</w:t>
            </w:r>
          </w:p>
        </w:tc>
        <w:tc>
          <w:tcPr>
            <w:tcW w:w="1330" w:type="dxa"/>
            <w:shd w:val="clear" w:color="auto" w:fill="auto"/>
            <w:tcMar>
              <w:top w:w="20" w:type="dxa"/>
              <w:left w:w="20" w:type="dxa"/>
              <w:bottom w:w="20" w:type="dxa"/>
              <w:right w:w="20" w:type="dxa"/>
            </w:tcMar>
          </w:tcPr>
          <w:p w14:paraId="2D0709F4" w14:textId="77777777" w:rsidR="00CA6653" w:rsidRPr="00852B4D" w:rsidRDefault="00CA6653">
            <w:pPr>
              <w:pStyle w:val="T1TableStyle"/>
              <w:jc w:val="center"/>
              <w:rPr>
                <w:rFonts w:ascii="Verdana" w:eastAsia="Verdana" w:hAnsi="Verdana" w:cs="Verdana"/>
                <w:b/>
                <w:color w:val="000000"/>
                <w:sz w:val="16"/>
                <w:lang w:val="en-GB"/>
              </w:rPr>
            </w:pPr>
            <w:r w:rsidRPr="00852B4D">
              <w:rPr>
                <w:rFonts w:ascii="Verdana" w:eastAsia="Verdana" w:hAnsi="Verdana" w:cs="Verdana"/>
                <w:b/>
                <w:color w:val="000000"/>
                <w:sz w:val="16"/>
                <w:lang w:val="en-GB"/>
              </w:rPr>
              <w:t>Capital Grants Unapplied</w:t>
            </w:r>
          </w:p>
        </w:tc>
        <w:tc>
          <w:tcPr>
            <w:tcW w:w="1340" w:type="dxa"/>
            <w:shd w:val="clear" w:color="auto" w:fill="auto"/>
            <w:tcMar>
              <w:top w:w="20" w:type="dxa"/>
              <w:left w:w="20" w:type="dxa"/>
              <w:bottom w:w="20" w:type="dxa"/>
              <w:right w:w="20" w:type="dxa"/>
            </w:tcMar>
          </w:tcPr>
          <w:p w14:paraId="0215B0FB" w14:textId="77777777" w:rsidR="00CA6653" w:rsidRPr="00852B4D" w:rsidRDefault="00CA6653">
            <w:pPr>
              <w:pStyle w:val="T1TableStyle"/>
              <w:jc w:val="center"/>
              <w:rPr>
                <w:rFonts w:ascii="Verdana" w:eastAsia="Verdana" w:hAnsi="Verdana" w:cs="Verdana"/>
                <w:b/>
                <w:color w:val="000000"/>
                <w:sz w:val="16"/>
                <w:lang w:val="en-GB"/>
              </w:rPr>
            </w:pPr>
            <w:r w:rsidRPr="00852B4D">
              <w:rPr>
                <w:rFonts w:ascii="Verdana" w:eastAsia="Verdana" w:hAnsi="Verdana" w:cs="Verdana"/>
                <w:b/>
                <w:color w:val="000000"/>
                <w:sz w:val="16"/>
                <w:lang w:val="en-GB"/>
              </w:rPr>
              <w:t>Movement in Unusable Reserves</w:t>
            </w:r>
          </w:p>
        </w:tc>
      </w:tr>
      <w:tr w:rsidR="004D417B" w:rsidRPr="00852B4D" w14:paraId="690D0A55" w14:textId="77777777" w:rsidTr="00A16DB1">
        <w:trPr>
          <w:gridAfter w:val="1"/>
          <w:wAfter w:w="97" w:type="dxa"/>
          <w:trHeight w:val="100"/>
          <w:jc w:val="center"/>
        </w:trPr>
        <w:tc>
          <w:tcPr>
            <w:tcW w:w="7472" w:type="dxa"/>
            <w:tcBorders>
              <w:bottom w:val="single" w:sz="2" w:space="0" w:color="000000"/>
            </w:tcBorders>
            <w:shd w:val="clear" w:color="auto" w:fill="auto"/>
            <w:tcMar>
              <w:top w:w="20" w:type="dxa"/>
              <w:left w:w="20" w:type="dxa"/>
              <w:bottom w:w="20" w:type="dxa"/>
              <w:right w:w="20" w:type="dxa"/>
            </w:tcMar>
          </w:tcPr>
          <w:p w14:paraId="6CAE6943" w14:textId="77777777" w:rsidR="00CA6653" w:rsidRPr="00852B4D" w:rsidRDefault="00CA6653">
            <w:pPr>
              <w:pStyle w:val="T1TableStyle"/>
              <w:jc w:val="center"/>
              <w:rPr>
                <w:rFonts w:ascii="Verdana" w:eastAsia="Verdana" w:hAnsi="Verdana" w:cs="Verdana"/>
                <w:b/>
                <w:color w:val="000000"/>
                <w:sz w:val="2"/>
                <w:lang w:val="en-GB"/>
              </w:rPr>
            </w:pPr>
            <w:r w:rsidRPr="00852B4D">
              <w:rPr>
                <w:rFonts w:ascii="Verdana" w:eastAsia="Verdana" w:hAnsi="Verdana" w:cs="Verdana"/>
                <w:b/>
                <w:color w:val="000000"/>
                <w:sz w:val="2"/>
                <w:lang w:val="en-GB"/>
              </w:rPr>
              <w:t xml:space="preserve"> </w:t>
            </w:r>
          </w:p>
        </w:tc>
        <w:tc>
          <w:tcPr>
            <w:tcW w:w="1324" w:type="dxa"/>
            <w:tcBorders>
              <w:bottom w:val="single" w:sz="2" w:space="0" w:color="000000"/>
            </w:tcBorders>
            <w:shd w:val="clear" w:color="auto" w:fill="auto"/>
            <w:tcMar>
              <w:top w:w="20" w:type="dxa"/>
              <w:left w:w="20" w:type="dxa"/>
              <w:bottom w:w="20" w:type="dxa"/>
              <w:right w:w="20" w:type="dxa"/>
            </w:tcMar>
          </w:tcPr>
          <w:p w14:paraId="7A091C0F" w14:textId="77777777" w:rsidR="00CA6653" w:rsidRPr="00852B4D" w:rsidRDefault="00CA6653">
            <w:pPr>
              <w:pStyle w:val="T1TableStyle"/>
              <w:jc w:val="right"/>
              <w:rPr>
                <w:rFonts w:ascii="Verdana" w:eastAsia="Verdana" w:hAnsi="Verdana" w:cs="Verdana"/>
                <w:b/>
                <w:color w:val="000000"/>
                <w:sz w:val="16"/>
                <w:lang w:val="en-GB"/>
              </w:rPr>
            </w:pPr>
            <w:r w:rsidRPr="00852B4D">
              <w:rPr>
                <w:rFonts w:ascii="Verdana" w:eastAsia="Verdana" w:hAnsi="Verdana" w:cs="Verdana"/>
                <w:b/>
                <w:color w:val="000000"/>
                <w:sz w:val="16"/>
                <w:lang w:val="en-GB"/>
              </w:rPr>
              <w:t>£000</w:t>
            </w:r>
          </w:p>
        </w:tc>
        <w:tc>
          <w:tcPr>
            <w:tcW w:w="1330" w:type="dxa"/>
            <w:tcBorders>
              <w:bottom w:val="single" w:sz="2" w:space="0" w:color="000000"/>
            </w:tcBorders>
            <w:shd w:val="clear" w:color="auto" w:fill="auto"/>
            <w:tcMar>
              <w:top w:w="20" w:type="dxa"/>
              <w:left w:w="20" w:type="dxa"/>
              <w:bottom w:w="20" w:type="dxa"/>
              <w:right w:w="20" w:type="dxa"/>
            </w:tcMar>
          </w:tcPr>
          <w:p w14:paraId="4A865ADE" w14:textId="77777777" w:rsidR="00CA6653" w:rsidRPr="00852B4D" w:rsidRDefault="00CA6653">
            <w:pPr>
              <w:pStyle w:val="T1TableStyle"/>
              <w:jc w:val="right"/>
              <w:rPr>
                <w:rFonts w:ascii="Verdana" w:eastAsia="Verdana" w:hAnsi="Verdana" w:cs="Verdana"/>
                <w:b/>
                <w:color w:val="000000"/>
                <w:sz w:val="16"/>
                <w:lang w:val="en-GB"/>
              </w:rPr>
            </w:pPr>
            <w:r w:rsidRPr="00852B4D">
              <w:rPr>
                <w:rFonts w:ascii="Verdana" w:eastAsia="Verdana" w:hAnsi="Verdana" w:cs="Verdana"/>
                <w:b/>
                <w:color w:val="000000"/>
                <w:sz w:val="16"/>
                <w:lang w:val="en-GB"/>
              </w:rPr>
              <w:t>£000</w:t>
            </w:r>
          </w:p>
        </w:tc>
        <w:tc>
          <w:tcPr>
            <w:tcW w:w="1330" w:type="dxa"/>
            <w:tcBorders>
              <w:bottom w:val="single" w:sz="2" w:space="0" w:color="000000"/>
            </w:tcBorders>
            <w:shd w:val="clear" w:color="auto" w:fill="auto"/>
            <w:tcMar>
              <w:top w:w="20" w:type="dxa"/>
              <w:left w:w="20" w:type="dxa"/>
              <w:bottom w:w="20" w:type="dxa"/>
              <w:right w:w="20" w:type="dxa"/>
            </w:tcMar>
          </w:tcPr>
          <w:p w14:paraId="1F58D463" w14:textId="77777777" w:rsidR="00CA6653" w:rsidRPr="00852B4D" w:rsidRDefault="00CA6653">
            <w:pPr>
              <w:pStyle w:val="T1TableStyle"/>
              <w:jc w:val="right"/>
              <w:rPr>
                <w:rFonts w:ascii="Verdana" w:eastAsia="Verdana" w:hAnsi="Verdana" w:cs="Verdana"/>
                <w:b/>
                <w:color w:val="000000"/>
                <w:sz w:val="16"/>
                <w:lang w:val="en-GB"/>
              </w:rPr>
            </w:pPr>
            <w:r w:rsidRPr="00852B4D">
              <w:rPr>
                <w:rFonts w:ascii="Verdana" w:eastAsia="Verdana" w:hAnsi="Verdana" w:cs="Verdana"/>
                <w:b/>
                <w:color w:val="000000"/>
                <w:sz w:val="16"/>
                <w:lang w:val="en-GB"/>
              </w:rPr>
              <w:t>£000</w:t>
            </w:r>
          </w:p>
        </w:tc>
        <w:tc>
          <w:tcPr>
            <w:tcW w:w="1340" w:type="dxa"/>
            <w:tcBorders>
              <w:bottom w:val="single" w:sz="2" w:space="0" w:color="000000"/>
            </w:tcBorders>
            <w:shd w:val="clear" w:color="auto" w:fill="auto"/>
            <w:tcMar>
              <w:top w:w="20" w:type="dxa"/>
              <w:left w:w="20" w:type="dxa"/>
              <w:bottom w:w="20" w:type="dxa"/>
              <w:right w:w="20" w:type="dxa"/>
            </w:tcMar>
          </w:tcPr>
          <w:p w14:paraId="2DD8965C" w14:textId="77777777" w:rsidR="00CA6653" w:rsidRPr="00852B4D" w:rsidRDefault="00CA6653">
            <w:pPr>
              <w:pStyle w:val="T1TableStyle"/>
              <w:jc w:val="right"/>
              <w:rPr>
                <w:rFonts w:ascii="Verdana" w:eastAsia="Verdana" w:hAnsi="Verdana" w:cs="Verdana"/>
                <w:b/>
                <w:color w:val="000000"/>
                <w:sz w:val="16"/>
                <w:lang w:val="en-GB"/>
              </w:rPr>
            </w:pPr>
            <w:r w:rsidRPr="00852B4D">
              <w:rPr>
                <w:rFonts w:ascii="Verdana" w:eastAsia="Verdana" w:hAnsi="Verdana" w:cs="Verdana"/>
                <w:b/>
                <w:color w:val="000000"/>
                <w:sz w:val="16"/>
                <w:lang w:val="en-GB"/>
              </w:rPr>
              <w:t>£000</w:t>
            </w:r>
          </w:p>
        </w:tc>
      </w:tr>
      <w:tr w:rsidR="004D417B" w:rsidRPr="00852B4D" w14:paraId="26230887" w14:textId="77777777" w:rsidTr="00A16DB1">
        <w:trPr>
          <w:gridAfter w:val="1"/>
          <w:wAfter w:w="97" w:type="dxa"/>
          <w:trHeight w:val="85"/>
          <w:jc w:val="center"/>
        </w:trPr>
        <w:tc>
          <w:tcPr>
            <w:tcW w:w="7472" w:type="dxa"/>
            <w:shd w:val="clear" w:color="auto" w:fill="auto"/>
            <w:tcMar>
              <w:top w:w="20" w:type="dxa"/>
              <w:left w:w="20" w:type="dxa"/>
              <w:bottom w:w="20" w:type="dxa"/>
              <w:right w:w="20" w:type="dxa"/>
            </w:tcMar>
          </w:tcPr>
          <w:p w14:paraId="34524096" w14:textId="77777777" w:rsidR="00CA6653" w:rsidRPr="00852B4D" w:rsidRDefault="00CA6653">
            <w:pPr>
              <w:pStyle w:val="T1TableStyle"/>
              <w:rPr>
                <w:rFonts w:ascii="Verdana" w:eastAsia="Verdana" w:hAnsi="Verdana" w:cs="Verdana"/>
                <w:color w:val="000000"/>
                <w:sz w:val="16"/>
                <w:lang w:val="en-GB"/>
              </w:rPr>
            </w:pPr>
            <w:r w:rsidRPr="00852B4D">
              <w:rPr>
                <w:rFonts w:ascii="Verdana" w:eastAsia="Verdana" w:hAnsi="Verdana" w:cs="Verdana"/>
                <w:color w:val="000000"/>
                <w:sz w:val="16"/>
                <w:lang w:val="en-GB"/>
              </w:rPr>
              <w:t>Adjustments to the Revenue Resources</w:t>
            </w:r>
          </w:p>
        </w:tc>
        <w:tc>
          <w:tcPr>
            <w:tcW w:w="1324" w:type="dxa"/>
            <w:shd w:val="clear" w:color="auto" w:fill="auto"/>
            <w:tcMar>
              <w:top w:w="20" w:type="dxa"/>
              <w:left w:w="20" w:type="dxa"/>
              <w:bottom w:w="20" w:type="dxa"/>
              <w:right w:w="20" w:type="dxa"/>
            </w:tcMar>
          </w:tcPr>
          <w:p w14:paraId="52848EF0" w14:textId="77777777" w:rsidR="00CA6653" w:rsidRPr="00852B4D" w:rsidRDefault="00CA6653">
            <w:pPr>
              <w:pStyle w:val="T1TableStyle"/>
              <w:jc w:val="center"/>
              <w:rPr>
                <w:rFonts w:ascii="Verdana" w:eastAsia="Verdana" w:hAnsi="Verdana" w:cs="Verdana"/>
                <w:b/>
                <w:color w:val="000000"/>
                <w:sz w:val="2"/>
                <w:lang w:val="en-GB"/>
              </w:rPr>
            </w:pPr>
            <w:r w:rsidRPr="00852B4D">
              <w:rPr>
                <w:rFonts w:ascii="Verdana" w:eastAsia="Verdana" w:hAnsi="Verdana" w:cs="Verdana"/>
                <w:b/>
                <w:color w:val="000000"/>
                <w:sz w:val="2"/>
                <w:lang w:val="en-GB"/>
              </w:rPr>
              <w:t xml:space="preserve"> </w:t>
            </w:r>
          </w:p>
        </w:tc>
        <w:tc>
          <w:tcPr>
            <w:tcW w:w="1330" w:type="dxa"/>
            <w:shd w:val="clear" w:color="auto" w:fill="auto"/>
            <w:tcMar>
              <w:top w:w="20" w:type="dxa"/>
              <w:left w:w="20" w:type="dxa"/>
              <w:bottom w:w="20" w:type="dxa"/>
              <w:right w:w="20" w:type="dxa"/>
            </w:tcMar>
          </w:tcPr>
          <w:p w14:paraId="426C5BDD" w14:textId="77777777" w:rsidR="00CA6653" w:rsidRPr="00852B4D" w:rsidRDefault="00CA6653">
            <w:pPr>
              <w:pStyle w:val="T1TableStyle"/>
              <w:jc w:val="center"/>
              <w:rPr>
                <w:rFonts w:ascii="Verdana" w:eastAsia="Verdana" w:hAnsi="Verdana" w:cs="Verdana"/>
                <w:b/>
                <w:color w:val="000000"/>
                <w:sz w:val="2"/>
                <w:lang w:val="en-GB"/>
              </w:rPr>
            </w:pPr>
            <w:r w:rsidRPr="00852B4D">
              <w:rPr>
                <w:rFonts w:ascii="Verdana" w:eastAsia="Verdana" w:hAnsi="Verdana" w:cs="Verdana"/>
                <w:b/>
                <w:color w:val="000000"/>
                <w:sz w:val="2"/>
                <w:lang w:val="en-GB"/>
              </w:rPr>
              <w:t xml:space="preserve"> </w:t>
            </w:r>
          </w:p>
        </w:tc>
        <w:tc>
          <w:tcPr>
            <w:tcW w:w="1330" w:type="dxa"/>
            <w:shd w:val="clear" w:color="auto" w:fill="auto"/>
            <w:tcMar>
              <w:top w:w="20" w:type="dxa"/>
              <w:left w:w="20" w:type="dxa"/>
              <w:bottom w:w="20" w:type="dxa"/>
              <w:right w:w="20" w:type="dxa"/>
            </w:tcMar>
          </w:tcPr>
          <w:p w14:paraId="520CFC7C" w14:textId="77777777" w:rsidR="00CA6653" w:rsidRPr="00852B4D" w:rsidRDefault="00CA6653">
            <w:pPr>
              <w:pStyle w:val="T1TableStyle"/>
              <w:jc w:val="center"/>
              <w:rPr>
                <w:rFonts w:ascii="Verdana" w:eastAsia="Verdana" w:hAnsi="Verdana" w:cs="Verdana"/>
                <w:b/>
                <w:color w:val="000000"/>
                <w:sz w:val="2"/>
                <w:lang w:val="en-GB"/>
              </w:rPr>
            </w:pPr>
            <w:r w:rsidRPr="00852B4D">
              <w:rPr>
                <w:rFonts w:ascii="Verdana" w:eastAsia="Verdana" w:hAnsi="Verdana" w:cs="Verdana"/>
                <w:b/>
                <w:color w:val="000000"/>
                <w:sz w:val="2"/>
                <w:lang w:val="en-GB"/>
              </w:rPr>
              <w:t xml:space="preserve"> </w:t>
            </w:r>
          </w:p>
        </w:tc>
        <w:tc>
          <w:tcPr>
            <w:tcW w:w="1340" w:type="dxa"/>
            <w:shd w:val="clear" w:color="auto" w:fill="auto"/>
            <w:tcMar>
              <w:top w:w="20" w:type="dxa"/>
              <w:left w:w="20" w:type="dxa"/>
              <w:bottom w:w="20" w:type="dxa"/>
              <w:right w:w="20" w:type="dxa"/>
            </w:tcMar>
          </w:tcPr>
          <w:p w14:paraId="573EFAA9" w14:textId="77777777" w:rsidR="00CA6653" w:rsidRPr="00852B4D" w:rsidRDefault="00CA6653">
            <w:pPr>
              <w:pStyle w:val="T1TableStyle"/>
              <w:jc w:val="center"/>
              <w:rPr>
                <w:rFonts w:ascii="Verdana" w:eastAsia="Verdana" w:hAnsi="Verdana" w:cs="Verdana"/>
                <w:b/>
                <w:color w:val="000000"/>
                <w:sz w:val="2"/>
                <w:lang w:val="en-GB"/>
              </w:rPr>
            </w:pPr>
            <w:r w:rsidRPr="00852B4D">
              <w:rPr>
                <w:rFonts w:ascii="Verdana" w:eastAsia="Verdana" w:hAnsi="Verdana" w:cs="Verdana"/>
                <w:b/>
                <w:color w:val="000000"/>
                <w:sz w:val="2"/>
                <w:lang w:val="en-GB"/>
              </w:rPr>
              <w:t xml:space="preserve"> </w:t>
            </w:r>
          </w:p>
        </w:tc>
      </w:tr>
      <w:tr w:rsidR="004D417B" w:rsidRPr="00852B4D" w14:paraId="5CD7C842" w14:textId="77777777" w:rsidTr="00A16DB1">
        <w:trPr>
          <w:gridAfter w:val="1"/>
          <w:wAfter w:w="97" w:type="dxa"/>
          <w:trHeight w:val="85"/>
          <w:jc w:val="center"/>
        </w:trPr>
        <w:tc>
          <w:tcPr>
            <w:tcW w:w="7472" w:type="dxa"/>
            <w:shd w:val="clear" w:color="auto" w:fill="auto"/>
            <w:tcMar>
              <w:top w:w="20" w:type="dxa"/>
              <w:left w:w="20" w:type="dxa"/>
              <w:bottom w:w="20" w:type="dxa"/>
              <w:right w:w="20" w:type="dxa"/>
            </w:tcMar>
          </w:tcPr>
          <w:p w14:paraId="290AE26F" w14:textId="62B0638A" w:rsidR="00CA6653" w:rsidRPr="00852B4D" w:rsidRDefault="00CA6653" w:rsidP="00A16DB1">
            <w:pPr>
              <w:pStyle w:val="T1TableStyle"/>
              <w:rPr>
                <w:rFonts w:ascii="Verdana" w:eastAsia="Verdana" w:hAnsi="Verdana" w:cs="Verdana"/>
                <w:color w:val="000000"/>
                <w:sz w:val="16"/>
                <w:lang w:val="en-GB"/>
              </w:rPr>
            </w:pPr>
            <w:r w:rsidRPr="00852B4D">
              <w:rPr>
                <w:rFonts w:ascii="Verdana" w:eastAsia="Verdana" w:hAnsi="Verdana" w:cs="Verdana"/>
                <w:color w:val="000000"/>
                <w:sz w:val="16"/>
                <w:lang w:val="en-GB"/>
              </w:rPr>
              <w:t xml:space="preserve">Amounts by which income and expenditure included in the CIES </w:t>
            </w:r>
            <w:r w:rsidR="00A16DB1">
              <w:rPr>
                <w:rFonts w:ascii="Verdana" w:eastAsia="Verdana" w:hAnsi="Verdana" w:cs="Verdana"/>
                <w:color w:val="000000"/>
                <w:sz w:val="16"/>
                <w:lang w:val="en-GB"/>
              </w:rPr>
              <w:t>differ</w:t>
            </w:r>
            <w:r w:rsidRPr="00852B4D">
              <w:rPr>
                <w:rFonts w:ascii="Verdana" w:eastAsia="Verdana" w:hAnsi="Verdana" w:cs="Verdana"/>
                <w:color w:val="000000"/>
                <w:sz w:val="16"/>
                <w:lang w:val="en-GB"/>
              </w:rPr>
              <w:t xml:space="preserve"> </w:t>
            </w:r>
            <w:r w:rsidR="00A16DB1">
              <w:rPr>
                <w:rFonts w:ascii="Verdana" w:eastAsia="Verdana" w:hAnsi="Verdana" w:cs="Verdana"/>
                <w:color w:val="000000"/>
                <w:sz w:val="16"/>
                <w:lang w:val="en-GB"/>
              </w:rPr>
              <w:t>to</w:t>
            </w:r>
            <w:r w:rsidRPr="00852B4D">
              <w:rPr>
                <w:rFonts w:ascii="Verdana" w:eastAsia="Verdana" w:hAnsi="Verdana" w:cs="Verdana"/>
                <w:color w:val="000000"/>
                <w:sz w:val="16"/>
                <w:lang w:val="en-GB"/>
              </w:rPr>
              <w:t xml:space="preserve"> revenue for the year calculated in accordance with statutory requirements:</w:t>
            </w:r>
          </w:p>
        </w:tc>
        <w:tc>
          <w:tcPr>
            <w:tcW w:w="1324" w:type="dxa"/>
            <w:shd w:val="clear" w:color="auto" w:fill="auto"/>
            <w:tcMar>
              <w:top w:w="20" w:type="dxa"/>
              <w:left w:w="20" w:type="dxa"/>
              <w:bottom w:w="20" w:type="dxa"/>
              <w:right w:w="20" w:type="dxa"/>
            </w:tcMar>
          </w:tcPr>
          <w:p w14:paraId="219D896D" w14:textId="77777777" w:rsidR="00CA6653" w:rsidRPr="00852B4D" w:rsidRDefault="00CA6653">
            <w:pPr>
              <w:pStyle w:val="T1TableStyle"/>
              <w:rPr>
                <w:rFonts w:ascii="Verdana" w:eastAsia="Verdana" w:hAnsi="Verdana" w:cs="Verdana"/>
                <w:color w:val="000000"/>
                <w:sz w:val="2"/>
                <w:lang w:val="en-GB"/>
              </w:rPr>
            </w:pPr>
            <w:r w:rsidRPr="00852B4D">
              <w:rPr>
                <w:rFonts w:ascii="Verdana" w:eastAsia="Verdana" w:hAnsi="Verdana" w:cs="Verdana"/>
                <w:color w:val="000000"/>
                <w:sz w:val="2"/>
                <w:lang w:val="en-GB"/>
              </w:rPr>
              <w:t xml:space="preserve"> </w:t>
            </w:r>
          </w:p>
        </w:tc>
        <w:tc>
          <w:tcPr>
            <w:tcW w:w="1330" w:type="dxa"/>
            <w:shd w:val="clear" w:color="auto" w:fill="auto"/>
            <w:tcMar>
              <w:top w:w="20" w:type="dxa"/>
              <w:left w:w="20" w:type="dxa"/>
              <w:bottom w:w="20" w:type="dxa"/>
              <w:right w:w="20" w:type="dxa"/>
            </w:tcMar>
          </w:tcPr>
          <w:p w14:paraId="33ADF0EB" w14:textId="77777777" w:rsidR="00CA6653" w:rsidRPr="00852B4D" w:rsidRDefault="00CA6653">
            <w:pPr>
              <w:pStyle w:val="T1TableStyle"/>
              <w:rPr>
                <w:rFonts w:ascii="Verdana" w:eastAsia="Verdana" w:hAnsi="Verdana" w:cs="Verdana"/>
                <w:color w:val="000000"/>
                <w:sz w:val="2"/>
                <w:lang w:val="en-GB"/>
              </w:rPr>
            </w:pPr>
            <w:r w:rsidRPr="00852B4D">
              <w:rPr>
                <w:rFonts w:ascii="Verdana" w:eastAsia="Verdana" w:hAnsi="Verdana" w:cs="Verdana"/>
                <w:color w:val="000000"/>
                <w:sz w:val="2"/>
                <w:lang w:val="en-GB"/>
              </w:rPr>
              <w:t xml:space="preserve"> </w:t>
            </w:r>
          </w:p>
        </w:tc>
        <w:tc>
          <w:tcPr>
            <w:tcW w:w="1330" w:type="dxa"/>
            <w:shd w:val="clear" w:color="auto" w:fill="auto"/>
            <w:tcMar>
              <w:top w:w="20" w:type="dxa"/>
              <w:left w:w="20" w:type="dxa"/>
              <w:bottom w:w="20" w:type="dxa"/>
              <w:right w:w="20" w:type="dxa"/>
            </w:tcMar>
          </w:tcPr>
          <w:p w14:paraId="33002470" w14:textId="77777777" w:rsidR="00CA6653" w:rsidRPr="00852B4D" w:rsidRDefault="00CA6653">
            <w:pPr>
              <w:pStyle w:val="T1TableStyle"/>
              <w:rPr>
                <w:rFonts w:ascii="Verdana" w:eastAsia="Verdana" w:hAnsi="Verdana" w:cs="Verdana"/>
                <w:color w:val="000000"/>
                <w:sz w:val="2"/>
                <w:lang w:val="en-GB"/>
              </w:rPr>
            </w:pPr>
            <w:r w:rsidRPr="00852B4D">
              <w:rPr>
                <w:rFonts w:ascii="Verdana" w:eastAsia="Verdana" w:hAnsi="Verdana" w:cs="Verdana"/>
                <w:color w:val="000000"/>
                <w:sz w:val="2"/>
                <w:lang w:val="en-GB"/>
              </w:rPr>
              <w:t xml:space="preserve"> </w:t>
            </w:r>
          </w:p>
        </w:tc>
        <w:tc>
          <w:tcPr>
            <w:tcW w:w="1340" w:type="dxa"/>
            <w:shd w:val="clear" w:color="auto" w:fill="auto"/>
            <w:tcMar>
              <w:top w:w="20" w:type="dxa"/>
              <w:left w:w="20" w:type="dxa"/>
              <w:bottom w:w="20" w:type="dxa"/>
              <w:right w:w="20" w:type="dxa"/>
            </w:tcMar>
          </w:tcPr>
          <w:p w14:paraId="2782B7F4" w14:textId="77777777" w:rsidR="00CA6653" w:rsidRPr="00852B4D" w:rsidRDefault="00CA6653">
            <w:pPr>
              <w:pStyle w:val="T1TableStyle"/>
              <w:rPr>
                <w:rFonts w:ascii="Verdana" w:eastAsia="Verdana" w:hAnsi="Verdana" w:cs="Verdana"/>
                <w:color w:val="000000"/>
                <w:sz w:val="2"/>
                <w:lang w:val="en-GB"/>
              </w:rPr>
            </w:pPr>
            <w:r w:rsidRPr="00852B4D">
              <w:rPr>
                <w:rFonts w:ascii="Verdana" w:eastAsia="Verdana" w:hAnsi="Verdana" w:cs="Verdana"/>
                <w:color w:val="000000"/>
                <w:sz w:val="2"/>
                <w:lang w:val="en-GB"/>
              </w:rPr>
              <w:t xml:space="preserve"> </w:t>
            </w:r>
          </w:p>
        </w:tc>
      </w:tr>
      <w:tr w:rsidR="004D417B" w:rsidRPr="00852B4D" w14:paraId="62A6A504" w14:textId="77777777" w:rsidTr="00A16DB1">
        <w:trPr>
          <w:gridAfter w:val="1"/>
          <w:wAfter w:w="97" w:type="dxa"/>
          <w:trHeight w:val="85"/>
          <w:jc w:val="center"/>
        </w:trPr>
        <w:tc>
          <w:tcPr>
            <w:tcW w:w="7472" w:type="dxa"/>
            <w:shd w:val="clear" w:color="auto" w:fill="auto"/>
            <w:tcMar>
              <w:top w:w="20" w:type="dxa"/>
              <w:left w:w="20" w:type="dxa"/>
              <w:bottom w:w="20" w:type="dxa"/>
              <w:right w:w="20" w:type="dxa"/>
            </w:tcMar>
          </w:tcPr>
          <w:p w14:paraId="5D2A63CB" w14:textId="77777777" w:rsidR="00CA6653" w:rsidRPr="00852B4D" w:rsidRDefault="00CA6653">
            <w:pPr>
              <w:pStyle w:val="T1TableStyle"/>
              <w:rPr>
                <w:rFonts w:ascii="Verdana" w:eastAsia="Verdana" w:hAnsi="Verdana" w:cs="Verdana"/>
                <w:color w:val="000000"/>
                <w:sz w:val="16"/>
                <w:lang w:val="en-GB"/>
              </w:rPr>
            </w:pPr>
            <w:r w:rsidRPr="00852B4D">
              <w:rPr>
                <w:rFonts w:ascii="Verdana" w:eastAsia="Verdana" w:hAnsi="Verdana" w:cs="Verdana"/>
                <w:color w:val="000000"/>
                <w:sz w:val="16"/>
                <w:lang w:val="en-GB"/>
              </w:rPr>
              <w:t>Pension cost (transferred to (or from) the Pensions Reserve)</w:t>
            </w:r>
          </w:p>
        </w:tc>
        <w:tc>
          <w:tcPr>
            <w:tcW w:w="1324" w:type="dxa"/>
            <w:shd w:val="clear" w:color="auto" w:fill="auto"/>
            <w:tcMar>
              <w:top w:w="20" w:type="dxa"/>
              <w:left w:w="20" w:type="dxa"/>
              <w:bottom w:w="20" w:type="dxa"/>
              <w:right w:w="20" w:type="dxa"/>
            </w:tcMar>
          </w:tcPr>
          <w:p w14:paraId="3E433817" w14:textId="77777777" w:rsidR="00CA6653" w:rsidRPr="00852B4D" w:rsidRDefault="0093045B">
            <w:pPr>
              <w:pStyle w:val="T1TableStyle"/>
              <w:jc w:val="right"/>
              <w:rPr>
                <w:rFonts w:ascii="Verdana" w:eastAsia="Verdana" w:hAnsi="Verdana" w:cs="Verdana"/>
                <w:color w:val="000000"/>
                <w:sz w:val="16"/>
                <w:lang w:val="en-GB"/>
              </w:rPr>
            </w:pPr>
            <w:r w:rsidRPr="00852B4D">
              <w:rPr>
                <w:rFonts w:ascii="Verdana" w:eastAsia="Verdana" w:hAnsi="Verdana" w:cs="Verdana"/>
                <w:color w:val="000000"/>
                <w:sz w:val="16"/>
                <w:lang w:val="en-GB"/>
              </w:rPr>
              <w:t>(67,765)</w:t>
            </w:r>
          </w:p>
        </w:tc>
        <w:tc>
          <w:tcPr>
            <w:tcW w:w="1330" w:type="dxa"/>
            <w:shd w:val="clear" w:color="auto" w:fill="auto"/>
            <w:tcMar>
              <w:top w:w="20" w:type="dxa"/>
              <w:left w:w="20" w:type="dxa"/>
              <w:bottom w:w="20" w:type="dxa"/>
              <w:right w:w="20" w:type="dxa"/>
            </w:tcMar>
          </w:tcPr>
          <w:p w14:paraId="33CB9FED" w14:textId="77777777" w:rsidR="00CA6653" w:rsidRPr="00852B4D" w:rsidRDefault="00CA6653">
            <w:pPr>
              <w:pStyle w:val="T1TableStyle"/>
              <w:jc w:val="center"/>
              <w:rPr>
                <w:rFonts w:ascii="Verdana" w:eastAsia="Verdana" w:hAnsi="Verdana" w:cs="Verdana"/>
                <w:color w:val="000000"/>
                <w:sz w:val="2"/>
                <w:lang w:val="en-GB"/>
              </w:rPr>
            </w:pPr>
          </w:p>
        </w:tc>
        <w:tc>
          <w:tcPr>
            <w:tcW w:w="1330" w:type="dxa"/>
            <w:shd w:val="clear" w:color="auto" w:fill="auto"/>
            <w:tcMar>
              <w:top w:w="20" w:type="dxa"/>
              <w:left w:w="20" w:type="dxa"/>
              <w:bottom w:w="20" w:type="dxa"/>
              <w:right w:w="20" w:type="dxa"/>
            </w:tcMar>
          </w:tcPr>
          <w:p w14:paraId="25C30B36" w14:textId="77777777" w:rsidR="00CA6653" w:rsidRPr="00852B4D" w:rsidRDefault="00CA6653">
            <w:pPr>
              <w:pStyle w:val="T1TableStyle"/>
              <w:jc w:val="center"/>
              <w:rPr>
                <w:rFonts w:ascii="Verdana" w:eastAsia="Verdana" w:hAnsi="Verdana" w:cs="Verdana"/>
                <w:color w:val="000000"/>
                <w:sz w:val="2"/>
                <w:lang w:val="en-GB"/>
              </w:rPr>
            </w:pPr>
          </w:p>
        </w:tc>
        <w:tc>
          <w:tcPr>
            <w:tcW w:w="1340" w:type="dxa"/>
            <w:shd w:val="clear" w:color="auto" w:fill="auto"/>
            <w:tcMar>
              <w:top w:w="20" w:type="dxa"/>
              <w:left w:w="20" w:type="dxa"/>
              <w:bottom w:w="20" w:type="dxa"/>
              <w:right w:w="20" w:type="dxa"/>
            </w:tcMar>
          </w:tcPr>
          <w:p w14:paraId="4691CE5D" w14:textId="77777777" w:rsidR="00CA6653" w:rsidRPr="00852B4D" w:rsidRDefault="000203F9">
            <w:pPr>
              <w:pStyle w:val="T1TableStyle"/>
              <w:jc w:val="right"/>
              <w:rPr>
                <w:rFonts w:ascii="Verdana" w:eastAsia="Verdana" w:hAnsi="Verdana" w:cs="Verdana"/>
                <w:color w:val="000000"/>
                <w:sz w:val="16"/>
                <w:lang w:val="en-GB"/>
              </w:rPr>
            </w:pPr>
            <w:r w:rsidRPr="00852B4D">
              <w:rPr>
                <w:rFonts w:ascii="Verdana" w:eastAsia="Verdana" w:hAnsi="Verdana" w:cs="Verdana"/>
                <w:color w:val="000000"/>
                <w:sz w:val="16"/>
                <w:lang w:val="en-GB"/>
              </w:rPr>
              <w:t>67,765</w:t>
            </w:r>
          </w:p>
        </w:tc>
      </w:tr>
      <w:tr w:rsidR="00310D13" w:rsidRPr="00852B4D" w14:paraId="5367208F" w14:textId="77777777" w:rsidTr="00A16DB1">
        <w:trPr>
          <w:gridAfter w:val="1"/>
          <w:wAfter w:w="97" w:type="dxa"/>
          <w:trHeight w:val="85"/>
          <w:jc w:val="center"/>
        </w:trPr>
        <w:tc>
          <w:tcPr>
            <w:tcW w:w="7472" w:type="dxa"/>
            <w:shd w:val="clear" w:color="auto" w:fill="auto"/>
            <w:tcMar>
              <w:top w:w="20" w:type="dxa"/>
              <w:left w:w="20" w:type="dxa"/>
              <w:bottom w:w="20" w:type="dxa"/>
              <w:right w:w="20" w:type="dxa"/>
            </w:tcMar>
          </w:tcPr>
          <w:p w14:paraId="6CB04FB5" w14:textId="050D5417" w:rsidR="00310D13" w:rsidRPr="00852B4D" w:rsidRDefault="00310D13" w:rsidP="00310D13">
            <w:pPr>
              <w:pStyle w:val="T1TableStyle"/>
              <w:rPr>
                <w:rFonts w:ascii="Verdana" w:eastAsia="Verdana" w:hAnsi="Verdana" w:cs="Verdana"/>
                <w:color w:val="000000"/>
                <w:sz w:val="16"/>
                <w:lang w:val="en-GB"/>
              </w:rPr>
            </w:pPr>
            <w:r w:rsidRPr="00D271FE">
              <w:rPr>
                <w:rFonts w:ascii="Verdana" w:eastAsia="Verdana" w:hAnsi="Verdana" w:cs="Verdana"/>
                <w:color w:val="000000"/>
                <w:sz w:val="16"/>
                <w:lang w:val="en-GB"/>
              </w:rPr>
              <w:t>Council tax and NDR (transfers to or from the Collection Fund)</w:t>
            </w:r>
          </w:p>
        </w:tc>
        <w:tc>
          <w:tcPr>
            <w:tcW w:w="1324" w:type="dxa"/>
            <w:shd w:val="clear" w:color="auto" w:fill="auto"/>
            <w:tcMar>
              <w:top w:w="20" w:type="dxa"/>
              <w:left w:w="20" w:type="dxa"/>
              <w:bottom w:w="20" w:type="dxa"/>
              <w:right w:w="20" w:type="dxa"/>
            </w:tcMar>
          </w:tcPr>
          <w:p w14:paraId="42EECAB7" w14:textId="5D5839FF" w:rsidR="00310D13" w:rsidRPr="00852B4D" w:rsidRDefault="00310D13" w:rsidP="00310D1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(2,486)</w:t>
            </w:r>
          </w:p>
        </w:tc>
        <w:tc>
          <w:tcPr>
            <w:tcW w:w="1330" w:type="dxa"/>
            <w:shd w:val="clear" w:color="auto" w:fill="auto"/>
            <w:tcMar>
              <w:top w:w="20" w:type="dxa"/>
              <w:left w:w="20" w:type="dxa"/>
              <w:bottom w:w="20" w:type="dxa"/>
              <w:right w:w="20" w:type="dxa"/>
            </w:tcMar>
          </w:tcPr>
          <w:p w14:paraId="5DE3AC84" w14:textId="77777777" w:rsidR="00310D13" w:rsidRPr="00852B4D" w:rsidRDefault="00310D13" w:rsidP="00310D13">
            <w:pPr>
              <w:pStyle w:val="T1TableStyle"/>
              <w:jc w:val="center"/>
              <w:rPr>
                <w:rFonts w:ascii="Verdana" w:eastAsia="Verdana" w:hAnsi="Verdana" w:cs="Verdana"/>
                <w:color w:val="000000"/>
                <w:sz w:val="2"/>
                <w:lang w:val="en-GB"/>
              </w:rPr>
            </w:pPr>
          </w:p>
        </w:tc>
        <w:tc>
          <w:tcPr>
            <w:tcW w:w="1330" w:type="dxa"/>
            <w:shd w:val="clear" w:color="auto" w:fill="auto"/>
            <w:tcMar>
              <w:top w:w="20" w:type="dxa"/>
              <w:left w:w="20" w:type="dxa"/>
              <w:bottom w:w="20" w:type="dxa"/>
              <w:right w:w="20" w:type="dxa"/>
            </w:tcMar>
          </w:tcPr>
          <w:p w14:paraId="025E1C39" w14:textId="77777777" w:rsidR="00310D13" w:rsidRPr="00852B4D" w:rsidRDefault="00310D13" w:rsidP="00310D13">
            <w:pPr>
              <w:pStyle w:val="T1TableStyle"/>
              <w:jc w:val="center"/>
              <w:rPr>
                <w:rFonts w:ascii="Verdana" w:eastAsia="Verdana" w:hAnsi="Verdana" w:cs="Verdana"/>
                <w:color w:val="000000"/>
                <w:sz w:val="2"/>
                <w:lang w:val="en-GB"/>
              </w:rPr>
            </w:pPr>
          </w:p>
        </w:tc>
        <w:tc>
          <w:tcPr>
            <w:tcW w:w="1340" w:type="dxa"/>
            <w:shd w:val="clear" w:color="auto" w:fill="auto"/>
            <w:tcMar>
              <w:top w:w="20" w:type="dxa"/>
              <w:left w:w="20" w:type="dxa"/>
              <w:bottom w:w="20" w:type="dxa"/>
              <w:right w:w="20" w:type="dxa"/>
            </w:tcMar>
          </w:tcPr>
          <w:p w14:paraId="6F6D6922" w14:textId="753A65A9" w:rsidR="00310D13" w:rsidRPr="00852B4D" w:rsidRDefault="00310D13" w:rsidP="00310D1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2,486</w:t>
            </w:r>
          </w:p>
        </w:tc>
      </w:tr>
      <w:tr w:rsidR="00310D13" w:rsidRPr="00852B4D" w14:paraId="055F57BE" w14:textId="77777777" w:rsidTr="00A16DB1">
        <w:trPr>
          <w:gridAfter w:val="1"/>
          <w:wAfter w:w="97" w:type="dxa"/>
          <w:trHeight w:val="85"/>
          <w:jc w:val="center"/>
        </w:trPr>
        <w:tc>
          <w:tcPr>
            <w:tcW w:w="7472" w:type="dxa"/>
            <w:shd w:val="clear" w:color="auto" w:fill="auto"/>
            <w:tcMar>
              <w:top w:w="20" w:type="dxa"/>
              <w:left w:w="20" w:type="dxa"/>
              <w:bottom w:w="20" w:type="dxa"/>
              <w:right w:w="20" w:type="dxa"/>
            </w:tcMar>
          </w:tcPr>
          <w:p w14:paraId="578CB1E2" w14:textId="77777777" w:rsidR="00310D13" w:rsidRPr="00852B4D" w:rsidRDefault="00310D13" w:rsidP="00310D13">
            <w:pPr>
              <w:pStyle w:val="T1TableStyle"/>
              <w:rPr>
                <w:rFonts w:ascii="Verdana" w:eastAsia="Verdana" w:hAnsi="Verdana" w:cs="Verdana"/>
                <w:color w:val="000000"/>
                <w:sz w:val="16"/>
                <w:lang w:val="en-GB"/>
              </w:rPr>
            </w:pPr>
            <w:r w:rsidRPr="00852B4D">
              <w:rPr>
                <w:rFonts w:ascii="Verdana" w:eastAsia="Verdana" w:hAnsi="Verdana" w:cs="Verdana"/>
                <w:color w:val="000000"/>
                <w:sz w:val="16"/>
                <w:lang w:val="en-GB"/>
              </w:rPr>
              <w:t>Holiday pay (transferred to the Accumulated Absences reserve)</w:t>
            </w:r>
          </w:p>
        </w:tc>
        <w:tc>
          <w:tcPr>
            <w:tcW w:w="1324" w:type="dxa"/>
            <w:shd w:val="clear" w:color="auto" w:fill="auto"/>
            <w:tcMar>
              <w:top w:w="20" w:type="dxa"/>
              <w:left w:w="20" w:type="dxa"/>
              <w:bottom w:w="20" w:type="dxa"/>
              <w:right w:w="20" w:type="dxa"/>
            </w:tcMar>
          </w:tcPr>
          <w:p w14:paraId="4B9119B2" w14:textId="77777777" w:rsidR="00310D13" w:rsidRPr="00852B4D" w:rsidRDefault="00310D13" w:rsidP="00310D13">
            <w:pPr>
              <w:pStyle w:val="T1TableStyle"/>
              <w:jc w:val="right"/>
              <w:rPr>
                <w:rFonts w:ascii="Verdana" w:eastAsia="Verdana" w:hAnsi="Verdana" w:cs="Verdana"/>
                <w:color w:val="000000"/>
                <w:sz w:val="16"/>
                <w:lang w:val="en-GB"/>
              </w:rPr>
            </w:pPr>
            <w:r w:rsidRPr="00852B4D">
              <w:rPr>
                <w:rFonts w:ascii="Verdana" w:eastAsia="Verdana" w:hAnsi="Verdana" w:cs="Verdana"/>
                <w:color w:val="000000"/>
                <w:sz w:val="16"/>
                <w:lang w:val="en-GB"/>
              </w:rPr>
              <w:t>(897)</w:t>
            </w:r>
          </w:p>
        </w:tc>
        <w:tc>
          <w:tcPr>
            <w:tcW w:w="1330" w:type="dxa"/>
            <w:shd w:val="clear" w:color="auto" w:fill="auto"/>
            <w:tcMar>
              <w:top w:w="20" w:type="dxa"/>
              <w:left w:w="20" w:type="dxa"/>
              <w:bottom w:w="20" w:type="dxa"/>
              <w:right w:w="20" w:type="dxa"/>
            </w:tcMar>
          </w:tcPr>
          <w:p w14:paraId="18939F67" w14:textId="77777777" w:rsidR="00310D13" w:rsidRPr="00852B4D" w:rsidRDefault="00310D13" w:rsidP="00310D13">
            <w:pPr>
              <w:pStyle w:val="T1TableStyle"/>
              <w:jc w:val="center"/>
              <w:rPr>
                <w:rFonts w:ascii="Verdana" w:eastAsia="Verdana" w:hAnsi="Verdana" w:cs="Verdana"/>
                <w:color w:val="000000"/>
                <w:sz w:val="2"/>
                <w:lang w:val="en-GB"/>
              </w:rPr>
            </w:pPr>
          </w:p>
        </w:tc>
        <w:tc>
          <w:tcPr>
            <w:tcW w:w="1330" w:type="dxa"/>
            <w:shd w:val="clear" w:color="auto" w:fill="auto"/>
            <w:tcMar>
              <w:top w:w="20" w:type="dxa"/>
              <w:left w:w="20" w:type="dxa"/>
              <w:bottom w:w="20" w:type="dxa"/>
              <w:right w:w="20" w:type="dxa"/>
            </w:tcMar>
          </w:tcPr>
          <w:p w14:paraId="7256EECF" w14:textId="77777777" w:rsidR="00310D13" w:rsidRPr="00852B4D" w:rsidRDefault="00310D13" w:rsidP="00310D13">
            <w:pPr>
              <w:pStyle w:val="T1TableStyle"/>
              <w:jc w:val="center"/>
              <w:rPr>
                <w:rFonts w:ascii="Verdana" w:eastAsia="Verdana" w:hAnsi="Verdana" w:cs="Verdana"/>
                <w:color w:val="000000"/>
                <w:sz w:val="2"/>
                <w:lang w:val="en-GB"/>
              </w:rPr>
            </w:pPr>
          </w:p>
        </w:tc>
        <w:tc>
          <w:tcPr>
            <w:tcW w:w="1340" w:type="dxa"/>
            <w:shd w:val="clear" w:color="auto" w:fill="auto"/>
            <w:tcMar>
              <w:top w:w="20" w:type="dxa"/>
              <w:left w:w="20" w:type="dxa"/>
              <w:bottom w:w="20" w:type="dxa"/>
              <w:right w:w="20" w:type="dxa"/>
            </w:tcMar>
          </w:tcPr>
          <w:p w14:paraId="0C14647A" w14:textId="77777777" w:rsidR="00310D13" w:rsidRPr="00852B4D" w:rsidRDefault="00310D13" w:rsidP="00310D13">
            <w:pPr>
              <w:pStyle w:val="T1TableStyle"/>
              <w:jc w:val="right"/>
              <w:rPr>
                <w:rFonts w:ascii="Verdana" w:eastAsia="Verdana" w:hAnsi="Verdana" w:cs="Verdana"/>
                <w:color w:val="000000"/>
                <w:sz w:val="16"/>
                <w:lang w:val="en-GB"/>
              </w:rPr>
            </w:pPr>
            <w:r w:rsidRPr="00852B4D">
              <w:rPr>
                <w:rFonts w:ascii="Verdana" w:eastAsia="Verdana" w:hAnsi="Verdana" w:cs="Verdana"/>
                <w:color w:val="000000"/>
                <w:sz w:val="16"/>
                <w:lang w:val="en-GB"/>
              </w:rPr>
              <w:t>897</w:t>
            </w:r>
          </w:p>
        </w:tc>
      </w:tr>
      <w:tr w:rsidR="00310D13" w:rsidRPr="00852B4D" w14:paraId="3946F476" w14:textId="77777777" w:rsidTr="00A16DB1">
        <w:trPr>
          <w:gridAfter w:val="1"/>
          <w:wAfter w:w="97" w:type="dxa"/>
          <w:trHeight w:val="85"/>
          <w:jc w:val="center"/>
        </w:trPr>
        <w:tc>
          <w:tcPr>
            <w:tcW w:w="7472" w:type="dxa"/>
            <w:tcBorders>
              <w:bottom w:val="single" w:sz="2" w:space="0" w:color="000000"/>
            </w:tcBorders>
            <w:shd w:val="clear" w:color="auto" w:fill="auto"/>
            <w:tcMar>
              <w:top w:w="20" w:type="dxa"/>
              <w:left w:w="20" w:type="dxa"/>
              <w:bottom w:w="20" w:type="dxa"/>
              <w:right w:w="20" w:type="dxa"/>
            </w:tcMar>
          </w:tcPr>
          <w:p w14:paraId="5ADF46FD" w14:textId="77777777" w:rsidR="00310D13" w:rsidRPr="00852B4D" w:rsidRDefault="00310D13" w:rsidP="00310D13">
            <w:pPr>
              <w:pStyle w:val="T1TableStyle"/>
              <w:rPr>
                <w:rFonts w:ascii="Verdana" w:eastAsia="Verdana" w:hAnsi="Verdana" w:cs="Verdana"/>
                <w:color w:val="000000"/>
                <w:sz w:val="16"/>
                <w:lang w:val="en-GB"/>
              </w:rPr>
            </w:pPr>
            <w:r w:rsidRPr="00852B4D">
              <w:rPr>
                <w:rFonts w:ascii="Verdana" w:eastAsia="Verdana" w:hAnsi="Verdana" w:cs="Verdana"/>
                <w:color w:val="000000"/>
                <w:sz w:val="16"/>
                <w:lang w:val="en-GB"/>
              </w:rPr>
              <w:t>Reversal of entries included in the Surplus or Deficit on the Provision of Services in relation to capital expenditure (these items are charged to the Capital Adjustment Account)</w:t>
            </w:r>
          </w:p>
        </w:tc>
        <w:tc>
          <w:tcPr>
            <w:tcW w:w="1324" w:type="dxa"/>
            <w:tcBorders>
              <w:bottom w:val="single" w:sz="2" w:space="0" w:color="000000"/>
            </w:tcBorders>
            <w:shd w:val="clear" w:color="auto" w:fill="auto"/>
            <w:tcMar>
              <w:top w:w="20" w:type="dxa"/>
              <w:left w:w="20" w:type="dxa"/>
              <w:bottom w:w="20" w:type="dxa"/>
              <w:right w:w="20" w:type="dxa"/>
            </w:tcMar>
          </w:tcPr>
          <w:p w14:paraId="42B33A4B" w14:textId="3BFD6BE6" w:rsidR="00310D13" w:rsidRPr="00852B4D" w:rsidRDefault="00310D13">
            <w:pPr>
              <w:pStyle w:val="T1TableStyle"/>
              <w:jc w:val="right"/>
              <w:rPr>
                <w:rFonts w:ascii="Verdana" w:eastAsia="Verdana" w:hAnsi="Verdana" w:cs="Verdana"/>
                <w:color w:val="000000"/>
                <w:sz w:val="16"/>
                <w:lang w:val="en-GB"/>
              </w:rPr>
            </w:pPr>
            <w:r w:rsidRPr="00852B4D">
              <w:rPr>
                <w:rFonts w:ascii="Verdana" w:eastAsia="Verdana" w:hAnsi="Verdana" w:cs="Verdana"/>
                <w:color w:val="000000"/>
                <w:sz w:val="16"/>
                <w:lang w:val="en-GB"/>
              </w:rPr>
              <w:t>(1</w:t>
            </w:r>
            <w:r w:rsidR="005A2B92">
              <w:rPr>
                <w:rFonts w:ascii="Verdana" w:eastAsia="Verdana" w:hAnsi="Verdana" w:cs="Verdana"/>
                <w:color w:val="000000"/>
                <w:sz w:val="16"/>
                <w:lang w:val="en-GB"/>
              </w:rPr>
              <w:t>4,063</w:t>
            </w:r>
            <w:r w:rsidRPr="00852B4D">
              <w:rPr>
                <w:rFonts w:ascii="Verdana" w:eastAsia="Verdana" w:hAnsi="Verdana" w:cs="Verdana"/>
                <w:color w:val="000000"/>
                <w:sz w:val="16"/>
                <w:lang w:val="en-GB"/>
              </w:rPr>
              <w:t>)</w:t>
            </w:r>
          </w:p>
        </w:tc>
        <w:tc>
          <w:tcPr>
            <w:tcW w:w="1330" w:type="dxa"/>
            <w:tcBorders>
              <w:bottom w:val="single" w:sz="2" w:space="0" w:color="000000"/>
            </w:tcBorders>
            <w:shd w:val="clear" w:color="auto" w:fill="auto"/>
            <w:tcMar>
              <w:top w:w="20" w:type="dxa"/>
              <w:left w:w="20" w:type="dxa"/>
              <w:bottom w:w="20" w:type="dxa"/>
              <w:right w:w="20" w:type="dxa"/>
            </w:tcMar>
          </w:tcPr>
          <w:p w14:paraId="70D015AD" w14:textId="77777777" w:rsidR="00310D13" w:rsidRPr="00852B4D" w:rsidRDefault="00310D13" w:rsidP="00310D13">
            <w:pPr>
              <w:pStyle w:val="T1TableStyle"/>
              <w:jc w:val="center"/>
              <w:rPr>
                <w:rFonts w:ascii="Verdana" w:eastAsia="Verdana" w:hAnsi="Verdana" w:cs="Verdana"/>
                <w:color w:val="000000"/>
                <w:sz w:val="2"/>
                <w:lang w:val="en-GB"/>
              </w:rPr>
            </w:pPr>
          </w:p>
        </w:tc>
        <w:tc>
          <w:tcPr>
            <w:tcW w:w="1330" w:type="dxa"/>
            <w:tcBorders>
              <w:bottom w:val="single" w:sz="2" w:space="0" w:color="000000"/>
            </w:tcBorders>
            <w:shd w:val="clear" w:color="auto" w:fill="auto"/>
            <w:tcMar>
              <w:top w:w="20" w:type="dxa"/>
              <w:left w:w="20" w:type="dxa"/>
              <w:bottom w:w="20" w:type="dxa"/>
              <w:right w:w="20" w:type="dxa"/>
            </w:tcMar>
          </w:tcPr>
          <w:p w14:paraId="79DC8428" w14:textId="453E0A4E" w:rsidR="00310D13" w:rsidRPr="00852B4D" w:rsidRDefault="005A2B92" w:rsidP="00310D1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(297)</w:t>
            </w:r>
          </w:p>
        </w:tc>
        <w:tc>
          <w:tcPr>
            <w:tcW w:w="1340" w:type="dxa"/>
            <w:tcBorders>
              <w:bottom w:val="single" w:sz="2" w:space="0" w:color="000000"/>
            </w:tcBorders>
            <w:shd w:val="clear" w:color="auto" w:fill="auto"/>
            <w:tcMar>
              <w:top w:w="20" w:type="dxa"/>
              <w:left w:w="20" w:type="dxa"/>
              <w:bottom w:w="20" w:type="dxa"/>
              <w:right w:w="20" w:type="dxa"/>
            </w:tcMar>
          </w:tcPr>
          <w:p w14:paraId="1BC6EB8B" w14:textId="0421333F" w:rsidR="00310D13" w:rsidRPr="00852B4D" w:rsidRDefault="00310D13">
            <w:pPr>
              <w:pStyle w:val="T1TableStyle"/>
              <w:jc w:val="right"/>
              <w:rPr>
                <w:rFonts w:ascii="Verdana" w:eastAsia="Verdana" w:hAnsi="Verdana" w:cs="Verdana"/>
                <w:color w:val="000000"/>
                <w:sz w:val="16"/>
                <w:lang w:val="en-GB"/>
              </w:rPr>
            </w:pPr>
            <w:r w:rsidRPr="00852B4D">
              <w:rPr>
                <w:rFonts w:ascii="Verdana" w:eastAsia="Verdana" w:hAnsi="Verdana" w:cs="Verdana"/>
                <w:color w:val="000000"/>
                <w:sz w:val="16"/>
                <w:lang w:val="en-GB"/>
              </w:rPr>
              <w:t>1</w:t>
            </w:r>
            <w:r w:rsidR="005A2B92">
              <w:rPr>
                <w:rFonts w:ascii="Verdana" w:eastAsia="Verdana" w:hAnsi="Verdana" w:cs="Verdana"/>
                <w:color w:val="000000"/>
                <w:sz w:val="16"/>
                <w:lang w:val="en-GB"/>
              </w:rPr>
              <w:t>4,360</w:t>
            </w:r>
          </w:p>
        </w:tc>
      </w:tr>
      <w:tr w:rsidR="00310D13" w:rsidRPr="00852B4D" w14:paraId="58AA5291" w14:textId="77777777" w:rsidTr="00A16DB1">
        <w:trPr>
          <w:gridAfter w:val="1"/>
          <w:wAfter w:w="97" w:type="dxa"/>
          <w:trHeight w:val="85"/>
          <w:jc w:val="center"/>
        </w:trPr>
        <w:tc>
          <w:tcPr>
            <w:tcW w:w="7472" w:type="dxa"/>
            <w:shd w:val="clear" w:color="auto" w:fill="auto"/>
            <w:tcMar>
              <w:top w:w="20" w:type="dxa"/>
              <w:left w:w="20" w:type="dxa"/>
              <w:bottom w:w="20" w:type="dxa"/>
              <w:right w:w="20" w:type="dxa"/>
            </w:tcMar>
          </w:tcPr>
          <w:p w14:paraId="721D18D9" w14:textId="77777777" w:rsidR="00310D13" w:rsidRPr="00A16DB1" w:rsidRDefault="00310D13" w:rsidP="00310D13">
            <w:pPr>
              <w:pStyle w:val="T1TableStyle"/>
              <w:rPr>
                <w:rFonts w:ascii="Verdana" w:eastAsia="Verdana" w:hAnsi="Verdana" w:cs="Verdana"/>
                <w:b/>
                <w:color w:val="000000"/>
                <w:sz w:val="16"/>
                <w:lang w:val="en-GB"/>
              </w:rPr>
            </w:pPr>
            <w:r w:rsidRPr="00A16DB1">
              <w:rPr>
                <w:rFonts w:ascii="Verdana" w:eastAsia="Verdana" w:hAnsi="Verdana" w:cs="Verdana"/>
                <w:b/>
                <w:color w:val="000000"/>
                <w:sz w:val="16"/>
                <w:lang w:val="en-GB"/>
              </w:rPr>
              <w:t>Total Adjustments to Revenue Resources</w:t>
            </w:r>
          </w:p>
        </w:tc>
        <w:tc>
          <w:tcPr>
            <w:tcW w:w="1324" w:type="dxa"/>
            <w:shd w:val="clear" w:color="auto" w:fill="auto"/>
            <w:tcMar>
              <w:top w:w="20" w:type="dxa"/>
              <w:left w:w="20" w:type="dxa"/>
              <w:bottom w:w="20" w:type="dxa"/>
              <w:right w:w="20" w:type="dxa"/>
            </w:tcMar>
          </w:tcPr>
          <w:p w14:paraId="614F2FB2" w14:textId="5873DD07" w:rsidR="00310D13" w:rsidRPr="00A16DB1" w:rsidRDefault="00310D13">
            <w:pPr>
              <w:pStyle w:val="T1TableStyle"/>
              <w:jc w:val="right"/>
              <w:rPr>
                <w:rFonts w:ascii="Verdana" w:eastAsia="Verdana" w:hAnsi="Verdana" w:cs="Verdana"/>
                <w:b/>
                <w:color w:val="000000"/>
                <w:sz w:val="16"/>
                <w:lang w:val="en-GB"/>
              </w:rPr>
            </w:pPr>
            <w:r w:rsidRPr="00A16DB1">
              <w:rPr>
                <w:rFonts w:ascii="Verdana" w:eastAsia="Verdana" w:hAnsi="Verdana" w:cs="Verdana"/>
                <w:b/>
                <w:color w:val="000000"/>
                <w:sz w:val="16"/>
                <w:lang w:val="en-GB"/>
              </w:rPr>
              <w:t>(</w:t>
            </w:r>
            <w:r>
              <w:rPr>
                <w:rFonts w:ascii="Verdana" w:eastAsia="Verdana" w:hAnsi="Verdana" w:cs="Verdana"/>
                <w:b/>
                <w:color w:val="000000"/>
                <w:sz w:val="16"/>
                <w:lang w:val="en-GB"/>
              </w:rPr>
              <w:t>8</w:t>
            </w:r>
            <w:r w:rsidR="005A2B92">
              <w:rPr>
                <w:rFonts w:ascii="Verdana" w:eastAsia="Verdana" w:hAnsi="Verdana" w:cs="Verdana"/>
                <w:b/>
                <w:color w:val="000000"/>
                <w:sz w:val="16"/>
                <w:lang w:val="en-GB"/>
              </w:rPr>
              <w:t>5,211</w:t>
            </w:r>
            <w:r w:rsidRPr="00A16DB1">
              <w:rPr>
                <w:rFonts w:ascii="Verdana" w:eastAsia="Verdana" w:hAnsi="Verdana" w:cs="Verdana"/>
                <w:b/>
                <w:color w:val="000000"/>
                <w:sz w:val="16"/>
                <w:lang w:val="en-GB"/>
              </w:rPr>
              <w:t>)</w:t>
            </w:r>
          </w:p>
        </w:tc>
        <w:tc>
          <w:tcPr>
            <w:tcW w:w="1330" w:type="dxa"/>
            <w:shd w:val="clear" w:color="auto" w:fill="auto"/>
            <w:tcMar>
              <w:top w:w="20" w:type="dxa"/>
              <w:left w:w="20" w:type="dxa"/>
              <w:bottom w:w="20" w:type="dxa"/>
              <w:right w:w="20" w:type="dxa"/>
            </w:tcMar>
          </w:tcPr>
          <w:p w14:paraId="35E5AB0A" w14:textId="77777777" w:rsidR="00310D13" w:rsidRPr="00A16DB1" w:rsidRDefault="00310D13" w:rsidP="00310D13">
            <w:pPr>
              <w:pStyle w:val="T1TableStyle"/>
              <w:jc w:val="right"/>
              <w:rPr>
                <w:rFonts w:ascii="Verdana" w:eastAsia="Verdana" w:hAnsi="Verdana" w:cs="Verdana"/>
                <w:b/>
                <w:color w:val="000000"/>
                <w:sz w:val="16"/>
                <w:lang w:val="en-GB"/>
              </w:rPr>
            </w:pPr>
          </w:p>
        </w:tc>
        <w:tc>
          <w:tcPr>
            <w:tcW w:w="1330" w:type="dxa"/>
            <w:shd w:val="clear" w:color="auto" w:fill="auto"/>
            <w:tcMar>
              <w:top w:w="20" w:type="dxa"/>
              <w:left w:w="20" w:type="dxa"/>
              <w:bottom w:w="20" w:type="dxa"/>
              <w:right w:w="20" w:type="dxa"/>
            </w:tcMar>
          </w:tcPr>
          <w:p w14:paraId="46DF5D46" w14:textId="781E37B6" w:rsidR="00310D13" w:rsidRPr="00A16DB1" w:rsidRDefault="005A2B92" w:rsidP="00310D1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(297)</w:t>
            </w:r>
          </w:p>
        </w:tc>
        <w:tc>
          <w:tcPr>
            <w:tcW w:w="1340" w:type="dxa"/>
            <w:shd w:val="clear" w:color="auto" w:fill="auto"/>
            <w:tcMar>
              <w:top w:w="20" w:type="dxa"/>
              <w:left w:w="20" w:type="dxa"/>
              <w:bottom w:w="20" w:type="dxa"/>
              <w:right w:w="20" w:type="dxa"/>
            </w:tcMar>
          </w:tcPr>
          <w:p w14:paraId="020A1A94" w14:textId="0673E64C" w:rsidR="00310D13" w:rsidRPr="00A16DB1" w:rsidRDefault="00310D1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8</w:t>
            </w:r>
            <w:r w:rsidR="005A2B92">
              <w:rPr>
                <w:rFonts w:ascii="Verdana" w:eastAsia="Verdana" w:hAnsi="Verdana" w:cs="Verdana"/>
                <w:b/>
                <w:color w:val="000000"/>
                <w:sz w:val="16"/>
                <w:lang w:val="en-GB"/>
              </w:rPr>
              <w:t>5,508</w:t>
            </w:r>
          </w:p>
        </w:tc>
      </w:tr>
      <w:tr w:rsidR="00310D13" w:rsidRPr="00852B4D" w14:paraId="7E750E30" w14:textId="77777777" w:rsidTr="00A16DB1">
        <w:trPr>
          <w:gridAfter w:val="1"/>
          <w:wAfter w:w="97" w:type="dxa"/>
          <w:trHeight w:hRule="exact" w:val="94"/>
          <w:jc w:val="center"/>
        </w:trPr>
        <w:tc>
          <w:tcPr>
            <w:tcW w:w="7472" w:type="dxa"/>
            <w:shd w:val="clear" w:color="auto" w:fill="auto"/>
            <w:tcMar>
              <w:top w:w="20" w:type="dxa"/>
              <w:left w:w="20" w:type="dxa"/>
              <w:bottom w:w="20" w:type="dxa"/>
              <w:right w:w="20" w:type="dxa"/>
            </w:tcMar>
          </w:tcPr>
          <w:p w14:paraId="192E645D" w14:textId="0C3CC037" w:rsidR="00310D13" w:rsidRPr="00852B4D" w:rsidRDefault="00310D13" w:rsidP="00310D13">
            <w:pPr>
              <w:pStyle w:val="T1TableStyle"/>
              <w:jc w:val="center"/>
              <w:rPr>
                <w:rFonts w:ascii="Verdana" w:eastAsia="Verdana" w:hAnsi="Verdana" w:cs="Verdana"/>
                <w:color w:val="000000"/>
                <w:sz w:val="2"/>
                <w:lang w:val="en-GB"/>
              </w:rPr>
            </w:pPr>
          </w:p>
        </w:tc>
        <w:tc>
          <w:tcPr>
            <w:tcW w:w="1324" w:type="dxa"/>
            <w:shd w:val="clear" w:color="auto" w:fill="auto"/>
            <w:tcMar>
              <w:top w:w="20" w:type="dxa"/>
              <w:left w:w="20" w:type="dxa"/>
              <w:bottom w:w="20" w:type="dxa"/>
              <w:right w:w="20" w:type="dxa"/>
            </w:tcMar>
          </w:tcPr>
          <w:p w14:paraId="23CD0C8B" w14:textId="77777777" w:rsidR="00310D13" w:rsidRPr="00852B4D" w:rsidRDefault="00310D13" w:rsidP="00310D13">
            <w:pPr>
              <w:pStyle w:val="T1TableStyle"/>
              <w:jc w:val="center"/>
              <w:rPr>
                <w:rFonts w:ascii="Verdana" w:eastAsia="Verdana" w:hAnsi="Verdana" w:cs="Verdana"/>
                <w:color w:val="000000"/>
                <w:sz w:val="2"/>
                <w:lang w:val="en-GB"/>
              </w:rPr>
            </w:pPr>
            <w:r w:rsidRPr="00852B4D">
              <w:rPr>
                <w:rFonts w:ascii="Verdana" w:eastAsia="Verdana" w:hAnsi="Verdana" w:cs="Verdana"/>
                <w:color w:val="000000"/>
                <w:sz w:val="2"/>
                <w:lang w:val="en-GB"/>
              </w:rPr>
              <w:t xml:space="preserve"> </w:t>
            </w:r>
          </w:p>
        </w:tc>
        <w:tc>
          <w:tcPr>
            <w:tcW w:w="1330" w:type="dxa"/>
            <w:shd w:val="clear" w:color="auto" w:fill="auto"/>
            <w:tcMar>
              <w:top w:w="20" w:type="dxa"/>
              <w:left w:w="20" w:type="dxa"/>
              <w:bottom w:w="20" w:type="dxa"/>
              <w:right w:w="20" w:type="dxa"/>
            </w:tcMar>
          </w:tcPr>
          <w:p w14:paraId="0C66F249" w14:textId="77777777" w:rsidR="00310D13" w:rsidRPr="00852B4D" w:rsidRDefault="00310D13" w:rsidP="00310D13">
            <w:pPr>
              <w:pStyle w:val="T1TableStyle"/>
              <w:jc w:val="center"/>
              <w:rPr>
                <w:rFonts w:ascii="Verdana" w:eastAsia="Verdana" w:hAnsi="Verdana" w:cs="Verdana"/>
                <w:color w:val="000000"/>
                <w:sz w:val="2"/>
                <w:lang w:val="en-GB"/>
              </w:rPr>
            </w:pPr>
            <w:r w:rsidRPr="00852B4D">
              <w:rPr>
                <w:rFonts w:ascii="Verdana" w:eastAsia="Verdana" w:hAnsi="Verdana" w:cs="Verdana"/>
                <w:color w:val="000000"/>
                <w:sz w:val="2"/>
                <w:lang w:val="en-GB"/>
              </w:rPr>
              <w:t xml:space="preserve"> </w:t>
            </w:r>
          </w:p>
        </w:tc>
        <w:tc>
          <w:tcPr>
            <w:tcW w:w="1330" w:type="dxa"/>
            <w:shd w:val="clear" w:color="auto" w:fill="auto"/>
            <w:tcMar>
              <w:top w:w="20" w:type="dxa"/>
              <w:left w:w="20" w:type="dxa"/>
              <w:bottom w:w="20" w:type="dxa"/>
              <w:right w:w="20" w:type="dxa"/>
            </w:tcMar>
          </w:tcPr>
          <w:p w14:paraId="6469A06D" w14:textId="77777777" w:rsidR="00310D13" w:rsidRPr="00852B4D" w:rsidRDefault="00310D13" w:rsidP="00310D13">
            <w:pPr>
              <w:pStyle w:val="T1TableStyle"/>
              <w:jc w:val="center"/>
              <w:rPr>
                <w:rFonts w:ascii="Verdana" w:eastAsia="Verdana" w:hAnsi="Verdana" w:cs="Verdana"/>
                <w:color w:val="000000"/>
                <w:sz w:val="2"/>
                <w:lang w:val="en-GB"/>
              </w:rPr>
            </w:pPr>
            <w:r w:rsidRPr="00852B4D">
              <w:rPr>
                <w:rFonts w:ascii="Verdana" w:eastAsia="Verdana" w:hAnsi="Verdana" w:cs="Verdana"/>
                <w:color w:val="000000"/>
                <w:sz w:val="2"/>
                <w:lang w:val="en-GB"/>
              </w:rPr>
              <w:t xml:space="preserve"> </w:t>
            </w:r>
          </w:p>
        </w:tc>
        <w:tc>
          <w:tcPr>
            <w:tcW w:w="1340" w:type="dxa"/>
            <w:shd w:val="clear" w:color="auto" w:fill="auto"/>
            <w:tcMar>
              <w:top w:w="20" w:type="dxa"/>
              <w:left w:w="20" w:type="dxa"/>
              <w:bottom w:w="20" w:type="dxa"/>
              <w:right w:w="20" w:type="dxa"/>
            </w:tcMar>
          </w:tcPr>
          <w:p w14:paraId="433C617F" w14:textId="77777777" w:rsidR="00310D13" w:rsidRPr="00852B4D" w:rsidRDefault="00310D13" w:rsidP="00310D13">
            <w:pPr>
              <w:pStyle w:val="T1TableStyle"/>
              <w:jc w:val="center"/>
              <w:rPr>
                <w:rFonts w:ascii="Verdana" w:eastAsia="Verdana" w:hAnsi="Verdana" w:cs="Verdana"/>
                <w:color w:val="000000"/>
                <w:sz w:val="2"/>
                <w:lang w:val="en-GB"/>
              </w:rPr>
            </w:pPr>
            <w:r w:rsidRPr="00852B4D">
              <w:rPr>
                <w:rFonts w:ascii="Verdana" w:eastAsia="Verdana" w:hAnsi="Verdana" w:cs="Verdana"/>
                <w:color w:val="000000"/>
                <w:sz w:val="2"/>
                <w:lang w:val="en-GB"/>
              </w:rPr>
              <w:t xml:space="preserve"> </w:t>
            </w:r>
          </w:p>
        </w:tc>
      </w:tr>
      <w:tr w:rsidR="00310D13" w:rsidRPr="00852B4D" w14:paraId="4ED0EC52" w14:textId="77777777" w:rsidTr="00A16DB1">
        <w:trPr>
          <w:gridAfter w:val="1"/>
          <w:wAfter w:w="97" w:type="dxa"/>
          <w:trHeight w:val="54"/>
          <w:jc w:val="center"/>
        </w:trPr>
        <w:tc>
          <w:tcPr>
            <w:tcW w:w="7472" w:type="dxa"/>
            <w:shd w:val="clear" w:color="auto" w:fill="auto"/>
            <w:tcMar>
              <w:top w:w="20" w:type="dxa"/>
              <w:left w:w="20" w:type="dxa"/>
              <w:bottom w:w="20" w:type="dxa"/>
              <w:right w:w="20" w:type="dxa"/>
            </w:tcMar>
          </w:tcPr>
          <w:p w14:paraId="6BAE4B75" w14:textId="77777777" w:rsidR="00310D13" w:rsidRPr="00852B4D" w:rsidRDefault="00310D13" w:rsidP="00310D13">
            <w:pPr>
              <w:pStyle w:val="T1TableStyle"/>
              <w:rPr>
                <w:rFonts w:ascii="Verdana" w:eastAsia="Verdana" w:hAnsi="Verdana" w:cs="Verdana"/>
                <w:color w:val="000000"/>
                <w:sz w:val="16"/>
                <w:lang w:val="en-GB"/>
              </w:rPr>
            </w:pPr>
            <w:r w:rsidRPr="00852B4D">
              <w:rPr>
                <w:rFonts w:ascii="Verdana" w:eastAsia="Verdana" w:hAnsi="Verdana" w:cs="Verdana"/>
                <w:color w:val="000000"/>
                <w:sz w:val="16"/>
                <w:lang w:val="en-GB"/>
              </w:rPr>
              <w:t xml:space="preserve">Adjustments between Revenue and Capital Resources </w:t>
            </w:r>
          </w:p>
          <w:p w14:paraId="1891C9CF" w14:textId="0A114DB2" w:rsidR="00310D13" w:rsidRPr="00852B4D" w:rsidRDefault="00310D13" w:rsidP="00310D13">
            <w:pPr>
              <w:pStyle w:val="T1TableStyle"/>
              <w:rPr>
                <w:rFonts w:ascii="Verdana" w:eastAsia="Verdana" w:hAnsi="Verdana" w:cs="Verdana"/>
                <w:color w:val="000000"/>
                <w:sz w:val="16"/>
                <w:lang w:val="en-GB"/>
              </w:rPr>
            </w:pPr>
            <w:r w:rsidRPr="00852B4D">
              <w:rPr>
                <w:rFonts w:ascii="Verdana" w:eastAsia="Verdana" w:hAnsi="Verdana" w:cs="Verdana"/>
                <w:color w:val="000000"/>
                <w:sz w:val="16"/>
                <w:lang w:val="en-GB"/>
              </w:rPr>
              <w:t>Transfer Capital Receipts to Capital Receipts Reserve</w:t>
            </w:r>
            <w:r w:rsidR="00CC3D79">
              <w:rPr>
                <w:rFonts w:ascii="Verdana" w:eastAsia="Verdana" w:hAnsi="Verdana" w:cs="Verdana"/>
                <w:color w:val="000000"/>
                <w:sz w:val="16"/>
                <w:lang w:val="en-GB"/>
              </w:rPr>
              <w:t xml:space="preserve">                                                                      </w:t>
            </w:r>
            <w:r w:rsidRPr="00852B4D">
              <w:rPr>
                <w:rFonts w:ascii="Verdana" w:eastAsia="Verdana" w:hAnsi="Verdana" w:cs="Verdana"/>
                <w:color w:val="000000"/>
                <w:sz w:val="16"/>
                <w:lang w:val="en-GB"/>
              </w:rPr>
              <w:t xml:space="preserve">                                                                                        </w:t>
            </w:r>
          </w:p>
        </w:tc>
        <w:tc>
          <w:tcPr>
            <w:tcW w:w="1324" w:type="dxa"/>
            <w:shd w:val="clear" w:color="auto" w:fill="auto"/>
            <w:tcMar>
              <w:top w:w="20" w:type="dxa"/>
              <w:left w:w="20" w:type="dxa"/>
              <w:bottom w:w="20" w:type="dxa"/>
              <w:right w:w="20" w:type="dxa"/>
            </w:tcMar>
          </w:tcPr>
          <w:p w14:paraId="2BF7B8E2" w14:textId="030C682D" w:rsidR="00310D13" w:rsidRPr="00852B4D" w:rsidRDefault="005A2B92" w:rsidP="0041394A">
            <w:pPr>
              <w:tabs>
                <w:tab w:val="left" w:pos="332"/>
                <w:tab w:val="center" w:pos="572"/>
              </w:tabs>
              <w:jc w:val="right"/>
              <w:rPr>
                <w:sz w:val="16"/>
                <w:szCs w:val="16"/>
                <w:lang w:val="en-GB"/>
              </w:rPr>
            </w:pPr>
            <w:r>
              <w:rPr>
                <w:sz w:val="16"/>
                <w:szCs w:val="16"/>
                <w:lang w:val="en-GB"/>
              </w:rPr>
              <w:t>3,379</w:t>
            </w:r>
          </w:p>
        </w:tc>
        <w:tc>
          <w:tcPr>
            <w:tcW w:w="1330" w:type="dxa"/>
            <w:shd w:val="clear" w:color="auto" w:fill="auto"/>
            <w:tcMar>
              <w:top w:w="20" w:type="dxa"/>
              <w:left w:w="20" w:type="dxa"/>
              <w:bottom w:w="20" w:type="dxa"/>
              <w:right w:w="20" w:type="dxa"/>
            </w:tcMar>
          </w:tcPr>
          <w:p w14:paraId="597C6FCC" w14:textId="0E05290B" w:rsidR="00310D13" w:rsidRPr="00852B4D" w:rsidRDefault="005A2B92" w:rsidP="0041394A">
            <w:pPr>
              <w:tabs>
                <w:tab w:val="left" w:pos="881"/>
              </w:tabs>
              <w:jc w:val="right"/>
              <w:rPr>
                <w:sz w:val="16"/>
                <w:szCs w:val="16"/>
                <w:lang w:val="en-GB"/>
              </w:rPr>
            </w:pPr>
            <w:r>
              <w:rPr>
                <w:sz w:val="16"/>
                <w:szCs w:val="16"/>
                <w:lang w:val="en-GB"/>
              </w:rPr>
              <w:t>(3,379)</w:t>
            </w:r>
          </w:p>
        </w:tc>
        <w:tc>
          <w:tcPr>
            <w:tcW w:w="1330" w:type="dxa"/>
            <w:shd w:val="clear" w:color="auto" w:fill="auto"/>
            <w:tcMar>
              <w:top w:w="20" w:type="dxa"/>
              <w:left w:w="20" w:type="dxa"/>
              <w:bottom w:w="20" w:type="dxa"/>
              <w:right w:w="20" w:type="dxa"/>
            </w:tcMar>
          </w:tcPr>
          <w:p w14:paraId="15D9B9B5" w14:textId="77777777" w:rsidR="00310D13" w:rsidRPr="00852B4D" w:rsidRDefault="00310D13" w:rsidP="00310D13">
            <w:pPr>
              <w:pStyle w:val="T1TableStyle"/>
              <w:jc w:val="center"/>
              <w:rPr>
                <w:rFonts w:ascii="Verdana" w:eastAsia="Verdana" w:hAnsi="Verdana" w:cs="Verdana"/>
                <w:color w:val="000000"/>
                <w:sz w:val="2"/>
                <w:lang w:val="en-GB"/>
              </w:rPr>
            </w:pPr>
          </w:p>
        </w:tc>
        <w:tc>
          <w:tcPr>
            <w:tcW w:w="1340" w:type="dxa"/>
            <w:shd w:val="clear" w:color="auto" w:fill="auto"/>
            <w:tcMar>
              <w:top w:w="20" w:type="dxa"/>
              <w:left w:w="20" w:type="dxa"/>
              <w:bottom w:w="20" w:type="dxa"/>
              <w:right w:w="20" w:type="dxa"/>
            </w:tcMar>
          </w:tcPr>
          <w:p w14:paraId="5CB60B00" w14:textId="77777777" w:rsidR="00310D13" w:rsidRPr="00852B4D" w:rsidRDefault="00310D13" w:rsidP="00310D13">
            <w:pPr>
              <w:tabs>
                <w:tab w:val="left" w:pos="559"/>
              </w:tabs>
              <w:jc w:val="right"/>
              <w:rPr>
                <w:sz w:val="16"/>
                <w:szCs w:val="16"/>
                <w:lang w:val="en-GB"/>
              </w:rPr>
            </w:pPr>
          </w:p>
        </w:tc>
      </w:tr>
      <w:tr w:rsidR="00310D13" w:rsidRPr="00B91D82" w14:paraId="0B2D0D67" w14:textId="77777777" w:rsidTr="00A16DB1">
        <w:trPr>
          <w:gridAfter w:val="1"/>
          <w:wAfter w:w="97" w:type="dxa"/>
          <w:trHeight w:val="85"/>
          <w:jc w:val="center"/>
        </w:trPr>
        <w:tc>
          <w:tcPr>
            <w:tcW w:w="7472" w:type="dxa"/>
            <w:shd w:val="clear" w:color="auto" w:fill="auto"/>
            <w:tcMar>
              <w:top w:w="20" w:type="dxa"/>
              <w:left w:w="20" w:type="dxa"/>
              <w:bottom w:w="20" w:type="dxa"/>
              <w:right w:w="20" w:type="dxa"/>
            </w:tcMar>
          </w:tcPr>
          <w:p w14:paraId="4006E027" w14:textId="66AF6261" w:rsidR="00310D13" w:rsidRPr="00852B4D" w:rsidRDefault="00310D13" w:rsidP="00310D13">
            <w:pPr>
              <w:pStyle w:val="T1TableStyle"/>
              <w:rPr>
                <w:rFonts w:ascii="Verdana" w:eastAsia="Verdana" w:hAnsi="Verdana" w:cs="Verdana"/>
                <w:color w:val="000000"/>
                <w:sz w:val="16"/>
                <w:lang w:val="en-GB"/>
              </w:rPr>
            </w:pPr>
            <w:r w:rsidRPr="00852B4D">
              <w:rPr>
                <w:rFonts w:ascii="Verdana" w:eastAsia="Verdana" w:hAnsi="Verdana" w:cs="Verdana"/>
                <w:color w:val="000000"/>
                <w:sz w:val="16"/>
                <w:lang w:val="en-GB"/>
              </w:rPr>
              <w:t>Statutory Provision for the repayment of debt (transfer to Capital Adjustment Account)</w:t>
            </w:r>
          </w:p>
        </w:tc>
        <w:tc>
          <w:tcPr>
            <w:tcW w:w="1324" w:type="dxa"/>
            <w:shd w:val="clear" w:color="auto" w:fill="auto"/>
            <w:tcMar>
              <w:top w:w="20" w:type="dxa"/>
              <w:left w:w="20" w:type="dxa"/>
              <w:bottom w:w="20" w:type="dxa"/>
              <w:right w:w="20" w:type="dxa"/>
            </w:tcMar>
          </w:tcPr>
          <w:p w14:paraId="62D21441" w14:textId="77777777" w:rsidR="00310D13" w:rsidRPr="00852B4D" w:rsidRDefault="00310D13" w:rsidP="00310D13">
            <w:pPr>
              <w:pStyle w:val="T1TableStyle"/>
              <w:jc w:val="right"/>
              <w:rPr>
                <w:rFonts w:ascii="Verdana" w:eastAsia="Verdana" w:hAnsi="Verdana" w:cs="Verdana"/>
                <w:color w:val="000000"/>
                <w:sz w:val="16"/>
                <w:lang w:val="en-GB"/>
              </w:rPr>
            </w:pPr>
            <w:r w:rsidRPr="00852B4D">
              <w:rPr>
                <w:rFonts w:ascii="Verdana" w:eastAsia="Verdana" w:hAnsi="Verdana" w:cs="Verdana"/>
                <w:color w:val="000000"/>
                <w:sz w:val="16"/>
                <w:lang w:val="en-GB"/>
              </w:rPr>
              <w:t>1,070</w:t>
            </w:r>
          </w:p>
        </w:tc>
        <w:tc>
          <w:tcPr>
            <w:tcW w:w="1330" w:type="dxa"/>
            <w:shd w:val="clear" w:color="auto" w:fill="auto"/>
            <w:tcMar>
              <w:top w:w="20" w:type="dxa"/>
              <w:left w:w="20" w:type="dxa"/>
              <w:bottom w:w="20" w:type="dxa"/>
              <w:right w:w="20" w:type="dxa"/>
            </w:tcMar>
          </w:tcPr>
          <w:p w14:paraId="305FE485" w14:textId="77777777" w:rsidR="00310D13" w:rsidRPr="00852B4D" w:rsidRDefault="00310D13" w:rsidP="00310D13">
            <w:pPr>
              <w:pStyle w:val="T1TableStyle"/>
              <w:jc w:val="center"/>
              <w:rPr>
                <w:rFonts w:ascii="Verdana" w:eastAsia="Verdana" w:hAnsi="Verdana" w:cs="Verdana"/>
                <w:color w:val="000000"/>
                <w:sz w:val="2"/>
                <w:lang w:val="en-GB"/>
              </w:rPr>
            </w:pPr>
          </w:p>
        </w:tc>
        <w:tc>
          <w:tcPr>
            <w:tcW w:w="1330" w:type="dxa"/>
            <w:shd w:val="clear" w:color="auto" w:fill="auto"/>
            <w:tcMar>
              <w:top w:w="20" w:type="dxa"/>
              <w:left w:w="20" w:type="dxa"/>
              <w:bottom w:w="20" w:type="dxa"/>
              <w:right w:w="20" w:type="dxa"/>
            </w:tcMar>
          </w:tcPr>
          <w:p w14:paraId="69CE9329" w14:textId="77777777" w:rsidR="00310D13" w:rsidRPr="00852B4D" w:rsidRDefault="00310D13" w:rsidP="00310D13">
            <w:pPr>
              <w:pStyle w:val="T1TableStyle"/>
              <w:jc w:val="center"/>
              <w:rPr>
                <w:rFonts w:ascii="Verdana" w:eastAsia="Verdana" w:hAnsi="Verdana" w:cs="Verdana"/>
                <w:color w:val="000000"/>
                <w:sz w:val="2"/>
                <w:lang w:val="en-GB"/>
              </w:rPr>
            </w:pPr>
          </w:p>
        </w:tc>
        <w:tc>
          <w:tcPr>
            <w:tcW w:w="1340" w:type="dxa"/>
            <w:shd w:val="clear" w:color="auto" w:fill="auto"/>
            <w:tcMar>
              <w:top w:w="20" w:type="dxa"/>
              <w:left w:w="20" w:type="dxa"/>
              <w:bottom w:w="20" w:type="dxa"/>
              <w:right w:w="20" w:type="dxa"/>
            </w:tcMar>
          </w:tcPr>
          <w:p w14:paraId="34F08BB9" w14:textId="77777777" w:rsidR="00310D13" w:rsidRPr="00B91D82" w:rsidRDefault="00310D13" w:rsidP="00310D13">
            <w:pPr>
              <w:pStyle w:val="T1TableStyle"/>
              <w:jc w:val="right"/>
              <w:rPr>
                <w:rFonts w:ascii="Verdana" w:eastAsia="Verdana" w:hAnsi="Verdana" w:cs="Verdana"/>
                <w:color w:val="000000"/>
                <w:sz w:val="16"/>
                <w:lang w:val="en-GB"/>
              </w:rPr>
            </w:pPr>
            <w:r w:rsidRPr="00852B4D">
              <w:rPr>
                <w:rFonts w:ascii="Verdana" w:eastAsia="Verdana" w:hAnsi="Verdana" w:cs="Verdana"/>
                <w:color w:val="000000"/>
                <w:sz w:val="16"/>
                <w:lang w:val="en-GB"/>
              </w:rPr>
              <w:t>(1,070)</w:t>
            </w:r>
          </w:p>
        </w:tc>
      </w:tr>
      <w:tr w:rsidR="00310D13" w:rsidRPr="00B91D82" w14:paraId="031901D8" w14:textId="77777777" w:rsidTr="00A16DB1">
        <w:trPr>
          <w:gridAfter w:val="1"/>
          <w:wAfter w:w="97" w:type="dxa"/>
          <w:trHeight w:val="85"/>
          <w:jc w:val="center"/>
        </w:trPr>
        <w:tc>
          <w:tcPr>
            <w:tcW w:w="7472" w:type="dxa"/>
            <w:tcBorders>
              <w:bottom w:val="single" w:sz="2" w:space="0" w:color="000000"/>
            </w:tcBorders>
            <w:shd w:val="clear" w:color="auto" w:fill="auto"/>
            <w:tcMar>
              <w:top w:w="20" w:type="dxa"/>
              <w:left w:w="20" w:type="dxa"/>
              <w:bottom w:w="20" w:type="dxa"/>
              <w:right w:w="20" w:type="dxa"/>
            </w:tcMar>
          </w:tcPr>
          <w:p w14:paraId="5A67F00C" w14:textId="11A6BDAC" w:rsidR="00310D13" w:rsidRPr="00852B4D" w:rsidRDefault="00310D13" w:rsidP="00310D13">
            <w:pPr>
              <w:pStyle w:val="T1TableStyle"/>
              <w:rPr>
                <w:rFonts w:ascii="Verdana" w:eastAsia="Verdana" w:hAnsi="Verdana" w:cs="Verdana"/>
                <w:color w:val="000000"/>
                <w:sz w:val="16"/>
                <w:lang w:val="en-GB"/>
              </w:rPr>
            </w:pPr>
            <w:r w:rsidRPr="00852B4D">
              <w:rPr>
                <w:rFonts w:ascii="Verdana" w:eastAsia="Verdana" w:hAnsi="Verdana" w:cs="Verdana"/>
                <w:color w:val="000000"/>
                <w:sz w:val="16"/>
                <w:lang w:val="en-GB"/>
              </w:rPr>
              <w:t>Capital expenditure financed from revenue (transfer to Capital Adjustment Account)</w:t>
            </w:r>
          </w:p>
        </w:tc>
        <w:tc>
          <w:tcPr>
            <w:tcW w:w="1324" w:type="dxa"/>
            <w:tcBorders>
              <w:bottom w:val="single" w:sz="2" w:space="0" w:color="000000"/>
            </w:tcBorders>
            <w:shd w:val="clear" w:color="auto" w:fill="auto"/>
            <w:tcMar>
              <w:top w:w="20" w:type="dxa"/>
              <w:left w:w="20" w:type="dxa"/>
              <w:bottom w:w="20" w:type="dxa"/>
              <w:right w:w="20" w:type="dxa"/>
            </w:tcMar>
          </w:tcPr>
          <w:p w14:paraId="6070EF13" w14:textId="41C5F1A4" w:rsidR="00310D13" w:rsidRPr="00B91D82" w:rsidRDefault="005A2B92" w:rsidP="00310D1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8,714</w:t>
            </w:r>
          </w:p>
        </w:tc>
        <w:tc>
          <w:tcPr>
            <w:tcW w:w="1330" w:type="dxa"/>
            <w:tcBorders>
              <w:bottom w:val="single" w:sz="2" w:space="0" w:color="000000"/>
            </w:tcBorders>
            <w:shd w:val="clear" w:color="auto" w:fill="auto"/>
            <w:tcMar>
              <w:top w:w="20" w:type="dxa"/>
              <w:left w:w="20" w:type="dxa"/>
              <w:bottom w:w="20" w:type="dxa"/>
              <w:right w:w="20" w:type="dxa"/>
            </w:tcMar>
          </w:tcPr>
          <w:p w14:paraId="67908943" w14:textId="77777777" w:rsidR="00310D13" w:rsidRPr="00B91D82" w:rsidRDefault="00310D13" w:rsidP="00310D13">
            <w:pPr>
              <w:pStyle w:val="T1TableStyle"/>
              <w:jc w:val="center"/>
              <w:rPr>
                <w:rFonts w:ascii="Verdana" w:eastAsia="Verdana" w:hAnsi="Verdana" w:cs="Verdana"/>
                <w:color w:val="000000"/>
                <w:sz w:val="2"/>
                <w:lang w:val="en-GB"/>
              </w:rPr>
            </w:pPr>
          </w:p>
        </w:tc>
        <w:tc>
          <w:tcPr>
            <w:tcW w:w="1330" w:type="dxa"/>
            <w:tcBorders>
              <w:bottom w:val="single" w:sz="2" w:space="0" w:color="000000"/>
            </w:tcBorders>
            <w:shd w:val="clear" w:color="auto" w:fill="auto"/>
            <w:tcMar>
              <w:top w:w="20" w:type="dxa"/>
              <w:left w:w="20" w:type="dxa"/>
              <w:bottom w:w="20" w:type="dxa"/>
              <w:right w:w="20" w:type="dxa"/>
            </w:tcMar>
          </w:tcPr>
          <w:p w14:paraId="2EEEB59E" w14:textId="77777777" w:rsidR="00310D13" w:rsidRPr="00B91D82" w:rsidRDefault="00310D13" w:rsidP="00310D13">
            <w:pPr>
              <w:pStyle w:val="T1TableStyle"/>
              <w:jc w:val="center"/>
              <w:rPr>
                <w:rFonts w:ascii="Verdana" w:eastAsia="Verdana" w:hAnsi="Verdana" w:cs="Verdana"/>
                <w:color w:val="000000"/>
                <w:sz w:val="2"/>
                <w:lang w:val="en-GB"/>
              </w:rPr>
            </w:pPr>
          </w:p>
        </w:tc>
        <w:tc>
          <w:tcPr>
            <w:tcW w:w="1340" w:type="dxa"/>
            <w:tcBorders>
              <w:bottom w:val="single" w:sz="2" w:space="0" w:color="000000"/>
            </w:tcBorders>
            <w:shd w:val="clear" w:color="auto" w:fill="auto"/>
            <w:tcMar>
              <w:top w:w="20" w:type="dxa"/>
              <w:left w:w="20" w:type="dxa"/>
              <w:bottom w:w="20" w:type="dxa"/>
              <w:right w:w="20" w:type="dxa"/>
            </w:tcMar>
          </w:tcPr>
          <w:p w14:paraId="16BA45EB" w14:textId="61D3E5A9" w:rsidR="00310D13" w:rsidRPr="00B91D82" w:rsidRDefault="00310D1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5A2B92">
              <w:rPr>
                <w:rFonts w:ascii="Verdana" w:eastAsia="Verdana" w:hAnsi="Verdana" w:cs="Verdana"/>
                <w:color w:val="000000"/>
                <w:sz w:val="16"/>
                <w:lang w:val="en-GB"/>
              </w:rPr>
              <w:t>8,714</w:t>
            </w:r>
            <w:r>
              <w:rPr>
                <w:rFonts w:ascii="Verdana" w:eastAsia="Verdana" w:hAnsi="Verdana" w:cs="Verdana"/>
                <w:color w:val="000000"/>
                <w:sz w:val="16"/>
                <w:lang w:val="en-GB"/>
              </w:rPr>
              <w:t>)</w:t>
            </w:r>
          </w:p>
        </w:tc>
      </w:tr>
      <w:tr w:rsidR="00310D13" w:rsidRPr="00B91D82" w14:paraId="74A12B0A" w14:textId="77777777" w:rsidTr="00A16DB1">
        <w:trPr>
          <w:gridAfter w:val="1"/>
          <w:wAfter w:w="97" w:type="dxa"/>
          <w:trHeight w:val="85"/>
          <w:jc w:val="center"/>
        </w:trPr>
        <w:tc>
          <w:tcPr>
            <w:tcW w:w="7472" w:type="dxa"/>
            <w:shd w:val="clear" w:color="auto" w:fill="auto"/>
            <w:tcMar>
              <w:top w:w="20" w:type="dxa"/>
              <w:left w:w="20" w:type="dxa"/>
              <w:bottom w:w="20" w:type="dxa"/>
              <w:right w:w="20" w:type="dxa"/>
            </w:tcMar>
          </w:tcPr>
          <w:p w14:paraId="71687B28" w14:textId="77777777" w:rsidR="00310D13" w:rsidRPr="00A16DB1" w:rsidRDefault="00310D13" w:rsidP="00310D13">
            <w:pPr>
              <w:pStyle w:val="T1TableStyle"/>
              <w:rPr>
                <w:rFonts w:ascii="Verdana" w:eastAsia="Verdana" w:hAnsi="Verdana" w:cs="Verdana"/>
                <w:b/>
                <w:color w:val="000000"/>
                <w:sz w:val="16"/>
                <w:lang w:val="en-GB"/>
              </w:rPr>
            </w:pPr>
            <w:r w:rsidRPr="00A16DB1">
              <w:rPr>
                <w:rFonts w:ascii="Verdana" w:eastAsia="Verdana" w:hAnsi="Verdana" w:cs="Verdana"/>
                <w:b/>
                <w:color w:val="000000"/>
                <w:sz w:val="16"/>
                <w:lang w:val="en-GB"/>
              </w:rPr>
              <w:t>Total Adjustments between Revenue and Capital Resources</w:t>
            </w:r>
          </w:p>
        </w:tc>
        <w:tc>
          <w:tcPr>
            <w:tcW w:w="1324" w:type="dxa"/>
            <w:shd w:val="clear" w:color="auto" w:fill="auto"/>
            <w:tcMar>
              <w:top w:w="20" w:type="dxa"/>
              <w:left w:w="20" w:type="dxa"/>
              <w:bottom w:w="20" w:type="dxa"/>
              <w:right w:w="20" w:type="dxa"/>
            </w:tcMar>
          </w:tcPr>
          <w:p w14:paraId="50499682" w14:textId="191E705E" w:rsidR="00310D13" w:rsidRPr="00A16DB1" w:rsidRDefault="005A2B92" w:rsidP="00310D1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13,163</w:t>
            </w:r>
          </w:p>
        </w:tc>
        <w:tc>
          <w:tcPr>
            <w:tcW w:w="1330" w:type="dxa"/>
            <w:shd w:val="clear" w:color="auto" w:fill="auto"/>
            <w:tcMar>
              <w:top w:w="20" w:type="dxa"/>
              <w:left w:w="20" w:type="dxa"/>
              <w:bottom w:w="20" w:type="dxa"/>
              <w:right w:w="20" w:type="dxa"/>
            </w:tcMar>
          </w:tcPr>
          <w:p w14:paraId="321FD610" w14:textId="504E8B00" w:rsidR="00310D13" w:rsidRPr="00A16DB1" w:rsidRDefault="005A2B92" w:rsidP="00310D1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(3,379)</w:t>
            </w:r>
          </w:p>
        </w:tc>
        <w:tc>
          <w:tcPr>
            <w:tcW w:w="1330" w:type="dxa"/>
            <w:shd w:val="clear" w:color="auto" w:fill="auto"/>
            <w:tcMar>
              <w:top w:w="20" w:type="dxa"/>
              <w:left w:w="20" w:type="dxa"/>
              <w:bottom w:w="20" w:type="dxa"/>
              <w:right w:w="20" w:type="dxa"/>
            </w:tcMar>
          </w:tcPr>
          <w:p w14:paraId="0A63FFAE" w14:textId="703762BA" w:rsidR="00310D13" w:rsidRPr="00A16DB1" w:rsidRDefault="005A2B92" w:rsidP="00310D1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340" w:type="dxa"/>
            <w:shd w:val="clear" w:color="auto" w:fill="auto"/>
            <w:tcMar>
              <w:top w:w="20" w:type="dxa"/>
              <w:left w:w="20" w:type="dxa"/>
              <w:bottom w:w="20" w:type="dxa"/>
              <w:right w:w="20" w:type="dxa"/>
            </w:tcMar>
          </w:tcPr>
          <w:p w14:paraId="39545DD9" w14:textId="3FC9962C" w:rsidR="00310D13" w:rsidRPr="00A16DB1" w:rsidRDefault="00310D13" w:rsidP="00310D13">
            <w:pPr>
              <w:pStyle w:val="T1TableStyle"/>
              <w:jc w:val="right"/>
              <w:rPr>
                <w:rFonts w:ascii="Verdana" w:eastAsia="Verdana" w:hAnsi="Verdana" w:cs="Verdana"/>
                <w:b/>
                <w:color w:val="000000"/>
                <w:sz w:val="16"/>
                <w:lang w:val="en-GB"/>
              </w:rPr>
            </w:pPr>
            <w:r w:rsidRPr="00A16DB1">
              <w:rPr>
                <w:rFonts w:ascii="Verdana" w:eastAsia="Verdana" w:hAnsi="Verdana" w:cs="Verdana"/>
                <w:b/>
                <w:color w:val="000000"/>
                <w:sz w:val="16"/>
                <w:lang w:val="en-GB"/>
              </w:rPr>
              <w:t>(</w:t>
            </w:r>
            <w:r w:rsidR="005A2B92">
              <w:rPr>
                <w:rFonts w:ascii="Verdana" w:eastAsia="Verdana" w:hAnsi="Verdana" w:cs="Verdana"/>
                <w:b/>
                <w:color w:val="000000"/>
                <w:sz w:val="16"/>
                <w:lang w:val="en-GB"/>
              </w:rPr>
              <w:t>9,784</w:t>
            </w:r>
            <w:r w:rsidRPr="00A16DB1">
              <w:rPr>
                <w:rFonts w:ascii="Verdana" w:eastAsia="Verdana" w:hAnsi="Verdana" w:cs="Verdana"/>
                <w:b/>
                <w:color w:val="000000"/>
                <w:sz w:val="16"/>
                <w:lang w:val="en-GB"/>
              </w:rPr>
              <w:t>)</w:t>
            </w:r>
          </w:p>
        </w:tc>
      </w:tr>
      <w:tr w:rsidR="00310D13" w:rsidRPr="00B91D82" w14:paraId="556E465C" w14:textId="77777777" w:rsidTr="00A16DB1">
        <w:trPr>
          <w:gridAfter w:val="1"/>
          <w:wAfter w:w="97" w:type="dxa"/>
          <w:trHeight w:hRule="exact" w:val="49"/>
          <w:jc w:val="center"/>
        </w:trPr>
        <w:tc>
          <w:tcPr>
            <w:tcW w:w="7472" w:type="dxa"/>
            <w:shd w:val="clear" w:color="auto" w:fill="auto"/>
            <w:tcMar>
              <w:top w:w="20" w:type="dxa"/>
              <w:left w:w="20" w:type="dxa"/>
              <w:bottom w:w="20" w:type="dxa"/>
              <w:right w:w="20" w:type="dxa"/>
            </w:tcMar>
          </w:tcPr>
          <w:p w14:paraId="65FD1D56" w14:textId="77777777" w:rsidR="00310D13" w:rsidRPr="00852B4D" w:rsidRDefault="00310D13" w:rsidP="00310D13">
            <w:pPr>
              <w:pStyle w:val="T1TableStyle"/>
              <w:jc w:val="center"/>
              <w:rPr>
                <w:rFonts w:ascii="Verdana" w:eastAsia="Verdana" w:hAnsi="Verdana" w:cs="Verdana"/>
                <w:color w:val="000000"/>
                <w:sz w:val="2"/>
                <w:lang w:val="en-GB"/>
              </w:rPr>
            </w:pPr>
            <w:r w:rsidRPr="00852B4D">
              <w:rPr>
                <w:rFonts w:ascii="Verdana" w:eastAsia="Verdana" w:hAnsi="Verdana" w:cs="Verdana"/>
                <w:color w:val="000000"/>
                <w:sz w:val="2"/>
                <w:lang w:val="en-GB"/>
              </w:rPr>
              <w:t xml:space="preserve"> </w:t>
            </w:r>
          </w:p>
        </w:tc>
        <w:tc>
          <w:tcPr>
            <w:tcW w:w="1324" w:type="dxa"/>
            <w:shd w:val="clear" w:color="auto" w:fill="auto"/>
            <w:tcMar>
              <w:top w:w="20" w:type="dxa"/>
              <w:left w:w="20" w:type="dxa"/>
              <w:bottom w:w="20" w:type="dxa"/>
              <w:right w:w="20" w:type="dxa"/>
            </w:tcMar>
          </w:tcPr>
          <w:p w14:paraId="3A5B4C13" w14:textId="77777777" w:rsidR="00310D13" w:rsidRPr="00B91D82" w:rsidRDefault="00310D13" w:rsidP="00310D13">
            <w:pPr>
              <w:pStyle w:val="T1TableStyle"/>
              <w:jc w:val="center"/>
              <w:rPr>
                <w:rFonts w:ascii="Verdana" w:eastAsia="Verdana" w:hAnsi="Verdana" w:cs="Verdana"/>
                <w:color w:val="000000"/>
                <w:sz w:val="2"/>
                <w:lang w:val="en-GB"/>
              </w:rPr>
            </w:pPr>
            <w:r w:rsidRPr="00B91D82">
              <w:rPr>
                <w:rFonts w:ascii="Verdana" w:eastAsia="Verdana" w:hAnsi="Verdana" w:cs="Verdana"/>
                <w:color w:val="000000"/>
                <w:sz w:val="2"/>
                <w:lang w:val="en-GB"/>
              </w:rPr>
              <w:t xml:space="preserve"> </w:t>
            </w:r>
          </w:p>
        </w:tc>
        <w:tc>
          <w:tcPr>
            <w:tcW w:w="1330" w:type="dxa"/>
            <w:shd w:val="clear" w:color="auto" w:fill="auto"/>
            <w:tcMar>
              <w:top w:w="20" w:type="dxa"/>
              <w:left w:w="20" w:type="dxa"/>
              <w:bottom w:w="20" w:type="dxa"/>
              <w:right w:w="20" w:type="dxa"/>
            </w:tcMar>
          </w:tcPr>
          <w:p w14:paraId="5B825AF4" w14:textId="77777777" w:rsidR="00310D13" w:rsidRPr="00B91D82" w:rsidRDefault="00310D13" w:rsidP="00310D13">
            <w:pPr>
              <w:pStyle w:val="T1TableStyle"/>
              <w:jc w:val="center"/>
              <w:rPr>
                <w:rFonts w:ascii="Verdana" w:eastAsia="Verdana" w:hAnsi="Verdana" w:cs="Verdana"/>
                <w:color w:val="000000"/>
                <w:sz w:val="2"/>
                <w:lang w:val="en-GB"/>
              </w:rPr>
            </w:pPr>
            <w:r w:rsidRPr="00B91D82">
              <w:rPr>
                <w:rFonts w:ascii="Verdana" w:eastAsia="Verdana" w:hAnsi="Verdana" w:cs="Verdana"/>
                <w:color w:val="000000"/>
                <w:sz w:val="2"/>
                <w:lang w:val="en-GB"/>
              </w:rPr>
              <w:t xml:space="preserve"> </w:t>
            </w:r>
          </w:p>
        </w:tc>
        <w:tc>
          <w:tcPr>
            <w:tcW w:w="1330" w:type="dxa"/>
            <w:shd w:val="clear" w:color="auto" w:fill="auto"/>
            <w:tcMar>
              <w:top w:w="20" w:type="dxa"/>
              <w:left w:w="20" w:type="dxa"/>
              <w:bottom w:w="20" w:type="dxa"/>
              <w:right w:w="20" w:type="dxa"/>
            </w:tcMar>
          </w:tcPr>
          <w:p w14:paraId="32E82B9E" w14:textId="77777777" w:rsidR="00310D13" w:rsidRPr="00B91D82" w:rsidRDefault="00310D13" w:rsidP="00310D13">
            <w:pPr>
              <w:pStyle w:val="T1TableStyle"/>
              <w:jc w:val="center"/>
              <w:rPr>
                <w:rFonts w:ascii="Verdana" w:eastAsia="Verdana" w:hAnsi="Verdana" w:cs="Verdana"/>
                <w:color w:val="000000"/>
                <w:sz w:val="2"/>
                <w:lang w:val="en-GB"/>
              </w:rPr>
            </w:pPr>
            <w:r w:rsidRPr="00B91D82">
              <w:rPr>
                <w:rFonts w:ascii="Verdana" w:eastAsia="Verdana" w:hAnsi="Verdana" w:cs="Verdana"/>
                <w:color w:val="000000"/>
                <w:sz w:val="2"/>
                <w:lang w:val="en-GB"/>
              </w:rPr>
              <w:t xml:space="preserve"> </w:t>
            </w:r>
          </w:p>
        </w:tc>
        <w:tc>
          <w:tcPr>
            <w:tcW w:w="1340" w:type="dxa"/>
            <w:shd w:val="clear" w:color="auto" w:fill="auto"/>
            <w:tcMar>
              <w:top w:w="20" w:type="dxa"/>
              <w:left w:w="20" w:type="dxa"/>
              <w:bottom w:w="20" w:type="dxa"/>
              <w:right w:w="20" w:type="dxa"/>
            </w:tcMar>
          </w:tcPr>
          <w:p w14:paraId="0FDE123C" w14:textId="77777777" w:rsidR="00310D13" w:rsidRPr="00B91D82" w:rsidRDefault="00310D13" w:rsidP="00310D13">
            <w:pPr>
              <w:pStyle w:val="T1TableStyle"/>
              <w:jc w:val="center"/>
              <w:rPr>
                <w:rFonts w:ascii="Verdana" w:eastAsia="Verdana" w:hAnsi="Verdana" w:cs="Verdana"/>
                <w:color w:val="000000"/>
                <w:sz w:val="2"/>
                <w:lang w:val="en-GB"/>
              </w:rPr>
            </w:pPr>
            <w:r w:rsidRPr="00B91D82">
              <w:rPr>
                <w:rFonts w:ascii="Verdana" w:eastAsia="Verdana" w:hAnsi="Verdana" w:cs="Verdana"/>
                <w:color w:val="000000"/>
                <w:sz w:val="2"/>
                <w:lang w:val="en-GB"/>
              </w:rPr>
              <w:t xml:space="preserve"> </w:t>
            </w:r>
          </w:p>
        </w:tc>
      </w:tr>
      <w:tr w:rsidR="00310D13" w:rsidRPr="00B91D82" w14:paraId="2312FCA8" w14:textId="77777777" w:rsidTr="00A16DB1">
        <w:trPr>
          <w:gridAfter w:val="1"/>
          <w:wAfter w:w="97" w:type="dxa"/>
          <w:trHeight w:val="85"/>
          <w:jc w:val="center"/>
        </w:trPr>
        <w:tc>
          <w:tcPr>
            <w:tcW w:w="12796" w:type="dxa"/>
            <w:gridSpan w:val="5"/>
            <w:shd w:val="clear" w:color="auto" w:fill="auto"/>
            <w:tcMar>
              <w:top w:w="20" w:type="dxa"/>
              <w:left w:w="20" w:type="dxa"/>
              <w:bottom w:w="20" w:type="dxa"/>
              <w:right w:w="20" w:type="dxa"/>
            </w:tcMar>
          </w:tcPr>
          <w:p w14:paraId="028E2AF7" w14:textId="77777777" w:rsidR="00310D13" w:rsidRPr="00852B4D" w:rsidRDefault="00310D13" w:rsidP="00310D13">
            <w:pPr>
              <w:pStyle w:val="T1TableStyle"/>
              <w:rPr>
                <w:rFonts w:ascii="Verdana" w:eastAsia="Verdana" w:hAnsi="Verdana" w:cs="Verdana"/>
                <w:color w:val="000000"/>
                <w:sz w:val="16"/>
                <w:lang w:val="en-GB"/>
              </w:rPr>
            </w:pPr>
            <w:r w:rsidRPr="00852B4D">
              <w:rPr>
                <w:rFonts w:ascii="Verdana" w:eastAsia="Verdana" w:hAnsi="Verdana" w:cs="Verdana"/>
                <w:color w:val="000000"/>
                <w:sz w:val="16"/>
                <w:lang w:val="en-GB"/>
              </w:rPr>
              <w:t>Adjustments to Capital Resources</w:t>
            </w:r>
          </w:p>
        </w:tc>
      </w:tr>
      <w:tr w:rsidR="00310D13" w:rsidRPr="00B91D82" w14:paraId="083EF0E1" w14:textId="77777777" w:rsidTr="00A16DB1">
        <w:trPr>
          <w:gridAfter w:val="1"/>
          <w:wAfter w:w="97" w:type="dxa"/>
          <w:trHeight w:val="54"/>
          <w:jc w:val="center"/>
        </w:trPr>
        <w:tc>
          <w:tcPr>
            <w:tcW w:w="7472" w:type="dxa"/>
            <w:shd w:val="clear" w:color="auto" w:fill="auto"/>
            <w:tcMar>
              <w:top w:w="20" w:type="dxa"/>
              <w:left w:w="20" w:type="dxa"/>
              <w:bottom w:w="20" w:type="dxa"/>
              <w:right w:w="20" w:type="dxa"/>
            </w:tcMar>
          </w:tcPr>
          <w:p w14:paraId="2A7371FB" w14:textId="77777777" w:rsidR="00310D13" w:rsidRPr="00852B4D" w:rsidRDefault="00310D13" w:rsidP="00310D13">
            <w:pPr>
              <w:pStyle w:val="T1TableStyle"/>
              <w:rPr>
                <w:rFonts w:ascii="Verdana" w:eastAsia="Verdana" w:hAnsi="Verdana" w:cs="Verdana"/>
                <w:color w:val="000000"/>
                <w:sz w:val="16"/>
                <w:lang w:val="en-GB"/>
              </w:rPr>
            </w:pPr>
            <w:r w:rsidRPr="00852B4D">
              <w:rPr>
                <w:rFonts w:ascii="Verdana" w:eastAsia="Verdana" w:hAnsi="Verdana" w:cs="Verdana"/>
                <w:color w:val="000000"/>
                <w:sz w:val="16"/>
                <w:lang w:val="en-GB"/>
              </w:rPr>
              <w:t>Use of the Capital Receipts Reserve to finance capital expenditure</w:t>
            </w:r>
          </w:p>
        </w:tc>
        <w:tc>
          <w:tcPr>
            <w:tcW w:w="1324" w:type="dxa"/>
            <w:shd w:val="clear" w:color="auto" w:fill="auto"/>
            <w:tcMar>
              <w:top w:w="20" w:type="dxa"/>
              <w:left w:w="20" w:type="dxa"/>
              <w:bottom w:w="20" w:type="dxa"/>
              <w:right w:w="20" w:type="dxa"/>
            </w:tcMar>
          </w:tcPr>
          <w:p w14:paraId="29E87676" w14:textId="77777777" w:rsidR="00310D13" w:rsidRPr="00B91D82" w:rsidRDefault="00310D13" w:rsidP="00310D13">
            <w:pPr>
              <w:pStyle w:val="T1TableStyle"/>
              <w:rPr>
                <w:rFonts w:ascii="Verdana" w:eastAsia="Verdana" w:hAnsi="Verdana" w:cs="Verdana"/>
                <w:color w:val="000000"/>
                <w:sz w:val="2"/>
                <w:lang w:val="en-GB"/>
              </w:rPr>
            </w:pPr>
          </w:p>
        </w:tc>
        <w:tc>
          <w:tcPr>
            <w:tcW w:w="1330" w:type="dxa"/>
            <w:shd w:val="clear" w:color="auto" w:fill="auto"/>
            <w:tcMar>
              <w:top w:w="20" w:type="dxa"/>
              <w:left w:w="20" w:type="dxa"/>
              <w:bottom w:w="20" w:type="dxa"/>
              <w:right w:w="20" w:type="dxa"/>
            </w:tcMar>
          </w:tcPr>
          <w:p w14:paraId="12D9CB05" w14:textId="26FBC3D8" w:rsidR="00310D13" w:rsidRPr="00B91D82" w:rsidRDefault="00310D13" w:rsidP="0041394A">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 xml:space="preserve">              </w:t>
            </w:r>
            <w:r w:rsidR="005A2B92">
              <w:rPr>
                <w:rFonts w:ascii="Verdana" w:eastAsia="Verdana" w:hAnsi="Verdana" w:cs="Verdana"/>
                <w:color w:val="000000"/>
                <w:sz w:val="16"/>
                <w:lang w:val="en-GB"/>
              </w:rPr>
              <w:t>3,575</w:t>
            </w:r>
          </w:p>
        </w:tc>
        <w:tc>
          <w:tcPr>
            <w:tcW w:w="1330" w:type="dxa"/>
            <w:shd w:val="clear" w:color="auto" w:fill="auto"/>
            <w:tcMar>
              <w:top w:w="20" w:type="dxa"/>
              <w:left w:w="20" w:type="dxa"/>
              <w:bottom w:w="20" w:type="dxa"/>
              <w:right w:w="20" w:type="dxa"/>
            </w:tcMar>
          </w:tcPr>
          <w:p w14:paraId="484E3BCF" w14:textId="77777777" w:rsidR="00310D13" w:rsidRPr="00B91D82" w:rsidRDefault="00310D13" w:rsidP="00310D13">
            <w:pPr>
              <w:pStyle w:val="T1TableStyle"/>
              <w:jc w:val="center"/>
              <w:rPr>
                <w:rFonts w:ascii="Verdana" w:eastAsia="Verdana" w:hAnsi="Verdana" w:cs="Verdana"/>
                <w:color w:val="000000"/>
                <w:sz w:val="2"/>
                <w:lang w:val="en-GB"/>
              </w:rPr>
            </w:pPr>
          </w:p>
        </w:tc>
        <w:tc>
          <w:tcPr>
            <w:tcW w:w="1340" w:type="dxa"/>
            <w:shd w:val="clear" w:color="auto" w:fill="auto"/>
            <w:tcMar>
              <w:top w:w="20" w:type="dxa"/>
              <w:left w:w="20" w:type="dxa"/>
              <w:bottom w:w="20" w:type="dxa"/>
              <w:right w:w="20" w:type="dxa"/>
            </w:tcMar>
          </w:tcPr>
          <w:p w14:paraId="7C59487D" w14:textId="2394F8FB" w:rsidR="00310D13" w:rsidRPr="00B91D82" w:rsidRDefault="00310D13" w:rsidP="00310D1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5A2B92">
              <w:rPr>
                <w:rFonts w:ascii="Verdana" w:eastAsia="Verdana" w:hAnsi="Verdana" w:cs="Verdana"/>
                <w:color w:val="000000"/>
                <w:sz w:val="16"/>
                <w:lang w:val="en-GB"/>
              </w:rPr>
              <w:t>3,575</w:t>
            </w:r>
            <w:r>
              <w:rPr>
                <w:rFonts w:ascii="Verdana" w:eastAsia="Verdana" w:hAnsi="Verdana" w:cs="Verdana"/>
                <w:color w:val="000000"/>
                <w:sz w:val="16"/>
                <w:lang w:val="en-GB"/>
              </w:rPr>
              <w:t>)</w:t>
            </w:r>
          </w:p>
        </w:tc>
      </w:tr>
      <w:tr w:rsidR="00310D13" w:rsidRPr="00B91D82" w14:paraId="0F694E53" w14:textId="77777777" w:rsidTr="00A16DB1">
        <w:trPr>
          <w:gridAfter w:val="1"/>
          <w:wAfter w:w="97" w:type="dxa"/>
          <w:trHeight w:val="85"/>
          <w:jc w:val="center"/>
        </w:trPr>
        <w:tc>
          <w:tcPr>
            <w:tcW w:w="7472" w:type="dxa"/>
            <w:shd w:val="clear" w:color="auto" w:fill="auto"/>
            <w:tcMar>
              <w:top w:w="20" w:type="dxa"/>
              <w:left w:w="20" w:type="dxa"/>
              <w:bottom w:w="20" w:type="dxa"/>
              <w:right w:w="20" w:type="dxa"/>
            </w:tcMar>
          </w:tcPr>
          <w:p w14:paraId="71AB98D0" w14:textId="77777777" w:rsidR="00310D13" w:rsidRPr="00852B4D" w:rsidRDefault="00310D13" w:rsidP="00310D13">
            <w:pPr>
              <w:pStyle w:val="T1TableStyle"/>
              <w:rPr>
                <w:rFonts w:ascii="Verdana" w:eastAsia="Verdana" w:hAnsi="Verdana" w:cs="Verdana"/>
                <w:color w:val="000000"/>
                <w:sz w:val="16"/>
                <w:lang w:val="en-GB"/>
              </w:rPr>
            </w:pPr>
            <w:r w:rsidRPr="00852B4D">
              <w:rPr>
                <w:rFonts w:ascii="Verdana" w:eastAsia="Verdana" w:hAnsi="Verdana" w:cs="Verdana"/>
                <w:color w:val="000000"/>
                <w:sz w:val="16"/>
                <w:lang w:val="en-GB"/>
              </w:rPr>
              <w:t>Application of capital grants to finance capital expenditure</w:t>
            </w:r>
          </w:p>
        </w:tc>
        <w:tc>
          <w:tcPr>
            <w:tcW w:w="1324" w:type="dxa"/>
            <w:shd w:val="clear" w:color="auto" w:fill="auto"/>
            <w:tcMar>
              <w:top w:w="20" w:type="dxa"/>
              <w:left w:w="20" w:type="dxa"/>
              <w:bottom w:w="20" w:type="dxa"/>
              <w:right w:w="20" w:type="dxa"/>
            </w:tcMar>
          </w:tcPr>
          <w:p w14:paraId="5F1262CA" w14:textId="252081EA" w:rsidR="00310D13" w:rsidRPr="00B91D82" w:rsidRDefault="005A2B92" w:rsidP="00310D13">
            <w:pPr>
              <w:pStyle w:val="T1TableStyle"/>
              <w:jc w:val="right"/>
              <w:rPr>
                <w:rFonts w:eastAsia="Verdana"/>
                <w:lang w:val="en-GB"/>
              </w:rPr>
            </w:pPr>
            <w:r>
              <w:rPr>
                <w:rFonts w:ascii="Verdana" w:eastAsia="Verdana" w:hAnsi="Verdana" w:cs="Verdana"/>
                <w:color w:val="000000"/>
                <w:sz w:val="16"/>
                <w:lang w:val="en-GB"/>
              </w:rPr>
              <w:t>0</w:t>
            </w:r>
          </w:p>
        </w:tc>
        <w:tc>
          <w:tcPr>
            <w:tcW w:w="1330" w:type="dxa"/>
            <w:shd w:val="clear" w:color="auto" w:fill="auto"/>
            <w:tcMar>
              <w:top w:w="20" w:type="dxa"/>
              <w:left w:w="20" w:type="dxa"/>
              <w:bottom w:w="20" w:type="dxa"/>
              <w:right w:w="20" w:type="dxa"/>
            </w:tcMar>
          </w:tcPr>
          <w:p w14:paraId="5F64C9B4" w14:textId="77777777" w:rsidR="00310D13" w:rsidRPr="00B91D82" w:rsidRDefault="00310D13" w:rsidP="00310D13">
            <w:pPr>
              <w:pStyle w:val="T1TableStyle"/>
              <w:jc w:val="center"/>
              <w:rPr>
                <w:rFonts w:ascii="Verdana" w:eastAsia="Verdana" w:hAnsi="Verdana" w:cs="Verdana"/>
                <w:color w:val="000000"/>
                <w:sz w:val="2"/>
                <w:lang w:val="en-GB"/>
              </w:rPr>
            </w:pPr>
          </w:p>
        </w:tc>
        <w:tc>
          <w:tcPr>
            <w:tcW w:w="1330" w:type="dxa"/>
            <w:shd w:val="clear" w:color="auto" w:fill="auto"/>
            <w:tcMar>
              <w:top w:w="20" w:type="dxa"/>
              <w:left w:w="20" w:type="dxa"/>
              <w:bottom w:w="20" w:type="dxa"/>
              <w:right w:w="20" w:type="dxa"/>
            </w:tcMar>
          </w:tcPr>
          <w:p w14:paraId="389AF4EE" w14:textId="6B24A17B" w:rsidR="00310D13" w:rsidRPr="00B91D82" w:rsidRDefault="00310D13" w:rsidP="00310D13">
            <w:pPr>
              <w:pStyle w:val="T1TableStyle"/>
              <w:jc w:val="center"/>
              <w:rPr>
                <w:rFonts w:ascii="Verdana" w:eastAsia="Verdana" w:hAnsi="Verdana" w:cs="Verdana"/>
                <w:color w:val="000000"/>
                <w:sz w:val="16"/>
                <w:lang w:val="en-GB"/>
              </w:rPr>
            </w:pPr>
            <w:r>
              <w:rPr>
                <w:rFonts w:ascii="Verdana" w:eastAsia="Verdana" w:hAnsi="Verdana" w:cs="Verdana"/>
                <w:color w:val="000000"/>
                <w:sz w:val="16"/>
                <w:lang w:val="en-GB"/>
              </w:rPr>
              <w:t xml:space="preserve">              </w:t>
            </w:r>
            <w:r w:rsidR="005A2B92">
              <w:rPr>
                <w:rFonts w:ascii="Verdana" w:eastAsia="Verdana" w:hAnsi="Verdana" w:cs="Verdana"/>
                <w:color w:val="000000"/>
                <w:sz w:val="16"/>
                <w:lang w:val="en-GB"/>
              </w:rPr>
              <w:t>297</w:t>
            </w:r>
          </w:p>
        </w:tc>
        <w:tc>
          <w:tcPr>
            <w:tcW w:w="1340" w:type="dxa"/>
            <w:shd w:val="clear" w:color="auto" w:fill="auto"/>
            <w:tcMar>
              <w:top w:w="20" w:type="dxa"/>
              <w:left w:w="20" w:type="dxa"/>
              <w:bottom w:w="20" w:type="dxa"/>
              <w:right w:w="20" w:type="dxa"/>
            </w:tcMar>
          </w:tcPr>
          <w:p w14:paraId="2BB30F93" w14:textId="6853E362" w:rsidR="00310D13" w:rsidRPr="00B91D82" w:rsidRDefault="00310D13" w:rsidP="00310D1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 xml:space="preserve">    (</w:t>
            </w:r>
            <w:r w:rsidR="005A2B92">
              <w:rPr>
                <w:rFonts w:ascii="Verdana" w:eastAsia="Verdana" w:hAnsi="Verdana" w:cs="Verdana"/>
                <w:color w:val="000000"/>
                <w:sz w:val="16"/>
                <w:lang w:val="en-GB"/>
              </w:rPr>
              <w:t>297</w:t>
            </w:r>
            <w:r>
              <w:rPr>
                <w:rFonts w:ascii="Verdana" w:eastAsia="Verdana" w:hAnsi="Verdana" w:cs="Verdana"/>
                <w:color w:val="000000"/>
                <w:sz w:val="16"/>
                <w:lang w:val="en-GB"/>
              </w:rPr>
              <w:t>)</w:t>
            </w:r>
          </w:p>
        </w:tc>
      </w:tr>
      <w:tr w:rsidR="00310D13" w:rsidRPr="00B91D82" w14:paraId="725D5619" w14:textId="77777777" w:rsidTr="00A16DB1">
        <w:trPr>
          <w:trHeight w:val="85"/>
          <w:jc w:val="center"/>
        </w:trPr>
        <w:tc>
          <w:tcPr>
            <w:tcW w:w="7472" w:type="dxa"/>
            <w:tcBorders>
              <w:top w:val="single" w:sz="2" w:space="0" w:color="000000"/>
            </w:tcBorders>
            <w:shd w:val="clear" w:color="auto" w:fill="auto"/>
            <w:tcMar>
              <w:top w:w="20" w:type="dxa"/>
              <w:left w:w="20" w:type="dxa"/>
              <w:bottom w:w="20" w:type="dxa"/>
              <w:right w:w="20" w:type="dxa"/>
            </w:tcMar>
          </w:tcPr>
          <w:p w14:paraId="55EE8A69" w14:textId="1E7E7D7C" w:rsidR="00310D13" w:rsidRPr="00A16DB1" w:rsidRDefault="00310D13" w:rsidP="00310D13">
            <w:pPr>
              <w:pStyle w:val="T1TableStyle"/>
              <w:rPr>
                <w:rFonts w:ascii="Verdana" w:eastAsia="Verdana" w:hAnsi="Verdana" w:cs="Verdana"/>
                <w:b/>
                <w:color w:val="000000"/>
                <w:sz w:val="16"/>
                <w:lang w:val="en-GB"/>
              </w:rPr>
            </w:pPr>
            <w:r w:rsidRPr="00A16DB1">
              <w:rPr>
                <w:rFonts w:ascii="Verdana" w:eastAsia="Verdana" w:hAnsi="Verdana" w:cs="Verdana"/>
                <w:b/>
                <w:color w:val="000000"/>
                <w:sz w:val="16"/>
                <w:lang w:val="en-GB"/>
              </w:rPr>
              <w:t>Total Adjustments to Capital Resources</w:t>
            </w:r>
          </w:p>
        </w:tc>
        <w:tc>
          <w:tcPr>
            <w:tcW w:w="1324" w:type="dxa"/>
            <w:tcBorders>
              <w:top w:val="single" w:sz="2" w:space="0" w:color="000000"/>
            </w:tcBorders>
            <w:shd w:val="clear" w:color="auto" w:fill="auto"/>
            <w:tcMar>
              <w:top w:w="20" w:type="dxa"/>
              <w:left w:w="20" w:type="dxa"/>
              <w:bottom w:w="20" w:type="dxa"/>
              <w:right w:w="20" w:type="dxa"/>
            </w:tcMar>
          </w:tcPr>
          <w:p w14:paraId="3B40CA31" w14:textId="754702D6" w:rsidR="00310D13" w:rsidRPr="00A16DB1" w:rsidRDefault="005A2B92" w:rsidP="00310D1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330" w:type="dxa"/>
            <w:tcBorders>
              <w:top w:val="single" w:sz="2" w:space="0" w:color="000000"/>
            </w:tcBorders>
            <w:shd w:val="clear" w:color="auto" w:fill="auto"/>
            <w:tcMar>
              <w:top w:w="20" w:type="dxa"/>
              <w:left w:w="20" w:type="dxa"/>
              <w:bottom w:w="20" w:type="dxa"/>
              <w:right w:w="20" w:type="dxa"/>
            </w:tcMar>
          </w:tcPr>
          <w:p w14:paraId="3F9990CB" w14:textId="4044BC96" w:rsidR="00310D13" w:rsidRPr="00A16DB1" w:rsidRDefault="005A2B92">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3,575</w:t>
            </w:r>
          </w:p>
        </w:tc>
        <w:tc>
          <w:tcPr>
            <w:tcW w:w="1330" w:type="dxa"/>
            <w:tcBorders>
              <w:top w:val="single" w:sz="2" w:space="0" w:color="000000"/>
            </w:tcBorders>
            <w:shd w:val="clear" w:color="auto" w:fill="auto"/>
            <w:tcMar>
              <w:top w:w="20" w:type="dxa"/>
              <w:left w:w="20" w:type="dxa"/>
              <w:bottom w:w="20" w:type="dxa"/>
              <w:right w:w="20" w:type="dxa"/>
            </w:tcMar>
          </w:tcPr>
          <w:p w14:paraId="0154912B" w14:textId="2B9B4C0A" w:rsidR="00310D13" w:rsidRPr="00A16DB1" w:rsidRDefault="00310D13">
            <w:pPr>
              <w:pStyle w:val="T1TableStyle"/>
              <w:jc w:val="right"/>
              <w:rPr>
                <w:rFonts w:ascii="Verdana" w:eastAsia="Verdana" w:hAnsi="Verdana" w:cs="Verdana"/>
                <w:b/>
                <w:color w:val="000000"/>
                <w:sz w:val="16"/>
                <w:lang w:val="en-GB"/>
              </w:rPr>
            </w:pPr>
            <w:r w:rsidRPr="00A16DB1">
              <w:rPr>
                <w:rFonts w:ascii="Verdana" w:eastAsia="Verdana" w:hAnsi="Verdana" w:cs="Verdana"/>
                <w:b/>
                <w:color w:val="000000"/>
                <w:sz w:val="16"/>
                <w:lang w:val="en-GB"/>
              </w:rPr>
              <w:t>2</w:t>
            </w:r>
            <w:r w:rsidR="005A2B92">
              <w:rPr>
                <w:rFonts w:ascii="Verdana" w:eastAsia="Verdana" w:hAnsi="Verdana" w:cs="Verdana"/>
                <w:b/>
                <w:color w:val="000000"/>
                <w:sz w:val="16"/>
                <w:lang w:val="en-GB"/>
              </w:rPr>
              <w:t>97</w:t>
            </w:r>
          </w:p>
        </w:tc>
        <w:tc>
          <w:tcPr>
            <w:tcW w:w="1437" w:type="dxa"/>
            <w:gridSpan w:val="2"/>
            <w:tcBorders>
              <w:top w:val="single" w:sz="2" w:space="0" w:color="000000"/>
            </w:tcBorders>
            <w:shd w:val="clear" w:color="auto" w:fill="auto"/>
            <w:tcMar>
              <w:top w:w="20" w:type="dxa"/>
              <w:left w:w="20" w:type="dxa"/>
              <w:bottom w:w="20" w:type="dxa"/>
              <w:right w:w="20" w:type="dxa"/>
            </w:tcMar>
          </w:tcPr>
          <w:p w14:paraId="2451D4CC" w14:textId="7FC0E18A" w:rsidR="00310D13" w:rsidRPr="00A16DB1" w:rsidRDefault="00310D13" w:rsidP="00310D13">
            <w:pPr>
              <w:pStyle w:val="T1TableStyle"/>
              <w:jc w:val="center"/>
              <w:rPr>
                <w:rFonts w:ascii="Verdana" w:eastAsia="Verdana" w:hAnsi="Verdana" w:cs="Verdana"/>
                <w:b/>
                <w:color w:val="000000"/>
                <w:sz w:val="16"/>
                <w:lang w:val="en-GB"/>
              </w:rPr>
            </w:pPr>
            <w:r w:rsidRPr="00A16DB1">
              <w:rPr>
                <w:rFonts w:ascii="Verdana" w:eastAsia="Verdana" w:hAnsi="Verdana" w:cs="Verdana"/>
                <w:b/>
                <w:color w:val="000000"/>
                <w:sz w:val="16"/>
                <w:lang w:val="en-GB"/>
              </w:rPr>
              <w:t xml:space="preserve">           (</w:t>
            </w:r>
            <w:r w:rsidR="005A2B92">
              <w:rPr>
                <w:rFonts w:ascii="Verdana" w:eastAsia="Verdana" w:hAnsi="Verdana" w:cs="Verdana"/>
                <w:b/>
                <w:color w:val="000000"/>
                <w:sz w:val="16"/>
                <w:lang w:val="en-GB"/>
              </w:rPr>
              <w:t>3,872</w:t>
            </w:r>
            <w:r w:rsidRPr="00A16DB1">
              <w:rPr>
                <w:rFonts w:ascii="Verdana" w:eastAsia="Verdana" w:hAnsi="Verdana" w:cs="Verdana"/>
                <w:b/>
                <w:color w:val="000000"/>
                <w:sz w:val="16"/>
                <w:lang w:val="en-GB"/>
              </w:rPr>
              <w:t>)</w:t>
            </w:r>
          </w:p>
        </w:tc>
      </w:tr>
      <w:tr w:rsidR="00310D13" w:rsidRPr="00B91D82" w14:paraId="61E3CF50" w14:textId="77777777" w:rsidTr="00A16DB1">
        <w:trPr>
          <w:trHeight w:hRule="exact" w:val="49"/>
          <w:jc w:val="center"/>
        </w:trPr>
        <w:tc>
          <w:tcPr>
            <w:tcW w:w="7472" w:type="dxa"/>
            <w:shd w:val="clear" w:color="auto" w:fill="auto"/>
            <w:tcMar>
              <w:top w:w="20" w:type="dxa"/>
              <w:left w:w="20" w:type="dxa"/>
              <w:bottom w:w="20" w:type="dxa"/>
              <w:right w:w="20" w:type="dxa"/>
            </w:tcMar>
          </w:tcPr>
          <w:p w14:paraId="01BCE712" w14:textId="77777777" w:rsidR="00310D13" w:rsidRPr="00852B4D" w:rsidRDefault="00310D13" w:rsidP="00310D13">
            <w:pPr>
              <w:pStyle w:val="T1TableStyle"/>
              <w:jc w:val="center"/>
              <w:rPr>
                <w:rFonts w:ascii="Verdana" w:eastAsia="Verdana" w:hAnsi="Verdana" w:cs="Verdana"/>
                <w:color w:val="000000"/>
                <w:sz w:val="2"/>
                <w:lang w:val="en-GB"/>
              </w:rPr>
            </w:pPr>
            <w:r w:rsidRPr="00852B4D">
              <w:rPr>
                <w:rFonts w:ascii="Verdana" w:eastAsia="Verdana" w:hAnsi="Verdana" w:cs="Verdana"/>
                <w:color w:val="000000"/>
                <w:sz w:val="2"/>
                <w:lang w:val="en-GB"/>
              </w:rPr>
              <w:t xml:space="preserve"> </w:t>
            </w:r>
          </w:p>
        </w:tc>
        <w:tc>
          <w:tcPr>
            <w:tcW w:w="1324" w:type="dxa"/>
            <w:shd w:val="clear" w:color="auto" w:fill="auto"/>
            <w:tcMar>
              <w:top w:w="20" w:type="dxa"/>
              <w:left w:w="20" w:type="dxa"/>
              <w:bottom w:w="20" w:type="dxa"/>
              <w:right w:w="20" w:type="dxa"/>
            </w:tcMar>
          </w:tcPr>
          <w:p w14:paraId="46F961A6" w14:textId="77777777" w:rsidR="00310D13" w:rsidRPr="00B91D82" w:rsidRDefault="00310D13" w:rsidP="00310D13">
            <w:pPr>
              <w:pStyle w:val="T1TableStyle"/>
              <w:jc w:val="center"/>
              <w:rPr>
                <w:rFonts w:ascii="Verdana" w:eastAsia="Verdana" w:hAnsi="Verdana" w:cs="Verdana"/>
                <w:color w:val="000000"/>
                <w:sz w:val="2"/>
                <w:lang w:val="en-GB"/>
              </w:rPr>
            </w:pPr>
            <w:r w:rsidRPr="00B91D82">
              <w:rPr>
                <w:rFonts w:ascii="Verdana" w:eastAsia="Verdana" w:hAnsi="Verdana" w:cs="Verdana"/>
                <w:color w:val="000000"/>
                <w:sz w:val="2"/>
                <w:lang w:val="en-GB"/>
              </w:rPr>
              <w:t xml:space="preserve"> </w:t>
            </w:r>
          </w:p>
        </w:tc>
        <w:tc>
          <w:tcPr>
            <w:tcW w:w="1330" w:type="dxa"/>
            <w:shd w:val="clear" w:color="auto" w:fill="auto"/>
            <w:tcMar>
              <w:top w:w="20" w:type="dxa"/>
              <w:left w:w="20" w:type="dxa"/>
              <w:bottom w:w="20" w:type="dxa"/>
              <w:right w:w="20" w:type="dxa"/>
            </w:tcMar>
          </w:tcPr>
          <w:p w14:paraId="6823FB6A" w14:textId="77777777" w:rsidR="00310D13" w:rsidRPr="00B91D82" w:rsidRDefault="00310D13" w:rsidP="00310D13">
            <w:pPr>
              <w:pStyle w:val="T1TableStyle"/>
              <w:jc w:val="center"/>
              <w:rPr>
                <w:rFonts w:ascii="Verdana" w:eastAsia="Verdana" w:hAnsi="Verdana" w:cs="Verdana"/>
                <w:color w:val="000000"/>
                <w:sz w:val="2"/>
                <w:lang w:val="en-GB"/>
              </w:rPr>
            </w:pPr>
            <w:r w:rsidRPr="00B91D82">
              <w:rPr>
                <w:rFonts w:ascii="Verdana" w:eastAsia="Verdana" w:hAnsi="Verdana" w:cs="Verdana"/>
                <w:color w:val="000000"/>
                <w:sz w:val="2"/>
                <w:lang w:val="en-GB"/>
              </w:rPr>
              <w:t xml:space="preserve"> </w:t>
            </w:r>
          </w:p>
        </w:tc>
        <w:tc>
          <w:tcPr>
            <w:tcW w:w="1330" w:type="dxa"/>
            <w:shd w:val="clear" w:color="auto" w:fill="auto"/>
            <w:tcMar>
              <w:top w:w="20" w:type="dxa"/>
              <w:left w:w="20" w:type="dxa"/>
              <w:bottom w:w="20" w:type="dxa"/>
              <w:right w:w="20" w:type="dxa"/>
            </w:tcMar>
          </w:tcPr>
          <w:p w14:paraId="477107BF" w14:textId="77777777" w:rsidR="00310D13" w:rsidRPr="00B91D82" w:rsidRDefault="00310D13" w:rsidP="00310D13">
            <w:pPr>
              <w:pStyle w:val="T1TableStyle"/>
              <w:jc w:val="center"/>
              <w:rPr>
                <w:rFonts w:ascii="Verdana" w:eastAsia="Verdana" w:hAnsi="Verdana" w:cs="Verdana"/>
                <w:color w:val="000000"/>
                <w:sz w:val="2"/>
                <w:lang w:val="en-GB"/>
              </w:rPr>
            </w:pPr>
            <w:r w:rsidRPr="00B91D82">
              <w:rPr>
                <w:rFonts w:ascii="Verdana" w:eastAsia="Verdana" w:hAnsi="Verdana" w:cs="Verdana"/>
                <w:color w:val="000000"/>
                <w:sz w:val="2"/>
                <w:lang w:val="en-GB"/>
              </w:rPr>
              <w:t xml:space="preserve"> </w:t>
            </w:r>
          </w:p>
        </w:tc>
        <w:tc>
          <w:tcPr>
            <w:tcW w:w="1437" w:type="dxa"/>
            <w:gridSpan w:val="2"/>
            <w:shd w:val="clear" w:color="auto" w:fill="auto"/>
            <w:tcMar>
              <w:top w:w="20" w:type="dxa"/>
              <w:left w:w="20" w:type="dxa"/>
              <w:bottom w:w="20" w:type="dxa"/>
              <w:right w:w="20" w:type="dxa"/>
            </w:tcMar>
          </w:tcPr>
          <w:p w14:paraId="5642F5FD" w14:textId="77777777" w:rsidR="00310D13" w:rsidRPr="00B91D82" w:rsidRDefault="00310D13" w:rsidP="00310D13">
            <w:pPr>
              <w:pStyle w:val="T1TableStyle"/>
              <w:jc w:val="center"/>
              <w:rPr>
                <w:rFonts w:ascii="Verdana" w:eastAsia="Verdana" w:hAnsi="Verdana" w:cs="Verdana"/>
                <w:color w:val="000000"/>
                <w:sz w:val="2"/>
                <w:lang w:val="en-GB"/>
              </w:rPr>
            </w:pPr>
            <w:r w:rsidRPr="00B91D82">
              <w:rPr>
                <w:rFonts w:ascii="Verdana" w:eastAsia="Verdana" w:hAnsi="Verdana" w:cs="Verdana"/>
                <w:color w:val="000000"/>
                <w:sz w:val="2"/>
                <w:lang w:val="en-GB"/>
              </w:rPr>
              <w:t xml:space="preserve"> </w:t>
            </w:r>
          </w:p>
        </w:tc>
      </w:tr>
      <w:tr w:rsidR="00310D13" w:rsidRPr="00B91D82" w14:paraId="53B3B52E" w14:textId="77777777" w:rsidTr="00A16DB1">
        <w:trPr>
          <w:trHeight w:val="85"/>
          <w:jc w:val="center"/>
        </w:trPr>
        <w:tc>
          <w:tcPr>
            <w:tcW w:w="7472" w:type="dxa"/>
            <w:shd w:val="clear" w:color="auto" w:fill="auto"/>
            <w:tcMar>
              <w:top w:w="20" w:type="dxa"/>
              <w:left w:w="20" w:type="dxa"/>
              <w:bottom w:w="20" w:type="dxa"/>
              <w:right w:w="20" w:type="dxa"/>
            </w:tcMar>
          </w:tcPr>
          <w:p w14:paraId="7B95192F" w14:textId="77777777" w:rsidR="00310D13" w:rsidRPr="00852B4D" w:rsidRDefault="00310D13" w:rsidP="00310D13">
            <w:pPr>
              <w:pStyle w:val="T1TableStyle"/>
              <w:rPr>
                <w:rFonts w:ascii="Verdana" w:eastAsia="Verdana" w:hAnsi="Verdana" w:cs="Verdana"/>
                <w:color w:val="000000"/>
                <w:sz w:val="16"/>
                <w:lang w:val="en-GB"/>
              </w:rPr>
            </w:pPr>
            <w:r w:rsidRPr="00852B4D">
              <w:rPr>
                <w:rFonts w:ascii="Verdana" w:eastAsia="Verdana" w:hAnsi="Verdana" w:cs="Verdana"/>
                <w:color w:val="000000"/>
                <w:sz w:val="16"/>
                <w:lang w:val="en-GB"/>
              </w:rPr>
              <w:t>Other adjustments</w:t>
            </w:r>
          </w:p>
        </w:tc>
        <w:tc>
          <w:tcPr>
            <w:tcW w:w="1324" w:type="dxa"/>
            <w:shd w:val="clear" w:color="auto" w:fill="auto"/>
            <w:tcMar>
              <w:top w:w="20" w:type="dxa"/>
              <w:left w:w="20" w:type="dxa"/>
              <w:bottom w:w="20" w:type="dxa"/>
              <w:right w:w="20" w:type="dxa"/>
            </w:tcMar>
          </w:tcPr>
          <w:p w14:paraId="21F41A36" w14:textId="06AC96F7" w:rsidR="00310D13" w:rsidRPr="00B91D82" w:rsidRDefault="00310D13" w:rsidP="00310D13">
            <w:pPr>
              <w:pStyle w:val="T1TableStyle"/>
              <w:jc w:val="right"/>
              <w:rPr>
                <w:rFonts w:ascii="Verdana" w:eastAsia="Verdana" w:hAnsi="Verdana" w:cs="Verdana"/>
                <w:color w:val="000000"/>
                <w:sz w:val="16"/>
                <w:lang w:val="en-GB"/>
              </w:rPr>
            </w:pPr>
            <w:r w:rsidRPr="00B91D82">
              <w:rPr>
                <w:rFonts w:ascii="Verdana" w:eastAsia="Verdana" w:hAnsi="Verdana" w:cs="Verdana"/>
                <w:color w:val="000000"/>
                <w:sz w:val="16"/>
                <w:lang w:val="en-GB"/>
              </w:rPr>
              <w:t>(</w:t>
            </w:r>
            <w:r w:rsidR="005A2B92">
              <w:rPr>
                <w:rFonts w:ascii="Verdana" w:eastAsia="Verdana" w:hAnsi="Verdana" w:cs="Verdana"/>
                <w:color w:val="000000"/>
                <w:sz w:val="16"/>
                <w:lang w:val="en-GB"/>
              </w:rPr>
              <w:t>787</w:t>
            </w:r>
            <w:r w:rsidRPr="00B91D82">
              <w:rPr>
                <w:rFonts w:ascii="Verdana" w:eastAsia="Verdana" w:hAnsi="Verdana" w:cs="Verdana"/>
                <w:color w:val="000000"/>
                <w:sz w:val="16"/>
                <w:lang w:val="en-GB"/>
              </w:rPr>
              <w:t>)</w:t>
            </w:r>
          </w:p>
        </w:tc>
        <w:tc>
          <w:tcPr>
            <w:tcW w:w="1330" w:type="dxa"/>
            <w:shd w:val="clear" w:color="auto" w:fill="auto"/>
            <w:tcMar>
              <w:top w:w="20" w:type="dxa"/>
              <w:left w:w="20" w:type="dxa"/>
              <w:bottom w:w="20" w:type="dxa"/>
              <w:right w:w="20" w:type="dxa"/>
            </w:tcMar>
          </w:tcPr>
          <w:p w14:paraId="2C9E4017" w14:textId="77777777" w:rsidR="00310D13" w:rsidRPr="00B91D82" w:rsidRDefault="00310D13" w:rsidP="00310D13">
            <w:pPr>
              <w:pStyle w:val="T1TableStyle"/>
              <w:jc w:val="right"/>
              <w:rPr>
                <w:rFonts w:ascii="Verdana" w:eastAsia="Verdana" w:hAnsi="Verdana" w:cs="Verdana"/>
                <w:color w:val="000000"/>
                <w:sz w:val="16"/>
                <w:lang w:val="en-GB"/>
              </w:rPr>
            </w:pPr>
          </w:p>
        </w:tc>
        <w:tc>
          <w:tcPr>
            <w:tcW w:w="1330" w:type="dxa"/>
            <w:shd w:val="clear" w:color="auto" w:fill="auto"/>
            <w:tcMar>
              <w:top w:w="20" w:type="dxa"/>
              <w:left w:w="20" w:type="dxa"/>
              <w:bottom w:w="20" w:type="dxa"/>
              <w:right w:w="20" w:type="dxa"/>
            </w:tcMar>
          </w:tcPr>
          <w:p w14:paraId="4E0D8E38" w14:textId="1911285F" w:rsidR="00310D13" w:rsidRPr="00B91D82" w:rsidRDefault="005A2B92" w:rsidP="00310D1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1,084</w:t>
            </w:r>
          </w:p>
        </w:tc>
        <w:tc>
          <w:tcPr>
            <w:tcW w:w="1437" w:type="dxa"/>
            <w:gridSpan w:val="2"/>
            <w:shd w:val="clear" w:color="auto" w:fill="auto"/>
            <w:tcMar>
              <w:top w:w="20" w:type="dxa"/>
              <w:left w:w="20" w:type="dxa"/>
              <w:bottom w:w="20" w:type="dxa"/>
              <w:right w:w="20" w:type="dxa"/>
            </w:tcMar>
          </w:tcPr>
          <w:p w14:paraId="7915C857" w14:textId="70209D54" w:rsidR="00310D13" w:rsidRPr="00B91D82" w:rsidRDefault="00310D13">
            <w:pPr>
              <w:pStyle w:val="T1TableStyle"/>
              <w:jc w:val="center"/>
              <w:rPr>
                <w:rFonts w:ascii="Verdana" w:eastAsia="Verdana" w:hAnsi="Verdana" w:cs="Verdana"/>
                <w:color w:val="000000"/>
                <w:sz w:val="16"/>
                <w:lang w:val="en-GB"/>
              </w:rPr>
            </w:pPr>
            <w:r>
              <w:rPr>
                <w:rFonts w:ascii="Verdana" w:eastAsia="Verdana" w:hAnsi="Verdana" w:cs="Verdana"/>
                <w:color w:val="000000"/>
                <w:sz w:val="16"/>
                <w:lang w:val="en-GB"/>
              </w:rPr>
              <w:t xml:space="preserve">               </w:t>
            </w:r>
            <w:r w:rsidR="005A2B92">
              <w:rPr>
                <w:rFonts w:ascii="Verdana" w:eastAsia="Verdana" w:hAnsi="Verdana" w:cs="Verdana"/>
                <w:color w:val="000000"/>
                <w:sz w:val="16"/>
                <w:lang w:val="en-GB"/>
              </w:rPr>
              <w:t>(297)</w:t>
            </w:r>
          </w:p>
        </w:tc>
      </w:tr>
      <w:tr w:rsidR="00310D13" w:rsidRPr="00B91D82" w14:paraId="50085C7C" w14:textId="77777777" w:rsidTr="00A16DB1">
        <w:trPr>
          <w:trHeight w:hRule="exact" w:val="94"/>
          <w:jc w:val="center"/>
        </w:trPr>
        <w:tc>
          <w:tcPr>
            <w:tcW w:w="7472" w:type="dxa"/>
            <w:shd w:val="clear" w:color="auto" w:fill="auto"/>
            <w:tcMar>
              <w:top w:w="20" w:type="dxa"/>
              <w:left w:w="20" w:type="dxa"/>
              <w:bottom w:w="20" w:type="dxa"/>
              <w:right w:w="20" w:type="dxa"/>
            </w:tcMar>
          </w:tcPr>
          <w:p w14:paraId="303A7E0D" w14:textId="77777777" w:rsidR="00310D13" w:rsidRPr="00852B4D" w:rsidRDefault="00310D13" w:rsidP="00310D13">
            <w:pPr>
              <w:pStyle w:val="T1TableStyle"/>
              <w:jc w:val="center"/>
              <w:rPr>
                <w:rFonts w:ascii="Verdana" w:eastAsia="Verdana" w:hAnsi="Verdana" w:cs="Verdana"/>
                <w:color w:val="000000"/>
                <w:sz w:val="2"/>
                <w:lang w:val="en-GB"/>
              </w:rPr>
            </w:pPr>
            <w:r w:rsidRPr="00852B4D">
              <w:rPr>
                <w:rFonts w:ascii="Verdana" w:eastAsia="Verdana" w:hAnsi="Verdana" w:cs="Verdana"/>
                <w:color w:val="000000"/>
                <w:sz w:val="2"/>
                <w:lang w:val="en-GB"/>
              </w:rPr>
              <w:t xml:space="preserve"> </w:t>
            </w:r>
          </w:p>
        </w:tc>
        <w:tc>
          <w:tcPr>
            <w:tcW w:w="1324" w:type="dxa"/>
            <w:shd w:val="clear" w:color="auto" w:fill="auto"/>
            <w:tcMar>
              <w:top w:w="20" w:type="dxa"/>
              <w:left w:w="20" w:type="dxa"/>
              <w:bottom w:w="20" w:type="dxa"/>
              <w:right w:w="20" w:type="dxa"/>
            </w:tcMar>
          </w:tcPr>
          <w:p w14:paraId="4F02987B" w14:textId="77777777" w:rsidR="00310D13" w:rsidRPr="00B91D82" w:rsidRDefault="00310D13" w:rsidP="00310D13">
            <w:pPr>
              <w:pStyle w:val="T1TableStyle"/>
              <w:jc w:val="center"/>
              <w:rPr>
                <w:rFonts w:ascii="Verdana" w:eastAsia="Verdana" w:hAnsi="Verdana" w:cs="Verdana"/>
                <w:color w:val="000000"/>
                <w:sz w:val="2"/>
                <w:lang w:val="en-GB"/>
              </w:rPr>
            </w:pPr>
            <w:r w:rsidRPr="00B91D82">
              <w:rPr>
                <w:rFonts w:ascii="Verdana" w:eastAsia="Verdana" w:hAnsi="Verdana" w:cs="Verdana"/>
                <w:color w:val="000000"/>
                <w:sz w:val="2"/>
                <w:lang w:val="en-GB"/>
              </w:rPr>
              <w:t xml:space="preserve"> </w:t>
            </w:r>
          </w:p>
        </w:tc>
        <w:tc>
          <w:tcPr>
            <w:tcW w:w="1330" w:type="dxa"/>
            <w:shd w:val="clear" w:color="auto" w:fill="auto"/>
            <w:tcMar>
              <w:top w:w="20" w:type="dxa"/>
              <w:left w:w="20" w:type="dxa"/>
              <w:bottom w:w="20" w:type="dxa"/>
              <w:right w:w="20" w:type="dxa"/>
            </w:tcMar>
          </w:tcPr>
          <w:p w14:paraId="31A085C5" w14:textId="77777777" w:rsidR="00310D13" w:rsidRPr="00B91D82" w:rsidRDefault="00310D13" w:rsidP="00310D13">
            <w:pPr>
              <w:pStyle w:val="T1TableStyle"/>
              <w:jc w:val="center"/>
              <w:rPr>
                <w:rFonts w:ascii="Verdana" w:eastAsia="Verdana" w:hAnsi="Verdana" w:cs="Verdana"/>
                <w:color w:val="000000"/>
                <w:sz w:val="2"/>
                <w:lang w:val="en-GB"/>
              </w:rPr>
            </w:pPr>
            <w:r w:rsidRPr="00B91D82">
              <w:rPr>
                <w:rFonts w:ascii="Verdana" w:eastAsia="Verdana" w:hAnsi="Verdana" w:cs="Verdana"/>
                <w:color w:val="000000"/>
                <w:sz w:val="2"/>
                <w:lang w:val="en-GB"/>
              </w:rPr>
              <w:t xml:space="preserve"> </w:t>
            </w:r>
          </w:p>
        </w:tc>
        <w:tc>
          <w:tcPr>
            <w:tcW w:w="1330" w:type="dxa"/>
            <w:shd w:val="clear" w:color="auto" w:fill="auto"/>
            <w:tcMar>
              <w:top w:w="20" w:type="dxa"/>
              <w:left w:w="20" w:type="dxa"/>
              <w:bottom w:w="20" w:type="dxa"/>
              <w:right w:w="20" w:type="dxa"/>
            </w:tcMar>
          </w:tcPr>
          <w:p w14:paraId="76389D4C" w14:textId="77777777" w:rsidR="00310D13" w:rsidRPr="00B91D82" w:rsidRDefault="00310D13" w:rsidP="00310D13">
            <w:pPr>
              <w:pStyle w:val="T1TableStyle"/>
              <w:jc w:val="center"/>
              <w:rPr>
                <w:rFonts w:ascii="Verdana" w:eastAsia="Verdana" w:hAnsi="Verdana" w:cs="Verdana"/>
                <w:color w:val="000000"/>
                <w:sz w:val="2"/>
                <w:lang w:val="en-GB"/>
              </w:rPr>
            </w:pPr>
            <w:r w:rsidRPr="00B91D82">
              <w:rPr>
                <w:rFonts w:ascii="Verdana" w:eastAsia="Verdana" w:hAnsi="Verdana" w:cs="Verdana"/>
                <w:color w:val="000000"/>
                <w:sz w:val="2"/>
                <w:lang w:val="en-GB"/>
              </w:rPr>
              <w:t xml:space="preserve"> </w:t>
            </w:r>
          </w:p>
        </w:tc>
        <w:tc>
          <w:tcPr>
            <w:tcW w:w="1437" w:type="dxa"/>
            <w:gridSpan w:val="2"/>
            <w:shd w:val="clear" w:color="auto" w:fill="auto"/>
            <w:tcMar>
              <w:top w:w="20" w:type="dxa"/>
              <w:left w:w="20" w:type="dxa"/>
              <w:bottom w:w="20" w:type="dxa"/>
              <w:right w:w="20" w:type="dxa"/>
            </w:tcMar>
          </w:tcPr>
          <w:p w14:paraId="74F7586E" w14:textId="77777777" w:rsidR="00310D13" w:rsidRPr="00B91D82" w:rsidRDefault="00310D13" w:rsidP="00310D13">
            <w:pPr>
              <w:pStyle w:val="T1TableStyle"/>
              <w:jc w:val="center"/>
              <w:rPr>
                <w:rFonts w:ascii="Verdana" w:eastAsia="Verdana" w:hAnsi="Verdana" w:cs="Verdana"/>
                <w:color w:val="000000"/>
                <w:sz w:val="2"/>
                <w:lang w:val="en-GB"/>
              </w:rPr>
            </w:pPr>
            <w:r w:rsidRPr="00B91D82">
              <w:rPr>
                <w:rFonts w:ascii="Verdana" w:eastAsia="Verdana" w:hAnsi="Verdana" w:cs="Verdana"/>
                <w:color w:val="000000"/>
                <w:sz w:val="2"/>
                <w:lang w:val="en-GB"/>
              </w:rPr>
              <w:t>(</w:t>
            </w:r>
          </w:p>
        </w:tc>
      </w:tr>
      <w:tr w:rsidR="00310D13" w:rsidRPr="00FB5015" w14:paraId="3677A60B" w14:textId="77777777" w:rsidTr="00A16DB1">
        <w:trPr>
          <w:trHeight w:val="49"/>
          <w:jc w:val="center"/>
        </w:trPr>
        <w:tc>
          <w:tcPr>
            <w:tcW w:w="7472" w:type="dxa"/>
            <w:tcBorders>
              <w:top w:val="single" w:sz="2" w:space="0" w:color="000000"/>
              <w:bottom w:val="single" w:sz="12" w:space="0" w:color="000000"/>
            </w:tcBorders>
            <w:shd w:val="clear" w:color="auto" w:fill="auto"/>
            <w:tcMar>
              <w:top w:w="20" w:type="dxa"/>
              <w:left w:w="20" w:type="dxa"/>
              <w:bottom w:w="20" w:type="dxa"/>
              <w:right w:w="20" w:type="dxa"/>
            </w:tcMar>
          </w:tcPr>
          <w:p w14:paraId="6BD0E9DF" w14:textId="77777777" w:rsidR="00310D13" w:rsidRPr="00852B4D" w:rsidRDefault="00310D13" w:rsidP="00310D13">
            <w:pPr>
              <w:pStyle w:val="T1TableStyle"/>
              <w:rPr>
                <w:rFonts w:ascii="Verdana" w:eastAsia="Verdana" w:hAnsi="Verdana" w:cs="Verdana"/>
                <w:b/>
                <w:color w:val="000000"/>
                <w:sz w:val="16"/>
                <w:lang w:val="en-GB"/>
              </w:rPr>
            </w:pPr>
            <w:r w:rsidRPr="00852B4D">
              <w:rPr>
                <w:rFonts w:ascii="Verdana" w:eastAsia="Verdana" w:hAnsi="Verdana" w:cs="Verdana"/>
                <w:b/>
                <w:color w:val="000000"/>
                <w:sz w:val="16"/>
                <w:lang w:val="en-GB"/>
              </w:rPr>
              <w:t>Total Adjustments</w:t>
            </w:r>
          </w:p>
        </w:tc>
        <w:tc>
          <w:tcPr>
            <w:tcW w:w="1324" w:type="dxa"/>
            <w:tcBorders>
              <w:top w:val="single" w:sz="2" w:space="0" w:color="000000"/>
              <w:bottom w:val="single" w:sz="12" w:space="0" w:color="000000"/>
            </w:tcBorders>
            <w:shd w:val="clear" w:color="auto" w:fill="auto"/>
            <w:tcMar>
              <w:top w:w="20" w:type="dxa"/>
              <w:left w:w="20" w:type="dxa"/>
              <w:bottom w:w="20" w:type="dxa"/>
              <w:right w:w="20" w:type="dxa"/>
            </w:tcMar>
          </w:tcPr>
          <w:p w14:paraId="48A8EE45" w14:textId="2E408CEA" w:rsidR="00310D13" w:rsidRPr="00B91D82" w:rsidRDefault="00310D13" w:rsidP="00310D1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(7</w:t>
            </w:r>
            <w:r w:rsidR="005A2B92">
              <w:rPr>
                <w:rFonts w:ascii="Verdana" w:eastAsia="Verdana" w:hAnsi="Verdana" w:cs="Verdana"/>
                <w:b/>
                <w:color w:val="000000"/>
                <w:sz w:val="16"/>
                <w:lang w:val="en-GB"/>
              </w:rPr>
              <w:t>2,835</w:t>
            </w:r>
            <w:r w:rsidRPr="00B91D82">
              <w:rPr>
                <w:rFonts w:ascii="Verdana" w:eastAsia="Verdana" w:hAnsi="Verdana" w:cs="Verdana"/>
                <w:b/>
                <w:color w:val="000000"/>
                <w:sz w:val="16"/>
                <w:lang w:val="en-GB"/>
              </w:rPr>
              <w:t>)</w:t>
            </w:r>
          </w:p>
        </w:tc>
        <w:tc>
          <w:tcPr>
            <w:tcW w:w="1330" w:type="dxa"/>
            <w:tcBorders>
              <w:top w:val="single" w:sz="2" w:space="0" w:color="000000"/>
              <w:bottom w:val="single" w:sz="12" w:space="0" w:color="000000"/>
            </w:tcBorders>
            <w:shd w:val="clear" w:color="auto" w:fill="auto"/>
            <w:tcMar>
              <w:top w:w="20" w:type="dxa"/>
              <w:left w:w="20" w:type="dxa"/>
              <w:bottom w:w="20" w:type="dxa"/>
              <w:right w:w="20" w:type="dxa"/>
            </w:tcMar>
          </w:tcPr>
          <w:p w14:paraId="13C9BA64" w14:textId="7D6AA7F9" w:rsidR="00310D13" w:rsidRPr="00B91D82" w:rsidRDefault="00310D1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19</w:t>
            </w:r>
            <w:r w:rsidR="005A2B92">
              <w:rPr>
                <w:rFonts w:ascii="Verdana" w:eastAsia="Verdana" w:hAnsi="Verdana" w:cs="Verdana"/>
                <w:b/>
                <w:color w:val="000000"/>
                <w:sz w:val="16"/>
                <w:lang w:val="en-GB"/>
              </w:rPr>
              <w:t>6</w:t>
            </w:r>
          </w:p>
        </w:tc>
        <w:tc>
          <w:tcPr>
            <w:tcW w:w="1330" w:type="dxa"/>
            <w:tcBorders>
              <w:top w:val="single" w:sz="2" w:space="0" w:color="000000"/>
              <w:bottom w:val="single" w:sz="12" w:space="0" w:color="000000"/>
            </w:tcBorders>
            <w:shd w:val="clear" w:color="auto" w:fill="auto"/>
            <w:tcMar>
              <w:top w:w="20" w:type="dxa"/>
              <w:left w:w="20" w:type="dxa"/>
              <w:bottom w:w="20" w:type="dxa"/>
              <w:right w:w="20" w:type="dxa"/>
            </w:tcMar>
          </w:tcPr>
          <w:p w14:paraId="3D004254" w14:textId="7FBAF9C8" w:rsidR="00310D13" w:rsidRPr="00B91D82" w:rsidRDefault="00310D1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w:t>
            </w:r>
            <w:r w:rsidR="005A2B92">
              <w:rPr>
                <w:rFonts w:ascii="Verdana" w:eastAsia="Verdana" w:hAnsi="Verdana" w:cs="Verdana"/>
                <w:b/>
                <w:color w:val="000000"/>
                <w:sz w:val="16"/>
                <w:lang w:val="en-GB"/>
              </w:rPr>
              <w:t>084</w:t>
            </w:r>
          </w:p>
        </w:tc>
        <w:tc>
          <w:tcPr>
            <w:tcW w:w="1437" w:type="dxa"/>
            <w:gridSpan w:val="2"/>
            <w:tcBorders>
              <w:top w:val="single" w:sz="2" w:space="0" w:color="000000"/>
              <w:bottom w:val="single" w:sz="12" w:space="0" w:color="000000"/>
            </w:tcBorders>
            <w:shd w:val="clear" w:color="auto" w:fill="auto"/>
            <w:tcMar>
              <w:top w:w="20" w:type="dxa"/>
              <w:left w:w="20" w:type="dxa"/>
              <w:bottom w:w="20" w:type="dxa"/>
              <w:right w:w="20" w:type="dxa"/>
            </w:tcMar>
          </w:tcPr>
          <w:p w14:paraId="0E3C32DB" w14:textId="430D7773" w:rsidR="00310D13" w:rsidRPr="00FB5015" w:rsidRDefault="00310D13" w:rsidP="00310D13">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w:t>
            </w:r>
            <w:r w:rsidR="005A2B92">
              <w:rPr>
                <w:rFonts w:ascii="Verdana" w:eastAsia="Verdana" w:hAnsi="Verdana" w:cs="Verdana"/>
                <w:b/>
                <w:color w:val="000000"/>
                <w:sz w:val="16"/>
                <w:lang w:val="en-GB"/>
              </w:rPr>
              <w:t>71,555</w:t>
            </w:r>
            <w:r w:rsidRPr="00FB5015">
              <w:rPr>
                <w:rFonts w:ascii="Verdana" w:eastAsia="Verdana" w:hAnsi="Verdana" w:cs="Verdana"/>
                <w:b/>
                <w:color w:val="000000"/>
                <w:sz w:val="16"/>
                <w:lang w:val="en-GB"/>
              </w:rPr>
              <w:t>)</w:t>
            </w:r>
          </w:p>
        </w:tc>
      </w:tr>
    </w:tbl>
    <w:p w14:paraId="2A483B75" w14:textId="77777777" w:rsidR="00A16DB1" w:rsidRDefault="00852B4D">
      <w:pPr>
        <w:pStyle w:val="T1TableStyle"/>
        <w:rPr>
          <w:rFonts w:ascii="Verdana" w:eastAsia="Verdana" w:hAnsi="Verdana" w:cs="Verdana"/>
          <w:sz w:val="22"/>
          <w:highlight w:val="yellow"/>
          <w:lang w:val="en-GB"/>
        </w:rPr>
      </w:pPr>
      <w:r>
        <w:rPr>
          <w:rFonts w:ascii="Verdana" w:eastAsia="Verdana" w:hAnsi="Verdana" w:cs="Verdana"/>
          <w:sz w:val="22"/>
          <w:highlight w:val="yellow"/>
          <w:lang w:val="en-GB"/>
        </w:rPr>
        <w:t xml:space="preserve"> </w:t>
      </w:r>
    </w:p>
    <w:p w14:paraId="09BBFD10" w14:textId="77777777" w:rsidR="006C3861" w:rsidRPr="003516A4" w:rsidRDefault="006C3861">
      <w:pPr>
        <w:pStyle w:val="T1TableStyle"/>
        <w:rPr>
          <w:rFonts w:ascii="Verdana" w:eastAsia="Verdana" w:hAnsi="Verdana" w:cs="Verdana"/>
          <w:sz w:val="22"/>
          <w:highlight w:val="yellow"/>
          <w:lang w:val="en-GB"/>
        </w:rPr>
      </w:pPr>
    </w:p>
    <w:p w14:paraId="0BE81673" w14:textId="77777777" w:rsidR="006C3861" w:rsidRPr="003516A4" w:rsidRDefault="006C3861">
      <w:pPr>
        <w:pStyle w:val="T1TableStyle"/>
        <w:rPr>
          <w:rFonts w:ascii="Verdana" w:eastAsia="Verdana" w:hAnsi="Verdana" w:cs="Verdana"/>
          <w:sz w:val="22"/>
          <w:highlight w:val="yellow"/>
          <w:lang w:val="en-GB"/>
        </w:rPr>
      </w:pPr>
    </w:p>
    <w:p w14:paraId="06EC4173" w14:textId="77777777" w:rsidR="006C3861" w:rsidRPr="003516A4" w:rsidRDefault="006C3861">
      <w:pPr>
        <w:pStyle w:val="T1TableStyle"/>
        <w:rPr>
          <w:rFonts w:ascii="Verdana" w:eastAsia="Verdana" w:hAnsi="Verdana" w:cs="Verdana"/>
          <w:sz w:val="22"/>
          <w:highlight w:val="yellow"/>
          <w:lang w:val="en-GB"/>
        </w:rPr>
      </w:pPr>
    </w:p>
    <w:p w14:paraId="30979938" w14:textId="77777777" w:rsidR="006C3861" w:rsidRPr="00D271FE" w:rsidRDefault="006C3861">
      <w:pPr>
        <w:pStyle w:val="T1TableStyle"/>
        <w:rPr>
          <w:rFonts w:ascii="Verdana" w:eastAsia="Verdana" w:hAnsi="Verdana" w:cs="Verdana"/>
          <w:sz w:val="22"/>
          <w:lang w:val="en-GB"/>
        </w:rPr>
      </w:pPr>
    </w:p>
    <w:p w14:paraId="42DDB4E9" w14:textId="77777777" w:rsidR="006C3861" w:rsidRPr="00D271FE" w:rsidRDefault="006C3861">
      <w:pPr>
        <w:pStyle w:val="T1TableStyle"/>
        <w:rPr>
          <w:rFonts w:ascii="Verdana" w:eastAsia="Verdana" w:hAnsi="Verdana" w:cs="Verdana"/>
          <w:sz w:val="22"/>
          <w:lang w:val="en-GB"/>
        </w:rPr>
      </w:pPr>
    </w:p>
    <w:tbl>
      <w:tblPr>
        <w:tblW w:w="0" w:type="auto"/>
        <w:jc w:val="center"/>
        <w:tblLayout w:type="fixed"/>
        <w:tblLook w:val="04A0" w:firstRow="1" w:lastRow="0" w:firstColumn="1" w:lastColumn="0" w:noHBand="0" w:noVBand="1"/>
      </w:tblPr>
      <w:tblGrid>
        <w:gridCol w:w="7216"/>
        <w:gridCol w:w="1222"/>
        <w:gridCol w:w="1222"/>
        <w:gridCol w:w="1222"/>
        <w:gridCol w:w="1222"/>
      </w:tblGrid>
      <w:tr w:rsidR="004D417B" w:rsidRPr="00D271FE" w14:paraId="5DBEA4E6" w14:textId="77777777" w:rsidTr="001115A3">
        <w:trPr>
          <w:trHeight w:val="134"/>
          <w:jc w:val="center"/>
        </w:trPr>
        <w:tc>
          <w:tcPr>
            <w:tcW w:w="7216" w:type="dxa"/>
            <w:shd w:val="clear" w:color="auto" w:fill="auto"/>
            <w:tcMar>
              <w:top w:w="20" w:type="dxa"/>
              <w:left w:w="20" w:type="dxa"/>
              <w:bottom w:w="20" w:type="dxa"/>
              <w:right w:w="20" w:type="dxa"/>
            </w:tcMar>
          </w:tcPr>
          <w:p w14:paraId="4E7237FE" w14:textId="77777777" w:rsidR="00CA6653" w:rsidRPr="00D271FE" w:rsidRDefault="0090362D" w:rsidP="000348EB">
            <w:pPr>
              <w:pStyle w:val="T1TableStyle"/>
              <w:jc w:val="center"/>
              <w:rPr>
                <w:rFonts w:ascii="Verdana" w:eastAsia="Verdana" w:hAnsi="Verdana" w:cs="Verdana"/>
                <w:b/>
                <w:color w:val="000000"/>
                <w:sz w:val="16"/>
                <w:lang w:val="en-GB"/>
              </w:rPr>
            </w:pPr>
            <w:r w:rsidRPr="00D271FE">
              <w:rPr>
                <w:rFonts w:ascii="Verdana" w:eastAsia="Verdana" w:hAnsi="Verdana" w:cs="Verdana"/>
                <w:b/>
                <w:color w:val="000000"/>
                <w:sz w:val="16"/>
                <w:lang w:val="en-GB"/>
              </w:rPr>
              <w:t xml:space="preserve">Group </w:t>
            </w:r>
            <w:r w:rsidR="00CA6653" w:rsidRPr="00D271FE">
              <w:rPr>
                <w:rFonts w:ascii="Verdana" w:eastAsia="Verdana" w:hAnsi="Verdana" w:cs="Verdana"/>
                <w:b/>
                <w:color w:val="000000"/>
                <w:sz w:val="16"/>
                <w:lang w:val="en-GB"/>
              </w:rPr>
              <w:t>201</w:t>
            </w:r>
            <w:r w:rsidR="000348EB" w:rsidRPr="00D271FE">
              <w:rPr>
                <w:rFonts w:ascii="Verdana" w:eastAsia="Verdana" w:hAnsi="Verdana" w:cs="Verdana"/>
                <w:b/>
                <w:color w:val="000000"/>
                <w:sz w:val="16"/>
                <w:lang w:val="en-GB"/>
              </w:rPr>
              <w:t>9/</w:t>
            </w:r>
            <w:r w:rsidR="00CA6653" w:rsidRPr="00D271FE">
              <w:rPr>
                <w:rFonts w:ascii="Verdana" w:eastAsia="Verdana" w:hAnsi="Verdana" w:cs="Verdana"/>
                <w:b/>
                <w:color w:val="000000"/>
                <w:sz w:val="16"/>
                <w:lang w:val="en-GB"/>
              </w:rPr>
              <w:t>20</w:t>
            </w:r>
            <w:r w:rsidR="000348EB" w:rsidRPr="00D271FE">
              <w:rPr>
                <w:rFonts w:ascii="Verdana" w:eastAsia="Verdana" w:hAnsi="Verdana" w:cs="Verdana"/>
                <w:b/>
                <w:color w:val="000000"/>
                <w:sz w:val="16"/>
                <w:lang w:val="en-GB"/>
              </w:rPr>
              <w:t>20</w:t>
            </w:r>
          </w:p>
        </w:tc>
        <w:tc>
          <w:tcPr>
            <w:tcW w:w="1222" w:type="dxa"/>
            <w:shd w:val="clear" w:color="auto" w:fill="auto"/>
            <w:tcMar>
              <w:top w:w="20" w:type="dxa"/>
              <w:left w:w="20" w:type="dxa"/>
              <w:bottom w:w="20" w:type="dxa"/>
              <w:right w:w="20" w:type="dxa"/>
            </w:tcMar>
          </w:tcPr>
          <w:p w14:paraId="0EDAF3F4" w14:textId="77777777" w:rsidR="00CA6653" w:rsidRPr="00D271FE" w:rsidRDefault="00CA6653">
            <w:pPr>
              <w:pStyle w:val="T1TableStyle"/>
              <w:jc w:val="center"/>
              <w:rPr>
                <w:rFonts w:ascii="Verdana" w:eastAsia="Verdana" w:hAnsi="Verdana" w:cs="Verdana"/>
                <w:b/>
                <w:color w:val="000000"/>
                <w:sz w:val="16"/>
                <w:lang w:val="en-GB"/>
              </w:rPr>
            </w:pPr>
            <w:r w:rsidRPr="00D271FE">
              <w:rPr>
                <w:rFonts w:ascii="Verdana" w:eastAsia="Verdana" w:hAnsi="Verdana" w:cs="Verdana"/>
                <w:b/>
                <w:color w:val="000000"/>
                <w:sz w:val="16"/>
                <w:lang w:val="en-GB"/>
              </w:rPr>
              <w:t>General Fund Balance</w:t>
            </w:r>
          </w:p>
        </w:tc>
        <w:tc>
          <w:tcPr>
            <w:tcW w:w="1222" w:type="dxa"/>
            <w:shd w:val="clear" w:color="auto" w:fill="auto"/>
            <w:tcMar>
              <w:top w:w="20" w:type="dxa"/>
              <w:left w:w="20" w:type="dxa"/>
              <w:bottom w:w="20" w:type="dxa"/>
              <w:right w:w="20" w:type="dxa"/>
            </w:tcMar>
          </w:tcPr>
          <w:p w14:paraId="00CD819B" w14:textId="77777777" w:rsidR="00CA6653" w:rsidRPr="00D271FE" w:rsidRDefault="00CA6653">
            <w:pPr>
              <w:pStyle w:val="T1TableStyle"/>
              <w:jc w:val="center"/>
              <w:rPr>
                <w:rFonts w:ascii="Verdana" w:eastAsia="Verdana" w:hAnsi="Verdana" w:cs="Verdana"/>
                <w:b/>
                <w:color w:val="000000"/>
                <w:sz w:val="16"/>
                <w:lang w:val="en-GB"/>
              </w:rPr>
            </w:pPr>
            <w:r w:rsidRPr="00D271FE">
              <w:rPr>
                <w:rFonts w:ascii="Verdana" w:eastAsia="Verdana" w:hAnsi="Verdana" w:cs="Verdana"/>
                <w:b/>
                <w:color w:val="000000"/>
                <w:sz w:val="16"/>
                <w:lang w:val="en-GB"/>
              </w:rPr>
              <w:t>Capital Receipts Reserve</w:t>
            </w:r>
          </w:p>
        </w:tc>
        <w:tc>
          <w:tcPr>
            <w:tcW w:w="1222" w:type="dxa"/>
            <w:shd w:val="clear" w:color="auto" w:fill="auto"/>
            <w:tcMar>
              <w:top w:w="20" w:type="dxa"/>
              <w:left w:w="20" w:type="dxa"/>
              <w:bottom w:w="20" w:type="dxa"/>
              <w:right w:w="20" w:type="dxa"/>
            </w:tcMar>
          </w:tcPr>
          <w:p w14:paraId="66F1BFFE" w14:textId="77777777" w:rsidR="00CA6653" w:rsidRPr="00D271FE" w:rsidRDefault="00CA6653">
            <w:pPr>
              <w:pStyle w:val="T1TableStyle"/>
              <w:jc w:val="center"/>
              <w:rPr>
                <w:rFonts w:ascii="Verdana" w:eastAsia="Verdana" w:hAnsi="Verdana" w:cs="Verdana"/>
                <w:b/>
                <w:color w:val="000000"/>
                <w:sz w:val="16"/>
                <w:lang w:val="en-GB"/>
              </w:rPr>
            </w:pPr>
            <w:r w:rsidRPr="00D271FE">
              <w:rPr>
                <w:rFonts w:ascii="Verdana" w:eastAsia="Verdana" w:hAnsi="Verdana" w:cs="Verdana"/>
                <w:b/>
                <w:color w:val="000000"/>
                <w:sz w:val="16"/>
                <w:lang w:val="en-GB"/>
              </w:rPr>
              <w:t>Capital Grants Unapplied</w:t>
            </w:r>
          </w:p>
        </w:tc>
        <w:tc>
          <w:tcPr>
            <w:tcW w:w="1222" w:type="dxa"/>
            <w:shd w:val="clear" w:color="auto" w:fill="auto"/>
            <w:tcMar>
              <w:top w:w="20" w:type="dxa"/>
              <w:left w:w="20" w:type="dxa"/>
              <w:bottom w:w="20" w:type="dxa"/>
              <w:right w:w="20" w:type="dxa"/>
            </w:tcMar>
          </w:tcPr>
          <w:p w14:paraId="635F6550" w14:textId="77777777" w:rsidR="00CA6653" w:rsidRPr="00D271FE" w:rsidRDefault="00CA6653">
            <w:pPr>
              <w:pStyle w:val="T1TableStyle"/>
              <w:jc w:val="center"/>
              <w:rPr>
                <w:rFonts w:ascii="Verdana" w:eastAsia="Verdana" w:hAnsi="Verdana" w:cs="Verdana"/>
                <w:b/>
                <w:color w:val="000000"/>
                <w:sz w:val="16"/>
                <w:lang w:val="en-GB"/>
              </w:rPr>
            </w:pPr>
            <w:r w:rsidRPr="00D271FE">
              <w:rPr>
                <w:rFonts w:ascii="Verdana" w:eastAsia="Verdana" w:hAnsi="Verdana" w:cs="Verdana"/>
                <w:b/>
                <w:color w:val="000000"/>
                <w:sz w:val="16"/>
                <w:lang w:val="en-GB"/>
              </w:rPr>
              <w:t>Movement in Unusable Reserves</w:t>
            </w:r>
          </w:p>
        </w:tc>
      </w:tr>
      <w:tr w:rsidR="004D417B" w:rsidRPr="00D271FE" w14:paraId="613B79A7" w14:textId="77777777" w:rsidTr="001115A3">
        <w:trPr>
          <w:trHeight w:val="134"/>
          <w:jc w:val="center"/>
        </w:trPr>
        <w:tc>
          <w:tcPr>
            <w:tcW w:w="7216" w:type="dxa"/>
            <w:tcBorders>
              <w:bottom w:val="single" w:sz="2" w:space="0" w:color="000000"/>
            </w:tcBorders>
            <w:shd w:val="clear" w:color="auto" w:fill="auto"/>
            <w:tcMar>
              <w:top w:w="20" w:type="dxa"/>
              <w:left w:w="20" w:type="dxa"/>
              <w:bottom w:w="20" w:type="dxa"/>
              <w:right w:w="20" w:type="dxa"/>
            </w:tcMar>
          </w:tcPr>
          <w:p w14:paraId="75C8E88A" w14:textId="77777777" w:rsidR="00CA6653" w:rsidRPr="00D271FE" w:rsidRDefault="00CA6653">
            <w:pPr>
              <w:pStyle w:val="T1TableStyle"/>
              <w:jc w:val="center"/>
              <w:rPr>
                <w:rFonts w:ascii="Verdana" w:eastAsia="Verdana" w:hAnsi="Verdana" w:cs="Verdana"/>
                <w:b/>
                <w:color w:val="000000"/>
                <w:sz w:val="2"/>
                <w:lang w:val="en-GB"/>
              </w:rPr>
            </w:pPr>
            <w:r w:rsidRPr="00D271FE">
              <w:rPr>
                <w:rFonts w:ascii="Verdana" w:eastAsia="Verdana" w:hAnsi="Verdana" w:cs="Verdana"/>
                <w:b/>
                <w:color w:val="000000"/>
                <w:sz w:val="2"/>
                <w:lang w:val="en-GB"/>
              </w:rPr>
              <w:t xml:space="preserve"> </w:t>
            </w:r>
          </w:p>
        </w:tc>
        <w:tc>
          <w:tcPr>
            <w:tcW w:w="1222" w:type="dxa"/>
            <w:tcBorders>
              <w:bottom w:val="single" w:sz="2" w:space="0" w:color="000000"/>
            </w:tcBorders>
            <w:shd w:val="clear" w:color="auto" w:fill="auto"/>
            <w:tcMar>
              <w:top w:w="20" w:type="dxa"/>
              <w:left w:w="20" w:type="dxa"/>
              <w:bottom w:w="20" w:type="dxa"/>
              <w:right w:w="20" w:type="dxa"/>
            </w:tcMar>
          </w:tcPr>
          <w:p w14:paraId="378DDFEF" w14:textId="77777777" w:rsidR="00CA6653" w:rsidRPr="00D271FE" w:rsidRDefault="00CA6653">
            <w:pPr>
              <w:pStyle w:val="T1TableStyle"/>
              <w:jc w:val="right"/>
              <w:rPr>
                <w:rFonts w:ascii="Verdana" w:eastAsia="Verdana" w:hAnsi="Verdana" w:cs="Verdana"/>
                <w:b/>
                <w:color w:val="000000"/>
                <w:sz w:val="16"/>
                <w:lang w:val="en-GB"/>
              </w:rPr>
            </w:pPr>
            <w:r w:rsidRPr="00D271FE">
              <w:rPr>
                <w:rFonts w:ascii="Verdana" w:eastAsia="Verdana" w:hAnsi="Verdana" w:cs="Verdana"/>
                <w:b/>
                <w:color w:val="000000"/>
                <w:sz w:val="16"/>
                <w:lang w:val="en-GB"/>
              </w:rPr>
              <w:t>£000</w:t>
            </w:r>
          </w:p>
        </w:tc>
        <w:tc>
          <w:tcPr>
            <w:tcW w:w="1222" w:type="dxa"/>
            <w:tcBorders>
              <w:bottom w:val="single" w:sz="2" w:space="0" w:color="000000"/>
            </w:tcBorders>
            <w:shd w:val="clear" w:color="auto" w:fill="auto"/>
            <w:tcMar>
              <w:top w:w="20" w:type="dxa"/>
              <w:left w:w="20" w:type="dxa"/>
              <w:bottom w:w="20" w:type="dxa"/>
              <w:right w:w="20" w:type="dxa"/>
            </w:tcMar>
          </w:tcPr>
          <w:p w14:paraId="58D49995" w14:textId="77777777" w:rsidR="00CA6653" w:rsidRPr="00D271FE" w:rsidRDefault="00CA6653">
            <w:pPr>
              <w:pStyle w:val="T1TableStyle"/>
              <w:jc w:val="right"/>
              <w:rPr>
                <w:rFonts w:ascii="Verdana" w:eastAsia="Verdana" w:hAnsi="Verdana" w:cs="Verdana"/>
                <w:b/>
                <w:color w:val="000000"/>
                <w:sz w:val="16"/>
                <w:lang w:val="en-GB"/>
              </w:rPr>
            </w:pPr>
            <w:r w:rsidRPr="00D271FE">
              <w:rPr>
                <w:rFonts w:ascii="Verdana" w:eastAsia="Verdana" w:hAnsi="Verdana" w:cs="Verdana"/>
                <w:b/>
                <w:color w:val="000000"/>
                <w:sz w:val="16"/>
                <w:lang w:val="en-GB"/>
              </w:rPr>
              <w:t>£000</w:t>
            </w:r>
          </w:p>
        </w:tc>
        <w:tc>
          <w:tcPr>
            <w:tcW w:w="1222" w:type="dxa"/>
            <w:tcBorders>
              <w:bottom w:val="single" w:sz="2" w:space="0" w:color="000000"/>
            </w:tcBorders>
            <w:shd w:val="clear" w:color="auto" w:fill="auto"/>
            <w:tcMar>
              <w:top w:w="20" w:type="dxa"/>
              <w:left w:w="20" w:type="dxa"/>
              <w:bottom w:w="20" w:type="dxa"/>
              <w:right w:w="20" w:type="dxa"/>
            </w:tcMar>
          </w:tcPr>
          <w:p w14:paraId="6F14C716" w14:textId="77777777" w:rsidR="00CA6653" w:rsidRPr="00D271FE" w:rsidRDefault="00CA6653">
            <w:pPr>
              <w:pStyle w:val="T1TableStyle"/>
              <w:jc w:val="right"/>
              <w:rPr>
                <w:rFonts w:ascii="Verdana" w:eastAsia="Verdana" w:hAnsi="Verdana" w:cs="Verdana"/>
                <w:b/>
                <w:color w:val="000000"/>
                <w:sz w:val="16"/>
                <w:lang w:val="en-GB"/>
              </w:rPr>
            </w:pPr>
            <w:r w:rsidRPr="00D271FE">
              <w:rPr>
                <w:rFonts w:ascii="Verdana" w:eastAsia="Verdana" w:hAnsi="Verdana" w:cs="Verdana"/>
                <w:b/>
                <w:color w:val="000000"/>
                <w:sz w:val="16"/>
                <w:lang w:val="en-GB"/>
              </w:rPr>
              <w:t>£000</w:t>
            </w:r>
          </w:p>
        </w:tc>
        <w:tc>
          <w:tcPr>
            <w:tcW w:w="1222" w:type="dxa"/>
            <w:tcBorders>
              <w:bottom w:val="single" w:sz="2" w:space="0" w:color="000000"/>
            </w:tcBorders>
            <w:shd w:val="clear" w:color="auto" w:fill="auto"/>
            <w:tcMar>
              <w:top w:w="20" w:type="dxa"/>
              <w:left w:w="20" w:type="dxa"/>
              <w:bottom w:w="20" w:type="dxa"/>
              <w:right w:w="20" w:type="dxa"/>
            </w:tcMar>
          </w:tcPr>
          <w:p w14:paraId="0B268EA8" w14:textId="77777777" w:rsidR="00CA6653" w:rsidRPr="00D271FE" w:rsidRDefault="00CA6653">
            <w:pPr>
              <w:pStyle w:val="T1TableStyle"/>
              <w:jc w:val="right"/>
              <w:rPr>
                <w:rFonts w:ascii="Verdana" w:eastAsia="Verdana" w:hAnsi="Verdana" w:cs="Verdana"/>
                <w:b/>
                <w:color w:val="000000"/>
                <w:sz w:val="16"/>
                <w:lang w:val="en-GB"/>
              </w:rPr>
            </w:pPr>
            <w:r w:rsidRPr="00D271FE">
              <w:rPr>
                <w:rFonts w:ascii="Verdana" w:eastAsia="Verdana" w:hAnsi="Verdana" w:cs="Verdana"/>
                <w:b/>
                <w:color w:val="000000"/>
                <w:sz w:val="16"/>
                <w:lang w:val="en-GB"/>
              </w:rPr>
              <w:t>£000</w:t>
            </w:r>
          </w:p>
        </w:tc>
      </w:tr>
      <w:tr w:rsidR="004D417B" w:rsidRPr="00D271FE" w14:paraId="55DCCCE4" w14:textId="77777777" w:rsidTr="001115A3">
        <w:trPr>
          <w:trHeight w:val="134"/>
          <w:jc w:val="center"/>
        </w:trPr>
        <w:tc>
          <w:tcPr>
            <w:tcW w:w="7216" w:type="dxa"/>
            <w:shd w:val="clear" w:color="auto" w:fill="auto"/>
            <w:tcMar>
              <w:top w:w="20" w:type="dxa"/>
              <w:left w:w="20" w:type="dxa"/>
              <w:bottom w:w="20" w:type="dxa"/>
              <w:right w:w="20" w:type="dxa"/>
            </w:tcMar>
          </w:tcPr>
          <w:p w14:paraId="41B6E578" w14:textId="77777777" w:rsidR="00CA6653" w:rsidRPr="00D271FE" w:rsidRDefault="00CA6653">
            <w:pPr>
              <w:pStyle w:val="T1TableStyle"/>
              <w:rPr>
                <w:rFonts w:ascii="Verdana" w:eastAsia="Verdana" w:hAnsi="Verdana" w:cs="Verdana"/>
                <w:color w:val="000000"/>
                <w:sz w:val="16"/>
                <w:lang w:val="en-GB"/>
              </w:rPr>
            </w:pPr>
            <w:r w:rsidRPr="00D271FE">
              <w:rPr>
                <w:rFonts w:ascii="Verdana" w:eastAsia="Verdana" w:hAnsi="Verdana" w:cs="Verdana"/>
                <w:color w:val="000000"/>
                <w:sz w:val="16"/>
                <w:lang w:val="en-GB"/>
              </w:rPr>
              <w:t>Adjustments to the Revenue Resources</w:t>
            </w:r>
          </w:p>
        </w:tc>
        <w:tc>
          <w:tcPr>
            <w:tcW w:w="1222" w:type="dxa"/>
            <w:shd w:val="clear" w:color="auto" w:fill="auto"/>
            <w:tcMar>
              <w:top w:w="20" w:type="dxa"/>
              <w:left w:w="20" w:type="dxa"/>
              <w:bottom w:w="20" w:type="dxa"/>
              <w:right w:w="20" w:type="dxa"/>
            </w:tcMar>
          </w:tcPr>
          <w:p w14:paraId="208DF25B" w14:textId="77777777" w:rsidR="00CA6653" w:rsidRPr="00D271FE" w:rsidRDefault="00CA6653">
            <w:pPr>
              <w:pStyle w:val="T1TableStyle"/>
              <w:jc w:val="center"/>
              <w:rPr>
                <w:rFonts w:ascii="Verdana" w:eastAsia="Verdana" w:hAnsi="Verdana" w:cs="Verdana"/>
                <w:b/>
                <w:color w:val="000000"/>
                <w:sz w:val="2"/>
                <w:lang w:val="en-GB"/>
              </w:rPr>
            </w:pPr>
            <w:r w:rsidRPr="00D271FE">
              <w:rPr>
                <w:rFonts w:ascii="Verdana" w:eastAsia="Verdana" w:hAnsi="Verdana" w:cs="Verdana"/>
                <w:b/>
                <w:color w:val="000000"/>
                <w:sz w:val="2"/>
                <w:lang w:val="en-GB"/>
              </w:rPr>
              <w:t xml:space="preserve"> </w:t>
            </w:r>
          </w:p>
        </w:tc>
        <w:tc>
          <w:tcPr>
            <w:tcW w:w="1222" w:type="dxa"/>
            <w:shd w:val="clear" w:color="auto" w:fill="auto"/>
            <w:tcMar>
              <w:top w:w="20" w:type="dxa"/>
              <w:left w:w="20" w:type="dxa"/>
              <w:bottom w:w="20" w:type="dxa"/>
              <w:right w:w="20" w:type="dxa"/>
            </w:tcMar>
          </w:tcPr>
          <w:p w14:paraId="009744A9" w14:textId="77777777" w:rsidR="00CA6653" w:rsidRPr="00D271FE" w:rsidRDefault="00CA6653">
            <w:pPr>
              <w:pStyle w:val="T1TableStyle"/>
              <w:jc w:val="center"/>
              <w:rPr>
                <w:rFonts w:ascii="Verdana" w:eastAsia="Verdana" w:hAnsi="Verdana" w:cs="Verdana"/>
                <w:b/>
                <w:color w:val="000000"/>
                <w:sz w:val="2"/>
                <w:lang w:val="en-GB"/>
              </w:rPr>
            </w:pPr>
            <w:r w:rsidRPr="00D271FE">
              <w:rPr>
                <w:rFonts w:ascii="Verdana" w:eastAsia="Verdana" w:hAnsi="Verdana" w:cs="Verdana"/>
                <w:b/>
                <w:color w:val="000000"/>
                <w:sz w:val="2"/>
                <w:lang w:val="en-GB"/>
              </w:rPr>
              <w:t xml:space="preserve"> </w:t>
            </w:r>
          </w:p>
        </w:tc>
        <w:tc>
          <w:tcPr>
            <w:tcW w:w="1222" w:type="dxa"/>
            <w:shd w:val="clear" w:color="auto" w:fill="auto"/>
            <w:tcMar>
              <w:top w:w="20" w:type="dxa"/>
              <w:left w:w="20" w:type="dxa"/>
              <w:bottom w:w="20" w:type="dxa"/>
              <w:right w:w="20" w:type="dxa"/>
            </w:tcMar>
          </w:tcPr>
          <w:p w14:paraId="4631B254" w14:textId="77777777" w:rsidR="00CA6653" w:rsidRPr="00D271FE" w:rsidRDefault="00CA6653">
            <w:pPr>
              <w:pStyle w:val="T1TableStyle"/>
              <w:jc w:val="center"/>
              <w:rPr>
                <w:rFonts w:ascii="Verdana" w:eastAsia="Verdana" w:hAnsi="Verdana" w:cs="Verdana"/>
                <w:b/>
                <w:color w:val="000000"/>
                <w:sz w:val="2"/>
                <w:lang w:val="en-GB"/>
              </w:rPr>
            </w:pPr>
            <w:r w:rsidRPr="00D271FE">
              <w:rPr>
                <w:rFonts w:ascii="Verdana" w:eastAsia="Verdana" w:hAnsi="Verdana" w:cs="Verdana"/>
                <w:b/>
                <w:color w:val="000000"/>
                <w:sz w:val="2"/>
                <w:lang w:val="en-GB"/>
              </w:rPr>
              <w:t xml:space="preserve"> </w:t>
            </w:r>
          </w:p>
        </w:tc>
        <w:tc>
          <w:tcPr>
            <w:tcW w:w="1222" w:type="dxa"/>
            <w:shd w:val="clear" w:color="auto" w:fill="auto"/>
            <w:tcMar>
              <w:top w:w="20" w:type="dxa"/>
              <w:left w:w="20" w:type="dxa"/>
              <w:bottom w:w="20" w:type="dxa"/>
              <w:right w:w="20" w:type="dxa"/>
            </w:tcMar>
          </w:tcPr>
          <w:p w14:paraId="7B931D6D" w14:textId="77777777" w:rsidR="00CA6653" w:rsidRPr="00D271FE" w:rsidRDefault="00CA6653">
            <w:pPr>
              <w:pStyle w:val="T1TableStyle"/>
              <w:jc w:val="center"/>
              <w:rPr>
                <w:rFonts w:ascii="Verdana" w:eastAsia="Verdana" w:hAnsi="Verdana" w:cs="Verdana"/>
                <w:b/>
                <w:color w:val="000000"/>
                <w:sz w:val="2"/>
                <w:lang w:val="en-GB"/>
              </w:rPr>
            </w:pPr>
            <w:r w:rsidRPr="00D271FE">
              <w:rPr>
                <w:rFonts w:ascii="Verdana" w:eastAsia="Verdana" w:hAnsi="Verdana" w:cs="Verdana"/>
                <w:b/>
                <w:color w:val="000000"/>
                <w:sz w:val="2"/>
                <w:lang w:val="en-GB"/>
              </w:rPr>
              <w:t xml:space="preserve"> </w:t>
            </w:r>
          </w:p>
        </w:tc>
      </w:tr>
      <w:tr w:rsidR="004D417B" w:rsidRPr="00D271FE" w14:paraId="378CF55A" w14:textId="77777777" w:rsidTr="001115A3">
        <w:trPr>
          <w:trHeight w:val="134"/>
          <w:jc w:val="center"/>
        </w:trPr>
        <w:tc>
          <w:tcPr>
            <w:tcW w:w="7216" w:type="dxa"/>
            <w:shd w:val="clear" w:color="auto" w:fill="auto"/>
            <w:tcMar>
              <w:top w:w="20" w:type="dxa"/>
              <w:left w:w="20" w:type="dxa"/>
              <w:bottom w:w="20" w:type="dxa"/>
              <w:right w:w="20" w:type="dxa"/>
            </w:tcMar>
          </w:tcPr>
          <w:p w14:paraId="12AD2F0E" w14:textId="77777777" w:rsidR="00CA6653" w:rsidRPr="00D271FE" w:rsidRDefault="00CA6653">
            <w:pPr>
              <w:pStyle w:val="T1TableStyle"/>
              <w:rPr>
                <w:rFonts w:ascii="Verdana" w:eastAsia="Verdana" w:hAnsi="Verdana" w:cs="Verdana"/>
                <w:color w:val="000000"/>
                <w:sz w:val="16"/>
                <w:lang w:val="en-GB"/>
              </w:rPr>
            </w:pPr>
            <w:r w:rsidRPr="00D271FE">
              <w:rPr>
                <w:rFonts w:ascii="Verdana" w:eastAsia="Verdana" w:hAnsi="Verdana" w:cs="Verdana"/>
                <w:color w:val="000000"/>
                <w:sz w:val="16"/>
                <w:lang w:val="en-GB"/>
              </w:rPr>
              <w:t>Amounts by which income and expenditure included in the Comprehensive Income and Expenditure Statement are different from revenue for the year calculated in accordance with statutory requirements:</w:t>
            </w:r>
          </w:p>
        </w:tc>
        <w:tc>
          <w:tcPr>
            <w:tcW w:w="1222" w:type="dxa"/>
            <w:shd w:val="clear" w:color="auto" w:fill="auto"/>
            <w:tcMar>
              <w:top w:w="20" w:type="dxa"/>
              <w:left w:w="20" w:type="dxa"/>
              <w:bottom w:w="20" w:type="dxa"/>
              <w:right w:w="20" w:type="dxa"/>
            </w:tcMar>
          </w:tcPr>
          <w:p w14:paraId="18F2F8F7" w14:textId="77777777" w:rsidR="00CA6653" w:rsidRPr="00D271FE" w:rsidRDefault="00CA6653">
            <w:pPr>
              <w:pStyle w:val="T1TableStyle"/>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3C45DD25" w14:textId="77777777" w:rsidR="00CA6653" w:rsidRPr="00D271FE" w:rsidRDefault="00CA6653">
            <w:pPr>
              <w:pStyle w:val="T1TableStyle"/>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5F419DDF" w14:textId="77777777" w:rsidR="00CA6653" w:rsidRPr="00D271FE" w:rsidRDefault="00CA6653">
            <w:pPr>
              <w:pStyle w:val="T1TableStyle"/>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73524E26" w14:textId="77777777" w:rsidR="00CA6653" w:rsidRPr="00D271FE" w:rsidRDefault="00CA6653">
            <w:pPr>
              <w:pStyle w:val="T1TableStyle"/>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r>
      <w:tr w:rsidR="003B61E8" w:rsidRPr="00D271FE" w14:paraId="49C20FDE" w14:textId="77777777" w:rsidTr="001115A3">
        <w:trPr>
          <w:trHeight w:val="134"/>
          <w:jc w:val="center"/>
        </w:trPr>
        <w:tc>
          <w:tcPr>
            <w:tcW w:w="7216" w:type="dxa"/>
            <w:shd w:val="clear" w:color="auto" w:fill="auto"/>
            <w:tcMar>
              <w:top w:w="20" w:type="dxa"/>
              <w:left w:w="20" w:type="dxa"/>
              <w:bottom w:w="20" w:type="dxa"/>
              <w:right w:w="20" w:type="dxa"/>
            </w:tcMar>
          </w:tcPr>
          <w:p w14:paraId="35AD46C0" w14:textId="77777777" w:rsidR="003B61E8" w:rsidRPr="00D271FE" w:rsidRDefault="003B61E8" w:rsidP="003B61E8">
            <w:pPr>
              <w:pStyle w:val="T1TableStyle"/>
              <w:rPr>
                <w:rFonts w:ascii="Verdana" w:eastAsia="Verdana" w:hAnsi="Verdana" w:cs="Verdana"/>
                <w:color w:val="000000"/>
                <w:sz w:val="16"/>
                <w:lang w:val="en-GB"/>
              </w:rPr>
            </w:pPr>
            <w:r w:rsidRPr="00D271FE">
              <w:rPr>
                <w:rFonts w:ascii="Verdana" w:eastAsia="Verdana" w:hAnsi="Verdana" w:cs="Verdana"/>
                <w:color w:val="000000"/>
                <w:sz w:val="16"/>
                <w:lang w:val="en-GB"/>
              </w:rPr>
              <w:t>Pension cost (transferred to (or from) the Pensions Reserve)</w:t>
            </w:r>
          </w:p>
        </w:tc>
        <w:tc>
          <w:tcPr>
            <w:tcW w:w="1222" w:type="dxa"/>
            <w:shd w:val="clear" w:color="auto" w:fill="auto"/>
            <w:tcMar>
              <w:top w:w="20" w:type="dxa"/>
              <w:left w:w="20" w:type="dxa"/>
              <w:bottom w:w="20" w:type="dxa"/>
              <w:right w:w="20" w:type="dxa"/>
            </w:tcMar>
          </w:tcPr>
          <w:p w14:paraId="53801169" w14:textId="77777777" w:rsidR="003B61E8" w:rsidRPr="00D271FE" w:rsidRDefault="003B61E8" w:rsidP="003B61E8">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(63,026)</w:t>
            </w:r>
          </w:p>
        </w:tc>
        <w:tc>
          <w:tcPr>
            <w:tcW w:w="1222" w:type="dxa"/>
            <w:shd w:val="clear" w:color="auto" w:fill="auto"/>
            <w:tcMar>
              <w:top w:w="20" w:type="dxa"/>
              <w:left w:w="20" w:type="dxa"/>
              <w:bottom w:w="20" w:type="dxa"/>
              <w:right w:w="20" w:type="dxa"/>
            </w:tcMar>
          </w:tcPr>
          <w:p w14:paraId="7328C4EE" w14:textId="77777777" w:rsidR="003B61E8" w:rsidRPr="00D271FE" w:rsidRDefault="003B61E8" w:rsidP="003B61E8">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7E17CBDA" w14:textId="77777777" w:rsidR="003B61E8" w:rsidRPr="00D271FE" w:rsidRDefault="003B61E8" w:rsidP="003B61E8">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71F471E3" w14:textId="77777777" w:rsidR="003B61E8" w:rsidRPr="00D271FE" w:rsidRDefault="003B61E8" w:rsidP="003B61E8">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63,026</w:t>
            </w:r>
          </w:p>
        </w:tc>
      </w:tr>
      <w:tr w:rsidR="003B61E8" w:rsidRPr="00D271FE" w14:paraId="3E6CF125" w14:textId="77777777" w:rsidTr="001115A3">
        <w:trPr>
          <w:trHeight w:val="134"/>
          <w:jc w:val="center"/>
        </w:trPr>
        <w:tc>
          <w:tcPr>
            <w:tcW w:w="7216" w:type="dxa"/>
            <w:shd w:val="clear" w:color="auto" w:fill="auto"/>
            <w:tcMar>
              <w:top w:w="20" w:type="dxa"/>
              <w:left w:w="20" w:type="dxa"/>
              <w:bottom w:w="20" w:type="dxa"/>
              <w:right w:w="20" w:type="dxa"/>
            </w:tcMar>
          </w:tcPr>
          <w:p w14:paraId="34E7A1F9" w14:textId="77777777" w:rsidR="003B61E8" w:rsidRPr="00D271FE" w:rsidRDefault="003B61E8" w:rsidP="003B61E8">
            <w:pPr>
              <w:pStyle w:val="T1TableStyle"/>
              <w:rPr>
                <w:rFonts w:ascii="Verdana" w:eastAsia="Verdana" w:hAnsi="Verdana" w:cs="Verdana"/>
                <w:color w:val="000000"/>
                <w:sz w:val="16"/>
                <w:lang w:val="en-GB"/>
              </w:rPr>
            </w:pPr>
            <w:r w:rsidRPr="00D271FE">
              <w:rPr>
                <w:rFonts w:ascii="Verdana" w:eastAsia="Verdana" w:hAnsi="Verdana" w:cs="Verdana"/>
                <w:color w:val="000000"/>
                <w:sz w:val="16"/>
                <w:lang w:val="en-GB"/>
              </w:rPr>
              <w:t>Council tax and NDR (transfers to or from the Collection Fund)</w:t>
            </w:r>
          </w:p>
        </w:tc>
        <w:tc>
          <w:tcPr>
            <w:tcW w:w="1222" w:type="dxa"/>
            <w:shd w:val="clear" w:color="auto" w:fill="auto"/>
            <w:tcMar>
              <w:top w:w="20" w:type="dxa"/>
              <w:left w:w="20" w:type="dxa"/>
              <w:bottom w:w="20" w:type="dxa"/>
              <w:right w:w="20" w:type="dxa"/>
            </w:tcMar>
          </w:tcPr>
          <w:p w14:paraId="353D9DA2" w14:textId="77777777" w:rsidR="003B61E8" w:rsidRPr="00D271FE" w:rsidRDefault="003B61E8" w:rsidP="003B61E8">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89</w:t>
            </w:r>
          </w:p>
        </w:tc>
        <w:tc>
          <w:tcPr>
            <w:tcW w:w="1222" w:type="dxa"/>
            <w:shd w:val="clear" w:color="auto" w:fill="auto"/>
            <w:tcMar>
              <w:top w:w="20" w:type="dxa"/>
              <w:left w:w="20" w:type="dxa"/>
              <w:bottom w:w="20" w:type="dxa"/>
              <w:right w:w="20" w:type="dxa"/>
            </w:tcMar>
          </w:tcPr>
          <w:p w14:paraId="17D510F8" w14:textId="77777777" w:rsidR="003B61E8" w:rsidRPr="00D271FE" w:rsidRDefault="003B61E8" w:rsidP="003B61E8">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63F8A7A6" w14:textId="77777777" w:rsidR="003B61E8" w:rsidRPr="00D271FE" w:rsidRDefault="003B61E8" w:rsidP="003B61E8">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554475ED" w14:textId="77777777" w:rsidR="003B61E8" w:rsidRPr="00D271FE" w:rsidRDefault="003B61E8" w:rsidP="003B61E8">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(89)</w:t>
            </w:r>
          </w:p>
        </w:tc>
      </w:tr>
      <w:tr w:rsidR="003B61E8" w:rsidRPr="00D271FE" w14:paraId="0F409D1C" w14:textId="77777777" w:rsidTr="001115A3">
        <w:trPr>
          <w:trHeight w:val="134"/>
          <w:jc w:val="center"/>
        </w:trPr>
        <w:tc>
          <w:tcPr>
            <w:tcW w:w="7216" w:type="dxa"/>
            <w:shd w:val="clear" w:color="auto" w:fill="auto"/>
            <w:tcMar>
              <w:top w:w="20" w:type="dxa"/>
              <w:left w:w="20" w:type="dxa"/>
              <w:bottom w:w="20" w:type="dxa"/>
              <w:right w:w="20" w:type="dxa"/>
            </w:tcMar>
          </w:tcPr>
          <w:p w14:paraId="746BEF6E" w14:textId="77777777" w:rsidR="003B61E8" w:rsidRPr="00D271FE" w:rsidRDefault="003B61E8" w:rsidP="003B61E8">
            <w:pPr>
              <w:pStyle w:val="T1TableStyle"/>
              <w:rPr>
                <w:rFonts w:ascii="Verdana" w:eastAsia="Verdana" w:hAnsi="Verdana" w:cs="Verdana"/>
                <w:color w:val="000000"/>
                <w:sz w:val="16"/>
                <w:lang w:val="en-GB"/>
              </w:rPr>
            </w:pPr>
            <w:r w:rsidRPr="00D271FE">
              <w:rPr>
                <w:rFonts w:ascii="Verdana" w:eastAsia="Verdana" w:hAnsi="Verdana" w:cs="Verdana"/>
                <w:color w:val="000000"/>
                <w:sz w:val="16"/>
                <w:lang w:val="en-GB"/>
              </w:rPr>
              <w:t>Holiday pay (transferred to the Accumulated Absences reserve)</w:t>
            </w:r>
          </w:p>
        </w:tc>
        <w:tc>
          <w:tcPr>
            <w:tcW w:w="1222" w:type="dxa"/>
            <w:shd w:val="clear" w:color="auto" w:fill="auto"/>
            <w:tcMar>
              <w:top w:w="20" w:type="dxa"/>
              <w:left w:w="20" w:type="dxa"/>
              <w:bottom w:w="20" w:type="dxa"/>
              <w:right w:w="20" w:type="dxa"/>
            </w:tcMar>
          </w:tcPr>
          <w:p w14:paraId="6BCD4ABD" w14:textId="77777777" w:rsidR="003B61E8" w:rsidRPr="00D271FE" w:rsidRDefault="003B61E8" w:rsidP="003B61E8">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(146)</w:t>
            </w:r>
          </w:p>
        </w:tc>
        <w:tc>
          <w:tcPr>
            <w:tcW w:w="1222" w:type="dxa"/>
            <w:shd w:val="clear" w:color="auto" w:fill="auto"/>
            <w:tcMar>
              <w:top w:w="20" w:type="dxa"/>
              <w:left w:w="20" w:type="dxa"/>
              <w:bottom w:w="20" w:type="dxa"/>
              <w:right w:w="20" w:type="dxa"/>
            </w:tcMar>
          </w:tcPr>
          <w:p w14:paraId="3DB9378F" w14:textId="77777777" w:rsidR="003B61E8" w:rsidRPr="00D271FE" w:rsidRDefault="003B61E8" w:rsidP="003B61E8">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05954F61" w14:textId="77777777" w:rsidR="003B61E8" w:rsidRPr="00D271FE" w:rsidRDefault="003B61E8" w:rsidP="003B61E8">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4C12FB54" w14:textId="77777777" w:rsidR="003B61E8" w:rsidRPr="00D271FE" w:rsidRDefault="003B61E8" w:rsidP="003B61E8">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146</w:t>
            </w:r>
          </w:p>
        </w:tc>
      </w:tr>
      <w:tr w:rsidR="00EC7BD0" w:rsidRPr="00D271FE" w14:paraId="0C750381" w14:textId="77777777" w:rsidTr="001115A3">
        <w:trPr>
          <w:trHeight w:val="134"/>
          <w:jc w:val="center"/>
        </w:trPr>
        <w:tc>
          <w:tcPr>
            <w:tcW w:w="7216" w:type="dxa"/>
            <w:tcBorders>
              <w:bottom w:val="single" w:sz="2" w:space="0" w:color="000000"/>
            </w:tcBorders>
            <w:shd w:val="clear" w:color="auto" w:fill="auto"/>
            <w:tcMar>
              <w:top w:w="20" w:type="dxa"/>
              <w:left w:w="20" w:type="dxa"/>
              <w:bottom w:w="20" w:type="dxa"/>
              <w:right w:w="20" w:type="dxa"/>
            </w:tcMar>
          </w:tcPr>
          <w:p w14:paraId="3CD7FB9C" w14:textId="77777777" w:rsidR="00EC7BD0" w:rsidRPr="00D271FE" w:rsidRDefault="00EC7BD0" w:rsidP="00EC7BD0">
            <w:pPr>
              <w:pStyle w:val="T1TableStyle"/>
              <w:rPr>
                <w:rFonts w:ascii="Verdana" w:eastAsia="Verdana" w:hAnsi="Verdana" w:cs="Verdana"/>
                <w:color w:val="000000"/>
                <w:sz w:val="16"/>
                <w:lang w:val="en-GB"/>
              </w:rPr>
            </w:pPr>
            <w:r w:rsidRPr="00D271FE">
              <w:rPr>
                <w:rFonts w:ascii="Verdana" w:eastAsia="Verdana" w:hAnsi="Verdana" w:cs="Verdana"/>
                <w:color w:val="000000"/>
                <w:sz w:val="16"/>
                <w:lang w:val="en-GB"/>
              </w:rPr>
              <w:t>Reversal of entries included in the Surplus or Deficit on the Provision of Services in relation to capital expenditure (these items are charged to the Capital Adjustment Account)</w:t>
            </w:r>
          </w:p>
        </w:tc>
        <w:tc>
          <w:tcPr>
            <w:tcW w:w="1222" w:type="dxa"/>
            <w:tcBorders>
              <w:bottom w:val="single" w:sz="2" w:space="0" w:color="000000"/>
            </w:tcBorders>
            <w:shd w:val="clear" w:color="auto" w:fill="auto"/>
            <w:tcMar>
              <w:top w:w="20" w:type="dxa"/>
              <w:left w:w="20" w:type="dxa"/>
              <w:bottom w:w="20" w:type="dxa"/>
              <w:right w:w="20" w:type="dxa"/>
            </w:tcMar>
          </w:tcPr>
          <w:p w14:paraId="44DC719A" w14:textId="77777777" w:rsidR="00EC7BD0" w:rsidRPr="00D271FE" w:rsidRDefault="00EC7BD0" w:rsidP="00EC7BD0">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(11,360)</w:t>
            </w:r>
          </w:p>
        </w:tc>
        <w:tc>
          <w:tcPr>
            <w:tcW w:w="1222" w:type="dxa"/>
            <w:tcBorders>
              <w:bottom w:val="single" w:sz="2" w:space="0" w:color="000000"/>
            </w:tcBorders>
            <w:shd w:val="clear" w:color="auto" w:fill="auto"/>
            <w:tcMar>
              <w:top w:w="20" w:type="dxa"/>
              <w:left w:w="20" w:type="dxa"/>
              <w:bottom w:w="20" w:type="dxa"/>
              <w:right w:w="20" w:type="dxa"/>
            </w:tcMar>
          </w:tcPr>
          <w:p w14:paraId="57FF0A4B"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tcBorders>
              <w:bottom w:val="single" w:sz="2" w:space="0" w:color="000000"/>
            </w:tcBorders>
            <w:shd w:val="clear" w:color="auto" w:fill="auto"/>
            <w:tcMar>
              <w:top w:w="20" w:type="dxa"/>
              <w:left w:w="20" w:type="dxa"/>
              <w:bottom w:w="20" w:type="dxa"/>
              <w:right w:w="20" w:type="dxa"/>
            </w:tcMar>
          </w:tcPr>
          <w:p w14:paraId="6E3AC7EB" w14:textId="77777777" w:rsidR="00EC7BD0" w:rsidRPr="00D271FE" w:rsidRDefault="00EC7BD0" w:rsidP="00EC7BD0">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(645)</w:t>
            </w:r>
          </w:p>
        </w:tc>
        <w:tc>
          <w:tcPr>
            <w:tcW w:w="1222" w:type="dxa"/>
            <w:tcBorders>
              <w:bottom w:val="single" w:sz="2" w:space="0" w:color="000000"/>
            </w:tcBorders>
            <w:shd w:val="clear" w:color="auto" w:fill="auto"/>
            <w:tcMar>
              <w:top w:w="20" w:type="dxa"/>
              <w:left w:w="20" w:type="dxa"/>
              <w:bottom w:w="20" w:type="dxa"/>
              <w:right w:w="20" w:type="dxa"/>
            </w:tcMar>
          </w:tcPr>
          <w:p w14:paraId="6014790E" w14:textId="77777777" w:rsidR="00EC7BD0" w:rsidRPr="00D271FE" w:rsidRDefault="00EC7BD0" w:rsidP="00EC7BD0">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12,005</w:t>
            </w:r>
          </w:p>
        </w:tc>
      </w:tr>
      <w:tr w:rsidR="00EC7BD0" w:rsidRPr="00D271FE" w14:paraId="0DB59F34" w14:textId="77777777" w:rsidTr="001115A3">
        <w:trPr>
          <w:trHeight w:val="134"/>
          <w:jc w:val="center"/>
        </w:trPr>
        <w:tc>
          <w:tcPr>
            <w:tcW w:w="7216" w:type="dxa"/>
            <w:shd w:val="clear" w:color="auto" w:fill="auto"/>
            <w:tcMar>
              <w:top w:w="20" w:type="dxa"/>
              <w:left w:w="20" w:type="dxa"/>
              <w:bottom w:w="20" w:type="dxa"/>
              <w:right w:w="20" w:type="dxa"/>
            </w:tcMar>
          </w:tcPr>
          <w:p w14:paraId="0014112F" w14:textId="77777777" w:rsidR="00EC7BD0" w:rsidRPr="00FB5015" w:rsidRDefault="00EC7BD0" w:rsidP="00EC7BD0">
            <w:pPr>
              <w:pStyle w:val="T1TableStyle"/>
              <w:rPr>
                <w:rFonts w:ascii="Verdana" w:eastAsia="Verdana" w:hAnsi="Verdana" w:cs="Verdana"/>
                <w:b/>
                <w:color w:val="000000"/>
                <w:sz w:val="16"/>
                <w:lang w:val="en-GB"/>
              </w:rPr>
            </w:pPr>
            <w:r w:rsidRPr="00FB5015">
              <w:rPr>
                <w:rFonts w:ascii="Verdana" w:eastAsia="Verdana" w:hAnsi="Verdana" w:cs="Verdana"/>
                <w:b/>
                <w:color w:val="000000"/>
                <w:sz w:val="16"/>
                <w:lang w:val="en-GB"/>
              </w:rPr>
              <w:t>Total Adjustments to Revenue Resources</w:t>
            </w:r>
          </w:p>
        </w:tc>
        <w:tc>
          <w:tcPr>
            <w:tcW w:w="1222" w:type="dxa"/>
            <w:shd w:val="clear" w:color="auto" w:fill="auto"/>
            <w:tcMar>
              <w:top w:w="20" w:type="dxa"/>
              <w:left w:w="20" w:type="dxa"/>
              <w:bottom w:w="20" w:type="dxa"/>
              <w:right w:w="20" w:type="dxa"/>
            </w:tcMar>
          </w:tcPr>
          <w:p w14:paraId="1CE3D6B9" w14:textId="77777777" w:rsidR="00EC7BD0" w:rsidRPr="00FB5015" w:rsidRDefault="00EC7BD0" w:rsidP="00EC7BD0">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(74,443)</w:t>
            </w:r>
          </w:p>
        </w:tc>
        <w:tc>
          <w:tcPr>
            <w:tcW w:w="1222" w:type="dxa"/>
            <w:shd w:val="clear" w:color="auto" w:fill="auto"/>
            <w:tcMar>
              <w:top w:w="20" w:type="dxa"/>
              <w:left w:w="20" w:type="dxa"/>
              <w:bottom w:w="20" w:type="dxa"/>
              <w:right w:w="20" w:type="dxa"/>
            </w:tcMar>
          </w:tcPr>
          <w:p w14:paraId="6BB135D9" w14:textId="77777777" w:rsidR="00EC7BD0" w:rsidRPr="00FB5015" w:rsidRDefault="00EC7BD0" w:rsidP="00EC7BD0">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0</w:t>
            </w:r>
          </w:p>
        </w:tc>
        <w:tc>
          <w:tcPr>
            <w:tcW w:w="1222" w:type="dxa"/>
            <w:shd w:val="clear" w:color="auto" w:fill="auto"/>
            <w:tcMar>
              <w:top w:w="20" w:type="dxa"/>
              <w:left w:w="20" w:type="dxa"/>
              <w:bottom w:w="20" w:type="dxa"/>
              <w:right w:w="20" w:type="dxa"/>
            </w:tcMar>
          </w:tcPr>
          <w:p w14:paraId="086BA79E" w14:textId="77777777" w:rsidR="00EC7BD0" w:rsidRPr="00FB5015" w:rsidRDefault="00EC7BD0" w:rsidP="00EC7BD0">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(645)</w:t>
            </w:r>
          </w:p>
        </w:tc>
        <w:tc>
          <w:tcPr>
            <w:tcW w:w="1222" w:type="dxa"/>
            <w:shd w:val="clear" w:color="auto" w:fill="auto"/>
            <w:tcMar>
              <w:top w:w="20" w:type="dxa"/>
              <w:left w:w="20" w:type="dxa"/>
              <w:bottom w:w="20" w:type="dxa"/>
              <w:right w:w="20" w:type="dxa"/>
            </w:tcMar>
          </w:tcPr>
          <w:p w14:paraId="250A0D86" w14:textId="77777777" w:rsidR="00EC7BD0" w:rsidRPr="00FB5015" w:rsidRDefault="00EC7BD0" w:rsidP="00EC7BD0">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75,088</w:t>
            </w:r>
          </w:p>
        </w:tc>
      </w:tr>
      <w:tr w:rsidR="00EC7BD0" w:rsidRPr="00D271FE" w14:paraId="2F0C8CFB" w14:textId="77777777" w:rsidTr="001115A3">
        <w:trPr>
          <w:trHeight w:hRule="exact" w:val="79"/>
          <w:jc w:val="center"/>
        </w:trPr>
        <w:tc>
          <w:tcPr>
            <w:tcW w:w="7216" w:type="dxa"/>
            <w:shd w:val="clear" w:color="auto" w:fill="auto"/>
            <w:tcMar>
              <w:top w:w="20" w:type="dxa"/>
              <w:left w:w="20" w:type="dxa"/>
              <w:bottom w:w="20" w:type="dxa"/>
              <w:right w:w="20" w:type="dxa"/>
            </w:tcMar>
          </w:tcPr>
          <w:p w14:paraId="0BA95959"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7AD55B6F"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6621A2B0"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336B3366"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329F9464"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r>
      <w:tr w:rsidR="00EC7BD0" w:rsidRPr="00D271FE" w14:paraId="3F66CB35" w14:textId="77777777" w:rsidTr="001115A3">
        <w:trPr>
          <w:trHeight w:val="134"/>
          <w:jc w:val="center"/>
        </w:trPr>
        <w:tc>
          <w:tcPr>
            <w:tcW w:w="7216" w:type="dxa"/>
            <w:shd w:val="clear" w:color="auto" w:fill="auto"/>
            <w:tcMar>
              <w:top w:w="20" w:type="dxa"/>
              <w:left w:w="20" w:type="dxa"/>
              <w:bottom w:w="20" w:type="dxa"/>
              <w:right w:w="20" w:type="dxa"/>
            </w:tcMar>
          </w:tcPr>
          <w:p w14:paraId="0F894C0F" w14:textId="77777777" w:rsidR="00EC7BD0" w:rsidRPr="00D271FE" w:rsidRDefault="00EC7BD0" w:rsidP="00EC7BD0">
            <w:pPr>
              <w:pStyle w:val="T1TableStyle"/>
              <w:rPr>
                <w:rFonts w:ascii="Verdana" w:eastAsia="Verdana" w:hAnsi="Verdana" w:cs="Verdana"/>
                <w:color w:val="000000"/>
                <w:sz w:val="16"/>
                <w:lang w:val="en-GB"/>
              </w:rPr>
            </w:pPr>
            <w:r w:rsidRPr="00D271FE">
              <w:rPr>
                <w:rFonts w:ascii="Verdana" w:eastAsia="Verdana" w:hAnsi="Verdana" w:cs="Verdana"/>
                <w:color w:val="000000"/>
                <w:sz w:val="16"/>
                <w:lang w:val="en-GB"/>
              </w:rPr>
              <w:t>Adjustments between Revenue and Capital Resources</w:t>
            </w:r>
          </w:p>
        </w:tc>
        <w:tc>
          <w:tcPr>
            <w:tcW w:w="1222" w:type="dxa"/>
            <w:shd w:val="clear" w:color="auto" w:fill="auto"/>
            <w:tcMar>
              <w:top w:w="20" w:type="dxa"/>
              <w:left w:w="20" w:type="dxa"/>
              <w:bottom w:w="20" w:type="dxa"/>
              <w:right w:w="20" w:type="dxa"/>
            </w:tcMar>
          </w:tcPr>
          <w:p w14:paraId="21378AE2"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6AD7B2C0"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6FF167DC"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1B2A435B"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r>
      <w:tr w:rsidR="00EC7BD0" w:rsidRPr="00D271FE" w14:paraId="021F87CB" w14:textId="77777777" w:rsidTr="001115A3">
        <w:trPr>
          <w:trHeight w:val="134"/>
          <w:jc w:val="center"/>
        </w:trPr>
        <w:tc>
          <w:tcPr>
            <w:tcW w:w="7216" w:type="dxa"/>
            <w:shd w:val="clear" w:color="auto" w:fill="auto"/>
            <w:tcMar>
              <w:top w:w="20" w:type="dxa"/>
              <w:left w:w="20" w:type="dxa"/>
              <w:bottom w:w="20" w:type="dxa"/>
              <w:right w:w="20" w:type="dxa"/>
            </w:tcMar>
          </w:tcPr>
          <w:p w14:paraId="658E7F3A" w14:textId="77777777" w:rsidR="00EC7BD0" w:rsidRPr="00D271FE" w:rsidRDefault="00EC7BD0" w:rsidP="00EC7BD0">
            <w:pPr>
              <w:pStyle w:val="T1TableStyle"/>
              <w:rPr>
                <w:rFonts w:ascii="Verdana" w:eastAsia="Verdana" w:hAnsi="Verdana" w:cs="Verdana"/>
                <w:color w:val="000000"/>
                <w:sz w:val="16"/>
                <w:lang w:val="en-GB"/>
              </w:rPr>
            </w:pPr>
            <w:r w:rsidRPr="00D271FE">
              <w:rPr>
                <w:rFonts w:ascii="Verdana" w:eastAsia="Verdana" w:hAnsi="Verdana" w:cs="Verdana"/>
                <w:color w:val="000000"/>
                <w:sz w:val="16"/>
                <w:lang w:val="en-GB"/>
              </w:rPr>
              <w:t>Transfer of non-current asset sale proceeds from revenue to the Capital Receipts Reserve</w:t>
            </w:r>
          </w:p>
        </w:tc>
        <w:tc>
          <w:tcPr>
            <w:tcW w:w="1222" w:type="dxa"/>
            <w:shd w:val="clear" w:color="auto" w:fill="auto"/>
            <w:tcMar>
              <w:top w:w="20" w:type="dxa"/>
              <w:left w:w="20" w:type="dxa"/>
              <w:bottom w:w="20" w:type="dxa"/>
              <w:right w:w="20" w:type="dxa"/>
            </w:tcMar>
          </w:tcPr>
          <w:p w14:paraId="26B3BF25" w14:textId="77777777" w:rsidR="00EC7BD0" w:rsidRPr="00D271FE" w:rsidRDefault="000348EB" w:rsidP="00EC7BD0">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467</w:t>
            </w:r>
          </w:p>
        </w:tc>
        <w:tc>
          <w:tcPr>
            <w:tcW w:w="1222" w:type="dxa"/>
            <w:shd w:val="clear" w:color="auto" w:fill="auto"/>
            <w:tcMar>
              <w:top w:w="20" w:type="dxa"/>
              <w:left w:w="20" w:type="dxa"/>
              <w:bottom w:w="20" w:type="dxa"/>
              <w:right w:w="20" w:type="dxa"/>
            </w:tcMar>
          </w:tcPr>
          <w:p w14:paraId="58B8B792" w14:textId="77777777" w:rsidR="00EC7BD0" w:rsidRPr="00D271FE" w:rsidRDefault="000348EB" w:rsidP="000348EB">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 xml:space="preserve">   </w:t>
            </w:r>
            <w:r w:rsidR="00EC7BD0" w:rsidRPr="00D271FE">
              <w:rPr>
                <w:rFonts w:ascii="Verdana" w:eastAsia="Verdana" w:hAnsi="Verdana" w:cs="Verdana"/>
                <w:color w:val="000000"/>
                <w:sz w:val="16"/>
                <w:lang w:val="en-GB"/>
              </w:rPr>
              <w:t>(</w:t>
            </w:r>
            <w:r w:rsidRPr="00D271FE">
              <w:rPr>
                <w:rFonts w:ascii="Verdana" w:eastAsia="Verdana" w:hAnsi="Verdana" w:cs="Verdana"/>
                <w:color w:val="000000"/>
                <w:sz w:val="16"/>
                <w:lang w:val="en-GB"/>
              </w:rPr>
              <w:t>467</w:t>
            </w:r>
            <w:r w:rsidR="00EC7BD0" w:rsidRPr="00D271FE">
              <w:rPr>
                <w:rFonts w:ascii="Verdana" w:eastAsia="Verdana" w:hAnsi="Verdana" w:cs="Verdana"/>
                <w:color w:val="000000"/>
                <w:sz w:val="16"/>
                <w:lang w:val="en-GB"/>
              </w:rPr>
              <w:t>)</w:t>
            </w:r>
          </w:p>
        </w:tc>
        <w:tc>
          <w:tcPr>
            <w:tcW w:w="1222" w:type="dxa"/>
            <w:shd w:val="clear" w:color="auto" w:fill="auto"/>
            <w:tcMar>
              <w:top w:w="20" w:type="dxa"/>
              <w:left w:w="20" w:type="dxa"/>
              <w:bottom w:w="20" w:type="dxa"/>
              <w:right w:w="20" w:type="dxa"/>
            </w:tcMar>
          </w:tcPr>
          <w:p w14:paraId="416740AB"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3128B7CA"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r>
      <w:tr w:rsidR="00EC7BD0" w:rsidRPr="00D271FE" w14:paraId="4867F024" w14:textId="77777777" w:rsidTr="001115A3">
        <w:trPr>
          <w:trHeight w:val="134"/>
          <w:jc w:val="center"/>
        </w:trPr>
        <w:tc>
          <w:tcPr>
            <w:tcW w:w="7216" w:type="dxa"/>
            <w:shd w:val="clear" w:color="auto" w:fill="auto"/>
            <w:tcMar>
              <w:top w:w="20" w:type="dxa"/>
              <w:left w:w="20" w:type="dxa"/>
              <w:bottom w:w="20" w:type="dxa"/>
              <w:right w:w="20" w:type="dxa"/>
            </w:tcMar>
          </w:tcPr>
          <w:p w14:paraId="0EA92E32" w14:textId="77777777" w:rsidR="00EC7BD0" w:rsidRPr="00D271FE" w:rsidRDefault="00EC7BD0" w:rsidP="00EC7BD0">
            <w:pPr>
              <w:pStyle w:val="T1TableStyle"/>
              <w:rPr>
                <w:rFonts w:ascii="Verdana" w:eastAsia="Verdana" w:hAnsi="Verdana" w:cs="Verdana"/>
                <w:color w:val="000000"/>
                <w:sz w:val="16"/>
                <w:lang w:val="en-GB"/>
              </w:rPr>
            </w:pPr>
            <w:r w:rsidRPr="00D271FE">
              <w:rPr>
                <w:rFonts w:ascii="Verdana" w:eastAsia="Verdana" w:hAnsi="Verdana" w:cs="Verdana"/>
                <w:color w:val="000000"/>
                <w:sz w:val="16"/>
                <w:lang w:val="en-GB"/>
              </w:rPr>
              <w:t>Statutory Provision for the repayment of debt (transfer to the Capital Adjustment Account)</w:t>
            </w:r>
          </w:p>
        </w:tc>
        <w:tc>
          <w:tcPr>
            <w:tcW w:w="1222" w:type="dxa"/>
            <w:shd w:val="clear" w:color="auto" w:fill="auto"/>
            <w:tcMar>
              <w:top w:w="20" w:type="dxa"/>
              <w:left w:w="20" w:type="dxa"/>
              <w:bottom w:w="20" w:type="dxa"/>
              <w:right w:w="20" w:type="dxa"/>
            </w:tcMar>
          </w:tcPr>
          <w:p w14:paraId="0B5DF788" w14:textId="24E8ACCB" w:rsidR="00EC7BD0" w:rsidRPr="00D271FE" w:rsidRDefault="000348EB" w:rsidP="00EC7BD0">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1</w:t>
            </w:r>
            <w:r w:rsidR="003D2EE8">
              <w:rPr>
                <w:rFonts w:ascii="Verdana" w:eastAsia="Verdana" w:hAnsi="Verdana" w:cs="Verdana"/>
                <w:color w:val="000000"/>
                <w:sz w:val="16"/>
                <w:lang w:val="en-GB"/>
              </w:rPr>
              <w:t>,</w:t>
            </w:r>
            <w:r w:rsidRPr="00D271FE">
              <w:rPr>
                <w:rFonts w:ascii="Verdana" w:eastAsia="Verdana" w:hAnsi="Verdana" w:cs="Verdana"/>
                <w:color w:val="000000"/>
                <w:sz w:val="16"/>
                <w:lang w:val="en-GB"/>
              </w:rPr>
              <w:t>367</w:t>
            </w:r>
          </w:p>
        </w:tc>
        <w:tc>
          <w:tcPr>
            <w:tcW w:w="1222" w:type="dxa"/>
            <w:shd w:val="clear" w:color="auto" w:fill="auto"/>
            <w:tcMar>
              <w:top w:w="20" w:type="dxa"/>
              <w:left w:w="20" w:type="dxa"/>
              <w:bottom w:w="20" w:type="dxa"/>
              <w:right w:w="20" w:type="dxa"/>
            </w:tcMar>
          </w:tcPr>
          <w:p w14:paraId="2EEDCBD6"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73B1A9C1"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01CA493A" w14:textId="11A3F702" w:rsidR="00EC7BD0" w:rsidRPr="00D271FE" w:rsidRDefault="00EC7BD0" w:rsidP="000348EB">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w:t>
            </w:r>
            <w:r w:rsidR="000348EB" w:rsidRPr="00D271FE">
              <w:rPr>
                <w:rFonts w:ascii="Verdana" w:eastAsia="Verdana" w:hAnsi="Verdana" w:cs="Verdana"/>
                <w:color w:val="000000"/>
                <w:sz w:val="16"/>
                <w:lang w:val="en-GB"/>
              </w:rPr>
              <w:t>1</w:t>
            </w:r>
            <w:r w:rsidR="003D2EE8">
              <w:rPr>
                <w:rFonts w:ascii="Verdana" w:eastAsia="Verdana" w:hAnsi="Verdana" w:cs="Verdana"/>
                <w:color w:val="000000"/>
                <w:sz w:val="16"/>
                <w:lang w:val="en-GB"/>
              </w:rPr>
              <w:t>,</w:t>
            </w:r>
            <w:r w:rsidR="000348EB" w:rsidRPr="00D271FE">
              <w:rPr>
                <w:rFonts w:ascii="Verdana" w:eastAsia="Verdana" w:hAnsi="Verdana" w:cs="Verdana"/>
                <w:color w:val="000000"/>
                <w:sz w:val="16"/>
                <w:lang w:val="en-GB"/>
              </w:rPr>
              <w:t>367</w:t>
            </w:r>
            <w:r w:rsidRPr="00D271FE">
              <w:rPr>
                <w:rFonts w:ascii="Verdana" w:eastAsia="Verdana" w:hAnsi="Verdana" w:cs="Verdana"/>
                <w:color w:val="000000"/>
                <w:sz w:val="16"/>
                <w:lang w:val="en-GB"/>
              </w:rPr>
              <w:t>)</w:t>
            </w:r>
          </w:p>
        </w:tc>
      </w:tr>
      <w:tr w:rsidR="00EC7BD0" w:rsidRPr="00D271FE" w14:paraId="537AEACA" w14:textId="77777777" w:rsidTr="001115A3">
        <w:trPr>
          <w:trHeight w:val="134"/>
          <w:jc w:val="center"/>
        </w:trPr>
        <w:tc>
          <w:tcPr>
            <w:tcW w:w="7216" w:type="dxa"/>
            <w:tcBorders>
              <w:bottom w:val="single" w:sz="2" w:space="0" w:color="000000"/>
            </w:tcBorders>
            <w:shd w:val="clear" w:color="auto" w:fill="auto"/>
            <w:tcMar>
              <w:top w:w="20" w:type="dxa"/>
              <w:left w:w="20" w:type="dxa"/>
              <w:bottom w:w="20" w:type="dxa"/>
              <w:right w:w="20" w:type="dxa"/>
            </w:tcMar>
          </w:tcPr>
          <w:p w14:paraId="56746627" w14:textId="77777777" w:rsidR="00EC7BD0" w:rsidRPr="00D271FE" w:rsidRDefault="00EC7BD0" w:rsidP="00EC7BD0">
            <w:pPr>
              <w:pStyle w:val="T1TableStyle"/>
              <w:rPr>
                <w:rFonts w:ascii="Verdana" w:eastAsia="Verdana" w:hAnsi="Verdana" w:cs="Verdana"/>
                <w:color w:val="000000"/>
                <w:sz w:val="16"/>
                <w:lang w:val="en-GB"/>
              </w:rPr>
            </w:pPr>
            <w:r w:rsidRPr="00D271FE">
              <w:rPr>
                <w:rFonts w:ascii="Verdana" w:eastAsia="Verdana" w:hAnsi="Verdana" w:cs="Verdana"/>
                <w:color w:val="000000"/>
                <w:sz w:val="16"/>
                <w:lang w:val="en-GB"/>
              </w:rPr>
              <w:t>Capital expenditure financed from revenue balances (transfer to the Capital Adjustment Account)</w:t>
            </w:r>
          </w:p>
        </w:tc>
        <w:tc>
          <w:tcPr>
            <w:tcW w:w="1222" w:type="dxa"/>
            <w:tcBorders>
              <w:bottom w:val="single" w:sz="2" w:space="0" w:color="000000"/>
            </w:tcBorders>
            <w:shd w:val="clear" w:color="auto" w:fill="auto"/>
            <w:tcMar>
              <w:top w:w="20" w:type="dxa"/>
              <w:left w:w="20" w:type="dxa"/>
              <w:bottom w:w="20" w:type="dxa"/>
              <w:right w:w="20" w:type="dxa"/>
            </w:tcMar>
          </w:tcPr>
          <w:p w14:paraId="4A7FC52D" w14:textId="77777777" w:rsidR="00EC7BD0" w:rsidRPr="00D271FE" w:rsidRDefault="000348EB" w:rsidP="000348EB">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5</w:t>
            </w:r>
            <w:r w:rsidR="00EC7BD0" w:rsidRPr="00D271FE">
              <w:rPr>
                <w:rFonts w:ascii="Verdana" w:eastAsia="Verdana" w:hAnsi="Verdana" w:cs="Verdana"/>
                <w:color w:val="000000"/>
                <w:sz w:val="16"/>
                <w:lang w:val="en-GB"/>
              </w:rPr>
              <w:t>,4</w:t>
            </w:r>
            <w:r w:rsidRPr="00D271FE">
              <w:rPr>
                <w:rFonts w:ascii="Verdana" w:eastAsia="Verdana" w:hAnsi="Verdana" w:cs="Verdana"/>
                <w:color w:val="000000"/>
                <w:sz w:val="16"/>
                <w:lang w:val="en-GB"/>
              </w:rPr>
              <w:t>26</w:t>
            </w:r>
          </w:p>
        </w:tc>
        <w:tc>
          <w:tcPr>
            <w:tcW w:w="1222" w:type="dxa"/>
            <w:tcBorders>
              <w:bottom w:val="single" w:sz="2" w:space="0" w:color="000000"/>
            </w:tcBorders>
            <w:shd w:val="clear" w:color="auto" w:fill="auto"/>
            <w:tcMar>
              <w:top w:w="20" w:type="dxa"/>
              <w:left w:w="20" w:type="dxa"/>
              <w:bottom w:w="20" w:type="dxa"/>
              <w:right w:w="20" w:type="dxa"/>
            </w:tcMar>
          </w:tcPr>
          <w:p w14:paraId="22BC357A"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tcBorders>
              <w:bottom w:val="single" w:sz="2" w:space="0" w:color="000000"/>
            </w:tcBorders>
            <w:shd w:val="clear" w:color="auto" w:fill="auto"/>
            <w:tcMar>
              <w:top w:w="20" w:type="dxa"/>
              <w:left w:w="20" w:type="dxa"/>
              <w:bottom w:w="20" w:type="dxa"/>
              <w:right w:w="20" w:type="dxa"/>
            </w:tcMar>
          </w:tcPr>
          <w:p w14:paraId="295C52E7"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tcBorders>
              <w:bottom w:val="single" w:sz="2" w:space="0" w:color="000000"/>
            </w:tcBorders>
            <w:shd w:val="clear" w:color="auto" w:fill="auto"/>
            <w:tcMar>
              <w:top w:w="20" w:type="dxa"/>
              <w:left w:w="20" w:type="dxa"/>
              <w:bottom w:w="20" w:type="dxa"/>
              <w:right w:w="20" w:type="dxa"/>
            </w:tcMar>
          </w:tcPr>
          <w:p w14:paraId="55E529A1" w14:textId="77777777" w:rsidR="00EC7BD0" w:rsidRPr="00D271FE" w:rsidRDefault="00EC7BD0" w:rsidP="00166DD6">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w:t>
            </w:r>
            <w:r w:rsidR="00166DD6" w:rsidRPr="00D271FE">
              <w:rPr>
                <w:rFonts w:ascii="Verdana" w:eastAsia="Verdana" w:hAnsi="Verdana" w:cs="Verdana"/>
                <w:color w:val="000000"/>
                <w:sz w:val="16"/>
                <w:lang w:val="en-GB"/>
              </w:rPr>
              <w:t>5</w:t>
            </w:r>
            <w:r w:rsidRPr="00D271FE">
              <w:rPr>
                <w:rFonts w:ascii="Verdana" w:eastAsia="Verdana" w:hAnsi="Verdana" w:cs="Verdana"/>
                <w:color w:val="000000"/>
                <w:sz w:val="16"/>
                <w:lang w:val="en-GB"/>
              </w:rPr>
              <w:t>,4</w:t>
            </w:r>
            <w:r w:rsidR="00166DD6" w:rsidRPr="00D271FE">
              <w:rPr>
                <w:rFonts w:ascii="Verdana" w:eastAsia="Verdana" w:hAnsi="Verdana" w:cs="Verdana"/>
                <w:color w:val="000000"/>
                <w:sz w:val="16"/>
                <w:lang w:val="en-GB"/>
              </w:rPr>
              <w:t>26</w:t>
            </w:r>
            <w:r w:rsidRPr="00D271FE">
              <w:rPr>
                <w:rFonts w:ascii="Verdana" w:eastAsia="Verdana" w:hAnsi="Verdana" w:cs="Verdana"/>
                <w:color w:val="000000"/>
                <w:sz w:val="16"/>
                <w:lang w:val="en-GB"/>
              </w:rPr>
              <w:t>)</w:t>
            </w:r>
          </w:p>
        </w:tc>
      </w:tr>
      <w:tr w:rsidR="00EC7BD0" w:rsidRPr="00D271FE" w14:paraId="2E51EF15" w14:textId="77777777" w:rsidTr="001115A3">
        <w:trPr>
          <w:trHeight w:val="134"/>
          <w:jc w:val="center"/>
        </w:trPr>
        <w:tc>
          <w:tcPr>
            <w:tcW w:w="7216" w:type="dxa"/>
            <w:shd w:val="clear" w:color="auto" w:fill="auto"/>
            <w:tcMar>
              <w:top w:w="20" w:type="dxa"/>
              <w:left w:w="20" w:type="dxa"/>
              <w:bottom w:w="20" w:type="dxa"/>
              <w:right w:w="20" w:type="dxa"/>
            </w:tcMar>
          </w:tcPr>
          <w:p w14:paraId="2D8E3767" w14:textId="77777777" w:rsidR="00EC7BD0" w:rsidRPr="00FB5015" w:rsidRDefault="00EC7BD0" w:rsidP="00EC7BD0">
            <w:pPr>
              <w:pStyle w:val="T1TableStyle"/>
              <w:rPr>
                <w:rFonts w:ascii="Verdana" w:eastAsia="Verdana" w:hAnsi="Verdana" w:cs="Verdana"/>
                <w:b/>
                <w:color w:val="000000"/>
                <w:sz w:val="16"/>
                <w:lang w:val="en-GB"/>
              </w:rPr>
            </w:pPr>
            <w:r w:rsidRPr="00FB5015">
              <w:rPr>
                <w:rFonts w:ascii="Verdana" w:eastAsia="Verdana" w:hAnsi="Verdana" w:cs="Verdana"/>
                <w:b/>
                <w:color w:val="000000"/>
                <w:sz w:val="16"/>
                <w:lang w:val="en-GB"/>
              </w:rPr>
              <w:t>Total Adjustments between Revenue and Capital Resources</w:t>
            </w:r>
          </w:p>
        </w:tc>
        <w:tc>
          <w:tcPr>
            <w:tcW w:w="1222" w:type="dxa"/>
            <w:shd w:val="clear" w:color="auto" w:fill="auto"/>
            <w:tcMar>
              <w:top w:w="20" w:type="dxa"/>
              <w:left w:w="20" w:type="dxa"/>
              <w:bottom w:w="20" w:type="dxa"/>
              <w:right w:w="20" w:type="dxa"/>
            </w:tcMar>
          </w:tcPr>
          <w:p w14:paraId="43F03319" w14:textId="77777777" w:rsidR="00EC7BD0" w:rsidRPr="00FB5015" w:rsidRDefault="00166DD6" w:rsidP="00166DD6">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7</w:t>
            </w:r>
            <w:r w:rsidR="00EC7BD0" w:rsidRPr="00FB5015">
              <w:rPr>
                <w:rFonts w:ascii="Verdana" w:eastAsia="Verdana" w:hAnsi="Verdana" w:cs="Verdana"/>
                <w:b/>
                <w:color w:val="000000"/>
                <w:sz w:val="16"/>
                <w:lang w:val="en-GB"/>
              </w:rPr>
              <w:t>,</w:t>
            </w:r>
            <w:r w:rsidRPr="00FB5015">
              <w:rPr>
                <w:rFonts w:ascii="Verdana" w:eastAsia="Verdana" w:hAnsi="Verdana" w:cs="Verdana"/>
                <w:b/>
                <w:color w:val="000000"/>
                <w:sz w:val="16"/>
                <w:lang w:val="en-GB"/>
              </w:rPr>
              <w:t>260</w:t>
            </w:r>
          </w:p>
        </w:tc>
        <w:tc>
          <w:tcPr>
            <w:tcW w:w="1222" w:type="dxa"/>
            <w:shd w:val="clear" w:color="auto" w:fill="auto"/>
            <w:tcMar>
              <w:top w:w="20" w:type="dxa"/>
              <w:left w:w="20" w:type="dxa"/>
              <w:bottom w:w="20" w:type="dxa"/>
              <w:right w:w="20" w:type="dxa"/>
            </w:tcMar>
          </w:tcPr>
          <w:p w14:paraId="70E52743" w14:textId="77777777" w:rsidR="00EC7BD0" w:rsidRPr="00FB5015" w:rsidRDefault="00EC7BD0" w:rsidP="00166DD6">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w:t>
            </w:r>
            <w:r w:rsidR="00166DD6" w:rsidRPr="00FB5015">
              <w:rPr>
                <w:rFonts w:ascii="Verdana" w:eastAsia="Verdana" w:hAnsi="Verdana" w:cs="Verdana"/>
                <w:b/>
                <w:color w:val="000000"/>
                <w:sz w:val="16"/>
                <w:lang w:val="en-GB"/>
              </w:rPr>
              <w:t>467</w:t>
            </w:r>
            <w:r w:rsidRPr="00FB5015">
              <w:rPr>
                <w:rFonts w:ascii="Verdana" w:eastAsia="Verdana" w:hAnsi="Verdana" w:cs="Verdana"/>
                <w:b/>
                <w:color w:val="000000"/>
                <w:sz w:val="16"/>
                <w:lang w:val="en-GB"/>
              </w:rPr>
              <w:t>)</w:t>
            </w:r>
          </w:p>
        </w:tc>
        <w:tc>
          <w:tcPr>
            <w:tcW w:w="1222" w:type="dxa"/>
            <w:shd w:val="clear" w:color="auto" w:fill="auto"/>
            <w:tcMar>
              <w:top w:w="20" w:type="dxa"/>
              <w:left w:w="20" w:type="dxa"/>
              <w:bottom w:w="20" w:type="dxa"/>
              <w:right w:w="20" w:type="dxa"/>
            </w:tcMar>
          </w:tcPr>
          <w:p w14:paraId="222025BC" w14:textId="77777777" w:rsidR="00EC7BD0" w:rsidRPr="00FB5015" w:rsidRDefault="00EC7BD0" w:rsidP="00EC7BD0">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0</w:t>
            </w:r>
          </w:p>
        </w:tc>
        <w:tc>
          <w:tcPr>
            <w:tcW w:w="1222" w:type="dxa"/>
            <w:shd w:val="clear" w:color="auto" w:fill="auto"/>
            <w:tcMar>
              <w:top w:w="20" w:type="dxa"/>
              <w:left w:w="20" w:type="dxa"/>
              <w:bottom w:w="20" w:type="dxa"/>
              <w:right w:w="20" w:type="dxa"/>
            </w:tcMar>
          </w:tcPr>
          <w:p w14:paraId="46546275" w14:textId="77777777" w:rsidR="00EC7BD0" w:rsidRPr="00FB5015" w:rsidRDefault="00EC7BD0" w:rsidP="00166DD6">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w:t>
            </w:r>
            <w:r w:rsidR="00166DD6" w:rsidRPr="00FB5015">
              <w:rPr>
                <w:rFonts w:ascii="Verdana" w:eastAsia="Verdana" w:hAnsi="Verdana" w:cs="Verdana"/>
                <w:b/>
                <w:color w:val="000000"/>
                <w:sz w:val="16"/>
                <w:lang w:val="en-GB"/>
              </w:rPr>
              <w:t>6</w:t>
            </w:r>
            <w:r w:rsidRPr="00FB5015">
              <w:rPr>
                <w:rFonts w:ascii="Verdana" w:eastAsia="Verdana" w:hAnsi="Verdana" w:cs="Verdana"/>
                <w:b/>
                <w:color w:val="000000"/>
                <w:sz w:val="16"/>
                <w:lang w:val="en-GB"/>
              </w:rPr>
              <w:t>,</w:t>
            </w:r>
            <w:r w:rsidR="00166DD6" w:rsidRPr="00FB5015">
              <w:rPr>
                <w:rFonts w:ascii="Verdana" w:eastAsia="Verdana" w:hAnsi="Verdana" w:cs="Verdana"/>
                <w:b/>
                <w:color w:val="000000"/>
                <w:sz w:val="16"/>
                <w:lang w:val="en-GB"/>
              </w:rPr>
              <w:t>793</w:t>
            </w:r>
            <w:r w:rsidRPr="00FB5015">
              <w:rPr>
                <w:rFonts w:ascii="Verdana" w:eastAsia="Verdana" w:hAnsi="Verdana" w:cs="Verdana"/>
                <w:b/>
                <w:color w:val="000000"/>
                <w:sz w:val="16"/>
                <w:lang w:val="en-GB"/>
              </w:rPr>
              <w:t>)</w:t>
            </w:r>
          </w:p>
        </w:tc>
      </w:tr>
      <w:tr w:rsidR="00EC7BD0" w:rsidRPr="00D271FE" w14:paraId="5D81BB64" w14:textId="77777777" w:rsidTr="001115A3">
        <w:trPr>
          <w:trHeight w:hRule="exact" w:val="79"/>
          <w:jc w:val="center"/>
        </w:trPr>
        <w:tc>
          <w:tcPr>
            <w:tcW w:w="7216" w:type="dxa"/>
            <w:shd w:val="clear" w:color="auto" w:fill="auto"/>
            <w:tcMar>
              <w:top w:w="20" w:type="dxa"/>
              <w:left w:w="20" w:type="dxa"/>
              <w:bottom w:w="20" w:type="dxa"/>
              <w:right w:w="20" w:type="dxa"/>
            </w:tcMar>
          </w:tcPr>
          <w:p w14:paraId="184DC489"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7A796F51"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1FB0756E"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4F95D24E"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41B1CFE7"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r>
      <w:tr w:rsidR="00EC7BD0" w:rsidRPr="00D271FE" w14:paraId="3302F77B" w14:textId="77777777" w:rsidTr="001115A3">
        <w:trPr>
          <w:trHeight w:val="134"/>
          <w:jc w:val="center"/>
        </w:trPr>
        <w:tc>
          <w:tcPr>
            <w:tcW w:w="7216" w:type="dxa"/>
            <w:shd w:val="clear" w:color="auto" w:fill="auto"/>
            <w:tcMar>
              <w:top w:w="20" w:type="dxa"/>
              <w:left w:w="20" w:type="dxa"/>
              <w:bottom w:w="20" w:type="dxa"/>
              <w:right w:w="20" w:type="dxa"/>
            </w:tcMar>
          </w:tcPr>
          <w:p w14:paraId="54FEC970" w14:textId="77777777" w:rsidR="00EC7BD0" w:rsidRPr="00D271FE" w:rsidRDefault="00EC7BD0" w:rsidP="00EC7BD0">
            <w:pPr>
              <w:pStyle w:val="T1TableStyle"/>
              <w:rPr>
                <w:rFonts w:ascii="Verdana" w:eastAsia="Verdana" w:hAnsi="Verdana" w:cs="Verdana"/>
                <w:color w:val="000000"/>
                <w:sz w:val="16"/>
                <w:lang w:val="en-GB"/>
              </w:rPr>
            </w:pPr>
            <w:r w:rsidRPr="00D271FE">
              <w:rPr>
                <w:rFonts w:ascii="Verdana" w:eastAsia="Verdana" w:hAnsi="Verdana" w:cs="Verdana"/>
                <w:color w:val="000000"/>
                <w:sz w:val="16"/>
                <w:lang w:val="en-GB"/>
              </w:rPr>
              <w:t>Adjustments to Capital Resources</w:t>
            </w:r>
          </w:p>
        </w:tc>
        <w:tc>
          <w:tcPr>
            <w:tcW w:w="1222" w:type="dxa"/>
            <w:shd w:val="clear" w:color="auto" w:fill="auto"/>
            <w:tcMar>
              <w:top w:w="20" w:type="dxa"/>
              <w:left w:w="20" w:type="dxa"/>
              <w:bottom w:w="20" w:type="dxa"/>
              <w:right w:w="20" w:type="dxa"/>
            </w:tcMar>
          </w:tcPr>
          <w:p w14:paraId="4D82ACEC"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2930AE68"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4B9F88FF"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425787D6"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r>
      <w:tr w:rsidR="00EC7BD0" w:rsidRPr="00D271FE" w14:paraId="2BD82EA7" w14:textId="77777777" w:rsidTr="001115A3">
        <w:trPr>
          <w:trHeight w:val="134"/>
          <w:jc w:val="center"/>
        </w:trPr>
        <w:tc>
          <w:tcPr>
            <w:tcW w:w="7216" w:type="dxa"/>
            <w:shd w:val="clear" w:color="auto" w:fill="auto"/>
            <w:tcMar>
              <w:top w:w="20" w:type="dxa"/>
              <w:left w:w="20" w:type="dxa"/>
              <w:bottom w:w="20" w:type="dxa"/>
              <w:right w:w="20" w:type="dxa"/>
            </w:tcMar>
          </w:tcPr>
          <w:p w14:paraId="13DD0240" w14:textId="77777777" w:rsidR="00EC7BD0" w:rsidRPr="00D271FE" w:rsidRDefault="00EC7BD0" w:rsidP="00EC7BD0">
            <w:pPr>
              <w:pStyle w:val="T1TableStyle"/>
              <w:rPr>
                <w:rFonts w:ascii="Verdana" w:eastAsia="Verdana" w:hAnsi="Verdana" w:cs="Verdana"/>
                <w:color w:val="000000"/>
                <w:sz w:val="16"/>
                <w:lang w:val="en-GB"/>
              </w:rPr>
            </w:pPr>
            <w:r w:rsidRPr="00D271FE">
              <w:rPr>
                <w:rFonts w:ascii="Verdana" w:eastAsia="Verdana" w:hAnsi="Verdana" w:cs="Verdana"/>
                <w:color w:val="000000"/>
                <w:sz w:val="16"/>
                <w:lang w:val="en-GB"/>
              </w:rPr>
              <w:t>Use of the Capital Receipts Reserve to finance capital expenditure</w:t>
            </w:r>
          </w:p>
        </w:tc>
        <w:tc>
          <w:tcPr>
            <w:tcW w:w="1222" w:type="dxa"/>
            <w:shd w:val="clear" w:color="auto" w:fill="auto"/>
            <w:tcMar>
              <w:top w:w="20" w:type="dxa"/>
              <w:left w:w="20" w:type="dxa"/>
              <w:bottom w:w="20" w:type="dxa"/>
              <w:right w:w="20" w:type="dxa"/>
            </w:tcMar>
          </w:tcPr>
          <w:p w14:paraId="20AC1F8D"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064336F3" w14:textId="77777777" w:rsidR="00EC7BD0" w:rsidRPr="00D271FE" w:rsidRDefault="00166DD6" w:rsidP="00166DD6">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4</w:t>
            </w:r>
            <w:r w:rsidR="00EC7BD0" w:rsidRPr="00D271FE">
              <w:rPr>
                <w:rFonts w:ascii="Verdana" w:eastAsia="Verdana" w:hAnsi="Verdana" w:cs="Verdana"/>
                <w:color w:val="000000"/>
                <w:sz w:val="16"/>
                <w:lang w:val="en-GB"/>
              </w:rPr>
              <w:t>,</w:t>
            </w:r>
            <w:r w:rsidRPr="00D271FE">
              <w:rPr>
                <w:rFonts w:ascii="Verdana" w:eastAsia="Verdana" w:hAnsi="Verdana" w:cs="Verdana"/>
                <w:color w:val="000000"/>
                <w:sz w:val="16"/>
                <w:lang w:val="en-GB"/>
              </w:rPr>
              <w:t>266</w:t>
            </w:r>
          </w:p>
        </w:tc>
        <w:tc>
          <w:tcPr>
            <w:tcW w:w="1222" w:type="dxa"/>
            <w:shd w:val="clear" w:color="auto" w:fill="auto"/>
            <w:tcMar>
              <w:top w:w="20" w:type="dxa"/>
              <w:left w:w="20" w:type="dxa"/>
              <w:bottom w:w="20" w:type="dxa"/>
              <w:right w:w="20" w:type="dxa"/>
            </w:tcMar>
          </w:tcPr>
          <w:p w14:paraId="5B9FA9C5"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1740CBD3" w14:textId="77777777" w:rsidR="00EC7BD0" w:rsidRPr="00D271FE" w:rsidRDefault="00EC7BD0" w:rsidP="00166DD6">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w:t>
            </w:r>
            <w:r w:rsidR="00166DD6" w:rsidRPr="00D271FE">
              <w:rPr>
                <w:rFonts w:ascii="Verdana" w:eastAsia="Verdana" w:hAnsi="Verdana" w:cs="Verdana"/>
                <w:color w:val="000000"/>
                <w:sz w:val="16"/>
                <w:lang w:val="en-GB"/>
              </w:rPr>
              <w:t>4</w:t>
            </w:r>
            <w:r w:rsidRPr="00D271FE">
              <w:rPr>
                <w:rFonts w:ascii="Verdana" w:eastAsia="Verdana" w:hAnsi="Verdana" w:cs="Verdana"/>
                <w:color w:val="000000"/>
                <w:sz w:val="16"/>
                <w:lang w:val="en-GB"/>
              </w:rPr>
              <w:t>,</w:t>
            </w:r>
            <w:r w:rsidR="00166DD6" w:rsidRPr="00D271FE">
              <w:rPr>
                <w:rFonts w:ascii="Verdana" w:eastAsia="Verdana" w:hAnsi="Verdana" w:cs="Verdana"/>
                <w:color w:val="000000"/>
                <w:sz w:val="16"/>
                <w:lang w:val="en-GB"/>
              </w:rPr>
              <w:t>266</w:t>
            </w:r>
            <w:r w:rsidRPr="00D271FE">
              <w:rPr>
                <w:rFonts w:ascii="Verdana" w:eastAsia="Verdana" w:hAnsi="Verdana" w:cs="Verdana"/>
                <w:color w:val="000000"/>
                <w:sz w:val="16"/>
                <w:lang w:val="en-GB"/>
              </w:rPr>
              <w:t>)</w:t>
            </w:r>
          </w:p>
        </w:tc>
      </w:tr>
      <w:tr w:rsidR="00EC7BD0" w:rsidRPr="00D271FE" w14:paraId="7E79151A" w14:textId="77777777" w:rsidTr="001115A3">
        <w:trPr>
          <w:trHeight w:val="134"/>
          <w:jc w:val="center"/>
        </w:trPr>
        <w:tc>
          <w:tcPr>
            <w:tcW w:w="7216" w:type="dxa"/>
            <w:shd w:val="clear" w:color="auto" w:fill="auto"/>
            <w:tcMar>
              <w:top w:w="20" w:type="dxa"/>
              <w:left w:w="20" w:type="dxa"/>
              <w:bottom w:w="20" w:type="dxa"/>
              <w:right w:w="20" w:type="dxa"/>
            </w:tcMar>
          </w:tcPr>
          <w:p w14:paraId="1F827DB5" w14:textId="77777777" w:rsidR="00EC7BD0" w:rsidRPr="00D271FE" w:rsidRDefault="00EC7BD0" w:rsidP="00EC7BD0">
            <w:pPr>
              <w:pStyle w:val="T1TableStyle"/>
              <w:rPr>
                <w:rFonts w:ascii="Verdana" w:eastAsia="Verdana" w:hAnsi="Verdana" w:cs="Verdana"/>
                <w:color w:val="000000"/>
                <w:sz w:val="16"/>
                <w:lang w:val="en-GB"/>
              </w:rPr>
            </w:pPr>
            <w:r w:rsidRPr="00D271FE">
              <w:rPr>
                <w:rFonts w:ascii="Verdana" w:eastAsia="Verdana" w:hAnsi="Verdana" w:cs="Verdana"/>
                <w:color w:val="000000"/>
                <w:sz w:val="16"/>
                <w:lang w:val="en-GB"/>
              </w:rPr>
              <w:t>Application of capital grants to finance capital expenditure</w:t>
            </w:r>
          </w:p>
        </w:tc>
        <w:tc>
          <w:tcPr>
            <w:tcW w:w="1222" w:type="dxa"/>
            <w:shd w:val="clear" w:color="auto" w:fill="auto"/>
            <w:tcMar>
              <w:top w:w="20" w:type="dxa"/>
              <w:left w:w="20" w:type="dxa"/>
              <w:bottom w:w="20" w:type="dxa"/>
              <w:right w:w="20" w:type="dxa"/>
            </w:tcMar>
          </w:tcPr>
          <w:p w14:paraId="6C1D55B4"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3C6DC923"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5ACA092C" w14:textId="77777777" w:rsidR="00EC7BD0" w:rsidRPr="00D271FE" w:rsidRDefault="00166DD6" w:rsidP="00EC7BD0">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645</w:t>
            </w:r>
          </w:p>
        </w:tc>
        <w:tc>
          <w:tcPr>
            <w:tcW w:w="1222" w:type="dxa"/>
            <w:shd w:val="clear" w:color="auto" w:fill="auto"/>
            <w:tcMar>
              <w:top w:w="20" w:type="dxa"/>
              <w:left w:w="20" w:type="dxa"/>
              <w:bottom w:w="20" w:type="dxa"/>
              <w:right w:w="20" w:type="dxa"/>
            </w:tcMar>
          </w:tcPr>
          <w:p w14:paraId="13CEC570" w14:textId="77777777" w:rsidR="00EC7BD0" w:rsidRPr="00D271FE" w:rsidRDefault="00EC7BD0" w:rsidP="00166DD6">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w:t>
            </w:r>
            <w:r w:rsidR="00166DD6" w:rsidRPr="00D271FE">
              <w:rPr>
                <w:rFonts w:ascii="Verdana" w:eastAsia="Verdana" w:hAnsi="Verdana" w:cs="Verdana"/>
                <w:color w:val="000000"/>
                <w:sz w:val="16"/>
                <w:lang w:val="en-GB"/>
              </w:rPr>
              <w:t>645</w:t>
            </w:r>
            <w:r w:rsidRPr="00D271FE">
              <w:rPr>
                <w:rFonts w:ascii="Verdana" w:eastAsia="Verdana" w:hAnsi="Verdana" w:cs="Verdana"/>
                <w:color w:val="000000"/>
                <w:sz w:val="16"/>
                <w:lang w:val="en-GB"/>
              </w:rPr>
              <w:t>)</w:t>
            </w:r>
          </w:p>
        </w:tc>
      </w:tr>
      <w:tr w:rsidR="00EC7BD0" w:rsidRPr="00D271FE" w14:paraId="25C101B9" w14:textId="77777777" w:rsidTr="001115A3">
        <w:trPr>
          <w:trHeight w:val="134"/>
          <w:jc w:val="center"/>
        </w:trPr>
        <w:tc>
          <w:tcPr>
            <w:tcW w:w="7216" w:type="dxa"/>
            <w:tcBorders>
              <w:top w:val="single" w:sz="2" w:space="0" w:color="000000"/>
            </w:tcBorders>
            <w:shd w:val="clear" w:color="auto" w:fill="auto"/>
            <w:tcMar>
              <w:top w:w="20" w:type="dxa"/>
              <w:left w:w="20" w:type="dxa"/>
              <w:bottom w:w="20" w:type="dxa"/>
              <w:right w:w="20" w:type="dxa"/>
            </w:tcMar>
          </w:tcPr>
          <w:p w14:paraId="062B883A" w14:textId="77777777" w:rsidR="00EC7BD0" w:rsidRPr="00FB5015" w:rsidRDefault="00EC7BD0" w:rsidP="00EC7BD0">
            <w:pPr>
              <w:pStyle w:val="T1TableStyle"/>
              <w:rPr>
                <w:rFonts w:ascii="Verdana" w:eastAsia="Verdana" w:hAnsi="Verdana" w:cs="Verdana"/>
                <w:b/>
                <w:color w:val="000000"/>
                <w:sz w:val="16"/>
                <w:lang w:val="en-GB"/>
              </w:rPr>
            </w:pPr>
            <w:r w:rsidRPr="00FB5015">
              <w:rPr>
                <w:rFonts w:ascii="Verdana" w:eastAsia="Verdana" w:hAnsi="Verdana" w:cs="Verdana"/>
                <w:b/>
                <w:color w:val="000000"/>
                <w:sz w:val="16"/>
                <w:lang w:val="en-GB"/>
              </w:rPr>
              <w:t>Total Adjustments to Capital Resources</w:t>
            </w:r>
          </w:p>
        </w:tc>
        <w:tc>
          <w:tcPr>
            <w:tcW w:w="1222" w:type="dxa"/>
            <w:tcBorders>
              <w:top w:val="single" w:sz="2" w:space="0" w:color="000000"/>
            </w:tcBorders>
            <w:shd w:val="clear" w:color="auto" w:fill="auto"/>
            <w:tcMar>
              <w:top w:w="20" w:type="dxa"/>
              <w:left w:w="20" w:type="dxa"/>
              <w:bottom w:w="20" w:type="dxa"/>
              <w:right w:w="20" w:type="dxa"/>
            </w:tcMar>
          </w:tcPr>
          <w:p w14:paraId="4F15BD43" w14:textId="77777777" w:rsidR="00EC7BD0" w:rsidRPr="00FB5015" w:rsidRDefault="00EC7BD0" w:rsidP="00EC7BD0">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0</w:t>
            </w:r>
          </w:p>
        </w:tc>
        <w:tc>
          <w:tcPr>
            <w:tcW w:w="1222" w:type="dxa"/>
            <w:tcBorders>
              <w:top w:val="single" w:sz="2" w:space="0" w:color="000000"/>
            </w:tcBorders>
            <w:shd w:val="clear" w:color="auto" w:fill="auto"/>
            <w:tcMar>
              <w:top w:w="20" w:type="dxa"/>
              <w:left w:w="20" w:type="dxa"/>
              <w:bottom w:w="20" w:type="dxa"/>
              <w:right w:w="20" w:type="dxa"/>
            </w:tcMar>
          </w:tcPr>
          <w:p w14:paraId="100A82EB" w14:textId="77777777" w:rsidR="00EC7BD0" w:rsidRPr="00FB5015" w:rsidRDefault="00166DD6" w:rsidP="00166DD6">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4</w:t>
            </w:r>
            <w:r w:rsidR="00EC7BD0" w:rsidRPr="00FB5015">
              <w:rPr>
                <w:rFonts w:ascii="Verdana" w:eastAsia="Verdana" w:hAnsi="Verdana" w:cs="Verdana"/>
                <w:b/>
                <w:color w:val="000000"/>
                <w:sz w:val="16"/>
                <w:lang w:val="en-GB"/>
              </w:rPr>
              <w:t>,</w:t>
            </w:r>
            <w:r w:rsidRPr="00FB5015">
              <w:rPr>
                <w:rFonts w:ascii="Verdana" w:eastAsia="Verdana" w:hAnsi="Verdana" w:cs="Verdana"/>
                <w:b/>
                <w:color w:val="000000"/>
                <w:sz w:val="16"/>
                <w:lang w:val="en-GB"/>
              </w:rPr>
              <w:t>266</w:t>
            </w:r>
          </w:p>
        </w:tc>
        <w:tc>
          <w:tcPr>
            <w:tcW w:w="1222" w:type="dxa"/>
            <w:tcBorders>
              <w:top w:val="single" w:sz="2" w:space="0" w:color="000000"/>
            </w:tcBorders>
            <w:shd w:val="clear" w:color="auto" w:fill="auto"/>
            <w:tcMar>
              <w:top w:w="20" w:type="dxa"/>
              <w:left w:w="20" w:type="dxa"/>
              <w:bottom w:w="20" w:type="dxa"/>
              <w:right w:w="20" w:type="dxa"/>
            </w:tcMar>
          </w:tcPr>
          <w:p w14:paraId="7E4D2119" w14:textId="77777777" w:rsidR="00EC7BD0" w:rsidRPr="00FB5015" w:rsidRDefault="00166DD6" w:rsidP="00EC7BD0">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645</w:t>
            </w:r>
          </w:p>
        </w:tc>
        <w:tc>
          <w:tcPr>
            <w:tcW w:w="1222" w:type="dxa"/>
            <w:tcBorders>
              <w:top w:val="single" w:sz="2" w:space="0" w:color="000000"/>
            </w:tcBorders>
            <w:shd w:val="clear" w:color="auto" w:fill="auto"/>
            <w:tcMar>
              <w:top w:w="20" w:type="dxa"/>
              <w:left w:w="20" w:type="dxa"/>
              <w:bottom w:w="20" w:type="dxa"/>
              <w:right w:w="20" w:type="dxa"/>
            </w:tcMar>
          </w:tcPr>
          <w:p w14:paraId="6FFBB0F8" w14:textId="77777777" w:rsidR="00EC7BD0" w:rsidRPr="00FB5015" w:rsidRDefault="00EC7BD0" w:rsidP="00166DD6">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w:t>
            </w:r>
            <w:r w:rsidR="00166DD6" w:rsidRPr="00FB5015">
              <w:rPr>
                <w:rFonts w:ascii="Verdana" w:eastAsia="Verdana" w:hAnsi="Verdana" w:cs="Verdana"/>
                <w:b/>
                <w:color w:val="000000"/>
                <w:sz w:val="16"/>
                <w:lang w:val="en-GB"/>
              </w:rPr>
              <w:t>4</w:t>
            </w:r>
            <w:r w:rsidRPr="00FB5015">
              <w:rPr>
                <w:rFonts w:ascii="Verdana" w:eastAsia="Verdana" w:hAnsi="Verdana" w:cs="Verdana"/>
                <w:b/>
                <w:color w:val="000000"/>
                <w:sz w:val="16"/>
                <w:lang w:val="en-GB"/>
              </w:rPr>
              <w:t>,</w:t>
            </w:r>
            <w:r w:rsidR="00166DD6" w:rsidRPr="00FB5015">
              <w:rPr>
                <w:rFonts w:ascii="Verdana" w:eastAsia="Verdana" w:hAnsi="Verdana" w:cs="Verdana"/>
                <w:b/>
                <w:color w:val="000000"/>
                <w:sz w:val="16"/>
                <w:lang w:val="en-GB"/>
              </w:rPr>
              <w:t>911</w:t>
            </w:r>
            <w:r w:rsidRPr="00FB5015">
              <w:rPr>
                <w:rFonts w:ascii="Verdana" w:eastAsia="Verdana" w:hAnsi="Verdana" w:cs="Verdana"/>
                <w:b/>
                <w:color w:val="000000"/>
                <w:sz w:val="16"/>
                <w:lang w:val="en-GB"/>
              </w:rPr>
              <w:t>)</w:t>
            </w:r>
          </w:p>
        </w:tc>
      </w:tr>
      <w:tr w:rsidR="00EC7BD0" w:rsidRPr="00D271FE" w14:paraId="16F10A52" w14:textId="77777777" w:rsidTr="001115A3">
        <w:trPr>
          <w:trHeight w:hRule="exact" w:val="79"/>
          <w:jc w:val="center"/>
        </w:trPr>
        <w:tc>
          <w:tcPr>
            <w:tcW w:w="7216" w:type="dxa"/>
            <w:shd w:val="clear" w:color="auto" w:fill="auto"/>
            <w:tcMar>
              <w:top w:w="20" w:type="dxa"/>
              <w:left w:w="20" w:type="dxa"/>
              <w:bottom w:w="20" w:type="dxa"/>
              <w:right w:w="20" w:type="dxa"/>
            </w:tcMar>
          </w:tcPr>
          <w:p w14:paraId="786BD1C6"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5B5B8247"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60A1C69E"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394D79A9"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6C410F33"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r>
      <w:tr w:rsidR="00EC7BD0" w:rsidRPr="00D271FE" w14:paraId="154AEDDD" w14:textId="77777777" w:rsidTr="001115A3">
        <w:trPr>
          <w:trHeight w:val="134"/>
          <w:jc w:val="center"/>
        </w:trPr>
        <w:tc>
          <w:tcPr>
            <w:tcW w:w="7216" w:type="dxa"/>
            <w:shd w:val="clear" w:color="auto" w:fill="auto"/>
            <w:tcMar>
              <w:top w:w="20" w:type="dxa"/>
              <w:left w:w="20" w:type="dxa"/>
              <w:bottom w:w="20" w:type="dxa"/>
              <w:right w:w="20" w:type="dxa"/>
            </w:tcMar>
          </w:tcPr>
          <w:p w14:paraId="3825A9C1" w14:textId="77777777" w:rsidR="00EC7BD0" w:rsidRPr="00D271FE" w:rsidRDefault="00EC7BD0" w:rsidP="00EC7BD0">
            <w:pPr>
              <w:pStyle w:val="T1TableStyle"/>
              <w:rPr>
                <w:rFonts w:ascii="Verdana" w:eastAsia="Verdana" w:hAnsi="Verdana" w:cs="Verdana"/>
                <w:color w:val="000000"/>
                <w:sz w:val="16"/>
                <w:lang w:val="en-GB"/>
              </w:rPr>
            </w:pPr>
            <w:r w:rsidRPr="00D271FE">
              <w:rPr>
                <w:rFonts w:ascii="Verdana" w:eastAsia="Verdana" w:hAnsi="Verdana" w:cs="Verdana"/>
                <w:color w:val="000000"/>
                <w:sz w:val="16"/>
                <w:lang w:val="en-GB"/>
              </w:rPr>
              <w:t>Other adjustments</w:t>
            </w:r>
          </w:p>
        </w:tc>
        <w:tc>
          <w:tcPr>
            <w:tcW w:w="1222" w:type="dxa"/>
            <w:shd w:val="clear" w:color="auto" w:fill="auto"/>
            <w:tcMar>
              <w:top w:w="20" w:type="dxa"/>
              <w:left w:w="20" w:type="dxa"/>
              <w:bottom w:w="20" w:type="dxa"/>
              <w:right w:w="20" w:type="dxa"/>
            </w:tcMar>
          </w:tcPr>
          <w:p w14:paraId="17EE3346" w14:textId="114EF711" w:rsidR="00EC7BD0" w:rsidRPr="00D271FE" w:rsidRDefault="00166DD6" w:rsidP="00EC7BD0">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1</w:t>
            </w:r>
            <w:r w:rsidR="003D2EE8">
              <w:rPr>
                <w:rFonts w:ascii="Verdana" w:eastAsia="Verdana" w:hAnsi="Verdana" w:cs="Verdana"/>
                <w:color w:val="000000"/>
                <w:sz w:val="16"/>
                <w:lang w:val="en-GB"/>
              </w:rPr>
              <w:t>,</w:t>
            </w:r>
            <w:r w:rsidRPr="00D271FE">
              <w:rPr>
                <w:rFonts w:ascii="Verdana" w:eastAsia="Verdana" w:hAnsi="Verdana" w:cs="Verdana"/>
                <w:color w:val="000000"/>
                <w:sz w:val="16"/>
                <w:lang w:val="en-GB"/>
              </w:rPr>
              <w:t>060</w:t>
            </w:r>
          </w:p>
        </w:tc>
        <w:tc>
          <w:tcPr>
            <w:tcW w:w="1222" w:type="dxa"/>
            <w:shd w:val="clear" w:color="auto" w:fill="auto"/>
            <w:tcMar>
              <w:top w:w="20" w:type="dxa"/>
              <w:left w:w="20" w:type="dxa"/>
              <w:bottom w:w="20" w:type="dxa"/>
              <w:right w:w="20" w:type="dxa"/>
            </w:tcMar>
          </w:tcPr>
          <w:p w14:paraId="2831B5F6" w14:textId="77777777" w:rsidR="00EC7BD0" w:rsidRPr="00D271FE" w:rsidRDefault="00EC7BD0" w:rsidP="00EC7BD0">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0</w:t>
            </w:r>
          </w:p>
        </w:tc>
        <w:tc>
          <w:tcPr>
            <w:tcW w:w="1222" w:type="dxa"/>
            <w:shd w:val="clear" w:color="auto" w:fill="auto"/>
            <w:tcMar>
              <w:top w:w="20" w:type="dxa"/>
              <w:left w:w="20" w:type="dxa"/>
              <w:bottom w:w="20" w:type="dxa"/>
              <w:right w:w="20" w:type="dxa"/>
            </w:tcMar>
          </w:tcPr>
          <w:p w14:paraId="161E5452" w14:textId="356A075B" w:rsidR="00EC7BD0" w:rsidRPr="00D271FE" w:rsidRDefault="00166DD6" w:rsidP="008C46D4">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(1</w:t>
            </w:r>
            <w:r w:rsidR="00055B9A">
              <w:rPr>
                <w:rFonts w:ascii="Verdana" w:eastAsia="Verdana" w:hAnsi="Verdana" w:cs="Verdana"/>
                <w:color w:val="000000"/>
                <w:sz w:val="16"/>
                <w:lang w:val="en-GB"/>
              </w:rPr>
              <w:t>,</w:t>
            </w:r>
            <w:r w:rsidRPr="00D271FE">
              <w:rPr>
                <w:rFonts w:ascii="Verdana" w:eastAsia="Verdana" w:hAnsi="Verdana" w:cs="Verdana"/>
                <w:color w:val="000000"/>
                <w:sz w:val="16"/>
                <w:lang w:val="en-GB"/>
              </w:rPr>
              <w:t>629)</w:t>
            </w:r>
          </w:p>
        </w:tc>
        <w:tc>
          <w:tcPr>
            <w:tcW w:w="1222" w:type="dxa"/>
            <w:shd w:val="clear" w:color="auto" w:fill="auto"/>
            <w:tcMar>
              <w:top w:w="20" w:type="dxa"/>
              <w:left w:w="20" w:type="dxa"/>
              <w:bottom w:w="20" w:type="dxa"/>
              <w:right w:w="20" w:type="dxa"/>
            </w:tcMar>
          </w:tcPr>
          <w:p w14:paraId="249578E0" w14:textId="77777777" w:rsidR="00EC7BD0" w:rsidRPr="00D271FE" w:rsidRDefault="00166DD6" w:rsidP="00EC7BD0">
            <w:pPr>
              <w:pStyle w:val="T1TableStyle"/>
              <w:jc w:val="right"/>
              <w:rPr>
                <w:rFonts w:ascii="Verdana" w:eastAsia="Verdana" w:hAnsi="Verdana" w:cs="Verdana"/>
                <w:color w:val="000000"/>
                <w:sz w:val="16"/>
                <w:lang w:val="en-GB"/>
              </w:rPr>
            </w:pPr>
            <w:r w:rsidRPr="00D271FE">
              <w:rPr>
                <w:rFonts w:ascii="Verdana" w:eastAsia="Verdana" w:hAnsi="Verdana" w:cs="Verdana"/>
                <w:color w:val="000000"/>
                <w:sz w:val="16"/>
                <w:lang w:val="en-GB"/>
              </w:rPr>
              <w:t>569</w:t>
            </w:r>
          </w:p>
        </w:tc>
      </w:tr>
      <w:tr w:rsidR="00EC7BD0" w:rsidRPr="00D271FE" w14:paraId="2C3C1CAC" w14:textId="77777777" w:rsidTr="001115A3">
        <w:trPr>
          <w:trHeight w:hRule="exact" w:val="79"/>
          <w:jc w:val="center"/>
        </w:trPr>
        <w:tc>
          <w:tcPr>
            <w:tcW w:w="7216" w:type="dxa"/>
            <w:shd w:val="clear" w:color="auto" w:fill="auto"/>
            <w:tcMar>
              <w:top w:w="20" w:type="dxa"/>
              <w:left w:w="20" w:type="dxa"/>
              <w:bottom w:w="20" w:type="dxa"/>
              <w:right w:w="20" w:type="dxa"/>
            </w:tcMar>
          </w:tcPr>
          <w:p w14:paraId="7693EB82"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23BECB38"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6986F9E2"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7A2D4B6F"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c>
          <w:tcPr>
            <w:tcW w:w="1222" w:type="dxa"/>
            <w:shd w:val="clear" w:color="auto" w:fill="auto"/>
            <w:tcMar>
              <w:top w:w="20" w:type="dxa"/>
              <w:left w:w="20" w:type="dxa"/>
              <w:bottom w:w="20" w:type="dxa"/>
              <w:right w:w="20" w:type="dxa"/>
            </w:tcMar>
          </w:tcPr>
          <w:p w14:paraId="36B3D697" w14:textId="77777777" w:rsidR="00EC7BD0" w:rsidRPr="00D271FE" w:rsidRDefault="00EC7BD0" w:rsidP="00EC7BD0">
            <w:pPr>
              <w:pStyle w:val="T1TableStyle"/>
              <w:jc w:val="center"/>
              <w:rPr>
                <w:rFonts w:ascii="Verdana" w:eastAsia="Verdana" w:hAnsi="Verdana" w:cs="Verdana"/>
                <w:color w:val="000000"/>
                <w:sz w:val="2"/>
                <w:lang w:val="en-GB"/>
              </w:rPr>
            </w:pPr>
            <w:r w:rsidRPr="00D271FE">
              <w:rPr>
                <w:rFonts w:ascii="Verdana" w:eastAsia="Verdana" w:hAnsi="Verdana" w:cs="Verdana"/>
                <w:color w:val="000000"/>
                <w:sz w:val="2"/>
                <w:lang w:val="en-GB"/>
              </w:rPr>
              <w:t xml:space="preserve"> </w:t>
            </w:r>
          </w:p>
        </w:tc>
      </w:tr>
      <w:tr w:rsidR="00EC7BD0" w:rsidRPr="003516A4" w14:paraId="67EE8353" w14:textId="77777777" w:rsidTr="001115A3">
        <w:trPr>
          <w:trHeight w:val="134"/>
          <w:jc w:val="center"/>
        </w:trPr>
        <w:tc>
          <w:tcPr>
            <w:tcW w:w="7216" w:type="dxa"/>
            <w:tcBorders>
              <w:top w:val="single" w:sz="2" w:space="0" w:color="000000"/>
              <w:bottom w:val="single" w:sz="12" w:space="0" w:color="000000"/>
            </w:tcBorders>
            <w:shd w:val="clear" w:color="auto" w:fill="auto"/>
            <w:tcMar>
              <w:top w:w="20" w:type="dxa"/>
              <w:left w:w="20" w:type="dxa"/>
              <w:bottom w:w="20" w:type="dxa"/>
              <w:right w:w="20" w:type="dxa"/>
            </w:tcMar>
          </w:tcPr>
          <w:p w14:paraId="1924C6B5" w14:textId="77777777" w:rsidR="00EC7BD0" w:rsidRPr="00D271FE" w:rsidRDefault="00EC7BD0" w:rsidP="00EC7BD0">
            <w:pPr>
              <w:pStyle w:val="T1TableStyle"/>
              <w:rPr>
                <w:rFonts w:ascii="Verdana" w:eastAsia="Verdana" w:hAnsi="Verdana" w:cs="Verdana"/>
                <w:b/>
                <w:color w:val="000000"/>
                <w:sz w:val="16"/>
                <w:lang w:val="en-GB"/>
              </w:rPr>
            </w:pPr>
            <w:r w:rsidRPr="00D271FE">
              <w:rPr>
                <w:rFonts w:ascii="Verdana" w:eastAsia="Verdana" w:hAnsi="Verdana" w:cs="Verdana"/>
                <w:b/>
                <w:color w:val="000000"/>
                <w:sz w:val="16"/>
                <w:lang w:val="en-GB"/>
              </w:rPr>
              <w:t>Total Adjustments</w:t>
            </w:r>
          </w:p>
        </w:tc>
        <w:tc>
          <w:tcPr>
            <w:tcW w:w="1222" w:type="dxa"/>
            <w:tcBorders>
              <w:top w:val="single" w:sz="2" w:space="0" w:color="000000"/>
              <w:bottom w:val="single" w:sz="12" w:space="0" w:color="000000"/>
            </w:tcBorders>
            <w:shd w:val="clear" w:color="auto" w:fill="auto"/>
            <w:tcMar>
              <w:top w:w="20" w:type="dxa"/>
              <w:left w:w="20" w:type="dxa"/>
              <w:bottom w:w="20" w:type="dxa"/>
              <w:right w:w="20" w:type="dxa"/>
            </w:tcMar>
          </w:tcPr>
          <w:p w14:paraId="32E7C786" w14:textId="77777777" w:rsidR="00EC7BD0" w:rsidRPr="00D271FE" w:rsidRDefault="00EC7BD0" w:rsidP="00166DD6">
            <w:pPr>
              <w:pStyle w:val="T1TableStyle"/>
              <w:jc w:val="right"/>
              <w:rPr>
                <w:rFonts w:ascii="Verdana" w:eastAsia="Verdana" w:hAnsi="Verdana" w:cs="Verdana"/>
                <w:b/>
                <w:color w:val="000000"/>
                <w:sz w:val="16"/>
                <w:lang w:val="en-GB"/>
              </w:rPr>
            </w:pPr>
            <w:r w:rsidRPr="00D271FE">
              <w:rPr>
                <w:rFonts w:ascii="Verdana" w:eastAsia="Verdana" w:hAnsi="Verdana" w:cs="Verdana"/>
                <w:b/>
                <w:color w:val="000000"/>
                <w:sz w:val="16"/>
                <w:lang w:val="en-GB"/>
              </w:rPr>
              <w:t>(</w:t>
            </w:r>
            <w:r w:rsidR="00166DD6" w:rsidRPr="00D271FE">
              <w:rPr>
                <w:rFonts w:ascii="Verdana" w:eastAsia="Verdana" w:hAnsi="Verdana" w:cs="Verdana"/>
                <w:b/>
                <w:color w:val="000000"/>
                <w:sz w:val="16"/>
                <w:lang w:val="en-GB"/>
              </w:rPr>
              <w:t>66</w:t>
            </w:r>
            <w:r w:rsidRPr="00D271FE">
              <w:rPr>
                <w:rFonts w:ascii="Verdana" w:eastAsia="Verdana" w:hAnsi="Verdana" w:cs="Verdana"/>
                <w:b/>
                <w:color w:val="000000"/>
                <w:sz w:val="16"/>
                <w:lang w:val="en-GB"/>
              </w:rPr>
              <w:t>,</w:t>
            </w:r>
            <w:r w:rsidR="00166DD6" w:rsidRPr="00D271FE">
              <w:rPr>
                <w:rFonts w:ascii="Verdana" w:eastAsia="Verdana" w:hAnsi="Verdana" w:cs="Verdana"/>
                <w:b/>
                <w:color w:val="000000"/>
                <w:sz w:val="16"/>
                <w:lang w:val="en-GB"/>
              </w:rPr>
              <w:t>12</w:t>
            </w:r>
            <w:r w:rsidRPr="00D271FE">
              <w:rPr>
                <w:rFonts w:ascii="Verdana" w:eastAsia="Verdana" w:hAnsi="Verdana" w:cs="Verdana"/>
                <w:b/>
                <w:color w:val="000000"/>
                <w:sz w:val="16"/>
                <w:lang w:val="en-GB"/>
              </w:rPr>
              <w:t>3)</w:t>
            </w:r>
          </w:p>
        </w:tc>
        <w:tc>
          <w:tcPr>
            <w:tcW w:w="1222" w:type="dxa"/>
            <w:tcBorders>
              <w:top w:val="single" w:sz="2" w:space="0" w:color="000000"/>
              <w:bottom w:val="single" w:sz="12" w:space="0" w:color="000000"/>
            </w:tcBorders>
            <w:shd w:val="clear" w:color="auto" w:fill="auto"/>
            <w:tcMar>
              <w:top w:w="20" w:type="dxa"/>
              <w:left w:w="20" w:type="dxa"/>
              <w:bottom w:w="20" w:type="dxa"/>
              <w:right w:w="20" w:type="dxa"/>
            </w:tcMar>
          </w:tcPr>
          <w:p w14:paraId="00DE3B3F" w14:textId="77777777" w:rsidR="00EC7BD0" w:rsidRPr="00D271FE" w:rsidRDefault="00166DD6" w:rsidP="00166DD6">
            <w:pPr>
              <w:pStyle w:val="T1TableStyle"/>
              <w:jc w:val="right"/>
              <w:rPr>
                <w:rFonts w:ascii="Verdana" w:eastAsia="Verdana" w:hAnsi="Verdana" w:cs="Verdana"/>
                <w:b/>
                <w:color w:val="000000"/>
                <w:sz w:val="16"/>
                <w:lang w:val="en-GB"/>
              </w:rPr>
            </w:pPr>
            <w:r w:rsidRPr="00D271FE">
              <w:rPr>
                <w:rFonts w:ascii="Verdana" w:eastAsia="Verdana" w:hAnsi="Verdana" w:cs="Verdana"/>
                <w:b/>
                <w:color w:val="000000"/>
                <w:sz w:val="16"/>
                <w:lang w:val="en-GB"/>
              </w:rPr>
              <w:t>3</w:t>
            </w:r>
            <w:r w:rsidR="00EC7BD0" w:rsidRPr="00D271FE">
              <w:rPr>
                <w:rFonts w:ascii="Verdana" w:eastAsia="Verdana" w:hAnsi="Verdana" w:cs="Verdana"/>
                <w:b/>
                <w:color w:val="000000"/>
                <w:sz w:val="16"/>
                <w:lang w:val="en-GB"/>
              </w:rPr>
              <w:t>,</w:t>
            </w:r>
            <w:r w:rsidRPr="00D271FE">
              <w:rPr>
                <w:rFonts w:ascii="Verdana" w:eastAsia="Verdana" w:hAnsi="Verdana" w:cs="Verdana"/>
                <w:b/>
                <w:color w:val="000000"/>
                <w:sz w:val="16"/>
                <w:lang w:val="en-GB"/>
              </w:rPr>
              <w:t>799</w:t>
            </w:r>
          </w:p>
        </w:tc>
        <w:tc>
          <w:tcPr>
            <w:tcW w:w="1222" w:type="dxa"/>
            <w:tcBorders>
              <w:top w:val="single" w:sz="2" w:space="0" w:color="000000"/>
              <w:bottom w:val="single" w:sz="12" w:space="0" w:color="000000"/>
            </w:tcBorders>
            <w:shd w:val="clear" w:color="auto" w:fill="auto"/>
            <w:tcMar>
              <w:top w:w="20" w:type="dxa"/>
              <w:left w:w="20" w:type="dxa"/>
              <w:bottom w:w="20" w:type="dxa"/>
              <w:right w:w="20" w:type="dxa"/>
            </w:tcMar>
          </w:tcPr>
          <w:p w14:paraId="68939203" w14:textId="0AECC5BD" w:rsidR="00EC7BD0" w:rsidRPr="00D271FE" w:rsidRDefault="00166DD6" w:rsidP="00166DD6">
            <w:pPr>
              <w:pStyle w:val="T1TableStyle"/>
              <w:jc w:val="right"/>
              <w:rPr>
                <w:rFonts w:ascii="Verdana" w:eastAsia="Verdana" w:hAnsi="Verdana" w:cs="Verdana"/>
                <w:b/>
                <w:color w:val="000000"/>
                <w:sz w:val="16"/>
                <w:lang w:val="en-GB"/>
              </w:rPr>
            </w:pPr>
            <w:r w:rsidRPr="00D271FE">
              <w:rPr>
                <w:rFonts w:ascii="Verdana" w:eastAsia="Verdana" w:hAnsi="Verdana" w:cs="Verdana"/>
                <w:b/>
                <w:color w:val="000000"/>
                <w:sz w:val="16"/>
                <w:lang w:val="en-GB"/>
              </w:rPr>
              <w:t>(1</w:t>
            </w:r>
            <w:r w:rsidR="00055B9A">
              <w:rPr>
                <w:rFonts w:ascii="Verdana" w:eastAsia="Verdana" w:hAnsi="Verdana" w:cs="Verdana"/>
                <w:b/>
                <w:color w:val="000000"/>
                <w:sz w:val="16"/>
                <w:lang w:val="en-GB"/>
              </w:rPr>
              <w:t>,</w:t>
            </w:r>
            <w:r w:rsidRPr="00D271FE">
              <w:rPr>
                <w:rFonts w:ascii="Verdana" w:eastAsia="Verdana" w:hAnsi="Verdana" w:cs="Verdana"/>
                <w:b/>
                <w:color w:val="000000"/>
                <w:sz w:val="16"/>
                <w:lang w:val="en-GB"/>
              </w:rPr>
              <w:t>629)</w:t>
            </w:r>
          </w:p>
        </w:tc>
        <w:tc>
          <w:tcPr>
            <w:tcW w:w="1222" w:type="dxa"/>
            <w:tcBorders>
              <w:top w:val="single" w:sz="2" w:space="0" w:color="000000"/>
              <w:bottom w:val="single" w:sz="12" w:space="0" w:color="000000"/>
            </w:tcBorders>
            <w:shd w:val="clear" w:color="auto" w:fill="auto"/>
            <w:tcMar>
              <w:top w:w="20" w:type="dxa"/>
              <w:left w:w="20" w:type="dxa"/>
              <w:bottom w:w="20" w:type="dxa"/>
              <w:right w:w="20" w:type="dxa"/>
            </w:tcMar>
          </w:tcPr>
          <w:p w14:paraId="00556ACA" w14:textId="77777777" w:rsidR="00EC7BD0" w:rsidRPr="00D271FE" w:rsidRDefault="00166DD6" w:rsidP="00166DD6">
            <w:pPr>
              <w:pStyle w:val="T1TableStyle"/>
              <w:jc w:val="right"/>
              <w:rPr>
                <w:rFonts w:ascii="Verdana" w:eastAsia="Verdana" w:hAnsi="Verdana" w:cs="Verdana"/>
                <w:b/>
                <w:color w:val="000000"/>
                <w:sz w:val="16"/>
                <w:lang w:val="en-GB"/>
              </w:rPr>
            </w:pPr>
            <w:r w:rsidRPr="00D271FE">
              <w:rPr>
                <w:rFonts w:ascii="Verdana" w:eastAsia="Verdana" w:hAnsi="Verdana" w:cs="Verdana"/>
                <w:b/>
                <w:color w:val="000000"/>
                <w:sz w:val="16"/>
                <w:lang w:val="en-GB"/>
              </w:rPr>
              <w:t>63</w:t>
            </w:r>
            <w:r w:rsidR="00EC7BD0" w:rsidRPr="00D271FE">
              <w:rPr>
                <w:rFonts w:ascii="Verdana" w:eastAsia="Verdana" w:hAnsi="Verdana" w:cs="Verdana"/>
                <w:b/>
                <w:color w:val="000000"/>
                <w:sz w:val="16"/>
                <w:lang w:val="en-GB"/>
              </w:rPr>
              <w:t>,</w:t>
            </w:r>
            <w:r w:rsidRPr="00D271FE">
              <w:rPr>
                <w:rFonts w:ascii="Verdana" w:eastAsia="Verdana" w:hAnsi="Verdana" w:cs="Verdana"/>
                <w:b/>
                <w:color w:val="000000"/>
                <w:sz w:val="16"/>
                <w:lang w:val="en-GB"/>
              </w:rPr>
              <w:t>953</w:t>
            </w:r>
          </w:p>
        </w:tc>
      </w:tr>
    </w:tbl>
    <w:p w14:paraId="4430ECFB" w14:textId="77777777" w:rsidR="00CA6653" w:rsidRPr="003516A4" w:rsidRDefault="00CA6653">
      <w:pPr>
        <w:pStyle w:val="T1TableStyle"/>
        <w:rPr>
          <w:rFonts w:ascii="Verdana" w:eastAsia="Verdana" w:hAnsi="Verdana" w:cs="Verdana"/>
          <w:sz w:val="22"/>
          <w:highlight w:val="yellow"/>
          <w:lang w:val="en-GB"/>
        </w:rPr>
      </w:pPr>
    </w:p>
    <w:p w14:paraId="7BD84706" w14:textId="77777777" w:rsidR="00FB5015" w:rsidRDefault="00FB5015">
      <w:pPr>
        <w:rPr>
          <w:rFonts w:eastAsia="Verdana" w:cs="Verdana"/>
          <w:lang w:val="en-GB"/>
        </w:rPr>
      </w:pPr>
      <w:r>
        <w:rPr>
          <w:rFonts w:eastAsia="Verdana" w:cs="Verdana"/>
          <w:lang w:val="en-GB"/>
        </w:rPr>
        <w:br w:type="page"/>
      </w:r>
    </w:p>
    <w:p w14:paraId="0344F20A" w14:textId="70154A82" w:rsidR="00BC4850" w:rsidRPr="00D75696" w:rsidRDefault="00BC4850" w:rsidP="00BC4850">
      <w:pPr>
        <w:pStyle w:val="Normal0"/>
        <w:spacing w:after="160" w:line="259" w:lineRule="auto"/>
        <w:rPr>
          <w:rFonts w:ascii="Verdana" w:eastAsia="Verdana" w:hAnsi="Verdana" w:cs="Verdana"/>
          <w:sz w:val="22"/>
          <w:szCs w:val="22"/>
          <w:lang w:val="en-GB"/>
        </w:rPr>
      </w:pPr>
      <w:r w:rsidRPr="00D75696">
        <w:rPr>
          <w:rFonts w:ascii="Verdana" w:eastAsia="Verdana" w:hAnsi="Verdana" w:cs="Verdana"/>
          <w:sz w:val="22"/>
          <w:szCs w:val="22"/>
          <w:lang w:val="en-GB"/>
        </w:rPr>
        <w:t>PCC</w:t>
      </w:r>
    </w:p>
    <w:tbl>
      <w:tblPr>
        <w:tblW w:w="4564" w:type="pct"/>
        <w:jc w:val="center"/>
        <w:tblLook w:val="04A0" w:firstRow="1" w:lastRow="0" w:firstColumn="1" w:lastColumn="0" w:noHBand="0" w:noVBand="1"/>
      </w:tblPr>
      <w:tblGrid>
        <w:gridCol w:w="308"/>
        <w:gridCol w:w="5204"/>
        <w:gridCol w:w="1927"/>
        <w:gridCol w:w="1621"/>
        <w:gridCol w:w="1840"/>
        <w:gridCol w:w="1843"/>
      </w:tblGrid>
      <w:tr w:rsidR="00BC4850" w:rsidRPr="00D75696" w14:paraId="4249EDB6" w14:textId="77777777" w:rsidTr="00FB5015">
        <w:trPr>
          <w:trHeight w:val="296"/>
          <w:jc w:val="center"/>
        </w:trPr>
        <w:tc>
          <w:tcPr>
            <w:tcW w:w="2163" w:type="pct"/>
            <w:gridSpan w:val="2"/>
            <w:shd w:val="clear" w:color="auto" w:fill="auto"/>
            <w:tcMar>
              <w:top w:w="20" w:type="dxa"/>
              <w:left w:w="20" w:type="dxa"/>
              <w:bottom w:w="20" w:type="dxa"/>
              <w:right w:w="20" w:type="dxa"/>
            </w:tcMar>
          </w:tcPr>
          <w:p w14:paraId="0706201C" w14:textId="77777777" w:rsidR="00BC4850" w:rsidRPr="00D75696" w:rsidRDefault="00BC4850" w:rsidP="00BC4850">
            <w:pPr>
              <w:pStyle w:val="T1TableStyle"/>
              <w:jc w:val="center"/>
              <w:rPr>
                <w:rFonts w:ascii="Verdana" w:eastAsia="Verdana" w:hAnsi="Verdana" w:cs="Verdana"/>
                <w:b/>
                <w:color w:val="000000"/>
                <w:sz w:val="16"/>
                <w:lang w:val="en-GB"/>
              </w:rPr>
            </w:pPr>
            <w:r w:rsidRPr="00D75696">
              <w:rPr>
                <w:rFonts w:ascii="Verdana" w:eastAsia="Verdana" w:hAnsi="Verdana" w:cs="Verdana"/>
                <w:b/>
                <w:color w:val="000000"/>
                <w:sz w:val="16"/>
                <w:lang w:val="en-GB"/>
              </w:rPr>
              <w:t>PCC 2020/2021</w:t>
            </w:r>
          </w:p>
        </w:tc>
        <w:tc>
          <w:tcPr>
            <w:tcW w:w="756" w:type="pct"/>
            <w:shd w:val="clear" w:color="auto" w:fill="auto"/>
            <w:tcMar>
              <w:top w:w="20" w:type="dxa"/>
              <w:left w:w="20" w:type="dxa"/>
              <w:bottom w:w="20" w:type="dxa"/>
              <w:right w:w="20" w:type="dxa"/>
            </w:tcMar>
          </w:tcPr>
          <w:p w14:paraId="110A87AD" w14:textId="77777777" w:rsidR="00BC4850" w:rsidRPr="00D75696" w:rsidRDefault="00BC4850" w:rsidP="003A105D">
            <w:pPr>
              <w:pStyle w:val="T1TableStyle"/>
              <w:jc w:val="center"/>
              <w:rPr>
                <w:rFonts w:ascii="Verdana" w:eastAsia="Verdana" w:hAnsi="Verdana" w:cs="Verdana"/>
                <w:b/>
                <w:color w:val="000000"/>
                <w:sz w:val="16"/>
                <w:lang w:val="en-GB"/>
              </w:rPr>
            </w:pPr>
            <w:r w:rsidRPr="00D75696">
              <w:rPr>
                <w:rFonts w:ascii="Verdana" w:eastAsia="Verdana" w:hAnsi="Verdana" w:cs="Verdana"/>
                <w:b/>
                <w:color w:val="000000"/>
                <w:sz w:val="16"/>
                <w:lang w:val="en-GB"/>
              </w:rPr>
              <w:t>General Fund Balance</w:t>
            </w:r>
          </w:p>
        </w:tc>
        <w:tc>
          <w:tcPr>
            <w:tcW w:w="636" w:type="pct"/>
            <w:shd w:val="clear" w:color="auto" w:fill="auto"/>
            <w:tcMar>
              <w:top w:w="20" w:type="dxa"/>
              <w:left w:w="20" w:type="dxa"/>
              <w:bottom w:w="20" w:type="dxa"/>
              <w:right w:w="20" w:type="dxa"/>
            </w:tcMar>
          </w:tcPr>
          <w:p w14:paraId="5C03B67A" w14:textId="77777777" w:rsidR="00BC4850" w:rsidRPr="00D75696" w:rsidRDefault="00BC4850" w:rsidP="003A105D">
            <w:pPr>
              <w:pStyle w:val="T1TableStyle"/>
              <w:jc w:val="center"/>
              <w:rPr>
                <w:rFonts w:ascii="Verdana" w:eastAsia="Verdana" w:hAnsi="Verdana" w:cs="Verdana"/>
                <w:b/>
                <w:color w:val="000000"/>
                <w:sz w:val="16"/>
                <w:lang w:val="en-GB"/>
              </w:rPr>
            </w:pPr>
            <w:r w:rsidRPr="00D75696">
              <w:rPr>
                <w:rFonts w:ascii="Verdana" w:eastAsia="Verdana" w:hAnsi="Verdana" w:cs="Verdana"/>
                <w:b/>
                <w:color w:val="000000"/>
                <w:sz w:val="16"/>
                <w:lang w:val="en-GB"/>
              </w:rPr>
              <w:t>Capital Receipts Reserve</w:t>
            </w:r>
          </w:p>
        </w:tc>
        <w:tc>
          <w:tcPr>
            <w:tcW w:w="722" w:type="pct"/>
            <w:shd w:val="clear" w:color="auto" w:fill="auto"/>
            <w:tcMar>
              <w:top w:w="20" w:type="dxa"/>
              <w:left w:w="20" w:type="dxa"/>
              <w:bottom w:w="20" w:type="dxa"/>
              <w:right w:w="20" w:type="dxa"/>
            </w:tcMar>
          </w:tcPr>
          <w:p w14:paraId="157C5195" w14:textId="77777777" w:rsidR="00BC4850" w:rsidRPr="00D75696" w:rsidRDefault="00BC4850" w:rsidP="003A105D">
            <w:pPr>
              <w:pStyle w:val="T1TableStyle"/>
              <w:jc w:val="center"/>
              <w:rPr>
                <w:rFonts w:ascii="Verdana" w:eastAsia="Verdana" w:hAnsi="Verdana" w:cs="Verdana"/>
                <w:b/>
                <w:color w:val="000000"/>
                <w:sz w:val="16"/>
                <w:lang w:val="en-GB"/>
              </w:rPr>
            </w:pPr>
            <w:r w:rsidRPr="00D75696">
              <w:rPr>
                <w:rFonts w:ascii="Verdana" w:eastAsia="Verdana" w:hAnsi="Verdana" w:cs="Verdana"/>
                <w:b/>
                <w:color w:val="000000"/>
                <w:sz w:val="16"/>
                <w:lang w:val="en-GB"/>
              </w:rPr>
              <w:t>Capital Grants Unapplied</w:t>
            </w:r>
          </w:p>
        </w:tc>
        <w:tc>
          <w:tcPr>
            <w:tcW w:w="723" w:type="pct"/>
            <w:shd w:val="clear" w:color="auto" w:fill="auto"/>
            <w:tcMar>
              <w:top w:w="20" w:type="dxa"/>
              <w:left w:w="20" w:type="dxa"/>
              <w:bottom w:w="20" w:type="dxa"/>
              <w:right w:w="20" w:type="dxa"/>
            </w:tcMar>
          </w:tcPr>
          <w:p w14:paraId="5D528876" w14:textId="77777777" w:rsidR="00BC4850" w:rsidRPr="00D75696" w:rsidRDefault="00BC4850" w:rsidP="003A105D">
            <w:pPr>
              <w:pStyle w:val="T1TableStyle"/>
              <w:jc w:val="center"/>
              <w:rPr>
                <w:rFonts w:ascii="Verdana" w:eastAsia="Verdana" w:hAnsi="Verdana" w:cs="Verdana"/>
                <w:b/>
                <w:color w:val="000000"/>
                <w:sz w:val="16"/>
                <w:lang w:val="en-GB"/>
              </w:rPr>
            </w:pPr>
            <w:r w:rsidRPr="00D75696">
              <w:rPr>
                <w:rFonts w:ascii="Verdana" w:eastAsia="Verdana" w:hAnsi="Verdana" w:cs="Verdana"/>
                <w:b/>
                <w:color w:val="000000"/>
                <w:sz w:val="16"/>
                <w:lang w:val="en-GB"/>
              </w:rPr>
              <w:t>Movement in Unusable Reserves</w:t>
            </w:r>
          </w:p>
        </w:tc>
      </w:tr>
      <w:tr w:rsidR="00BC4850" w:rsidRPr="00D75696" w14:paraId="476993BE" w14:textId="77777777" w:rsidTr="00FB5015">
        <w:trPr>
          <w:trHeight w:val="148"/>
          <w:jc w:val="center"/>
        </w:trPr>
        <w:tc>
          <w:tcPr>
            <w:tcW w:w="2163" w:type="pct"/>
            <w:gridSpan w:val="2"/>
            <w:tcBorders>
              <w:bottom w:val="single" w:sz="2" w:space="0" w:color="000000"/>
            </w:tcBorders>
            <w:shd w:val="clear" w:color="auto" w:fill="auto"/>
            <w:tcMar>
              <w:top w:w="20" w:type="dxa"/>
              <w:left w:w="20" w:type="dxa"/>
              <w:bottom w:w="20" w:type="dxa"/>
              <w:right w:w="20" w:type="dxa"/>
            </w:tcMar>
          </w:tcPr>
          <w:p w14:paraId="2931269A" w14:textId="77777777" w:rsidR="00BC4850" w:rsidRPr="00D75696" w:rsidRDefault="00BC4850" w:rsidP="003A105D">
            <w:pPr>
              <w:pStyle w:val="T1TableStyle"/>
              <w:jc w:val="center"/>
              <w:rPr>
                <w:rFonts w:ascii="Verdana" w:eastAsia="Verdana" w:hAnsi="Verdana" w:cs="Verdana"/>
                <w:b/>
                <w:color w:val="000000"/>
                <w:sz w:val="2"/>
                <w:lang w:val="en-GB"/>
              </w:rPr>
            </w:pPr>
            <w:r w:rsidRPr="00D75696">
              <w:rPr>
                <w:rFonts w:ascii="Verdana" w:eastAsia="Verdana" w:hAnsi="Verdana" w:cs="Verdana"/>
                <w:b/>
                <w:color w:val="000000"/>
                <w:sz w:val="2"/>
                <w:lang w:val="en-GB"/>
              </w:rPr>
              <w:t xml:space="preserve"> </w:t>
            </w:r>
          </w:p>
        </w:tc>
        <w:tc>
          <w:tcPr>
            <w:tcW w:w="756" w:type="pct"/>
            <w:tcBorders>
              <w:bottom w:val="single" w:sz="2" w:space="0" w:color="000000"/>
            </w:tcBorders>
            <w:shd w:val="clear" w:color="auto" w:fill="auto"/>
            <w:tcMar>
              <w:top w:w="20" w:type="dxa"/>
              <w:left w:w="20" w:type="dxa"/>
              <w:bottom w:w="20" w:type="dxa"/>
              <w:right w:w="20" w:type="dxa"/>
            </w:tcMar>
          </w:tcPr>
          <w:p w14:paraId="5DA2A05C" w14:textId="77777777" w:rsidR="00BC4850" w:rsidRPr="00D75696" w:rsidRDefault="00BC4850" w:rsidP="003A105D">
            <w:pPr>
              <w:pStyle w:val="T1TableStyle"/>
              <w:jc w:val="right"/>
              <w:rPr>
                <w:rFonts w:ascii="Verdana" w:eastAsia="Verdana" w:hAnsi="Verdana" w:cs="Verdana"/>
                <w:b/>
                <w:color w:val="000000"/>
                <w:sz w:val="16"/>
                <w:lang w:val="en-GB"/>
              </w:rPr>
            </w:pPr>
            <w:r w:rsidRPr="00D75696">
              <w:rPr>
                <w:rFonts w:ascii="Verdana" w:eastAsia="Verdana" w:hAnsi="Verdana" w:cs="Verdana"/>
                <w:b/>
                <w:color w:val="000000"/>
                <w:sz w:val="16"/>
                <w:lang w:val="en-GB"/>
              </w:rPr>
              <w:t>£000</w:t>
            </w:r>
          </w:p>
        </w:tc>
        <w:tc>
          <w:tcPr>
            <w:tcW w:w="636" w:type="pct"/>
            <w:tcBorders>
              <w:bottom w:val="single" w:sz="2" w:space="0" w:color="000000"/>
            </w:tcBorders>
            <w:shd w:val="clear" w:color="auto" w:fill="auto"/>
            <w:tcMar>
              <w:top w:w="20" w:type="dxa"/>
              <w:left w:w="20" w:type="dxa"/>
              <w:bottom w:w="20" w:type="dxa"/>
              <w:right w:w="20" w:type="dxa"/>
            </w:tcMar>
          </w:tcPr>
          <w:p w14:paraId="42EECF06" w14:textId="77777777" w:rsidR="00BC4850" w:rsidRPr="00D75696" w:rsidRDefault="00BC4850" w:rsidP="003A105D">
            <w:pPr>
              <w:pStyle w:val="T1TableStyle"/>
              <w:jc w:val="right"/>
              <w:rPr>
                <w:rFonts w:ascii="Verdana" w:eastAsia="Verdana" w:hAnsi="Verdana" w:cs="Verdana"/>
                <w:b/>
                <w:color w:val="000000"/>
                <w:sz w:val="16"/>
                <w:lang w:val="en-GB"/>
              </w:rPr>
            </w:pPr>
            <w:r w:rsidRPr="00D75696">
              <w:rPr>
                <w:rFonts w:ascii="Verdana" w:eastAsia="Verdana" w:hAnsi="Verdana" w:cs="Verdana"/>
                <w:b/>
                <w:color w:val="000000"/>
                <w:sz w:val="16"/>
                <w:lang w:val="en-GB"/>
              </w:rPr>
              <w:t>£000</w:t>
            </w:r>
          </w:p>
        </w:tc>
        <w:tc>
          <w:tcPr>
            <w:tcW w:w="722" w:type="pct"/>
            <w:tcBorders>
              <w:bottom w:val="single" w:sz="2" w:space="0" w:color="000000"/>
            </w:tcBorders>
            <w:shd w:val="clear" w:color="auto" w:fill="auto"/>
            <w:tcMar>
              <w:top w:w="20" w:type="dxa"/>
              <w:left w:w="20" w:type="dxa"/>
              <w:bottom w:w="20" w:type="dxa"/>
              <w:right w:w="20" w:type="dxa"/>
            </w:tcMar>
          </w:tcPr>
          <w:p w14:paraId="5E88FEB5" w14:textId="77777777" w:rsidR="00BC4850" w:rsidRPr="00D75696" w:rsidRDefault="00BC4850" w:rsidP="003A105D">
            <w:pPr>
              <w:pStyle w:val="T1TableStyle"/>
              <w:jc w:val="right"/>
              <w:rPr>
                <w:rFonts w:ascii="Verdana" w:eastAsia="Verdana" w:hAnsi="Verdana" w:cs="Verdana"/>
                <w:b/>
                <w:color w:val="000000"/>
                <w:sz w:val="16"/>
                <w:lang w:val="en-GB"/>
              </w:rPr>
            </w:pPr>
            <w:r w:rsidRPr="00D75696">
              <w:rPr>
                <w:rFonts w:ascii="Verdana" w:eastAsia="Verdana" w:hAnsi="Verdana" w:cs="Verdana"/>
                <w:b/>
                <w:color w:val="000000"/>
                <w:sz w:val="16"/>
                <w:lang w:val="en-GB"/>
              </w:rPr>
              <w:t>£000</w:t>
            </w:r>
          </w:p>
        </w:tc>
        <w:tc>
          <w:tcPr>
            <w:tcW w:w="723" w:type="pct"/>
            <w:tcBorders>
              <w:bottom w:val="single" w:sz="2" w:space="0" w:color="000000"/>
            </w:tcBorders>
            <w:shd w:val="clear" w:color="auto" w:fill="auto"/>
            <w:tcMar>
              <w:top w:w="20" w:type="dxa"/>
              <w:left w:w="20" w:type="dxa"/>
              <w:bottom w:w="20" w:type="dxa"/>
              <w:right w:w="20" w:type="dxa"/>
            </w:tcMar>
          </w:tcPr>
          <w:p w14:paraId="48A04450" w14:textId="77777777" w:rsidR="00BC4850" w:rsidRPr="00D75696" w:rsidRDefault="00BC4850" w:rsidP="003A105D">
            <w:pPr>
              <w:pStyle w:val="T1TableStyle"/>
              <w:jc w:val="right"/>
              <w:rPr>
                <w:rFonts w:ascii="Verdana" w:eastAsia="Verdana" w:hAnsi="Verdana" w:cs="Verdana"/>
                <w:b/>
                <w:color w:val="000000"/>
                <w:sz w:val="16"/>
                <w:lang w:val="en-GB"/>
              </w:rPr>
            </w:pPr>
            <w:r w:rsidRPr="00D75696">
              <w:rPr>
                <w:rFonts w:ascii="Verdana" w:eastAsia="Verdana" w:hAnsi="Verdana" w:cs="Verdana"/>
                <w:b/>
                <w:color w:val="000000"/>
                <w:sz w:val="16"/>
                <w:lang w:val="en-GB"/>
              </w:rPr>
              <w:t>£000</w:t>
            </w:r>
          </w:p>
        </w:tc>
      </w:tr>
      <w:tr w:rsidR="00BC4850" w:rsidRPr="00D75696" w14:paraId="5F90DB07" w14:textId="77777777" w:rsidTr="00FB5015">
        <w:trPr>
          <w:gridBefore w:val="1"/>
          <w:wBefore w:w="121" w:type="pct"/>
          <w:trHeight w:val="126"/>
          <w:jc w:val="center"/>
        </w:trPr>
        <w:tc>
          <w:tcPr>
            <w:tcW w:w="2042" w:type="pct"/>
            <w:shd w:val="clear" w:color="auto" w:fill="auto"/>
            <w:tcMar>
              <w:top w:w="20" w:type="dxa"/>
              <w:left w:w="20" w:type="dxa"/>
              <w:bottom w:w="20" w:type="dxa"/>
              <w:right w:w="20" w:type="dxa"/>
            </w:tcMar>
          </w:tcPr>
          <w:p w14:paraId="3855C255" w14:textId="77777777" w:rsidR="00BC4850" w:rsidRPr="00D75696" w:rsidRDefault="00BC4850" w:rsidP="003A105D">
            <w:pPr>
              <w:pStyle w:val="T1TableStyle"/>
              <w:rPr>
                <w:rFonts w:ascii="Verdana" w:eastAsia="Verdana" w:hAnsi="Verdana" w:cs="Verdana"/>
                <w:color w:val="000000"/>
                <w:sz w:val="16"/>
                <w:lang w:val="en-GB"/>
              </w:rPr>
            </w:pPr>
            <w:r w:rsidRPr="00D75696">
              <w:rPr>
                <w:rFonts w:ascii="Verdana" w:eastAsia="Verdana" w:hAnsi="Verdana" w:cs="Verdana"/>
                <w:color w:val="000000"/>
                <w:sz w:val="16"/>
                <w:lang w:val="en-GB"/>
              </w:rPr>
              <w:t>Adjustments to the Revenue Resources</w:t>
            </w:r>
          </w:p>
        </w:tc>
        <w:tc>
          <w:tcPr>
            <w:tcW w:w="756" w:type="pct"/>
            <w:shd w:val="clear" w:color="auto" w:fill="auto"/>
            <w:tcMar>
              <w:top w:w="20" w:type="dxa"/>
              <w:left w:w="20" w:type="dxa"/>
              <w:bottom w:w="20" w:type="dxa"/>
              <w:right w:w="20" w:type="dxa"/>
            </w:tcMar>
          </w:tcPr>
          <w:p w14:paraId="4D0CF658" w14:textId="77777777" w:rsidR="00BC4850" w:rsidRPr="00D75696" w:rsidRDefault="00BC4850" w:rsidP="003A105D">
            <w:pPr>
              <w:pStyle w:val="T1TableStyle"/>
              <w:jc w:val="center"/>
              <w:rPr>
                <w:rFonts w:ascii="Verdana" w:eastAsia="Verdana" w:hAnsi="Verdana" w:cs="Verdana"/>
                <w:b/>
                <w:color w:val="000000"/>
                <w:sz w:val="2"/>
                <w:lang w:val="en-GB"/>
              </w:rPr>
            </w:pPr>
            <w:r w:rsidRPr="00D75696">
              <w:rPr>
                <w:rFonts w:ascii="Verdana" w:eastAsia="Verdana" w:hAnsi="Verdana" w:cs="Verdana"/>
                <w:b/>
                <w:color w:val="000000"/>
                <w:sz w:val="2"/>
                <w:lang w:val="en-GB"/>
              </w:rPr>
              <w:t xml:space="preserve"> </w:t>
            </w:r>
          </w:p>
        </w:tc>
        <w:tc>
          <w:tcPr>
            <w:tcW w:w="636" w:type="pct"/>
            <w:shd w:val="clear" w:color="auto" w:fill="auto"/>
            <w:tcMar>
              <w:top w:w="20" w:type="dxa"/>
              <w:left w:w="20" w:type="dxa"/>
              <w:bottom w:w="20" w:type="dxa"/>
              <w:right w:w="20" w:type="dxa"/>
            </w:tcMar>
          </w:tcPr>
          <w:p w14:paraId="0553620B" w14:textId="77777777" w:rsidR="00BC4850" w:rsidRPr="00D75696" w:rsidRDefault="00BC4850" w:rsidP="003A105D">
            <w:pPr>
              <w:pStyle w:val="T1TableStyle"/>
              <w:jc w:val="center"/>
              <w:rPr>
                <w:rFonts w:ascii="Verdana" w:eastAsia="Verdana" w:hAnsi="Verdana" w:cs="Verdana"/>
                <w:b/>
                <w:color w:val="000000"/>
                <w:sz w:val="2"/>
                <w:lang w:val="en-GB"/>
              </w:rPr>
            </w:pPr>
            <w:r w:rsidRPr="00D75696">
              <w:rPr>
                <w:rFonts w:ascii="Verdana" w:eastAsia="Verdana" w:hAnsi="Verdana" w:cs="Verdana"/>
                <w:b/>
                <w:color w:val="000000"/>
                <w:sz w:val="2"/>
                <w:lang w:val="en-GB"/>
              </w:rPr>
              <w:t xml:space="preserve"> </w:t>
            </w:r>
          </w:p>
        </w:tc>
        <w:tc>
          <w:tcPr>
            <w:tcW w:w="722" w:type="pct"/>
            <w:shd w:val="clear" w:color="auto" w:fill="auto"/>
            <w:tcMar>
              <w:top w:w="20" w:type="dxa"/>
              <w:left w:w="20" w:type="dxa"/>
              <w:bottom w:w="20" w:type="dxa"/>
              <w:right w:w="20" w:type="dxa"/>
            </w:tcMar>
          </w:tcPr>
          <w:p w14:paraId="6AE4EBD4" w14:textId="77777777" w:rsidR="00BC4850" w:rsidRPr="00D75696" w:rsidRDefault="00BC4850" w:rsidP="003A105D">
            <w:pPr>
              <w:pStyle w:val="T1TableStyle"/>
              <w:jc w:val="center"/>
              <w:rPr>
                <w:rFonts w:ascii="Verdana" w:eastAsia="Verdana" w:hAnsi="Verdana" w:cs="Verdana"/>
                <w:b/>
                <w:color w:val="000000"/>
                <w:sz w:val="2"/>
                <w:lang w:val="en-GB"/>
              </w:rPr>
            </w:pPr>
            <w:r w:rsidRPr="00D75696">
              <w:rPr>
                <w:rFonts w:ascii="Verdana" w:eastAsia="Verdana" w:hAnsi="Verdana" w:cs="Verdana"/>
                <w:b/>
                <w:color w:val="000000"/>
                <w:sz w:val="2"/>
                <w:lang w:val="en-GB"/>
              </w:rPr>
              <w:t xml:space="preserve"> </w:t>
            </w:r>
          </w:p>
        </w:tc>
        <w:tc>
          <w:tcPr>
            <w:tcW w:w="723" w:type="pct"/>
            <w:shd w:val="clear" w:color="auto" w:fill="auto"/>
            <w:tcMar>
              <w:top w:w="20" w:type="dxa"/>
              <w:left w:w="20" w:type="dxa"/>
              <w:bottom w:w="20" w:type="dxa"/>
              <w:right w:w="20" w:type="dxa"/>
            </w:tcMar>
          </w:tcPr>
          <w:p w14:paraId="6B3807D1" w14:textId="77777777" w:rsidR="00BC4850" w:rsidRPr="00D75696" w:rsidRDefault="00BC4850" w:rsidP="003A105D">
            <w:pPr>
              <w:pStyle w:val="T1TableStyle"/>
              <w:jc w:val="center"/>
              <w:rPr>
                <w:rFonts w:ascii="Verdana" w:eastAsia="Verdana" w:hAnsi="Verdana" w:cs="Verdana"/>
                <w:b/>
                <w:color w:val="000000"/>
                <w:sz w:val="2"/>
                <w:lang w:val="en-GB"/>
              </w:rPr>
            </w:pPr>
            <w:r w:rsidRPr="00D75696">
              <w:rPr>
                <w:rFonts w:ascii="Verdana" w:eastAsia="Verdana" w:hAnsi="Verdana" w:cs="Verdana"/>
                <w:b/>
                <w:color w:val="000000"/>
                <w:sz w:val="2"/>
                <w:lang w:val="en-GB"/>
              </w:rPr>
              <w:t xml:space="preserve"> </w:t>
            </w:r>
          </w:p>
        </w:tc>
      </w:tr>
      <w:tr w:rsidR="00BC4850" w:rsidRPr="00D75696" w14:paraId="34E9AF0D" w14:textId="77777777" w:rsidTr="00FB5015">
        <w:trPr>
          <w:gridBefore w:val="1"/>
          <w:wBefore w:w="121" w:type="pct"/>
          <w:trHeight w:val="126"/>
          <w:jc w:val="center"/>
        </w:trPr>
        <w:tc>
          <w:tcPr>
            <w:tcW w:w="2042" w:type="pct"/>
            <w:shd w:val="clear" w:color="auto" w:fill="auto"/>
            <w:tcMar>
              <w:top w:w="20" w:type="dxa"/>
              <w:left w:w="20" w:type="dxa"/>
              <w:bottom w:w="20" w:type="dxa"/>
              <w:right w:w="20" w:type="dxa"/>
            </w:tcMar>
          </w:tcPr>
          <w:p w14:paraId="532F905B" w14:textId="77777777" w:rsidR="00BC4850" w:rsidRPr="00D75696" w:rsidRDefault="00BC4850" w:rsidP="003A105D">
            <w:pPr>
              <w:pStyle w:val="T1TableStyle"/>
              <w:rPr>
                <w:rFonts w:ascii="Verdana" w:eastAsia="Verdana" w:hAnsi="Verdana" w:cs="Verdana"/>
                <w:color w:val="000000"/>
                <w:sz w:val="16"/>
                <w:lang w:val="en-GB"/>
              </w:rPr>
            </w:pPr>
            <w:r w:rsidRPr="00D75696">
              <w:rPr>
                <w:rFonts w:ascii="Verdana" w:eastAsia="Verdana" w:hAnsi="Verdana" w:cs="Verdana"/>
                <w:color w:val="000000"/>
                <w:sz w:val="16"/>
                <w:lang w:val="en-GB"/>
              </w:rPr>
              <w:t>Amounts by which income and expenditure included in the Comprehensive Income and Expenditure Statement are different from revenue for the year calculated in accordance with statutory requirements:</w:t>
            </w:r>
          </w:p>
        </w:tc>
        <w:tc>
          <w:tcPr>
            <w:tcW w:w="756" w:type="pct"/>
            <w:shd w:val="clear" w:color="auto" w:fill="auto"/>
            <w:tcMar>
              <w:top w:w="20" w:type="dxa"/>
              <w:left w:w="20" w:type="dxa"/>
              <w:bottom w:w="20" w:type="dxa"/>
              <w:right w:w="20" w:type="dxa"/>
            </w:tcMar>
          </w:tcPr>
          <w:p w14:paraId="62C1D3B7" w14:textId="77777777" w:rsidR="00BC4850" w:rsidRPr="00D75696" w:rsidRDefault="00BC4850" w:rsidP="003A105D">
            <w:pPr>
              <w:pStyle w:val="T1TableStyle"/>
              <w:rPr>
                <w:rFonts w:ascii="Verdana" w:eastAsia="Verdana" w:hAnsi="Verdana" w:cs="Verdana"/>
                <w:color w:val="000000"/>
                <w:sz w:val="2"/>
                <w:lang w:val="en-GB"/>
              </w:rPr>
            </w:pPr>
            <w:r w:rsidRPr="00D75696">
              <w:rPr>
                <w:rFonts w:ascii="Verdana" w:eastAsia="Verdana" w:hAnsi="Verdana" w:cs="Verdana"/>
                <w:color w:val="000000"/>
                <w:sz w:val="2"/>
                <w:lang w:val="en-GB"/>
              </w:rPr>
              <w:t xml:space="preserve"> </w:t>
            </w:r>
          </w:p>
        </w:tc>
        <w:tc>
          <w:tcPr>
            <w:tcW w:w="636" w:type="pct"/>
            <w:shd w:val="clear" w:color="auto" w:fill="auto"/>
            <w:tcMar>
              <w:top w:w="20" w:type="dxa"/>
              <w:left w:w="20" w:type="dxa"/>
              <w:bottom w:w="20" w:type="dxa"/>
              <w:right w:w="20" w:type="dxa"/>
            </w:tcMar>
          </w:tcPr>
          <w:p w14:paraId="40E3F975" w14:textId="77777777" w:rsidR="00BC4850" w:rsidRPr="00D75696" w:rsidRDefault="00BC4850" w:rsidP="003A105D">
            <w:pPr>
              <w:pStyle w:val="T1TableStyle"/>
              <w:rPr>
                <w:rFonts w:ascii="Verdana" w:eastAsia="Verdana" w:hAnsi="Verdana" w:cs="Verdana"/>
                <w:color w:val="000000"/>
                <w:sz w:val="2"/>
                <w:lang w:val="en-GB"/>
              </w:rPr>
            </w:pPr>
            <w:r w:rsidRPr="00D75696">
              <w:rPr>
                <w:rFonts w:ascii="Verdana" w:eastAsia="Verdana" w:hAnsi="Verdana" w:cs="Verdana"/>
                <w:color w:val="000000"/>
                <w:sz w:val="2"/>
                <w:lang w:val="en-GB"/>
              </w:rPr>
              <w:t xml:space="preserve"> </w:t>
            </w:r>
          </w:p>
        </w:tc>
        <w:tc>
          <w:tcPr>
            <w:tcW w:w="722" w:type="pct"/>
            <w:shd w:val="clear" w:color="auto" w:fill="auto"/>
            <w:tcMar>
              <w:top w:w="20" w:type="dxa"/>
              <w:left w:w="20" w:type="dxa"/>
              <w:bottom w:w="20" w:type="dxa"/>
              <w:right w:w="20" w:type="dxa"/>
            </w:tcMar>
          </w:tcPr>
          <w:p w14:paraId="04E5DF84" w14:textId="77777777" w:rsidR="00BC4850" w:rsidRPr="00D75696" w:rsidRDefault="00BC4850" w:rsidP="003A105D">
            <w:pPr>
              <w:pStyle w:val="T1TableStyle"/>
              <w:rPr>
                <w:rFonts w:ascii="Verdana" w:eastAsia="Verdana" w:hAnsi="Verdana" w:cs="Verdana"/>
                <w:color w:val="000000"/>
                <w:sz w:val="2"/>
                <w:lang w:val="en-GB"/>
              </w:rPr>
            </w:pPr>
            <w:r w:rsidRPr="00D75696">
              <w:rPr>
                <w:rFonts w:ascii="Verdana" w:eastAsia="Verdana" w:hAnsi="Verdana" w:cs="Verdana"/>
                <w:color w:val="000000"/>
                <w:sz w:val="2"/>
                <w:lang w:val="en-GB"/>
              </w:rPr>
              <w:t xml:space="preserve"> </w:t>
            </w:r>
          </w:p>
        </w:tc>
        <w:tc>
          <w:tcPr>
            <w:tcW w:w="723" w:type="pct"/>
            <w:shd w:val="clear" w:color="auto" w:fill="auto"/>
            <w:tcMar>
              <w:top w:w="20" w:type="dxa"/>
              <w:left w:w="20" w:type="dxa"/>
              <w:bottom w:w="20" w:type="dxa"/>
              <w:right w:w="20" w:type="dxa"/>
            </w:tcMar>
          </w:tcPr>
          <w:p w14:paraId="01BC6E8C" w14:textId="77777777" w:rsidR="00BC4850" w:rsidRPr="00D75696" w:rsidRDefault="00BC4850" w:rsidP="003A105D">
            <w:pPr>
              <w:pStyle w:val="T1TableStyle"/>
              <w:rPr>
                <w:rFonts w:ascii="Verdana" w:eastAsia="Verdana" w:hAnsi="Verdana" w:cs="Verdana"/>
                <w:color w:val="000000"/>
                <w:sz w:val="2"/>
                <w:lang w:val="en-GB"/>
              </w:rPr>
            </w:pPr>
            <w:r w:rsidRPr="00D75696">
              <w:rPr>
                <w:rFonts w:ascii="Verdana" w:eastAsia="Verdana" w:hAnsi="Verdana" w:cs="Verdana"/>
                <w:color w:val="000000"/>
                <w:sz w:val="2"/>
                <w:lang w:val="en-GB"/>
              </w:rPr>
              <w:t xml:space="preserve"> </w:t>
            </w:r>
          </w:p>
        </w:tc>
      </w:tr>
      <w:tr w:rsidR="00BC4850" w:rsidRPr="00D75696" w14:paraId="48519103" w14:textId="77777777" w:rsidTr="00FB5015">
        <w:trPr>
          <w:gridBefore w:val="1"/>
          <w:wBefore w:w="121" w:type="pct"/>
          <w:trHeight w:val="126"/>
          <w:jc w:val="center"/>
        </w:trPr>
        <w:tc>
          <w:tcPr>
            <w:tcW w:w="2042" w:type="pct"/>
            <w:shd w:val="clear" w:color="auto" w:fill="auto"/>
            <w:tcMar>
              <w:top w:w="20" w:type="dxa"/>
              <w:left w:w="20" w:type="dxa"/>
              <w:bottom w:w="20" w:type="dxa"/>
              <w:right w:w="20" w:type="dxa"/>
            </w:tcMar>
          </w:tcPr>
          <w:p w14:paraId="03ED566D" w14:textId="77777777" w:rsidR="00BC4850" w:rsidRPr="00D75696" w:rsidRDefault="00BC4850" w:rsidP="003A105D">
            <w:pPr>
              <w:pStyle w:val="T1TableStyle"/>
              <w:rPr>
                <w:rFonts w:ascii="Verdana" w:eastAsia="Verdana" w:hAnsi="Verdana" w:cs="Verdana"/>
                <w:color w:val="000000"/>
                <w:sz w:val="16"/>
                <w:lang w:val="en-GB"/>
              </w:rPr>
            </w:pPr>
            <w:r w:rsidRPr="00D75696">
              <w:rPr>
                <w:rFonts w:ascii="Verdana" w:eastAsia="Verdana" w:hAnsi="Verdana" w:cs="Verdana"/>
                <w:color w:val="000000"/>
                <w:sz w:val="16"/>
                <w:lang w:val="en-GB"/>
              </w:rPr>
              <w:t>Pension cost (transferred to (or from) the Pensions Reserve)</w:t>
            </w:r>
          </w:p>
        </w:tc>
        <w:tc>
          <w:tcPr>
            <w:tcW w:w="756" w:type="pct"/>
            <w:shd w:val="clear" w:color="auto" w:fill="auto"/>
            <w:tcMar>
              <w:top w:w="20" w:type="dxa"/>
              <w:left w:w="20" w:type="dxa"/>
              <w:bottom w:w="20" w:type="dxa"/>
              <w:right w:w="20" w:type="dxa"/>
            </w:tcMar>
          </w:tcPr>
          <w:p w14:paraId="43194FC4" w14:textId="77777777" w:rsidR="00BC4850" w:rsidRPr="00D75696" w:rsidRDefault="00BC4850" w:rsidP="003A105D">
            <w:pPr>
              <w:pStyle w:val="T1TableStyle"/>
              <w:jc w:val="right"/>
              <w:rPr>
                <w:rFonts w:ascii="Verdana" w:eastAsia="Verdana" w:hAnsi="Verdana" w:cs="Verdana"/>
                <w:color w:val="000000"/>
                <w:sz w:val="16"/>
                <w:lang w:val="en-GB"/>
              </w:rPr>
            </w:pPr>
            <w:r w:rsidRPr="00D75696">
              <w:rPr>
                <w:rFonts w:ascii="Verdana" w:eastAsia="Verdana" w:hAnsi="Verdana" w:cs="Verdana"/>
                <w:color w:val="000000"/>
                <w:sz w:val="16"/>
                <w:lang w:val="en-GB"/>
              </w:rPr>
              <w:t>(134)</w:t>
            </w:r>
          </w:p>
        </w:tc>
        <w:tc>
          <w:tcPr>
            <w:tcW w:w="636" w:type="pct"/>
            <w:shd w:val="clear" w:color="auto" w:fill="auto"/>
            <w:tcMar>
              <w:top w:w="20" w:type="dxa"/>
              <w:left w:w="20" w:type="dxa"/>
              <w:bottom w:w="20" w:type="dxa"/>
              <w:right w:w="20" w:type="dxa"/>
            </w:tcMar>
          </w:tcPr>
          <w:p w14:paraId="3D15E693"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2" w:type="pct"/>
            <w:shd w:val="clear" w:color="auto" w:fill="auto"/>
            <w:tcMar>
              <w:top w:w="20" w:type="dxa"/>
              <w:left w:w="20" w:type="dxa"/>
              <w:bottom w:w="20" w:type="dxa"/>
              <w:right w:w="20" w:type="dxa"/>
            </w:tcMar>
          </w:tcPr>
          <w:p w14:paraId="0C3B5D1D"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3" w:type="pct"/>
            <w:shd w:val="clear" w:color="auto" w:fill="auto"/>
            <w:tcMar>
              <w:top w:w="20" w:type="dxa"/>
              <w:left w:w="20" w:type="dxa"/>
              <w:bottom w:w="20" w:type="dxa"/>
              <w:right w:w="20" w:type="dxa"/>
            </w:tcMar>
          </w:tcPr>
          <w:p w14:paraId="5C6FCE7E" w14:textId="77777777" w:rsidR="00BC4850" w:rsidRPr="00D75696" w:rsidRDefault="00BC4850" w:rsidP="003A105D">
            <w:pPr>
              <w:pStyle w:val="T1TableStyle"/>
              <w:jc w:val="right"/>
              <w:rPr>
                <w:rFonts w:ascii="Verdana" w:eastAsia="Verdana" w:hAnsi="Verdana" w:cs="Verdana"/>
                <w:color w:val="000000"/>
                <w:sz w:val="16"/>
                <w:lang w:val="en-GB"/>
              </w:rPr>
            </w:pPr>
            <w:r w:rsidRPr="00D75696">
              <w:rPr>
                <w:rFonts w:ascii="Verdana" w:eastAsia="Verdana" w:hAnsi="Verdana" w:cs="Verdana"/>
                <w:color w:val="000000"/>
                <w:sz w:val="16"/>
                <w:lang w:val="en-GB"/>
              </w:rPr>
              <w:t>134</w:t>
            </w:r>
          </w:p>
        </w:tc>
      </w:tr>
      <w:tr w:rsidR="00BC4850" w:rsidRPr="00D75696" w14:paraId="6F511F8B" w14:textId="77777777" w:rsidTr="00FB5015">
        <w:trPr>
          <w:gridBefore w:val="1"/>
          <w:wBefore w:w="121" w:type="pct"/>
          <w:trHeight w:val="126"/>
          <w:jc w:val="center"/>
        </w:trPr>
        <w:tc>
          <w:tcPr>
            <w:tcW w:w="2042" w:type="pct"/>
            <w:shd w:val="clear" w:color="auto" w:fill="auto"/>
            <w:tcMar>
              <w:top w:w="20" w:type="dxa"/>
              <w:left w:w="20" w:type="dxa"/>
              <w:bottom w:w="20" w:type="dxa"/>
              <w:right w:w="20" w:type="dxa"/>
            </w:tcMar>
          </w:tcPr>
          <w:p w14:paraId="7C3506BD" w14:textId="77777777" w:rsidR="00BC4850" w:rsidRPr="00D75696" w:rsidRDefault="00BC4850" w:rsidP="003A105D">
            <w:pPr>
              <w:pStyle w:val="T1TableStyle"/>
              <w:rPr>
                <w:rFonts w:ascii="Verdana" w:eastAsia="Verdana" w:hAnsi="Verdana" w:cs="Verdana"/>
                <w:color w:val="000000"/>
                <w:sz w:val="16"/>
                <w:lang w:val="en-GB"/>
              </w:rPr>
            </w:pPr>
            <w:r w:rsidRPr="00D75696">
              <w:rPr>
                <w:rFonts w:ascii="Verdana" w:eastAsia="Verdana" w:hAnsi="Verdana" w:cs="Verdana"/>
                <w:color w:val="000000"/>
                <w:sz w:val="16"/>
                <w:lang w:val="en-GB"/>
              </w:rPr>
              <w:t>Council tax and NDR (transfers to or from the Collection Fund)</w:t>
            </w:r>
          </w:p>
        </w:tc>
        <w:tc>
          <w:tcPr>
            <w:tcW w:w="756" w:type="pct"/>
            <w:shd w:val="clear" w:color="auto" w:fill="auto"/>
            <w:tcMar>
              <w:top w:w="20" w:type="dxa"/>
              <w:left w:w="20" w:type="dxa"/>
              <w:bottom w:w="20" w:type="dxa"/>
              <w:right w:w="20" w:type="dxa"/>
            </w:tcMar>
          </w:tcPr>
          <w:p w14:paraId="19507B05" w14:textId="46EBAEC4" w:rsidR="00BC4850" w:rsidRPr="00D75696" w:rsidRDefault="005A2B92" w:rsidP="003A105D">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(2,486)</w:t>
            </w:r>
          </w:p>
        </w:tc>
        <w:tc>
          <w:tcPr>
            <w:tcW w:w="636" w:type="pct"/>
            <w:shd w:val="clear" w:color="auto" w:fill="auto"/>
            <w:tcMar>
              <w:top w:w="20" w:type="dxa"/>
              <w:left w:w="20" w:type="dxa"/>
              <w:bottom w:w="20" w:type="dxa"/>
              <w:right w:w="20" w:type="dxa"/>
            </w:tcMar>
          </w:tcPr>
          <w:p w14:paraId="3F8C3A1F"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2" w:type="pct"/>
            <w:shd w:val="clear" w:color="auto" w:fill="auto"/>
            <w:tcMar>
              <w:top w:w="20" w:type="dxa"/>
              <w:left w:w="20" w:type="dxa"/>
              <w:bottom w:w="20" w:type="dxa"/>
              <w:right w:w="20" w:type="dxa"/>
            </w:tcMar>
          </w:tcPr>
          <w:p w14:paraId="019E7FCC"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3" w:type="pct"/>
            <w:shd w:val="clear" w:color="auto" w:fill="auto"/>
            <w:tcMar>
              <w:top w:w="20" w:type="dxa"/>
              <w:left w:w="20" w:type="dxa"/>
              <w:bottom w:w="20" w:type="dxa"/>
              <w:right w:w="20" w:type="dxa"/>
            </w:tcMar>
          </w:tcPr>
          <w:p w14:paraId="389961FE" w14:textId="1E28847C" w:rsidR="00BC4850" w:rsidRPr="00D75696" w:rsidRDefault="005A2B92" w:rsidP="003A105D">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2,486</w:t>
            </w:r>
          </w:p>
        </w:tc>
      </w:tr>
      <w:tr w:rsidR="00BC4850" w:rsidRPr="00D75696" w14:paraId="2BC845E7" w14:textId="77777777" w:rsidTr="00FB5015">
        <w:trPr>
          <w:gridBefore w:val="1"/>
          <w:wBefore w:w="121" w:type="pct"/>
          <w:trHeight w:val="126"/>
          <w:jc w:val="center"/>
        </w:trPr>
        <w:tc>
          <w:tcPr>
            <w:tcW w:w="2042" w:type="pct"/>
            <w:shd w:val="clear" w:color="auto" w:fill="auto"/>
            <w:tcMar>
              <w:top w:w="20" w:type="dxa"/>
              <w:left w:w="20" w:type="dxa"/>
              <w:bottom w:w="20" w:type="dxa"/>
              <w:right w:w="20" w:type="dxa"/>
            </w:tcMar>
          </w:tcPr>
          <w:p w14:paraId="16340DBC" w14:textId="77777777" w:rsidR="00BC4850" w:rsidRPr="00D75696" w:rsidRDefault="00BC4850" w:rsidP="003A105D">
            <w:pPr>
              <w:pStyle w:val="T1TableStyle"/>
              <w:rPr>
                <w:rFonts w:ascii="Verdana" w:eastAsia="Verdana" w:hAnsi="Verdana" w:cs="Verdana"/>
                <w:color w:val="000000"/>
                <w:sz w:val="16"/>
                <w:lang w:val="en-GB"/>
              </w:rPr>
            </w:pPr>
          </w:p>
        </w:tc>
        <w:tc>
          <w:tcPr>
            <w:tcW w:w="756" w:type="pct"/>
            <w:shd w:val="clear" w:color="auto" w:fill="auto"/>
            <w:tcMar>
              <w:top w:w="20" w:type="dxa"/>
              <w:left w:w="20" w:type="dxa"/>
              <w:bottom w:w="20" w:type="dxa"/>
              <w:right w:w="20" w:type="dxa"/>
            </w:tcMar>
          </w:tcPr>
          <w:p w14:paraId="65FFB10C" w14:textId="77777777" w:rsidR="00BC4850" w:rsidRPr="00D75696" w:rsidRDefault="00BC4850" w:rsidP="003A105D">
            <w:pPr>
              <w:pStyle w:val="T1TableStyle"/>
              <w:jc w:val="right"/>
              <w:rPr>
                <w:rFonts w:ascii="Verdana" w:eastAsia="Verdana" w:hAnsi="Verdana" w:cs="Verdana"/>
                <w:color w:val="000000"/>
                <w:sz w:val="16"/>
                <w:lang w:val="en-GB"/>
              </w:rPr>
            </w:pPr>
          </w:p>
        </w:tc>
        <w:tc>
          <w:tcPr>
            <w:tcW w:w="636" w:type="pct"/>
            <w:shd w:val="clear" w:color="auto" w:fill="auto"/>
            <w:tcMar>
              <w:top w:w="20" w:type="dxa"/>
              <w:left w:w="20" w:type="dxa"/>
              <w:bottom w:w="20" w:type="dxa"/>
              <w:right w:w="20" w:type="dxa"/>
            </w:tcMar>
          </w:tcPr>
          <w:p w14:paraId="1D380BB4"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2" w:type="pct"/>
            <w:shd w:val="clear" w:color="auto" w:fill="auto"/>
            <w:tcMar>
              <w:top w:w="20" w:type="dxa"/>
              <w:left w:w="20" w:type="dxa"/>
              <w:bottom w:w="20" w:type="dxa"/>
              <w:right w:w="20" w:type="dxa"/>
            </w:tcMar>
          </w:tcPr>
          <w:p w14:paraId="0A25B2EA"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3" w:type="pct"/>
            <w:shd w:val="clear" w:color="auto" w:fill="auto"/>
            <w:tcMar>
              <w:top w:w="20" w:type="dxa"/>
              <w:left w:w="20" w:type="dxa"/>
              <w:bottom w:w="20" w:type="dxa"/>
              <w:right w:w="20" w:type="dxa"/>
            </w:tcMar>
          </w:tcPr>
          <w:p w14:paraId="634D6929" w14:textId="77777777" w:rsidR="00BC4850" w:rsidRPr="00D75696" w:rsidRDefault="00BC4850" w:rsidP="003A105D">
            <w:pPr>
              <w:pStyle w:val="T1TableStyle"/>
              <w:jc w:val="right"/>
              <w:rPr>
                <w:rFonts w:ascii="Verdana" w:eastAsia="Verdana" w:hAnsi="Verdana" w:cs="Verdana"/>
                <w:color w:val="000000"/>
                <w:sz w:val="16"/>
                <w:lang w:val="en-GB"/>
              </w:rPr>
            </w:pPr>
          </w:p>
        </w:tc>
      </w:tr>
      <w:tr w:rsidR="00BC4850" w:rsidRPr="00D75696" w14:paraId="2D098C0A" w14:textId="77777777" w:rsidTr="00FB5015">
        <w:trPr>
          <w:gridBefore w:val="1"/>
          <w:wBefore w:w="121" w:type="pct"/>
          <w:trHeight w:val="126"/>
          <w:jc w:val="center"/>
        </w:trPr>
        <w:tc>
          <w:tcPr>
            <w:tcW w:w="2042" w:type="pct"/>
            <w:tcBorders>
              <w:bottom w:val="single" w:sz="2" w:space="0" w:color="000000"/>
            </w:tcBorders>
            <w:shd w:val="clear" w:color="auto" w:fill="auto"/>
            <w:tcMar>
              <w:top w:w="20" w:type="dxa"/>
              <w:left w:w="20" w:type="dxa"/>
              <w:bottom w:w="20" w:type="dxa"/>
              <w:right w:w="20" w:type="dxa"/>
            </w:tcMar>
          </w:tcPr>
          <w:p w14:paraId="3D2E79FF" w14:textId="77777777" w:rsidR="00BC4850" w:rsidRPr="00D75696" w:rsidRDefault="00BC4850" w:rsidP="003A105D">
            <w:pPr>
              <w:pStyle w:val="T1TableStyle"/>
              <w:rPr>
                <w:rFonts w:ascii="Verdana" w:eastAsia="Verdana" w:hAnsi="Verdana" w:cs="Verdana"/>
                <w:color w:val="000000"/>
                <w:sz w:val="16"/>
                <w:lang w:val="en-GB"/>
              </w:rPr>
            </w:pPr>
            <w:r w:rsidRPr="00D75696">
              <w:rPr>
                <w:rFonts w:ascii="Verdana" w:eastAsia="Verdana" w:hAnsi="Verdana" w:cs="Verdana"/>
                <w:color w:val="000000"/>
                <w:sz w:val="16"/>
                <w:lang w:val="en-GB"/>
              </w:rPr>
              <w:t>Reversal of entries included in the Surplus or Deficit on the Provision of Services in relation to capital expenditure (these items are charged to the Capital Adjustment Account)</w:t>
            </w:r>
          </w:p>
        </w:tc>
        <w:tc>
          <w:tcPr>
            <w:tcW w:w="756" w:type="pct"/>
            <w:tcBorders>
              <w:bottom w:val="single" w:sz="2" w:space="0" w:color="000000"/>
            </w:tcBorders>
            <w:shd w:val="clear" w:color="auto" w:fill="auto"/>
            <w:tcMar>
              <w:top w:w="20" w:type="dxa"/>
              <w:left w:w="20" w:type="dxa"/>
              <w:bottom w:w="20" w:type="dxa"/>
              <w:right w:w="20" w:type="dxa"/>
            </w:tcMar>
          </w:tcPr>
          <w:p w14:paraId="3B0B05A0" w14:textId="76AC521D" w:rsidR="00BC4850" w:rsidRPr="00D75696" w:rsidRDefault="004F75BB" w:rsidP="003A105D">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r w:rsidR="005A2B92">
              <w:rPr>
                <w:rFonts w:ascii="Verdana" w:eastAsia="Verdana" w:hAnsi="Verdana" w:cs="Verdana"/>
                <w:color w:val="000000"/>
                <w:sz w:val="16"/>
                <w:lang w:val="en-GB"/>
              </w:rPr>
              <w:t>4,063</w:t>
            </w:r>
            <w:r w:rsidR="00BC4850" w:rsidRPr="00D75696">
              <w:rPr>
                <w:rFonts w:ascii="Verdana" w:eastAsia="Verdana" w:hAnsi="Verdana" w:cs="Verdana"/>
                <w:color w:val="000000"/>
                <w:sz w:val="16"/>
                <w:lang w:val="en-GB"/>
              </w:rPr>
              <w:t>)</w:t>
            </w:r>
          </w:p>
        </w:tc>
        <w:tc>
          <w:tcPr>
            <w:tcW w:w="636" w:type="pct"/>
            <w:tcBorders>
              <w:bottom w:val="single" w:sz="2" w:space="0" w:color="000000"/>
            </w:tcBorders>
            <w:shd w:val="clear" w:color="auto" w:fill="auto"/>
            <w:tcMar>
              <w:top w:w="20" w:type="dxa"/>
              <w:left w:w="20" w:type="dxa"/>
              <w:bottom w:w="20" w:type="dxa"/>
              <w:right w:w="20" w:type="dxa"/>
            </w:tcMar>
          </w:tcPr>
          <w:p w14:paraId="30E3AABC"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2" w:type="pct"/>
            <w:tcBorders>
              <w:bottom w:val="single" w:sz="2" w:space="0" w:color="000000"/>
            </w:tcBorders>
            <w:shd w:val="clear" w:color="auto" w:fill="auto"/>
            <w:tcMar>
              <w:top w:w="20" w:type="dxa"/>
              <w:left w:w="20" w:type="dxa"/>
              <w:bottom w:w="20" w:type="dxa"/>
              <w:right w:w="20" w:type="dxa"/>
            </w:tcMar>
          </w:tcPr>
          <w:p w14:paraId="2919BF72" w14:textId="1373874B" w:rsidR="00BC4850" w:rsidRPr="00D75696" w:rsidRDefault="005A2B92" w:rsidP="003A105D">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(297)</w:t>
            </w:r>
          </w:p>
        </w:tc>
        <w:tc>
          <w:tcPr>
            <w:tcW w:w="723" w:type="pct"/>
            <w:tcBorders>
              <w:bottom w:val="single" w:sz="2" w:space="0" w:color="000000"/>
            </w:tcBorders>
            <w:shd w:val="clear" w:color="auto" w:fill="auto"/>
            <w:tcMar>
              <w:top w:w="20" w:type="dxa"/>
              <w:left w:w="20" w:type="dxa"/>
              <w:bottom w:w="20" w:type="dxa"/>
              <w:right w:w="20" w:type="dxa"/>
            </w:tcMar>
          </w:tcPr>
          <w:p w14:paraId="5BD24763" w14:textId="1406C4E5" w:rsidR="00BC4850" w:rsidRPr="00D75696" w:rsidRDefault="004F75BB">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r w:rsidR="005A2B92">
              <w:rPr>
                <w:rFonts w:ascii="Verdana" w:eastAsia="Verdana" w:hAnsi="Verdana" w:cs="Verdana"/>
                <w:color w:val="000000"/>
                <w:sz w:val="16"/>
                <w:lang w:val="en-GB"/>
              </w:rPr>
              <w:t>4</w:t>
            </w:r>
            <w:r>
              <w:rPr>
                <w:rFonts w:ascii="Verdana" w:eastAsia="Verdana" w:hAnsi="Verdana" w:cs="Verdana"/>
                <w:color w:val="000000"/>
                <w:sz w:val="16"/>
                <w:lang w:val="en-GB"/>
              </w:rPr>
              <w:t>,</w:t>
            </w:r>
            <w:r w:rsidR="005A2B92">
              <w:rPr>
                <w:rFonts w:ascii="Verdana" w:eastAsia="Verdana" w:hAnsi="Verdana" w:cs="Verdana"/>
                <w:color w:val="000000"/>
                <w:sz w:val="16"/>
                <w:lang w:val="en-GB"/>
              </w:rPr>
              <w:t>360</w:t>
            </w:r>
          </w:p>
        </w:tc>
      </w:tr>
      <w:tr w:rsidR="00BC4850" w:rsidRPr="00D75696" w14:paraId="2BC1BD8B" w14:textId="77777777" w:rsidTr="00FB5015">
        <w:trPr>
          <w:gridBefore w:val="1"/>
          <w:wBefore w:w="121" w:type="pct"/>
          <w:trHeight w:val="126"/>
          <w:jc w:val="center"/>
        </w:trPr>
        <w:tc>
          <w:tcPr>
            <w:tcW w:w="2042" w:type="pct"/>
            <w:shd w:val="clear" w:color="auto" w:fill="auto"/>
            <w:tcMar>
              <w:top w:w="20" w:type="dxa"/>
              <w:left w:w="20" w:type="dxa"/>
              <w:bottom w:w="20" w:type="dxa"/>
              <w:right w:w="20" w:type="dxa"/>
            </w:tcMar>
          </w:tcPr>
          <w:p w14:paraId="624E24C3" w14:textId="77777777" w:rsidR="00BC4850" w:rsidRPr="00FB5015" w:rsidRDefault="00BC4850" w:rsidP="003A105D">
            <w:pPr>
              <w:pStyle w:val="T1TableStyle"/>
              <w:rPr>
                <w:rFonts w:ascii="Verdana" w:eastAsia="Verdana" w:hAnsi="Verdana" w:cs="Verdana"/>
                <w:b/>
                <w:color w:val="000000"/>
                <w:sz w:val="16"/>
                <w:lang w:val="en-GB"/>
              </w:rPr>
            </w:pPr>
            <w:r w:rsidRPr="00FB5015">
              <w:rPr>
                <w:rFonts w:ascii="Verdana" w:eastAsia="Verdana" w:hAnsi="Verdana" w:cs="Verdana"/>
                <w:b/>
                <w:color w:val="000000"/>
                <w:sz w:val="16"/>
                <w:lang w:val="en-GB"/>
              </w:rPr>
              <w:t>Total Adjustments to Revenue Resources</w:t>
            </w:r>
          </w:p>
        </w:tc>
        <w:tc>
          <w:tcPr>
            <w:tcW w:w="756" w:type="pct"/>
            <w:shd w:val="clear" w:color="auto" w:fill="auto"/>
            <w:tcMar>
              <w:top w:w="20" w:type="dxa"/>
              <w:left w:w="20" w:type="dxa"/>
              <w:bottom w:w="20" w:type="dxa"/>
              <w:right w:w="20" w:type="dxa"/>
            </w:tcMar>
          </w:tcPr>
          <w:p w14:paraId="6AE53177" w14:textId="62BC427B" w:rsidR="00BC4850" w:rsidRPr="00FB5015" w:rsidRDefault="004F75BB" w:rsidP="003A105D">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(1</w:t>
            </w:r>
            <w:r w:rsidR="005A2B92">
              <w:rPr>
                <w:rFonts w:ascii="Verdana" w:eastAsia="Verdana" w:hAnsi="Verdana" w:cs="Verdana"/>
                <w:b/>
                <w:color w:val="000000"/>
                <w:sz w:val="16"/>
                <w:lang w:val="en-GB"/>
              </w:rPr>
              <w:t>6,683</w:t>
            </w:r>
            <w:r w:rsidR="00BC4850" w:rsidRPr="00FB5015">
              <w:rPr>
                <w:rFonts w:ascii="Verdana" w:eastAsia="Verdana" w:hAnsi="Verdana" w:cs="Verdana"/>
                <w:b/>
                <w:color w:val="000000"/>
                <w:sz w:val="16"/>
                <w:lang w:val="en-GB"/>
              </w:rPr>
              <w:t>)</w:t>
            </w:r>
          </w:p>
        </w:tc>
        <w:tc>
          <w:tcPr>
            <w:tcW w:w="636" w:type="pct"/>
            <w:shd w:val="clear" w:color="auto" w:fill="auto"/>
            <w:tcMar>
              <w:top w:w="20" w:type="dxa"/>
              <w:left w:w="20" w:type="dxa"/>
              <w:bottom w:w="20" w:type="dxa"/>
              <w:right w:w="20" w:type="dxa"/>
            </w:tcMar>
          </w:tcPr>
          <w:p w14:paraId="75A7A042" w14:textId="77777777" w:rsidR="00BC4850" w:rsidRPr="00FB5015" w:rsidRDefault="00BC4850" w:rsidP="003A105D">
            <w:pPr>
              <w:pStyle w:val="T1TableStyle"/>
              <w:jc w:val="right"/>
              <w:rPr>
                <w:rFonts w:ascii="Verdana" w:eastAsia="Verdana" w:hAnsi="Verdana" w:cs="Verdana"/>
                <w:b/>
                <w:color w:val="000000"/>
                <w:sz w:val="16"/>
                <w:lang w:val="en-GB"/>
              </w:rPr>
            </w:pPr>
          </w:p>
        </w:tc>
        <w:tc>
          <w:tcPr>
            <w:tcW w:w="722" w:type="pct"/>
            <w:shd w:val="clear" w:color="auto" w:fill="auto"/>
            <w:tcMar>
              <w:top w:w="20" w:type="dxa"/>
              <w:left w:w="20" w:type="dxa"/>
              <w:bottom w:w="20" w:type="dxa"/>
              <w:right w:w="20" w:type="dxa"/>
            </w:tcMar>
          </w:tcPr>
          <w:p w14:paraId="3ABBF1E6" w14:textId="573AE5DB" w:rsidR="00BC4850" w:rsidRPr="00FB5015" w:rsidRDefault="005A2B92" w:rsidP="003A105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(297)</w:t>
            </w:r>
          </w:p>
        </w:tc>
        <w:tc>
          <w:tcPr>
            <w:tcW w:w="723" w:type="pct"/>
            <w:shd w:val="clear" w:color="auto" w:fill="auto"/>
            <w:tcMar>
              <w:top w:w="20" w:type="dxa"/>
              <w:left w:w="20" w:type="dxa"/>
              <w:bottom w:w="20" w:type="dxa"/>
              <w:right w:w="20" w:type="dxa"/>
            </w:tcMar>
          </w:tcPr>
          <w:p w14:paraId="573BCA03" w14:textId="6B4F58D9" w:rsidR="00BC4850" w:rsidRPr="00FB5015" w:rsidRDefault="005A2B92">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16,980</w:t>
            </w:r>
          </w:p>
        </w:tc>
      </w:tr>
      <w:tr w:rsidR="00BC4850" w:rsidRPr="00D75696" w14:paraId="1A52DBAF" w14:textId="77777777" w:rsidTr="00FB5015">
        <w:trPr>
          <w:gridBefore w:val="1"/>
          <w:wBefore w:w="121" w:type="pct"/>
          <w:trHeight w:hRule="exact" w:val="73"/>
          <w:jc w:val="center"/>
        </w:trPr>
        <w:tc>
          <w:tcPr>
            <w:tcW w:w="2042" w:type="pct"/>
            <w:shd w:val="clear" w:color="auto" w:fill="auto"/>
            <w:tcMar>
              <w:top w:w="20" w:type="dxa"/>
              <w:left w:w="20" w:type="dxa"/>
              <w:bottom w:w="20" w:type="dxa"/>
              <w:right w:w="20" w:type="dxa"/>
            </w:tcMar>
          </w:tcPr>
          <w:p w14:paraId="429138EA" w14:textId="77777777" w:rsidR="00BC4850" w:rsidRPr="00D75696" w:rsidRDefault="00BC4850" w:rsidP="003A105D">
            <w:pPr>
              <w:pStyle w:val="T1TableStyle"/>
              <w:jc w:val="center"/>
              <w:rPr>
                <w:rFonts w:ascii="Verdana" w:eastAsia="Verdana" w:hAnsi="Verdana" w:cs="Verdana"/>
                <w:color w:val="000000"/>
                <w:sz w:val="2"/>
                <w:lang w:val="en-GB"/>
              </w:rPr>
            </w:pPr>
            <w:r w:rsidRPr="00D75696">
              <w:rPr>
                <w:rFonts w:ascii="Verdana" w:eastAsia="Verdana" w:hAnsi="Verdana" w:cs="Verdana"/>
                <w:color w:val="000000"/>
                <w:sz w:val="2"/>
                <w:lang w:val="en-GB"/>
              </w:rPr>
              <w:t xml:space="preserve"> </w:t>
            </w:r>
          </w:p>
        </w:tc>
        <w:tc>
          <w:tcPr>
            <w:tcW w:w="756" w:type="pct"/>
            <w:shd w:val="clear" w:color="auto" w:fill="auto"/>
            <w:tcMar>
              <w:top w:w="20" w:type="dxa"/>
              <w:left w:w="20" w:type="dxa"/>
              <w:bottom w:w="20" w:type="dxa"/>
              <w:right w:w="20" w:type="dxa"/>
            </w:tcMar>
          </w:tcPr>
          <w:p w14:paraId="5841446B" w14:textId="77777777" w:rsidR="00BC4850" w:rsidRPr="00D75696" w:rsidRDefault="00BC4850" w:rsidP="003A105D">
            <w:pPr>
              <w:pStyle w:val="T1TableStyle"/>
              <w:jc w:val="center"/>
              <w:rPr>
                <w:rFonts w:ascii="Verdana" w:eastAsia="Verdana" w:hAnsi="Verdana" w:cs="Verdana"/>
                <w:color w:val="000000"/>
                <w:sz w:val="2"/>
                <w:lang w:val="en-GB"/>
              </w:rPr>
            </w:pPr>
          </w:p>
        </w:tc>
        <w:tc>
          <w:tcPr>
            <w:tcW w:w="636" w:type="pct"/>
            <w:shd w:val="clear" w:color="auto" w:fill="auto"/>
            <w:tcMar>
              <w:top w:w="20" w:type="dxa"/>
              <w:left w:w="20" w:type="dxa"/>
              <w:bottom w:w="20" w:type="dxa"/>
              <w:right w:w="20" w:type="dxa"/>
            </w:tcMar>
          </w:tcPr>
          <w:p w14:paraId="5AEAADC9"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2" w:type="pct"/>
            <w:shd w:val="clear" w:color="auto" w:fill="auto"/>
            <w:tcMar>
              <w:top w:w="20" w:type="dxa"/>
              <w:left w:w="20" w:type="dxa"/>
              <w:bottom w:w="20" w:type="dxa"/>
              <w:right w:w="20" w:type="dxa"/>
            </w:tcMar>
          </w:tcPr>
          <w:p w14:paraId="7819EDF4"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3" w:type="pct"/>
            <w:shd w:val="clear" w:color="auto" w:fill="auto"/>
            <w:tcMar>
              <w:top w:w="20" w:type="dxa"/>
              <w:left w:w="20" w:type="dxa"/>
              <w:bottom w:w="20" w:type="dxa"/>
              <w:right w:w="20" w:type="dxa"/>
            </w:tcMar>
          </w:tcPr>
          <w:p w14:paraId="15CAA619" w14:textId="77777777" w:rsidR="00BC4850" w:rsidRPr="00D75696" w:rsidRDefault="00BC4850" w:rsidP="0041394A">
            <w:pPr>
              <w:pStyle w:val="T1TableStyle"/>
              <w:rPr>
                <w:rFonts w:ascii="Verdana" w:eastAsia="Verdana" w:hAnsi="Verdana" w:cs="Verdana"/>
                <w:color w:val="000000"/>
                <w:sz w:val="2"/>
                <w:lang w:val="en-GB"/>
              </w:rPr>
            </w:pPr>
          </w:p>
        </w:tc>
      </w:tr>
      <w:tr w:rsidR="00BC4850" w:rsidRPr="00D75696" w14:paraId="68BDC7DF" w14:textId="77777777" w:rsidTr="00FB5015">
        <w:trPr>
          <w:gridBefore w:val="1"/>
          <w:wBefore w:w="121" w:type="pct"/>
          <w:trHeight w:val="126"/>
          <w:jc w:val="center"/>
        </w:trPr>
        <w:tc>
          <w:tcPr>
            <w:tcW w:w="2042" w:type="pct"/>
            <w:shd w:val="clear" w:color="auto" w:fill="auto"/>
            <w:tcMar>
              <w:top w:w="20" w:type="dxa"/>
              <w:left w:w="20" w:type="dxa"/>
              <w:bottom w:w="20" w:type="dxa"/>
              <w:right w:w="20" w:type="dxa"/>
            </w:tcMar>
          </w:tcPr>
          <w:p w14:paraId="77C290CD" w14:textId="77777777" w:rsidR="00BC4850" w:rsidRPr="00D75696" w:rsidRDefault="00BC4850" w:rsidP="003A105D">
            <w:pPr>
              <w:pStyle w:val="T1TableStyle"/>
              <w:rPr>
                <w:rFonts w:ascii="Verdana" w:eastAsia="Verdana" w:hAnsi="Verdana" w:cs="Verdana"/>
                <w:color w:val="000000"/>
                <w:sz w:val="16"/>
                <w:lang w:val="en-GB"/>
              </w:rPr>
            </w:pPr>
            <w:r w:rsidRPr="00D75696">
              <w:rPr>
                <w:rFonts w:ascii="Verdana" w:eastAsia="Verdana" w:hAnsi="Verdana" w:cs="Verdana"/>
                <w:color w:val="000000"/>
                <w:sz w:val="16"/>
                <w:lang w:val="en-GB"/>
              </w:rPr>
              <w:t xml:space="preserve">Adjustments between Revenue and Capital Resources </w:t>
            </w:r>
          </w:p>
          <w:p w14:paraId="7E3A0C91" w14:textId="77777777" w:rsidR="00BC4850" w:rsidRPr="00D75696" w:rsidRDefault="00BC4850" w:rsidP="003A105D">
            <w:pPr>
              <w:pStyle w:val="T1TableStyle"/>
              <w:rPr>
                <w:rFonts w:ascii="Verdana" w:eastAsia="Verdana" w:hAnsi="Verdana" w:cs="Verdana"/>
                <w:color w:val="000000"/>
                <w:sz w:val="16"/>
                <w:lang w:val="en-GB"/>
              </w:rPr>
            </w:pPr>
            <w:r w:rsidRPr="00D75696">
              <w:rPr>
                <w:rFonts w:ascii="Verdana" w:eastAsia="Verdana" w:hAnsi="Verdana" w:cs="Verdana"/>
                <w:color w:val="000000"/>
                <w:sz w:val="16"/>
                <w:lang w:val="en-GB"/>
              </w:rPr>
              <w:t xml:space="preserve">Transfer Capital Receipts to Capital Receipts Reserve                                                                                        </w:t>
            </w:r>
          </w:p>
        </w:tc>
        <w:tc>
          <w:tcPr>
            <w:tcW w:w="756" w:type="pct"/>
            <w:shd w:val="clear" w:color="auto" w:fill="auto"/>
            <w:tcMar>
              <w:top w:w="20" w:type="dxa"/>
              <w:left w:w="20" w:type="dxa"/>
              <w:bottom w:w="20" w:type="dxa"/>
              <w:right w:w="20" w:type="dxa"/>
            </w:tcMar>
          </w:tcPr>
          <w:p w14:paraId="14011FDF" w14:textId="536CDEF8" w:rsidR="00BC4850" w:rsidRPr="00D75696" w:rsidRDefault="005A2B92" w:rsidP="0041394A">
            <w:pPr>
              <w:tabs>
                <w:tab w:val="left" w:pos="332"/>
                <w:tab w:val="center" w:pos="572"/>
              </w:tabs>
              <w:jc w:val="right"/>
              <w:rPr>
                <w:sz w:val="16"/>
                <w:szCs w:val="16"/>
                <w:lang w:val="en-GB"/>
              </w:rPr>
            </w:pPr>
            <w:r>
              <w:rPr>
                <w:sz w:val="16"/>
                <w:szCs w:val="16"/>
                <w:lang w:val="en-GB"/>
              </w:rPr>
              <w:t>3,379</w:t>
            </w:r>
          </w:p>
        </w:tc>
        <w:tc>
          <w:tcPr>
            <w:tcW w:w="636" w:type="pct"/>
            <w:shd w:val="clear" w:color="auto" w:fill="auto"/>
            <w:tcMar>
              <w:top w:w="20" w:type="dxa"/>
              <w:left w:w="20" w:type="dxa"/>
              <w:bottom w:w="20" w:type="dxa"/>
              <w:right w:w="20" w:type="dxa"/>
            </w:tcMar>
          </w:tcPr>
          <w:p w14:paraId="0A3077F8" w14:textId="12B2A9C9" w:rsidR="00BC4850" w:rsidRPr="00D75696" w:rsidRDefault="005A2B92" w:rsidP="0041394A">
            <w:pPr>
              <w:tabs>
                <w:tab w:val="left" w:pos="881"/>
              </w:tabs>
              <w:jc w:val="right"/>
              <w:rPr>
                <w:sz w:val="16"/>
                <w:szCs w:val="16"/>
                <w:lang w:val="en-GB"/>
              </w:rPr>
            </w:pPr>
            <w:r>
              <w:rPr>
                <w:sz w:val="16"/>
                <w:szCs w:val="16"/>
                <w:lang w:val="en-GB"/>
              </w:rPr>
              <w:t>(3,379)</w:t>
            </w:r>
          </w:p>
        </w:tc>
        <w:tc>
          <w:tcPr>
            <w:tcW w:w="722" w:type="pct"/>
            <w:shd w:val="clear" w:color="auto" w:fill="auto"/>
            <w:tcMar>
              <w:top w:w="20" w:type="dxa"/>
              <w:left w:w="20" w:type="dxa"/>
              <w:bottom w:w="20" w:type="dxa"/>
              <w:right w:w="20" w:type="dxa"/>
            </w:tcMar>
          </w:tcPr>
          <w:p w14:paraId="0077234A"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3" w:type="pct"/>
            <w:shd w:val="clear" w:color="auto" w:fill="auto"/>
            <w:tcMar>
              <w:top w:w="20" w:type="dxa"/>
              <w:left w:w="20" w:type="dxa"/>
              <w:bottom w:w="20" w:type="dxa"/>
              <w:right w:w="20" w:type="dxa"/>
            </w:tcMar>
          </w:tcPr>
          <w:p w14:paraId="75917837" w14:textId="77777777" w:rsidR="00BC4850" w:rsidRPr="00D75696" w:rsidRDefault="00BC4850" w:rsidP="003A105D">
            <w:pPr>
              <w:tabs>
                <w:tab w:val="left" w:pos="559"/>
              </w:tabs>
              <w:rPr>
                <w:sz w:val="16"/>
                <w:szCs w:val="16"/>
                <w:lang w:val="en-GB"/>
              </w:rPr>
            </w:pPr>
          </w:p>
        </w:tc>
      </w:tr>
      <w:tr w:rsidR="00BC4850" w:rsidRPr="00D75696" w14:paraId="17D704EE" w14:textId="77777777" w:rsidTr="00FB5015">
        <w:trPr>
          <w:gridBefore w:val="1"/>
          <w:wBefore w:w="121" w:type="pct"/>
          <w:trHeight w:val="126"/>
          <w:jc w:val="center"/>
        </w:trPr>
        <w:tc>
          <w:tcPr>
            <w:tcW w:w="2042" w:type="pct"/>
            <w:shd w:val="clear" w:color="auto" w:fill="auto"/>
            <w:tcMar>
              <w:top w:w="20" w:type="dxa"/>
              <w:left w:w="20" w:type="dxa"/>
              <w:bottom w:w="20" w:type="dxa"/>
              <w:right w:w="20" w:type="dxa"/>
            </w:tcMar>
          </w:tcPr>
          <w:p w14:paraId="53A99EFC" w14:textId="77777777" w:rsidR="00BC4850" w:rsidRPr="00D75696" w:rsidRDefault="00BC4850" w:rsidP="003A105D">
            <w:pPr>
              <w:pStyle w:val="T1TableStyle"/>
              <w:rPr>
                <w:rFonts w:ascii="Verdana" w:eastAsia="Verdana" w:hAnsi="Verdana" w:cs="Verdana"/>
                <w:color w:val="000000"/>
                <w:sz w:val="16"/>
                <w:lang w:val="en-GB"/>
              </w:rPr>
            </w:pPr>
            <w:r w:rsidRPr="00D75696">
              <w:rPr>
                <w:rFonts w:ascii="Verdana" w:eastAsia="Verdana" w:hAnsi="Verdana" w:cs="Verdana"/>
                <w:color w:val="000000"/>
                <w:sz w:val="16"/>
                <w:lang w:val="en-GB"/>
              </w:rPr>
              <w:t>Statutory Provision for the repayment of debt (transfer to the Capital Adjustment Account)</w:t>
            </w:r>
          </w:p>
        </w:tc>
        <w:tc>
          <w:tcPr>
            <w:tcW w:w="756" w:type="pct"/>
            <w:shd w:val="clear" w:color="auto" w:fill="auto"/>
            <w:tcMar>
              <w:top w:w="20" w:type="dxa"/>
              <w:left w:w="20" w:type="dxa"/>
              <w:bottom w:w="20" w:type="dxa"/>
              <w:right w:w="20" w:type="dxa"/>
            </w:tcMar>
          </w:tcPr>
          <w:p w14:paraId="2D4515BF" w14:textId="77777777" w:rsidR="00BC4850" w:rsidRPr="00D75696" w:rsidRDefault="00BC4850" w:rsidP="003A105D">
            <w:pPr>
              <w:pStyle w:val="T1TableStyle"/>
              <w:jc w:val="right"/>
              <w:rPr>
                <w:rFonts w:ascii="Verdana" w:eastAsia="Verdana" w:hAnsi="Verdana" w:cs="Verdana"/>
                <w:color w:val="000000"/>
                <w:sz w:val="16"/>
                <w:lang w:val="en-GB"/>
              </w:rPr>
            </w:pPr>
            <w:r w:rsidRPr="00D75696">
              <w:rPr>
                <w:rFonts w:ascii="Verdana" w:eastAsia="Verdana" w:hAnsi="Verdana" w:cs="Verdana"/>
                <w:color w:val="000000"/>
                <w:sz w:val="16"/>
                <w:lang w:val="en-GB"/>
              </w:rPr>
              <w:t>1,070</w:t>
            </w:r>
          </w:p>
        </w:tc>
        <w:tc>
          <w:tcPr>
            <w:tcW w:w="636" w:type="pct"/>
            <w:shd w:val="clear" w:color="auto" w:fill="auto"/>
            <w:tcMar>
              <w:top w:w="20" w:type="dxa"/>
              <w:left w:w="20" w:type="dxa"/>
              <w:bottom w:w="20" w:type="dxa"/>
              <w:right w:w="20" w:type="dxa"/>
            </w:tcMar>
          </w:tcPr>
          <w:p w14:paraId="4E5FFEF4"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2" w:type="pct"/>
            <w:shd w:val="clear" w:color="auto" w:fill="auto"/>
            <w:tcMar>
              <w:top w:w="20" w:type="dxa"/>
              <w:left w:w="20" w:type="dxa"/>
              <w:bottom w:w="20" w:type="dxa"/>
              <w:right w:w="20" w:type="dxa"/>
            </w:tcMar>
          </w:tcPr>
          <w:p w14:paraId="53C4A3D1"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3" w:type="pct"/>
            <w:shd w:val="clear" w:color="auto" w:fill="auto"/>
            <w:tcMar>
              <w:top w:w="20" w:type="dxa"/>
              <w:left w:w="20" w:type="dxa"/>
              <w:bottom w:w="20" w:type="dxa"/>
              <w:right w:w="20" w:type="dxa"/>
            </w:tcMar>
          </w:tcPr>
          <w:p w14:paraId="39CD6636" w14:textId="77777777" w:rsidR="00BC4850" w:rsidRPr="00D75696" w:rsidRDefault="00BC4850" w:rsidP="003A105D">
            <w:pPr>
              <w:pStyle w:val="T1TableStyle"/>
              <w:jc w:val="right"/>
              <w:rPr>
                <w:rFonts w:ascii="Verdana" w:eastAsia="Verdana" w:hAnsi="Verdana" w:cs="Verdana"/>
                <w:color w:val="000000"/>
                <w:sz w:val="16"/>
                <w:lang w:val="en-GB"/>
              </w:rPr>
            </w:pPr>
            <w:r w:rsidRPr="00D75696">
              <w:rPr>
                <w:rFonts w:ascii="Verdana" w:eastAsia="Verdana" w:hAnsi="Verdana" w:cs="Verdana"/>
                <w:color w:val="000000"/>
                <w:sz w:val="16"/>
                <w:lang w:val="en-GB"/>
              </w:rPr>
              <w:t>(1,070)</w:t>
            </w:r>
          </w:p>
        </w:tc>
      </w:tr>
      <w:tr w:rsidR="00BC4850" w:rsidRPr="00D75696" w14:paraId="06608C65" w14:textId="77777777" w:rsidTr="00FB5015">
        <w:trPr>
          <w:gridBefore w:val="1"/>
          <w:wBefore w:w="121" w:type="pct"/>
          <w:trHeight w:val="126"/>
          <w:jc w:val="center"/>
        </w:trPr>
        <w:tc>
          <w:tcPr>
            <w:tcW w:w="2042" w:type="pct"/>
            <w:tcBorders>
              <w:bottom w:val="single" w:sz="2" w:space="0" w:color="000000"/>
            </w:tcBorders>
            <w:shd w:val="clear" w:color="auto" w:fill="auto"/>
            <w:tcMar>
              <w:top w:w="20" w:type="dxa"/>
              <w:left w:w="20" w:type="dxa"/>
              <w:bottom w:w="20" w:type="dxa"/>
              <w:right w:w="20" w:type="dxa"/>
            </w:tcMar>
          </w:tcPr>
          <w:p w14:paraId="2EE4D3BC" w14:textId="77777777" w:rsidR="00BC4850" w:rsidRPr="00D75696" w:rsidRDefault="00BC4850" w:rsidP="003A105D">
            <w:pPr>
              <w:pStyle w:val="T1TableStyle"/>
              <w:rPr>
                <w:rFonts w:ascii="Verdana" w:eastAsia="Verdana" w:hAnsi="Verdana" w:cs="Verdana"/>
                <w:color w:val="000000"/>
                <w:sz w:val="16"/>
                <w:lang w:val="en-GB"/>
              </w:rPr>
            </w:pPr>
            <w:r w:rsidRPr="00D75696">
              <w:rPr>
                <w:rFonts w:ascii="Verdana" w:eastAsia="Verdana" w:hAnsi="Verdana" w:cs="Verdana"/>
                <w:color w:val="000000"/>
                <w:sz w:val="16"/>
                <w:lang w:val="en-GB"/>
              </w:rPr>
              <w:t>Capital expenditure financed from revenue balances (transfer to the Capital Adjustment Account)</w:t>
            </w:r>
          </w:p>
        </w:tc>
        <w:tc>
          <w:tcPr>
            <w:tcW w:w="756" w:type="pct"/>
            <w:tcBorders>
              <w:bottom w:val="single" w:sz="2" w:space="0" w:color="000000"/>
            </w:tcBorders>
            <w:shd w:val="clear" w:color="auto" w:fill="auto"/>
            <w:tcMar>
              <w:top w:w="20" w:type="dxa"/>
              <w:left w:w="20" w:type="dxa"/>
              <w:bottom w:w="20" w:type="dxa"/>
              <w:right w:w="20" w:type="dxa"/>
            </w:tcMar>
          </w:tcPr>
          <w:p w14:paraId="1B9BB2C2" w14:textId="4DF994A4" w:rsidR="00BC4850" w:rsidRPr="00D75696" w:rsidRDefault="005A2B92">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8,714</w:t>
            </w:r>
          </w:p>
        </w:tc>
        <w:tc>
          <w:tcPr>
            <w:tcW w:w="636" w:type="pct"/>
            <w:tcBorders>
              <w:bottom w:val="single" w:sz="2" w:space="0" w:color="000000"/>
            </w:tcBorders>
            <w:shd w:val="clear" w:color="auto" w:fill="auto"/>
            <w:tcMar>
              <w:top w:w="20" w:type="dxa"/>
              <w:left w:w="20" w:type="dxa"/>
              <w:bottom w:w="20" w:type="dxa"/>
              <w:right w:w="20" w:type="dxa"/>
            </w:tcMar>
          </w:tcPr>
          <w:p w14:paraId="3F257FB0"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2" w:type="pct"/>
            <w:tcBorders>
              <w:bottom w:val="single" w:sz="2" w:space="0" w:color="000000"/>
            </w:tcBorders>
            <w:shd w:val="clear" w:color="auto" w:fill="auto"/>
            <w:tcMar>
              <w:top w:w="20" w:type="dxa"/>
              <w:left w:w="20" w:type="dxa"/>
              <w:bottom w:w="20" w:type="dxa"/>
              <w:right w:w="20" w:type="dxa"/>
            </w:tcMar>
          </w:tcPr>
          <w:p w14:paraId="1CA05A28"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3" w:type="pct"/>
            <w:tcBorders>
              <w:bottom w:val="single" w:sz="2" w:space="0" w:color="000000"/>
            </w:tcBorders>
            <w:shd w:val="clear" w:color="auto" w:fill="auto"/>
            <w:tcMar>
              <w:top w:w="20" w:type="dxa"/>
              <w:left w:w="20" w:type="dxa"/>
              <w:bottom w:w="20" w:type="dxa"/>
              <w:right w:w="20" w:type="dxa"/>
            </w:tcMar>
          </w:tcPr>
          <w:p w14:paraId="4EAF747E" w14:textId="2A63155D" w:rsidR="00BC4850" w:rsidRPr="00D75696" w:rsidRDefault="00BC4850" w:rsidP="003A105D">
            <w:pPr>
              <w:pStyle w:val="T1TableStyle"/>
              <w:jc w:val="right"/>
              <w:rPr>
                <w:rFonts w:ascii="Verdana" w:eastAsia="Verdana" w:hAnsi="Verdana" w:cs="Verdana"/>
                <w:color w:val="000000"/>
                <w:sz w:val="16"/>
                <w:lang w:val="en-GB"/>
              </w:rPr>
            </w:pPr>
            <w:r w:rsidRPr="00D75696">
              <w:rPr>
                <w:rFonts w:ascii="Verdana" w:eastAsia="Verdana" w:hAnsi="Verdana" w:cs="Verdana"/>
                <w:color w:val="000000"/>
                <w:sz w:val="16"/>
                <w:lang w:val="en-GB"/>
              </w:rPr>
              <w:t>(</w:t>
            </w:r>
            <w:r w:rsidR="005A2B92">
              <w:rPr>
                <w:rFonts w:ascii="Verdana" w:eastAsia="Verdana" w:hAnsi="Verdana" w:cs="Verdana"/>
                <w:color w:val="000000"/>
                <w:sz w:val="16"/>
                <w:lang w:val="en-GB"/>
              </w:rPr>
              <w:t>8,714</w:t>
            </w:r>
            <w:r w:rsidRPr="00D75696">
              <w:rPr>
                <w:rFonts w:ascii="Verdana" w:eastAsia="Verdana" w:hAnsi="Verdana" w:cs="Verdana"/>
                <w:color w:val="000000"/>
                <w:sz w:val="16"/>
                <w:lang w:val="en-GB"/>
              </w:rPr>
              <w:t>)</w:t>
            </w:r>
          </w:p>
          <w:p w14:paraId="3C14D5F3" w14:textId="77777777" w:rsidR="00BC4850" w:rsidRPr="00D75696" w:rsidRDefault="00BC4850" w:rsidP="003A105D">
            <w:pPr>
              <w:pStyle w:val="T1TableStyle"/>
              <w:jc w:val="right"/>
              <w:rPr>
                <w:rFonts w:ascii="Verdana" w:eastAsia="Verdana" w:hAnsi="Verdana" w:cs="Verdana"/>
                <w:color w:val="000000"/>
                <w:sz w:val="16"/>
                <w:lang w:val="en-GB"/>
              </w:rPr>
            </w:pPr>
          </w:p>
        </w:tc>
      </w:tr>
      <w:tr w:rsidR="00BC4850" w:rsidRPr="00D75696" w14:paraId="5941D534" w14:textId="77777777" w:rsidTr="00FB5015">
        <w:trPr>
          <w:gridBefore w:val="1"/>
          <w:wBefore w:w="121" w:type="pct"/>
          <w:trHeight w:val="126"/>
          <w:jc w:val="center"/>
        </w:trPr>
        <w:tc>
          <w:tcPr>
            <w:tcW w:w="2042" w:type="pct"/>
            <w:shd w:val="clear" w:color="auto" w:fill="auto"/>
            <w:tcMar>
              <w:top w:w="20" w:type="dxa"/>
              <w:left w:w="20" w:type="dxa"/>
              <w:bottom w:w="20" w:type="dxa"/>
              <w:right w:w="20" w:type="dxa"/>
            </w:tcMar>
          </w:tcPr>
          <w:p w14:paraId="40F6AC40" w14:textId="77777777" w:rsidR="00BC4850" w:rsidRPr="00FB5015" w:rsidRDefault="00BC4850" w:rsidP="003A105D">
            <w:pPr>
              <w:pStyle w:val="T1TableStyle"/>
              <w:rPr>
                <w:rFonts w:ascii="Verdana" w:eastAsia="Verdana" w:hAnsi="Verdana" w:cs="Verdana"/>
                <w:b/>
                <w:color w:val="000000"/>
                <w:sz w:val="16"/>
                <w:lang w:val="en-GB"/>
              </w:rPr>
            </w:pPr>
            <w:r w:rsidRPr="00FB5015">
              <w:rPr>
                <w:rFonts w:ascii="Verdana" w:eastAsia="Verdana" w:hAnsi="Verdana" w:cs="Verdana"/>
                <w:b/>
                <w:color w:val="000000"/>
                <w:sz w:val="16"/>
                <w:lang w:val="en-GB"/>
              </w:rPr>
              <w:t>Total Adjustments between Revenue and Capital Resources</w:t>
            </w:r>
          </w:p>
        </w:tc>
        <w:tc>
          <w:tcPr>
            <w:tcW w:w="756" w:type="pct"/>
            <w:shd w:val="clear" w:color="auto" w:fill="auto"/>
            <w:tcMar>
              <w:top w:w="20" w:type="dxa"/>
              <w:left w:w="20" w:type="dxa"/>
              <w:bottom w:w="20" w:type="dxa"/>
              <w:right w:w="20" w:type="dxa"/>
            </w:tcMar>
          </w:tcPr>
          <w:p w14:paraId="523AD782" w14:textId="65B5CFAB" w:rsidR="00BC4850" w:rsidRPr="00FB5015" w:rsidRDefault="005A2B92" w:rsidP="003A105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13,163</w:t>
            </w:r>
          </w:p>
        </w:tc>
        <w:tc>
          <w:tcPr>
            <w:tcW w:w="636" w:type="pct"/>
            <w:shd w:val="clear" w:color="auto" w:fill="auto"/>
            <w:tcMar>
              <w:top w:w="20" w:type="dxa"/>
              <w:left w:w="20" w:type="dxa"/>
              <w:bottom w:w="20" w:type="dxa"/>
              <w:right w:w="20" w:type="dxa"/>
            </w:tcMar>
          </w:tcPr>
          <w:p w14:paraId="366A8246" w14:textId="125D9DF9" w:rsidR="00BC4850" w:rsidRPr="00FB5015" w:rsidRDefault="005A2B92" w:rsidP="003A105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(3,379)</w:t>
            </w:r>
          </w:p>
        </w:tc>
        <w:tc>
          <w:tcPr>
            <w:tcW w:w="722" w:type="pct"/>
            <w:shd w:val="clear" w:color="auto" w:fill="auto"/>
            <w:tcMar>
              <w:top w:w="20" w:type="dxa"/>
              <w:left w:w="20" w:type="dxa"/>
              <w:bottom w:w="20" w:type="dxa"/>
              <w:right w:w="20" w:type="dxa"/>
            </w:tcMar>
          </w:tcPr>
          <w:p w14:paraId="2F148E6C" w14:textId="2C8207D7" w:rsidR="00BC4850" w:rsidRPr="00FB5015" w:rsidRDefault="005A2B92" w:rsidP="003A105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723" w:type="pct"/>
            <w:shd w:val="clear" w:color="auto" w:fill="auto"/>
            <w:tcMar>
              <w:top w:w="20" w:type="dxa"/>
              <w:left w:w="20" w:type="dxa"/>
              <w:bottom w:w="20" w:type="dxa"/>
              <w:right w:w="20" w:type="dxa"/>
            </w:tcMar>
          </w:tcPr>
          <w:p w14:paraId="42A89AA7" w14:textId="02375337" w:rsidR="00BC4850" w:rsidRPr="00FB5015" w:rsidRDefault="00BC4850" w:rsidP="003A105D">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w:t>
            </w:r>
            <w:r w:rsidR="005A2B92">
              <w:rPr>
                <w:rFonts w:ascii="Verdana" w:eastAsia="Verdana" w:hAnsi="Verdana" w:cs="Verdana"/>
                <w:b/>
                <w:color w:val="000000"/>
                <w:sz w:val="16"/>
                <w:lang w:val="en-GB"/>
              </w:rPr>
              <w:t>9,784</w:t>
            </w:r>
            <w:r w:rsidRPr="00FB5015">
              <w:rPr>
                <w:rFonts w:ascii="Verdana" w:eastAsia="Verdana" w:hAnsi="Verdana" w:cs="Verdana"/>
                <w:b/>
                <w:color w:val="000000"/>
                <w:sz w:val="16"/>
                <w:lang w:val="en-GB"/>
              </w:rPr>
              <w:t>)</w:t>
            </w:r>
          </w:p>
        </w:tc>
      </w:tr>
      <w:tr w:rsidR="00BC4850" w:rsidRPr="00D75696" w14:paraId="22BF3C81" w14:textId="77777777" w:rsidTr="00FB5015">
        <w:trPr>
          <w:gridBefore w:val="1"/>
          <w:wBefore w:w="121" w:type="pct"/>
          <w:trHeight w:hRule="exact" w:val="73"/>
          <w:jc w:val="center"/>
        </w:trPr>
        <w:tc>
          <w:tcPr>
            <w:tcW w:w="2042" w:type="pct"/>
            <w:shd w:val="clear" w:color="auto" w:fill="auto"/>
            <w:tcMar>
              <w:top w:w="20" w:type="dxa"/>
              <w:left w:w="20" w:type="dxa"/>
              <w:bottom w:w="20" w:type="dxa"/>
              <w:right w:w="20" w:type="dxa"/>
            </w:tcMar>
          </w:tcPr>
          <w:p w14:paraId="4D9D123E" w14:textId="77777777" w:rsidR="00BC4850" w:rsidRPr="00D75696" w:rsidRDefault="00BC4850" w:rsidP="003A105D">
            <w:pPr>
              <w:pStyle w:val="T1TableStyle"/>
              <w:jc w:val="center"/>
              <w:rPr>
                <w:rFonts w:ascii="Verdana" w:eastAsia="Verdana" w:hAnsi="Verdana" w:cs="Verdana"/>
                <w:color w:val="000000"/>
                <w:sz w:val="2"/>
                <w:lang w:val="en-GB"/>
              </w:rPr>
            </w:pPr>
            <w:r w:rsidRPr="00D75696">
              <w:rPr>
                <w:rFonts w:ascii="Verdana" w:eastAsia="Verdana" w:hAnsi="Verdana" w:cs="Verdana"/>
                <w:color w:val="000000"/>
                <w:sz w:val="2"/>
                <w:lang w:val="en-GB"/>
              </w:rPr>
              <w:t xml:space="preserve"> </w:t>
            </w:r>
          </w:p>
        </w:tc>
        <w:tc>
          <w:tcPr>
            <w:tcW w:w="756" w:type="pct"/>
            <w:shd w:val="clear" w:color="auto" w:fill="auto"/>
            <w:tcMar>
              <w:top w:w="20" w:type="dxa"/>
              <w:left w:w="20" w:type="dxa"/>
              <w:bottom w:w="20" w:type="dxa"/>
              <w:right w:w="20" w:type="dxa"/>
            </w:tcMar>
          </w:tcPr>
          <w:p w14:paraId="1DD1B303" w14:textId="77777777" w:rsidR="00BC4850" w:rsidRPr="00D75696" w:rsidRDefault="00BC4850" w:rsidP="003A105D">
            <w:pPr>
              <w:pStyle w:val="T1TableStyle"/>
              <w:jc w:val="center"/>
              <w:rPr>
                <w:rFonts w:ascii="Verdana" w:eastAsia="Verdana" w:hAnsi="Verdana" w:cs="Verdana"/>
                <w:color w:val="000000"/>
                <w:sz w:val="2"/>
                <w:lang w:val="en-GB"/>
              </w:rPr>
            </w:pPr>
          </w:p>
        </w:tc>
        <w:tc>
          <w:tcPr>
            <w:tcW w:w="636" w:type="pct"/>
            <w:shd w:val="clear" w:color="auto" w:fill="auto"/>
            <w:tcMar>
              <w:top w:w="20" w:type="dxa"/>
              <w:left w:w="20" w:type="dxa"/>
              <w:bottom w:w="20" w:type="dxa"/>
              <w:right w:w="20" w:type="dxa"/>
            </w:tcMar>
          </w:tcPr>
          <w:p w14:paraId="10CD2F71"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2" w:type="pct"/>
            <w:shd w:val="clear" w:color="auto" w:fill="auto"/>
            <w:tcMar>
              <w:top w:w="20" w:type="dxa"/>
              <w:left w:w="20" w:type="dxa"/>
              <w:bottom w:w="20" w:type="dxa"/>
              <w:right w:w="20" w:type="dxa"/>
            </w:tcMar>
          </w:tcPr>
          <w:p w14:paraId="2AA1C21E"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3" w:type="pct"/>
            <w:shd w:val="clear" w:color="auto" w:fill="auto"/>
            <w:tcMar>
              <w:top w:w="20" w:type="dxa"/>
              <w:left w:w="20" w:type="dxa"/>
              <w:bottom w:w="20" w:type="dxa"/>
              <w:right w:w="20" w:type="dxa"/>
            </w:tcMar>
          </w:tcPr>
          <w:p w14:paraId="1AA0B7FE" w14:textId="77777777" w:rsidR="00BC4850" w:rsidRPr="00D75696" w:rsidRDefault="00BC4850" w:rsidP="003A105D">
            <w:pPr>
              <w:pStyle w:val="T1TableStyle"/>
              <w:jc w:val="center"/>
              <w:rPr>
                <w:rFonts w:ascii="Verdana" w:eastAsia="Verdana" w:hAnsi="Verdana" w:cs="Verdana"/>
                <w:color w:val="000000"/>
                <w:sz w:val="2"/>
                <w:lang w:val="en-GB"/>
              </w:rPr>
            </w:pPr>
          </w:p>
        </w:tc>
      </w:tr>
      <w:tr w:rsidR="00BC4850" w:rsidRPr="00D75696" w14:paraId="745028E7" w14:textId="77777777" w:rsidTr="00FB5015">
        <w:trPr>
          <w:gridBefore w:val="1"/>
          <w:wBefore w:w="121" w:type="pct"/>
          <w:trHeight w:val="126"/>
          <w:jc w:val="center"/>
        </w:trPr>
        <w:tc>
          <w:tcPr>
            <w:tcW w:w="4879" w:type="pct"/>
            <w:gridSpan w:val="5"/>
            <w:shd w:val="clear" w:color="auto" w:fill="auto"/>
            <w:tcMar>
              <w:top w:w="20" w:type="dxa"/>
              <w:left w:w="20" w:type="dxa"/>
              <w:bottom w:w="20" w:type="dxa"/>
              <w:right w:w="20" w:type="dxa"/>
            </w:tcMar>
          </w:tcPr>
          <w:p w14:paraId="1D80E14E" w14:textId="77777777" w:rsidR="00BC4850" w:rsidRPr="00D75696" w:rsidRDefault="00BC4850" w:rsidP="003A105D">
            <w:pPr>
              <w:pStyle w:val="T1TableStyle"/>
              <w:rPr>
                <w:rFonts w:ascii="Verdana" w:eastAsia="Verdana" w:hAnsi="Verdana" w:cs="Verdana"/>
                <w:color w:val="000000"/>
                <w:sz w:val="16"/>
                <w:lang w:val="en-GB"/>
              </w:rPr>
            </w:pPr>
          </w:p>
        </w:tc>
      </w:tr>
      <w:tr w:rsidR="00BC4850" w:rsidRPr="00D75696" w14:paraId="6861FBFA" w14:textId="77777777" w:rsidTr="00FB5015">
        <w:trPr>
          <w:gridBefore w:val="1"/>
          <w:wBefore w:w="121" w:type="pct"/>
          <w:trHeight w:val="126"/>
          <w:jc w:val="center"/>
        </w:trPr>
        <w:tc>
          <w:tcPr>
            <w:tcW w:w="2042" w:type="pct"/>
            <w:shd w:val="clear" w:color="auto" w:fill="auto"/>
            <w:tcMar>
              <w:top w:w="20" w:type="dxa"/>
              <w:left w:w="20" w:type="dxa"/>
              <w:bottom w:w="20" w:type="dxa"/>
              <w:right w:w="20" w:type="dxa"/>
            </w:tcMar>
          </w:tcPr>
          <w:p w14:paraId="423E0F44" w14:textId="77777777" w:rsidR="00BC4850" w:rsidRPr="00D75696" w:rsidRDefault="00BC4850" w:rsidP="003A105D">
            <w:pPr>
              <w:pStyle w:val="T1TableStyle"/>
              <w:rPr>
                <w:rFonts w:ascii="Verdana" w:eastAsia="Verdana" w:hAnsi="Verdana" w:cs="Verdana"/>
                <w:color w:val="000000"/>
                <w:sz w:val="16"/>
                <w:lang w:val="en-GB"/>
              </w:rPr>
            </w:pPr>
            <w:r w:rsidRPr="00D75696">
              <w:rPr>
                <w:rFonts w:ascii="Verdana" w:eastAsia="Verdana" w:hAnsi="Verdana" w:cs="Verdana"/>
                <w:color w:val="000000"/>
                <w:sz w:val="16"/>
                <w:lang w:val="en-GB"/>
              </w:rPr>
              <w:t>Use of the Capital Receipts Reserve to finance capital expenditure</w:t>
            </w:r>
          </w:p>
        </w:tc>
        <w:tc>
          <w:tcPr>
            <w:tcW w:w="756" w:type="pct"/>
            <w:shd w:val="clear" w:color="auto" w:fill="auto"/>
            <w:tcMar>
              <w:top w:w="20" w:type="dxa"/>
              <w:left w:w="20" w:type="dxa"/>
              <w:bottom w:w="20" w:type="dxa"/>
              <w:right w:w="20" w:type="dxa"/>
            </w:tcMar>
          </w:tcPr>
          <w:p w14:paraId="61DC8C87" w14:textId="77777777" w:rsidR="00BC4850" w:rsidRPr="00D75696" w:rsidRDefault="00BC4850" w:rsidP="003A105D">
            <w:pPr>
              <w:pStyle w:val="T1TableStyle"/>
              <w:jc w:val="center"/>
              <w:rPr>
                <w:rFonts w:ascii="Verdana" w:eastAsia="Verdana" w:hAnsi="Verdana" w:cs="Verdana"/>
                <w:color w:val="000000"/>
                <w:sz w:val="2"/>
                <w:lang w:val="en-GB"/>
              </w:rPr>
            </w:pPr>
          </w:p>
        </w:tc>
        <w:tc>
          <w:tcPr>
            <w:tcW w:w="636" w:type="pct"/>
            <w:shd w:val="clear" w:color="auto" w:fill="auto"/>
            <w:tcMar>
              <w:top w:w="20" w:type="dxa"/>
              <w:left w:w="20" w:type="dxa"/>
              <w:bottom w:w="20" w:type="dxa"/>
              <w:right w:w="20" w:type="dxa"/>
            </w:tcMar>
          </w:tcPr>
          <w:p w14:paraId="6507F54D" w14:textId="1F802605" w:rsidR="00BC4850" w:rsidRPr="00D75696" w:rsidRDefault="005A2B92" w:rsidP="003A105D">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3,575</w:t>
            </w:r>
          </w:p>
        </w:tc>
        <w:tc>
          <w:tcPr>
            <w:tcW w:w="722" w:type="pct"/>
            <w:shd w:val="clear" w:color="auto" w:fill="auto"/>
            <w:tcMar>
              <w:top w:w="20" w:type="dxa"/>
              <w:left w:w="20" w:type="dxa"/>
              <w:bottom w:w="20" w:type="dxa"/>
              <w:right w:w="20" w:type="dxa"/>
            </w:tcMar>
          </w:tcPr>
          <w:p w14:paraId="7D5A7824"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3" w:type="pct"/>
            <w:shd w:val="clear" w:color="auto" w:fill="auto"/>
            <w:tcMar>
              <w:top w:w="20" w:type="dxa"/>
              <w:left w:w="20" w:type="dxa"/>
              <w:bottom w:w="20" w:type="dxa"/>
              <w:right w:w="20" w:type="dxa"/>
            </w:tcMar>
          </w:tcPr>
          <w:p w14:paraId="12BFEFDF" w14:textId="123F5AC6" w:rsidR="00BC4850" w:rsidRPr="00D75696" w:rsidRDefault="00852B4D" w:rsidP="003A105D">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5A2B92">
              <w:rPr>
                <w:rFonts w:ascii="Verdana" w:eastAsia="Verdana" w:hAnsi="Verdana" w:cs="Verdana"/>
                <w:color w:val="000000"/>
                <w:sz w:val="16"/>
                <w:lang w:val="en-GB"/>
              </w:rPr>
              <w:t>3,575</w:t>
            </w:r>
            <w:r>
              <w:rPr>
                <w:rFonts w:ascii="Verdana" w:eastAsia="Verdana" w:hAnsi="Verdana" w:cs="Verdana"/>
                <w:color w:val="000000"/>
                <w:sz w:val="16"/>
                <w:lang w:val="en-GB"/>
              </w:rPr>
              <w:t>)</w:t>
            </w:r>
          </w:p>
        </w:tc>
      </w:tr>
      <w:tr w:rsidR="001A2E7C" w:rsidRPr="00D75696" w14:paraId="52E34313" w14:textId="77777777" w:rsidTr="00FB5015">
        <w:trPr>
          <w:gridBefore w:val="1"/>
          <w:wBefore w:w="121" w:type="pct"/>
          <w:trHeight w:val="126"/>
          <w:jc w:val="center"/>
        </w:trPr>
        <w:tc>
          <w:tcPr>
            <w:tcW w:w="2042" w:type="pct"/>
            <w:shd w:val="clear" w:color="auto" w:fill="auto"/>
            <w:tcMar>
              <w:top w:w="20" w:type="dxa"/>
              <w:left w:w="20" w:type="dxa"/>
              <w:bottom w:w="20" w:type="dxa"/>
              <w:right w:w="20" w:type="dxa"/>
            </w:tcMar>
          </w:tcPr>
          <w:p w14:paraId="120C87FB" w14:textId="77777777" w:rsidR="001A2E7C" w:rsidRPr="00D75696" w:rsidRDefault="001A2E7C" w:rsidP="003A105D">
            <w:pPr>
              <w:pStyle w:val="T1TableStyle"/>
              <w:rPr>
                <w:rFonts w:ascii="Verdana" w:eastAsia="Verdana" w:hAnsi="Verdana" w:cs="Verdana"/>
                <w:color w:val="000000"/>
                <w:sz w:val="16"/>
                <w:lang w:val="en-GB"/>
              </w:rPr>
            </w:pPr>
          </w:p>
        </w:tc>
        <w:tc>
          <w:tcPr>
            <w:tcW w:w="756" w:type="pct"/>
            <w:shd w:val="clear" w:color="auto" w:fill="auto"/>
            <w:tcMar>
              <w:top w:w="20" w:type="dxa"/>
              <w:left w:w="20" w:type="dxa"/>
              <w:bottom w:w="20" w:type="dxa"/>
              <w:right w:w="20" w:type="dxa"/>
            </w:tcMar>
          </w:tcPr>
          <w:p w14:paraId="05C959B7" w14:textId="77777777" w:rsidR="001A2E7C" w:rsidRPr="00D75696" w:rsidRDefault="001A2E7C" w:rsidP="003A105D">
            <w:pPr>
              <w:pStyle w:val="T1TableStyle"/>
              <w:jc w:val="center"/>
              <w:rPr>
                <w:rFonts w:ascii="Verdana" w:eastAsia="Verdana" w:hAnsi="Verdana" w:cs="Verdana"/>
                <w:color w:val="000000"/>
                <w:sz w:val="2"/>
                <w:lang w:val="en-GB"/>
              </w:rPr>
            </w:pPr>
          </w:p>
        </w:tc>
        <w:tc>
          <w:tcPr>
            <w:tcW w:w="636" w:type="pct"/>
            <w:shd w:val="clear" w:color="auto" w:fill="auto"/>
            <w:tcMar>
              <w:top w:w="20" w:type="dxa"/>
              <w:left w:w="20" w:type="dxa"/>
              <w:bottom w:w="20" w:type="dxa"/>
              <w:right w:w="20" w:type="dxa"/>
            </w:tcMar>
          </w:tcPr>
          <w:p w14:paraId="1883776E" w14:textId="77777777" w:rsidR="001A2E7C" w:rsidRPr="00D75696" w:rsidRDefault="001A2E7C" w:rsidP="003A105D">
            <w:pPr>
              <w:pStyle w:val="T1TableStyle"/>
              <w:jc w:val="right"/>
              <w:rPr>
                <w:rFonts w:ascii="Verdana" w:eastAsia="Verdana" w:hAnsi="Verdana" w:cs="Verdana"/>
                <w:color w:val="000000"/>
                <w:sz w:val="16"/>
                <w:lang w:val="en-GB"/>
              </w:rPr>
            </w:pPr>
          </w:p>
        </w:tc>
        <w:tc>
          <w:tcPr>
            <w:tcW w:w="722" w:type="pct"/>
            <w:shd w:val="clear" w:color="auto" w:fill="auto"/>
            <w:tcMar>
              <w:top w:w="20" w:type="dxa"/>
              <w:left w:w="20" w:type="dxa"/>
              <w:bottom w:w="20" w:type="dxa"/>
              <w:right w:w="20" w:type="dxa"/>
            </w:tcMar>
          </w:tcPr>
          <w:p w14:paraId="06898869" w14:textId="77777777" w:rsidR="001A2E7C" w:rsidRPr="00D75696" w:rsidRDefault="001A2E7C" w:rsidP="003A105D">
            <w:pPr>
              <w:pStyle w:val="T1TableStyle"/>
              <w:jc w:val="center"/>
              <w:rPr>
                <w:rFonts w:ascii="Verdana" w:eastAsia="Verdana" w:hAnsi="Verdana" w:cs="Verdana"/>
                <w:color w:val="000000"/>
                <w:sz w:val="2"/>
                <w:lang w:val="en-GB"/>
              </w:rPr>
            </w:pPr>
          </w:p>
        </w:tc>
        <w:tc>
          <w:tcPr>
            <w:tcW w:w="723" w:type="pct"/>
            <w:shd w:val="clear" w:color="auto" w:fill="auto"/>
            <w:tcMar>
              <w:top w:w="20" w:type="dxa"/>
              <w:left w:w="20" w:type="dxa"/>
              <w:bottom w:w="20" w:type="dxa"/>
              <w:right w:w="20" w:type="dxa"/>
            </w:tcMar>
          </w:tcPr>
          <w:p w14:paraId="6542E8A1" w14:textId="77777777" w:rsidR="001A2E7C" w:rsidRPr="00D75696" w:rsidRDefault="001A2E7C" w:rsidP="003A105D">
            <w:pPr>
              <w:pStyle w:val="T1TableStyle"/>
              <w:jc w:val="right"/>
              <w:rPr>
                <w:rFonts w:ascii="Verdana" w:eastAsia="Verdana" w:hAnsi="Verdana" w:cs="Verdana"/>
                <w:color w:val="000000"/>
                <w:sz w:val="16"/>
                <w:lang w:val="en-GB"/>
              </w:rPr>
            </w:pPr>
          </w:p>
        </w:tc>
      </w:tr>
      <w:tr w:rsidR="00BC4850" w:rsidRPr="00D75696" w14:paraId="21A89433" w14:textId="77777777" w:rsidTr="00FB5015">
        <w:trPr>
          <w:gridBefore w:val="1"/>
          <w:wBefore w:w="121" w:type="pct"/>
          <w:trHeight w:val="126"/>
          <w:jc w:val="center"/>
        </w:trPr>
        <w:tc>
          <w:tcPr>
            <w:tcW w:w="2042" w:type="pct"/>
            <w:shd w:val="clear" w:color="auto" w:fill="auto"/>
            <w:tcMar>
              <w:top w:w="20" w:type="dxa"/>
              <w:left w:w="20" w:type="dxa"/>
              <w:bottom w:w="20" w:type="dxa"/>
              <w:right w:w="20" w:type="dxa"/>
            </w:tcMar>
          </w:tcPr>
          <w:p w14:paraId="739120E4" w14:textId="77777777" w:rsidR="00BC4850" w:rsidRPr="00D75696" w:rsidRDefault="00BC4850" w:rsidP="003A105D">
            <w:pPr>
              <w:pStyle w:val="T1TableStyle"/>
              <w:rPr>
                <w:rFonts w:ascii="Verdana" w:eastAsia="Verdana" w:hAnsi="Verdana" w:cs="Verdana"/>
                <w:color w:val="000000"/>
                <w:sz w:val="16"/>
                <w:lang w:val="en-GB"/>
              </w:rPr>
            </w:pPr>
            <w:r w:rsidRPr="00D75696">
              <w:rPr>
                <w:rFonts w:ascii="Verdana" w:eastAsia="Verdana" w:hAnsi="Verdana" w:cs="Verdana"/>
                <w:color w:val="000000"/>
                <w:sz w:val="16"/>
                <w:lang w:val="en-GB"/>
              </w:rPr>
              <w:t>Application of capital grants to finance capital expenditure</w:t>
            </w:r>
          </w:p>
        </w:tc>
        <w:tc>
          <w:tcPr>
            <w:tcW w:w="756" w:type="pct"/>
            <w:shd w:val="clear" w:color="auto" w:fill="auto"/>
            <w:tcMar>
              <w:top w:w="20" w:type="dxa"/>
              <w:left w:w="20" w:type="dxa"/>
              <w:bottom w:w="20" w:type="dxa"/>
              <w:right w:w="20" w:type="dxa"/>
            </w:tcMar>
          </w:tcPr>
          <w:p w14:paraId="21A7C7BC" w14:textId="238A16F4" w:rsidR="00BC4850" w:rsidRPr="00D75696" w:rsidRDefault="005A2B92" w:rsidP="00F1422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636" w:type="pct"/>
            <w:shd w:val="clear" w:color="auto" w:fill="auto"/>
            <w:tcMar>
              <w:top w:w="20" w:type="dxa"/>
              <w:left w:w="20" w:type="dxa"/>
              <w:bottom w:w="20" w:type="dxa"/>
              <w:right w:w="20" w:type="dxa"/>
            </w:tcMar>
          </w:tcPr>
          <w:p w14:paraId="3CA64958" w14:textId="77777777" w:rsidR="00BC4850" w:rsidRPr="00D75696" w:rsidRDefault="00BC4850" w:rsidP="00F14223">
            <w:pPr>
              <w:pStyle w:val="T1TableStyle"/>
              <w:rPr>
                <w:rFonts w:ascii="Verdana" w:eastAsia="Verdana" w:hAnsi="Verdana" w:cs="Verdana"/>
                <w:color w:val="000000"/>
                <w:sz w:val="16"/>
                <w:lang w:val="en-GB"/>
              </w:rPr>
            </w:pPr>
          </w:p>
        </w:tc>
        <w:tc>
          <w:tcPr>
            <w:tcW w:w="722" w:type="pct"/>
            <w:shd w:val="clear" w:color="auto" w:fill="auto"/>
            <w:tcMar>
              <w:top w:w="20" w:type="dxa"/>
              <w:left w:w="20" w:type="dxa"/>
              <w:bottom w:w="20" w:type="dxa"/>
              <w:right w:w="20" w:type="dxa"/>
            </w:tcMar>
          </w:tcPr>
          <w:p w14:paraId="52588AD6" w14:textId="039F4AE3" w:rsidR="00BC4850" w:rsidRPr="00D75696" w:rsidRDefault="00DA3946" w:rsidP="0041394A">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 xml:space="preserve">              </w:t>
            </w:r>
            <w:r w:rsidR="00852B4D">
              <w:rPr>
                <w:rFonts w:ascii="Verdana" w:eastAsia="Verdana" w:hAnsi="Verdana" w:cs="Verdana"/>
                <w:color w:val="000000"/>
                <w:sz w:val="16"/>
                <w:lang w:val="en-GB"/>
              </w:rPr>
              <w:t xml:space="preserve">  </w:t>
            </w:r>
            <w:r>
              <w:rPr>
                <w:rFonts w:ascii="Verdana" w:eastAsia="Verdana" w:hAnsi="Verdana" w:cs="Verdana"/>
                <w:color w:val="000000"/>
                <w:sz w:val="16"/>
                <w:lang w:val="en-GB"/>
              </w:rPr>
              <w:t xml:space="preserve">  </w:t>
            </w:r>
            <w:r w:rsidR="00852B4D">
              <w:rPr>
                <w:rFonts w:ascii="Verdana" w:eastAsia="Verdana" w:hAnsi="Verdana" w:cs="Verdana"/>
                <w:color w:val="000000"/>
                <w:sz w:val="16"/>
                <w:lang w:val="en-GB"/>
              </w:rPr>
              <w:t xml:space="preserve"> </w:t>
            </w:r>
            <w:r w:rsidR="005A2B92">
              <w:rPr>
                <w:rFonts w:ascii="Verdana" w:eastAsia="Verdana" w:hAnsi="Verdana" w:cs="Verdana"/>
                <w:color w:val="000000"/>
                <w:sz w:val="16"/>
                <w:lang w:val="en-GB"/>
              </w:rPr>
              <w:t>297</w:t>
            </w:r>
          </w:p>
        </w:tc>
        <w:tc>
          <w:tcPr>
            <w:tcW w:w="723" w:type="pct"/>
            <w:shd w:val="clear" w:color="auto" w:fill="auto"/>
            <w:tcMar>
              <w:top w:w="20" w:type="dxa"/>
              <w:left w:w="20" w:type="dxa"/>
              <w:bottom w:w="20" w:type="dxa"/>
              <w:right w:w="20" w:type="dxa"/>
            </w:tcMar>
          </w:tcPr>
          <w:p w14:paraId="29D313BA" w14:textId="11089B71" w:rsidR="00BC4850" w:rsidRPr="00D75696" w:rsidRDefault="00852B4D" w:rsidP="00D7569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5A2B92">
              <w:rPr>
                <w:rFonts w:ascii="Verdana" w:eastAsia="Verdana" w:hAnsi="Verdana" w:cs="Verdana"/>
                <w:color w:val="000000"/>
                <w:sz w:val="16"/>
                <w:lang w:val="en-GB"/>
              </w:rPr>
              <w:t>297</w:t>
            </w:r>
            <w:r>
              <w:rPr>
                <w:rFonts w:ascii="Verdana" w:eastAsia="Verdana" w:hAnsi="Verdana" w:cs="Verdana"/>
                <w:color w:val="000000"/>
                <w:sz w:val="16"/>
                <w:lang w:val="en-GB"/>
              </w:rPr>
              <w:t>)</w:t>
            </w:r>
          </w:p>
        </w:tc>
      </w:tr>
      <w:tr w:rsidR="00BC4850" w:rsidRPr="00D75696" w14:paraId="1BF6A953" w14:textId="77777777" w:rsidTr="00FB5015">
        <w:trPr>
          <w:gridBefore w:val="1"/>
          <w:wBefore w:w="121" w:type="pct"/>
          <w:trHeight w:val="126"/>
          <w:jc w:val="center"/>
        </w:trPr>
        <w:tc>
          <w:tcPr>
            <w:tcW w:w="2042" w:type="pct"/>
            <w:tcBorders>
              <w:top w:val="single" w:sz="2" w:space="0" w:color="000000"/>
            </w:tcBorders>
            <w:shd w:val="clear" w:color="auto" w:fill="auto"/>
            <w:tcMar>
              <w:top w:w="20" w:type="dxa"/>
              <w:left w:w="20" w:type="dxa"/>
              <w:bottom w:w="20" w:type="dxa"/>
              <w:right w:w="20" w:type="dxa"/>
            </w:tcMar>
          </w:tcPr>
          <w:p w14:paraId="5B4A22E5" w14:textId="77777777" w:rsidR="00BC4850" w:rsidRPr="00FB5015" w:rsidRDefault="00BC4850" w:rsidP="003A105D">
            <w:pPr>
              <w:pStyle w:val="T1TableStyle"/>
              <w:rPr>
                <w:rFonts w:ascii="Verdana" w:eastAsia="Verdana" w:hAnsi="Verdana" w:cs="Verdana"/>
                <w:b/>
                <w:color w:val="000000"/>
                <w:sz w:val="16"/>
                <w:lang w:val="en-GB"/>
              </w:rPr>
            </w:pPr>
            <w:r w:rsidRPr="00FB5015">
              <w:rPr>
                <w:rFonts w:ascii="Verdana" w:eastAsia="Verdana" w:hAnsi="Verdana" w:cs="Verdana"/>
                <w:b/>
                <w:color w:val="000000"/>
                <w:sz w:val="16"/>
                <w:lang w:val="en-GB"/>
              </w:rPr>
              <w:t>Total Adjustments to Capital Resources</w:t>
            </w:r>
          </w:p>
        </w:tc>
        <w:tc>
          <w:tcPr>
            <w:tcW w:w="756" w:type="pct"/>
            <w:tcBorders>
              <w:top w:val="single" w:sz="2" w:space="0" w:color="000000"/>
            </w:tcBorders>
            <w:shd w:val="clear" w:color="auto" w:fill="auto"/>
            <w:tcMar>
              <w:top w:w="20" w:type="dxa"/>
              <w:left w:w="20" w:type="dxa"/>
              <w:bottom w:w="20" w:type="dxa"/>
              <w:right w:w="20" w:type="dxa"/>
            </w:tcMar>
          </w:tcPr>
          <w:p w14:paraId="46299823" w14:textId="124001A4" w:rsidR="00BC4850" w:rsidRPr="00FB5015" w:rsidRDefault="005A2B92" w:rsidP="003A105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636" w:type="pct"/>
            <w:tcBorders>
              <w:top w:val="single" w:sz="2" w:space="0" w:color="000000"/>
            </w:tcBorders>
            <w:shd w:val="clear" w:color="auto" w:fill="auto"/>
            <w:tcMar>
              <w:top w:w="20" w:type="dxa"/>
              <w:left w:w="20" w:type="dxa"/>
              <w:bottom w:w="20" w:type="dxa"/>
              <w:right w:w="20" w:type="dxa"/>
            </w:tcMar>
          </w:tcPr>
          <w:p w14:paraId="44BE549A" w14:textId="3C8B9DE9" w:rsidR="00BC4850" w:rsidRPr="00FB5015" w:rsidRDefault="005A2B92" w:rsidP="003A105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3,575</w:t>
            </w:r>
          </w:p>
        </w:tc>
        <w:tc>
          <w:tcPr>
            <w:tcW w:w="722" w:type="pct"/>
            <w:tcBorders>
              <w:top w:val="single" w:sz="2" w:space="0" w:color="000000"/>
            </w:tcBorders>
            <w:shd w:val="clear" w:color="auto" w:fill="auto"/>
            <w:tcMar>
              <w:top w:w="20" w:type="dxa"/>
              <w:left w:w="20" w:type="dxa"/>
              <w:bottom w:w="20" w:type="dxa"/>
              <w:right w:w="20" w:type="dxa"/>
            </w:tcMar>
          </w:tcPr>
          <w:p w14:paraId="54C06246" w14:textId="5335C95D" w:rsidR="00BC4850" w:rsidRPr="00FB5015" w:rsidRDefault="00852B4D" w:rsidP="0041394A">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 xml:space="preserve">                   </w:t>
            </w:r>
            <w:r w:rsidR="005A2B92">
              <w:rPr>
                <w:rFonts w:ascii="Verdana" w:eastAsia="Verdana" w:hAnsi="Verdana" w:cs="Verdana"/>
                <w:b/>
                <w:color w:val="000000"/>
                <w:sz w:val="16"/>
                <w:lang w:val="en-GB"/>
              </w:rPr>
              <w:t>297</w:t>
            </w:r>
          </w:p>
        </w:tc>
        <w:tc>
          <w:tcPr>
            <w:tcW w:w="723" w:type="pct"/>
            <w:tcBorders>
              <w:top w:val="single" w:sz="2" w:space="0" w:color="000000"/>
            </w:tcBorders>
            <w:shd w:val="clear" w:color="auto" w:fill="auto"/>
            <w:tcMar>
              <w:top w:w="20" w:type="dxa"/>
              <w:left w:w="20" w:type="dxa"/>
              <w:bottom w:w="20" w:type="dxa"/>
              <w:right w:w="20" w:type="dxa"/>
            </w:tcMar>
          </w:tcPr>
          <w:p w14:paraId="7386F876" w14:textId="517AC6D5" w:rsidR="00BC4850" w:rsidRPr="00FB5015" w:rsidRDefault="004F75BB">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w:t>
            </w:r>
            <w:r w:rsidR="00E67460">
              <w:rPr>
                <w:rFonts w:ascii="Verdana" w:eastAsia="Verdana" w:hAnsi="Verdana" w:cs="Verdana"/>
                <w:b/>
                <w:color w:val="000000"/>
                <w:sz w:val="16"/>
                <w:lang w:val="en-GB"/>
              </w:rPr>
              <w:t>3,872</w:t>
            </w:r>
            <w:r w:rsidRPr="00FB5015">
              <w:rPr>
                <w:rFonts w:ascii="Verdana" w:eastAsia="Verdana" w:hAnsi="Verdana" w:cs="Verdana"/>
                <w:b/>
                <w:color w:val="000000"/>
                <w:sz w:val="16"/>
                <w:lang w:val="en-GB"/>
              </w:rPr>
              <w:t>)</w:t>
            </w:r>
          </w:p>
        </w:tc>
      </w:tr>
      <w:tr w:rsidR="00BC4850" w:rsidRPr="00D75696" w14:paraId="5EA3A17F" w14:textId="77777777" w:rsidTr="00FB5015">
        <w:trPr>
          <w:gridBefore w:val="1"/>
          <w:wBefore w:w="121" w:type="pct"/>
          <w:trHeight w:hRule="exact" w:val="73"/>
          <w:jc w:val="center"/>
        </w:trPr>
        <w:tc>
          <w:tcPr>
            <w:tcW w:w="2042" w:type="pct"/>
            <w:shd w:val="clear" w:color="auto" w:fill="auto"/>
            <w:tcMar>
              <w:top w:w="20" w:type="dxa"/>
              <w:left w:w="20" w:type="dxa"/>
              <w:bottom w:w="20" w:type="dxa"/>
              <w:right w:w="20" w:type="dxa"/>
            </w:tcMar>
          </w:tcPr>
          <w:p w14:paraId="60CAA2B4" w14:textId="77777777" w:rsidR="00BC4850" w:rsidRPr="00D75696" w:rsidRDefault="00BC4850" w:rsidP="003A105D">
            <w:pPr>
              <w:pStyle w:val="T1TableStyle"/>
              <w:jc w:val="center"/>
              <w:rPr>
                <w:rFonts w:ascii="Verdana" w:eastAsia="Verdana" w:hAnsi="Verdana" w:cs="Verdana"/>
                <w:color w:val="000000"/>
                <w:sz w:val="2"/>
                <w:lang w:val="en-GB"/>
              </w:rPr>
            </w:pPr>
            <w:r w:rsidRPr="00D75696">
              <w:rPr>
                <w:rFonts w:ascii="Verdana" w:eastAsia="Verdana" w:hAnsi="Verdana" w:cs="Verdana"/>
                <w:color w:val="000000"/>
                <w:sz w:val="2"/>
                <w:lang w:val="en-GB"/>
              </w:rPr>
              <w:t xml:space="preserve"> </w:t>
            </w:r>
          </w:p>
        </w:tc>
        <w:tc>
          <w:tcPr>
            <w:tcW w:w="756" w:type="pct"/>
            <w:shd w:val="clear" w:color="auto" w:fill="auto"/>
            <w:tcMar>
              <w:top w:w="20" w:type="dxa"/>
              <w:left w:w="20" w:type="dxa"/>
              <w:bottom w:w="20" w:type="dxa"/>
              <w:right w:w="20" w:type="dxa"/>
            </w:tcMar>
          </w:tcPr>
          <w:p w14:paraId="58D0AD27" w14:textId="77777777" w:rsidR="00BC4850" w:rsidRPr="00D75696" w:rsidRDefault="00BC4850" w:rsidP="003A105D">
            <w:pPr>
              <w:pStyle w:val="T1TableStyle"/>
              <w:jc w:val="center"/>
              <w:rPr>
                <w:rFonts w:ascii="Verdana" w:eastAsia="Verdana" w:hAnsi="Verdana" w:cs="Verdana"/>
                <w:color w:val="000000"/>
                <w:sz w:val="2"/>
                <w:lang w:val="en-GB"/>
              </w:rPr>
            </w:pPr>
          </w:p>
        </w:tc>
        <w:tc>
          <w:tcPr>
            <w:tcW w:w="636" w:type="pct"/>
            <w:shd w:val="clear" w:color="auto" w:fill="auto"/>
            <w:tcMar>
              <w:top w:w="20" w:type="dxa"/>
              <w:left w:w="20" w:type="dxa"/>
              <w:bottom w:w="20" w:type="dxa"/>
              <w:right w:w="20" w:type="dxa"/>
            </w:tcMar>
          </w:tcPr>
          <w:p w14:paraId="588FA23C"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2" w:type="pct"/>
            <w:shd w:val="clear" w:color="auto" w:fill="auto"/>
            <w:tcMar>
              <w:top w:w="20" w:type="dxa"/>
              <w:left w:w="20" w:type="dxa"/>
              <w:bottom w:w="20" w:type="dxa"/>
              <w:right w:w="20" w:type="dxa"/>
            </w:tcMar>
          </w:tcPr>
          <w:p w14:paraId="194FB54F"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3" w:type="pct"/>
            <w:shd w:val="clear" w:color="auto" w:fill="auto"/>
            <w:tcMar>
              <w:top w:w="20" w:type="dxa"/>
              <w:left w:w="20" w:type="dxa"/>
              <w:bottom w:w="20" w:type="dxa"/>
              <w:right w:w="20" w:type="dxa"/>
            </w:tcMar>
          </w:tcPr>
          <w:p w14:paraId="21EB658D" w14:textId="77777777" w:rsidR="00BC4850" w:rsidRPr="00D75696" w:rsidRDefault="00BC4850" w:rsidP="003A105D">
            <w:pPr>
              <w:pStyle w:val="T1TableStyle"/>
              <w:jc w:val="center"/>
              <w:rPr>
                <w:rFonts w:ascii="Verdana" w:eastAsia="Verdana" w:hAnsi="Verdana" w:cs="Verdana"/>
                <w:color w:val="000000"/>
                <w:sz w:val="2"/>
                <w:lang w:val="en-GB"/>
              </w:rPr>
            </w:pPr>
          </w:p>
        </w:tc>
      </w:tr>
      <w:tr w:rsidR="00BC4850" w:rsidRPr="00D75696" w14:paraId="2DC469EC" w14:textId="77777777" w:rsidTr="00FB5015">
        <w:trPr>
          <w:gridBefore w:val="1"/>
          <w:wBefore w:w="121" w:type="pct"/>
          <w:trHeight w:val="126"/>
          <w:jc w:val="center"/>
        </w:trPr>
        <w:tc>
          <w:tcPr>
            <w:tcW w:w="2042" w:type="pct"/>
            <w:shd w:val="clear" w:color="auto" w:fill="auto"/>
            <w:tcMar>
              <w:top w:w="20" w:type="dxa"/>
              <w:left w:w="20" w:type="dxa"/>
              <w:bottom w:w="20" w:type="dxa"/>
              <w:right w:w="20" w:type="dxa"/>
            </w:tcMar>
          </w:tcPr>
          <w:p w14:paraId="467765B8" w14:textId="77777777" w:rsidR="00BC4850" w:rsidRPr="00D75696" w:rsidRDefault="00BC4850" w:rsidP="003A105D">
            <w:pPr>
              <w:pStyle w:val="T1TableStyle"/>
              <w:rPr>
                <w:rFonts w:ascii="Verdana" w:eastAsia="Verdana" w:hAnsi="Verdana" w:cs="Verdana"/>
                <w:color w:val="000000"/>
                <w:sz w:val="16"/>
                <w:lang w:val="en-GB"/>
              </w:rPr>
            </w:pPr>
            <w:r w:rsidRPr="00D75696">
              <w:rPr>
                <w:rFonts w:ascii="Verdana" w:eastAsia="Verdana" w:hAnsi="Verdana" w:cs="Verdana"/>
                <w:color w:val="000000"/>
                <w:sz w:val="16"/>
                <w:lang w:val="en-GB"/>
              </w:rPr>
              <w:t>Other adjustments</w:t>
            </w:r>
          </w:p>
        </w:tc>
        <w:tc>
          <w:tcPr>
            <w:tcW w:w="756" w:type="pct"/>
            <w:shd w:val="clear" w:color="auto" w:fill="auto"/>
            <w:tcMar>
              <w:top w:w="20" w:type="dxa"/>
              <w:left w:w="20" w:type="dxa"/>
              <w:bottom w:w="20" w:type="dxa"/>
              <w:right w:w="20" w:type="dxa"/>
            </w:tcMar>
          </w:tcPr>
          <w:p w14:paraId="6D8622DA" w14:textId="6E2AAF3F" w:rsidR="00BC4850" w:rsidRPr="00D75696" w:rsidRDefault="00800CA7" w:rsidP="003A105D">
            <w:pPr>
              <w:pStyle w:val="T1TableStyle"/>
              <w:jc w:val="right"/>
              <w:rPr>
                <w:rFonts w:ascii="Verdana" w:eastAsia="Verdana" w:hAnsi="Verdana" w:cs="Verdana"/>
                <w:color w:val="000000"/>
                <w:sz w:val="16"/>
                <w:lang w:val="en-GB"/>
              </w:rPr>
            </w:pPr>
            <w:r w:rsidRPr="00D75696">
              <w:rPr>
                <w:rFonts w:ascii="Verdana" w:eastAsia="Verdana" w:hAnsi="Verdana" w:cs="Verdana"/>
                <w:color w:val="000000"/>
                <w:sz w:val="16"/>
                <w:lang w:val="en-GB"/>
              </w:rPr>
              <w:t>(</w:t>
            </w:r>
            <w:r w:rsidR="005A2B92">
              <w:rPr>
                <w:rFonts w:ascii="Verdana" w:eastAsia="Verdana" w:hAnsi="Verdana" w:cs="Verdana"/>
                <w:color w:val="000000"/>
                <w:sz w:val="16"/>
                <w:lang w:val="en-GB"/>
              </w:rPr>
              <w:t>787</w:t>
            </w:r>
            <w:r w:rsidRPr="00D75696">
              <w:rPr>
                <w:rFonts w:ascii="Verdana" w:eastAsia="Verdana" w:hAnsi="Verdana" w:cs="Verdana"/>
                <w:color w:val="000000"/>
                <w:sz w:val="16"/>
                <w:lang w:val="en-GB"/>
              </w:rPr>
              <w:t>)</w:t>
            </w:r>
          </w:p>
        </w:tc>
        <w:tc>
          <w:tcPr>
            <w:tcW w:w="636" w:type="pct"/>
            <w:shd w:val="clear" w:color="auto" w:fill="auto"/>
            <w:tcMar>
              <w:top w:w="20" w:type="dxa"/>
              <w:left w:w="20" w:type="dxa"/>
              <w:bottom w:w="20" w:type="dxa"/>
              <w:right w:w="20" w:type="dxa"/>
            </w:tcMar>
          </w:tcPr>
          <w:p w14:paraId="4DF3EB52" w14:textId="77777777" w:rsidR="00BC4850" w:rsidRPr="00D75696" w:rsidRDefault="00BC4850" w:rsidP="00800CA7">
            <w:pPr>
              <w:pStyle w:val="T1TableStyle"/>
              <w:jc w:val="center"/>
              <w:rPr>
                <w:rFonts w:ascii="Verdana" w:eastAsia="Verdana" w:hAnsi="Verdana" w:cs="Verdana"/>
                <w:color w:val="000000"/>
                <w:sz w:val="16"/>
                <w:lang w:val="en-GB"/>
              </w:rPr>
            </w:pPr>
          </w:p>
        </w:tc>
        <w:tc>
          <w:tcPr>
            <w:tcW w:w="722" w:type="pct"/>
            <w:shd w:val="clear" w:color="auto" w:fill="auto"/>
            <w:tcMar>
              <w:top w:w="20" w:type="dxa"/>
              <w:left w:w="20" w:type="dxa"/>
              <w:bottom w:w="20" w:type="dxa"/>
              <w:right w:w="20" w:type="dxa"/>
            </w:tcMar>
          </w:tcPr>
          <w:p w14:paraId="219798CF" w14:textId="0EB1074B" w:rsidR="00BC4850" w:rsidRPr="00D75696" w:rsidRDefault="005A2B92" w:rsidP="003A105D">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1,084</w:t>
            </w:r>
          </w:p>
        </w:tc>
        <w:tc>
          <w:tcPr>
            <w:tcW w:w="723" w:type="pct"/>
            <w:shd w:val="clear" w:color="auto" w:fill="auto"/>
            <w:tcMar>
              <w:top w:w="20" w:type="dxa"/>
              <w:left w:w="20" w:type="dxa"/>
              <w:bottom w:w="20" w:type="dxa"/>
              <w:right w:w="20" w:type="dxa"/>
            </w:tcMar>
          </w:tcPr>
          <w:p w14:paraId="4FCE05E1" w14:textId="7691E3DE" w:rsidR="00BC4850" w:rsidRPr="00D75696" w:rsidRDefault="00E6746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(297)</w:t>
            </w:r>
          </w:p>
        </w:tc>
      </w:tr>
      <w:tr w:rsidR="00BC4850" w:rsidRPr="00D75696" w14:paraId="78EE77D5" w14:textId="77777777" w:rsidTr="00FB5015">
        <w:trPr>
          <w:gridBefore w:val="1"/>
          <w:wBefore w:w="121" w:type="pct"/>
          <w:trHeight w:hRule="exact" w:val="73"/>
          <w:jc w:val="center"/>
        </w:trPr>
        <w:tc>
          <w:tcPr>
            <w:tcW w:w="2042" w:type="pct"/>
            <w:shd w:val="clear" w:color="auto" w:fill="auto"/>
            <w:tcMar>
              <w:top w:w="20" w:type="dxa"/>
              <w:left w:w="20" w:type="dxa"/>
              <w:bottom w:w="20" w:type="dxa"/>
              <w:right w:w="20" w:type="dxa"/>
            </w:tcMar>
          </w:tcPr>
          <w:p w14:paraId="63204CC3" w14:textId="77777777" w:rsidR="00BC4850" w:rsidRPr="00D75696" w:rsidRDefault="00BC4850" w:rsidP="003A105D">
            <w:pPr>
              <w:pStyle w:val="T1TableStyle"/>
              <w:jc w:val="center"/>
              <w:rPr>
                <w:rFonts w:ascii="Verdana" w:eastAsia="Verdana" w:hAnsi="Verdana" w:cs="Verdana"/>
                <w:color w:val="000000"/>
                <w:sz w:val="2"/>
                <w:lang w:val="en-GB"/>
              </w:rPr>
            </w:pPr>
            <w:r w:rsidRPr="00D75696">
              <w:rPr>
                <w:rFonts w:ascii="Verdana" w:eastAsia="Verdana" w:hAnsi="Verdana" w:cs="Verdana"/>
                <w:color w:val="000000"/>
                <w:sz w:val="2"/>
                <w:lang w:val="en-GB"/>
              </w:rPr>
              <w:t xml:space="preserve"> </w:t>
            </w:r>
          </w:p>
        </w:tc>
        <w:tc>
          <w:tcPr>
            <w:tcW w:w="756" w:type="pct"/>
            <w:shd w:val="clear" w:color="auto" w:fill="auto"/>
            <w:tcMar>
              <w:top w:w="20" w:type="dxa"/>
              <w:left w:w="20" w:type="dxa"/>
              <w:bottom w:w="20" w:type="dxa"/>
              <w:right w:w="20" w:type="dxa"/>
            </w:tcMar>
          </w:tcPr>
          <w:p w14:paraId="692DC05C" w14:textId="77777777" w:rsidR="00BC4850" w:rsidRPr="00D75696" w:rsidRDefault="00BC4850" w:rsidP="003A105D">
            <w:pPr>
              <w:pStyle w:val="T1TableStyle"/>
              <w:jc w:val="center"/>
              <w:rPr>
                <w:rFonts w:ascii="Verdana" w:eastAsia="Verdana" w:hAnsi="Verdana" w:cs="Verdana"/>
                <w:color w:val="000000"/>
                <w:sz w:val="2"/>
                <w:lang w:val="en-GB"/>
              </w:rPr>
            </w:pPr>
          </w:p>
        </w:tc>
        <w:tc>
          <w:tcPr>
            <w:tcW w:w="636" w:type="pct"/>
            <w:shd w:val="clear" w:color="auto" w:fill="auto"/>
            <w:tcMar>
              <w:top w:w="20" w:type="dxa"/>
              <w:left w:w="20" w:type="dxa"/>
              <w:bottom w:w="20" w:type="dxa"/>
              <w:right w:w="20" w:type="dxa"/>
            </w:tcMar>
          </w:tcPr>
          <w:p w14:paraId="1B397C5D"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2" w:type="pct"/>
            <w:shd w:val="clear" w:color="auto" w:fill="auto"/>
            <w:tcMar>
              <w:top w:w="20" w:type="dxa"/>
              <w:left w:w="20" w:type="dxa"/>
              <w:bottom w:w="20" w:type="dxa"/>
              <w:right w:w="20" w:type="dxa"/>
            </w:tcMar>
          </w:tcPr>
          <w:p w14:paraId="0764C7B1" w14:textId="77777777" w:rsidR="00BC4850" w:rsidRPr="00D75696" w:rsidRDefault="00BC4850" w:rsidP="003A105D">
            <w:pPr>
              <w:pStyle w:val="T1TableStyle"/>
              <w:jc w:val="center"/>
              <w:rPr>
                <w:rFonts w:ascii="Verdana" w:eastAsia="Verdana" w:hAnsi="Verdana" w:cs="Verdana"/>
                <w:color w:val="000000"/>
                <w:sz w:val="2"/>
                <w:lang w:val="en-GB"/>
              </w:rPr>
            </w:pPr>
          </w:p>
        </w:tc>
        <w:tc>
          <w:tcPr>
            <w:tcW w:w="723" w:type="pct"/>
            <w:shd w:val="clear" w:color="auto" w:fill="auto"/>
            <w:tcMar>
              <w:top w:w="20" w:type="dxa"/>
              <w:left w:w="20" w:type="dxa"/>
              <w:bottom w:w="20" w:type="dxa"/>
              <w:right w:w="20" w:type="dxa"/>
            </w:tcMar>
          </w:tcPr>
          <w:p w14:paraId="404D84DA" w14:textId="77777777" w:rsidR="00BC4850" w:rsidRPr="00D75696" w:rsidRDefault="00BC4850" w:rsidP="003A105D">
            <w:pPr>
              <w:pStyle w:val="T1TableStyle"/>
              <w:jc w:val="center"/>
              <w:rPr>
                <w:rFonts w:ascii="Verdana" w:eastAsia="Verdana" w:hAnsi="Verdana" w:cs="Verdana"/>
                <w:color w:val="000000"/>
                <w:sz w:val="2"/>
                <w:lang w:val="en-GB"/>
              </w:rPr>
            </w:pPr>
          </w:p>
        </w:tc>
      </w:tr>
      <w:tr w:rsidR="00BC4850" w:rsidRPr="00D75696" w14:paraId="18AC705C" w14:textId="77777777" w:rsidTr="00FB5015">
        <w:trPr>
          <w:gridBefore w:val="1"/>
          <w:wBefore w:w="121" w:type="pct"/>
          <w:trHeight w:val="126"/>
          <w:jc w:val="center"/>
        </w:trPr>
        <w:tc>
          <w:tcPr>
            <w:tcW w:w="2042" w:type="pct"/>
            <w:tcBorders>
              <w:top w:val="single" w:sz="2" w:space="0" w:color="000000"/>
              <w:bottom w:val="single" w:sz="12" w:space="0" w:color="000000"/>
            </w:tcBorders>
            <w:shd w:val="clear" w:color="auto" w:fill="auto"/>
            <w:tcMar>
              <w:top w:w="20" w:type="dxa"/>
              <w:left w:w="20" w:type="dxa"/>
              <w:bottom w:w="20" w:type="dxa"/>
              <w:right w:w="20" w:type="dxa"/>
            </w:tcMar>
          </w:tcPr>
          <w:p w14:paraId="6F782202" w14:textId="77777777" w:rsidR="00BC4850" w:rsidRPr="00D75696" w:rsidRDefault="00BC4850" w:rsidP="003A105D">
            <w:pPr>
              <w:pStyle w:val="T1TableStyle"/>
              <w:rPr>
                <w:rFonts w:ascii="Verdana" w:eastAsia="Verdana" w:hAnsi="Verdana" w:cs="Verdana"/>
                <w:b/>
                <w:color w:val="000000"/>
                <w:sz w:val="16"/>
                <w:lang w:val="en-GB"/>
              </w:rPr>
            </w:pPr>
            <w:r w:rsidRPr="00D75696">
              <w:rPr>
                <w:rFonts w:ascii="Verdana" w:eastAsia="Verdana" w:hAnsi="Verdana" w:cs="Verdana"/>
                <w:b/>
                <w:color w:val="000000"/>
                <w:sz w:val="16"/>
                <w:lang w:val="en-GB"/>
              </w:rPr>
              <w:t>Total Adjustments</w:t>
            </w:r>
          </w:p>
        </w:tc>
        <w:tc>
          <w:tcPr>
            <w:tcW w:w="756" w:type="pct"/>
            <w:tcBorders>
              <w:top w:val="single" w:sz="2" w:space="0" w:color="000000"/>
              <w:bottom w:val="single" w:sz="12" w:space="0" w:color="000000"/>
            </w:tcBorders>
            <w:shd w:val="clear" w:color="auto" w:fill="auto"/>
            <w:tcMar>
              <w:top w:w="20" w:type="dxa"/>
              <w:left w:w="20" w:type="dxa"/>
              <w:bottom w:w="20" w:type="dxa"/>
              <w:right w:w="20" w:type="dxa"/>
            </w:tcMar>
          </w:tcPr>
          <w:p w14:paraId="6EBD9BD6" w14:textId="1148DAA0" w:rsidR="00BC4850" w:rsidRPr="00D75696" w:rsidRDefault="00800CA7" w:rsidP="003A105D">
            <w:pPr>
              <w:pStyle w:val="T1TableStyle"/>
              <w:jc w:val="right"/>
              <w:rPr>
                <w:rFonts w:ascii="Verdana" w:eastAsia="Verdana" w:hAnsi="Verdana" w:cs="Verdana"/>
                <w:b/>
                <w:color w:val="000000"/>
                <w:sz w:val="16"/>
                <w:lang w:val="en-GB"/>
              </w:rPr>
            </w:pPr>
            <w:r w:rsidRPr="00D75696">
              <w:rPr>
                <w:rFonts w:ascii="Verdana" w:eastAsia="Verdana" w:hAnsi="Verdana" w:cs="Verdana"/>
                <w:b/>
                <w:color w:val="000000"/>
                <w:sz w:val="16"/>
                <w:lang w:val="en-GB"/>
              </w:rPr>
              <w:t>(</w:t>
            </w:r>
            <w:r w:rsidR="005A2B92">
              <w:rPr>
                <w:rFonts w:ascii="Verdana" w:eastAsia="Verdana" w:hAnsi="Verdana" w:cs="Verdana"/>
                <w:b/>
                <w:color w:val="000000"/>
                <w:sz w:val="16"/>
                <w:lang w:val="en-GB"/>
              </w:rPr>
              <w:t>4,307</w:t>
            </w:r>
            <w:r w:rsidRPr="00D75696">
              <w:rPr>
                <w:rFonts w:ascii="Verdana" w:eastAsia="Verdana" w:hAnsi="Verdana" w:cs="Verdana"/>
                <w:b/>
                <w:color w:val="000000"/>
                <w:sz w:val="16"/>
                <w:lang w:val="en-GB"/>
              </w:rPr>
              <w:t>)</w:t>
            </w:r>
          </w:p>
        </w:tc>
        <w:tc>
          <w:tcPr>
            <w:tcW w:w="636" w:type="pct"/>
            <w:tcBorders>
              <w:top w:val="single" w:sz="2" w:space="0" w:color="000000"/>
              <w:bottom w:val="single" w:sz="12" w:space="0" w:color="000000"/>
            </w:tcBorders>
            <w:shd w:val="clear" w:color="auto" w:fill="auto"/>
            <w:tcMar>
              <w:top w:w="20" w:type="dxa"/>
              <w:left w:w="20" w:type="dxa"/>
              <w:bottom w:w="20" w:type="dxa"/>
              <w:right w:w="20" w:type="dxa"/>
            </w:tcMar>
          </w:tcPr>
          <w:p w14:paraId="7B105D58" w14:textId="32F7DFE7" w:rsidR="00BC4850" w:rsidRPr="00D75696" w:rsidRDefault="00852B4D" w:rsidP="003A105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19</w:t>
            </w:r>
            <w:r w:rsidR="005A2B92">
              <w:rPr>
                <w:rFonts w:ascii="Verdana" w:eastAsia="Verdana" w:hAnsi="Verdana" w:cs="Verdana"/>
                <w:b/>
                <w:color w:val="000000"/>
                <w:sz w:val="16"/>
                <w:lang w:val="en-GB"/>
              </w:rPr>
              <w:t>6</w:t>
            </w:r>
          </w:p>
        </w:tc>
        <w:tc>
          <w:tcPr>
            <w:tcW w:w="722" w:type="pct"/>
            <w:tcBorders>
              <w:top w:val="single" w:sz="2" w:space="0" w:color="000000"/>
              <w:bottom w:val="single" w:sz="12" w:space="0" w:color="000000"/>
            </w:tcBorders>
            <w:shd w:val="clear" w:color="auto" w:fill="auto"/>
            <w:tcMar>
              <w:top w:w="20" w:type="dxa"/>
              <w:left w:w="20" w:type="dxa"/>
              <w:bottom w:w="20" w:type="dxa"/>
              <w:right w:w="20" w:type="dxa"/>
            </w:tcMar>
          </w:tcPr>
          <w:p w14:paraId="3DD9FBDE" w14:textId="6A557399" w:rsidR="00BC4850" w:rsidRPr="00D75696" w:rsidRDefault="00E6746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1,084</w:t>
            </w:r>
          </w:p>
        </w:tc>
        <w:tc>
          <w:tcPr>
            <w:tcW w:w="723" w:type="pct"/>
            <w:tcBorders>
              <w:top w:val="single" w:sz="2" w:space="0" w:color="000000"/>
              <w:bottom w:val="single" w:sz="12" w:space="0" w:color="000000"/>
            </w:tcBorders>
            <w:shd w:val="clear" w:color="auto" w:fill="auto"/>
            <w:tcMar>
              <w:top w:w="20" w:type="dxa"/>
              <w:left w:w="20" w:type="dxa"/>
              <w:bottom w:w="20" w:type="dxa"/>
              <w:right w:w="20" w:type="dxa"/>
            </w:tcMar>
          </w:tcPr>
          <w:p w14:paraId="6EA05A13" w14:textId="6B40B27F" w:rsidR="00BC4850" w:rsidRPr="00D75696" w:rsidRDefault="00E6746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3,027</w:t>
            </w:r>
          </w:p>
        </w:tc>
      </w:tr>
    </w:tbl>
    <w:p w14:paraId="2A5F2ACD" w14:textId="77777777" w:rsidR="00376C97" w:rsidRPr="00D75696" w:rsidRDefault="00376C97">
      <w:pPr>
        <w:pStyle w:val="Normal0"/>
        <w:spacing w:after="160" w:line="259" w:lineRule="auto"/>
        <w:rPr>
          <w:rFonts w:ascii="Verdana" w:eastAsia="Verdana" w:hAnsi="Verdana" w:cs="Verdana"/>
          <w:sz w:val="22"/>
          <w:szCs w:val="22"/>
          <w:lang w:val="en-GB"/>
        </w:rPr>
      </w:pPr>
    </w:p>
    <w:p w14:paraId="1FF9C8DA" w14:textId="77777777" w:rsidR="00376C97" w:rsidRDefault="00376C97">
      <w:pPr>
        <w:pStyle w:val="Normal0"/>
        <w:spacing w:after="160" w:line="259" w:lineRule="auto"/>
        <w:rPr>
          <w:rFonts w:ascii="Verdana" w:eastAsia="Verdana" w:hAnsi="Verdana" w:cs="Verdana"/>
          <w:sz w:val="22"/>
          <w:szCs w:val="22"/>
          <w:highlight w:val="yellow"/>
          <w:lang w:val="en-GB"/>
        </w:rPr>
      </w:pPr>
    </w:p>
    <w:p w14:paraId="38537433" w14:textId="77777777" w:rsidR="00E67460" w:rsidRPr="003516A4" w:rsidRDefault="00E67460">
      <w:pPr>
        <w:pStyle w:val="Normal0"/>
        <w:spacing w:after="160" w:line="259" w:lineRule="auto"/>
        <w:rPr>
          <w:rFonts w:ascii="Verdana" w:eastAsia="Verdana" w:hAnsi="Verdana" w:cs="Verdana"/>
          <w:sz w:val="22"/>
          <w:szCs w:val="22"/>
          <w:highlight w:val="yellow"/>
          <w:lang w:val="en-GB"/>
        </w:rPr>
      </w:pPr>
    </w:p>
    <w:p w14:paraId="4C9B0685" w14:textId="77777777" w:rsidR="00CC5F3E" w:rsidRPr="00B76332" w:rsidRDefault="00CC5F3E">
      <w:pPr>
        <w:pStyle w:val="Normal0"/>
        <w:spacing w:after="160" w:line="259" w:lineRule="auto"/>
        <w:rPr>
          <w:rFonts w:ascii="Verdana" w:eastAsia="Verdana" w:hAnsi="Verdana" w:cs="Verdana"/>
          <w:sz w:val="22"/>
          <w:szCs w:val="22"/>
          <w:lang w:val="en-GB"/>
        </w:rPr>
      </w:pPr>
      <w:r w:rsidRPr="00B76332">
        <w:rPr>
          <w:rFonts w:ascii="Verdana" w:eastAsia="Verdana" w:hAnsi="Verdana" w:cs="Verdana"/>
          <w:sz w:val="22"/>
          <w:szCs w:val="22"/>
          <w:lang w:val="en-GB"/>
        </w:rPr>
        <w:t xml:space="preserve">   PCC</w:t>
      </w:r>
    </w:p>
    <w:tbl>
      <w:tblPr>
        <w:tblW w:w="0" w:type="auto"/>
        <w:jc w:val="center"/>
        <w:tblLayout w:type="fixed"/>
        <w:tblLook w:val="04A0" w:firstRow="1" w:lastRow="0" w:firstColumn="1" w:lastColumn="0" w:noHBand="0" w:noVBand="1"/>
      </w:tblPr>
      <w:tblGrid>
        <w:gridCol w:w="6822"/>
        <w:gridCol w:w="1239"/>
        <w:gridCol w:w="1239"/>
        <w:gridCol w:w="1239"/>
        <w:gridCol w:w="1246"/>
      </w:tblGrid>
      <w:tr w:rsidR="00376C97" w:rsidRPr="00B76332" w14:paraId="30E6FEAE" w14:textId="77777777" w:rsidTr="00FB5015">
        <w:trPr>
          <w:trHeight w:val="329"/>
          <w:jc w:val="center"/>
        </w:trPr>
        <w:tc>
          <w:tcPr>
            <w:tcW w:w="6822" w:type="dxa"/>
            <w:shd w:val="clear" w:color="auto" w:fill="auto"/>
            <w:tcMar>
              <w:top w:w="20" w:type="dxa"/>
              <w:left w:w="20" w:type="dxa"/>
              <w:bottom w:w="20" w:type="dxa"/>
              <w:right w:w="20" w:type="dxa"/>
            </w:tcMar>
          </w:tcPr>
          <w:p w14:paraId="7256066A" w14:textId="77777777" w:rsidR="00376C97" w:rsidRPr="00B76332" w:rsidRDefault="0090362D" w:rsidP="00CC5F3E">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 xml:space="preserve">PCC </w:t>
            </w:r>
            <w:r w:rsidR="00376C97" w:rsidRPr="00B76332">
              <w:rPr>
                <w:rFonts w:ascii="Verdana" w:eastAsia="Verdana" w:hAnsi="Verdana" w:cs="Verdana"/>
                <w:b/>
                <w:color w:val="000000"/>
                <w:sz w:val="16"/>
                <w:lang w:val="en-GB"/>
              </w:rPr>
              <w:t>2019/2020</w:t>
            </w:r>
          </w:p>
        </w:tc>
        <w:tc>
          <w:tcPr>
            <w:tcW w:w="1239" w:type="dxa"/>
            <w:shd w:val="clear" w:color="auto" w:fill="auto"/>
            <w:tcMar>
              <w:top w:w="20" w:type="dxa"/>
              <w:left w:w="20" w:type="dxa"/>
              <w:bottom w:w="20" w:type="dxa"/>
              <w:right w:w="20" w:type="dxa"/>
            </w:tcMar>
          </w:tcPr>
          <w:p w14:paraId="6940F223" w14:textId="77777777" w:rsidR="00376C97" w:rsidRPr="00B76332" w:rsidRDefault="00376C97" w:rsidP="00CC5F3E">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General Fund Balance</w:t>
            </w:r>
          </w:p>
        </w:tc>
        <w:tc>
          <w:tcPr>
            <w:tcW w:w="1239" w:type="dxa"/>
            <w:shd w:val="clear" w:color="auto" w:fill="auto"/>
            <w:tcMar>
              <w:top w:w="20" w:type="dxa"/>
              <w:left w:w="20" w:type="dxa"/>
              <w:bottom w:w="20" w:type="dxa"/>
              <w:right w:w="20" w:type="dxa"/>
            </w:tcMar>
          </w:tcPr>
          <w:p w14:paraId="7B961CA0" w14:textId="77777777" w:rsidR="00376C97" w:rsidRPr="00B76332" w:rsidRDefault="00376C97" w:rsidP="00CC5F3E">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Capital Receipts Reserve</w:t>
            </w:r>
          </w:p>
        </w:tc>
        <w:tc>
          <w:tcPr>
            <w:tcW w:w="1239" w:type="dxa"/>
            <w:shd w:val="clear" w:color="auto" w:fill="auto"/>
            <w:tcMar>
              <w:top w:w="20" w:type="dxa"/>
              <w:left w:w="20" w:type="dxa"/>
              <w:bottom w:w="20" w:type="dxa"/>
              <w:right w:w="20" w:type="dxa"/>
            </w:tcMar>
          </w:tcPr>
          <w:p w14:paraId="48D52641" w14:textId="77777777" w:rsidR="00376C97" w:rsidRPr="00B76332" w:rsidRDefault="00376C97" w:rsidP="00CC5F3E">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Capital Grants Unapplied</w:t>
            </w:r>
          </w:p>
        </w:tc>
        <w:tc>
          <w:tcPr>
            <w:tcW w:w="1244" w:type="dxa"/>
            <w:shd w:val="clear" w:color="auto" w:fill="auto"/>
            <w:tcMar>
              <w:top w:w="20" w:type="dxa"/>
              <w:left w:w="20" w:type="dxa"/>
              <w:bottom w:w="20" w:type="dxa"/>
              <w:right w:w="20" w:type="dxa"/>
            </w:tcMar>
          </w:tcPr>
          <w:p w14:paraId="34295678" w14:textId="77777777" w:rsidR="00376C97" w:rsidRPr="00B76332" w:rsidRDefault="00376C97" w:rsidP="00CC5F3E">
            <w:pPr>
              <w:pStyle w:val="T1TableStyle"/>
              <w:jc w:val="center"/>
              <w:rPr>
                <w:rFonts w:ascii="Verdana" w:eastAsia="Verdana" w:hAnsi="Verdana" w:cs="Verdana"/>
                <w:b/>
                <w:color w:val="000000"/>
                <w:sz w:val="16"/>
                <w:lang w:val="en-GB"/>
              </w:rPr>
            </w:pPr>
            <w:r w:rsidRPr="00B76332">
              <w:rPr>
                <w:rFonts w:ascii="Verdana" w:eastAsia="Verdana" w:hAnsi="Verdana" w:cs="Verdana"/>
                <w:b/>
                <w:color w:val="000000"/>
                <w:sz w:val="16"/>
                <w:lang w:val="en-GB"/>
              </w:rPr>
              <w:t>Movement in Unusable Reserves</w:t>
            </w:r>
          </w:p>
        </w:tc>
      </w:tr>
      <w:tr w:rsidR="00376C97" w:rsidRPr="00B76332" w14:paraId="116AF30C" w14:textId="77777777" w:rsidTr="00FB5015">
        <w:trPr>
          <w:trHeight w:val="164"/>
          <w:jc w:val="center"/>
        </w:trPr>
        <w:tc>
          <w:tcPr>
            <w:tcW w:w="6822" w:type="dxa"/>
            <w:tcBorders>
              <w:bottom w:val="single" w:sz="2" w:space="0" w:color="000000"/>
            </w:tcBorders>
            <w:shd w:val="clear" w:color="auto" w:fill="auto"/>
            <w:tcMar>
              <w:top w:w="20" w:type="dxa"/>
              <w:left w:w="20" w:type="dxa"/>
              <w:bottom w:w="20" w:type="dxa"/>
              <w:right w:w="20" w:type="dxa"/>
            </w:tcMar>
          </w:tcPr>
          <w:p w14:paraId="28C51ED2" w14:textId="77777777" w:rsidR="00376C97" w:rsidRPr="00B76332" w:rsidRDefault="00376C97" w:rsidP="00CC5F3E">
            <w:pPr>
              <w:pStyle w:val="T1TableStyle"/>
              <w:jc w:val="center"/>
              <w:rPr>
                <w:rFonts w:ascii="Verdana" w:eastAsia="Verdana" w:hAnsi="Verdana" w:cs="Verdana"/>
                <w:b/>
                <w:color w:val="000000"/>
                <w:sz w:val="2"/>
                <w:lang w:val="en-GB"/>
              </w:rPr>
            </w:pPr>
            <w:r w:rsidRPr="00B76332">
              <w:rPr>
                <w:rFonts w:ascii="Verdana" w:eastAsia="Verdana" w:hAnsi="Verdana" w:cs="Verdana"/>
                <w:b/>
                <w:color w:val="000000"/>
                <w:sz w:val="2"/>
                <w:lang w:val="en-GB"/>
              </w:rPr>
              <w:t xml:space="preserve"> </w:t>
            </w:r>
          </w:p>
        </w:tc>
        <w:tc>
          <w:tcPr>
            <w:tcW w:w="1239" w:type="dxa"/>
            <w:tcBorders>
              <w:bottom w:val="single" w:sz="2" w:space="0" w:color="000000"/>
            </w:tcBorders>
            <w:shd w:val="clear" w:color="auto" w:fill="auto"/>
            <w:tcMar>
              <w:top w:w="20" w:type="dxa"/>
              <w:left w:w="20" w:type="dxa"/>
              <w:bottom w:w="20" w:type="dxa"/>
              <w:right w:w="20" w:type="dxa"/>
            </w:tcMar>
          </w:tcPr>
          <w:p w14:paraId="2D3C2E50" w14:textId="77777777" w:rsidR="00376C97" w:rsidRPr="00B76332" w:rsidRDefault="00376C97" w:rsidP="00CC5F3E">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£000</w:t>
            </w:r>
          </w:p>
        </w:tc>
        <w:tc>
          <w:tcPr>
            <w:tcW w:w="1239" w:type="dxa"/>
            <w:tcBorders>
              <w:bottom w:val="single" w:sz="2" w:space="0" w:color="000000"/>
            </w:tcBorders>
            <w:shd w:val="clear" w:color="auto" w:fill="auto"/>
            <w:tcMar>
              <w:top w:w="20" w:type="dxa"/>
              <w:left w:w="20" w:type="dxa"/>
              <w:bottom w:w="20" w:type="dxa"/>
              <w:right w:w="20" w:type="dxa"/>
            </w:tcMar>
          </w:tcPr>
          <w:p w14:paraId="78C98C99" w14:textId="77777777" w:rsidR="00376C97" w:rsidRPr="00B76332" w:rsidRDefault="00376C97" w:rsidP="00CC5F3E">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£000</w:t>
            </w:r>
          </w:p>
        </w:tc>
        <w:tc>
          <w:tcPr>
            <w:tcW w:w="1239" w:type="dxa"/>
            <w:tcBorders>
              <w:bottom w:val="single" w:sz="2" w:space="0" w:color="000000"/>
            </w:tcBorders>
            <w:shd w:val="clear" w:color="auto" w:fill="auto"/>
            <w:tcMar>
              <w:top w:w="20" w:type="dxa"/>
              <w:left w:w="20" w:type="dxa"/>
              <w:bottom w:w="20" w:type="dxa"/>
              <w:right w:w="20" w:type="dxa"/>
            </w:tcMar>
          </w:tcPr>
          <w:p w14:paraId="6723CC1B" w14:textId="77777777" w:rsidR="00376C97" w:rsidRPr="00B76332" w:rsidRDefault="00376C97" w:rsidP="00CC5F3E">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£000</w:t>
            </w:r>
          </w:p>
        </w:tc>
        <w:tc>
          <w:tcPr>
            <w:tcW w:w="1244" w:type="dxa"/>
            <w:tcBorders>
              <w:bottom w:val="single" w:sz="2" w:space="0" w:color="000000"/>
            </w:tcBorders>
            <w:shd w:val="clear" w:color="auto" w:fill="auto"/>
            <w:tcMar>
              <w:top w:w="20" w:type="dxa"/>
              <w:left w:w="20" w:type="dxa"/>
              <w:bottom w:w="20" w:type="dxa"/>
              <w:right w:w="20" w:type="dxa"/>
            </w:tcMar>
          </w:tcPr>
          <w:p w14:paraId="635A11D5" w14:textId="77777777" w:rsidR="00376C97" w:rsidRPr="00B76332" w:rsidRDefault="00376C97" w:rsidP="00CC5F3E">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£000</w:t>
            </w:r>
          </w:p>
        </w:tc>
      </w:tr>
      <w:tr w:rsidR="00376C97" w:rsidRPr="00B76332" w14:paraId="050E716B" w14:textId="77777777" w:rsidTr="00FB5015">
        <w:trPr>
          <w:trHeight w:val="140"/>
          <w:jc w:val="center"/>
        </w:trPr>
        <w:tc>
          <w:tcPr>
            <w:tcW w:w="6822" w:type="dxa"/>
            <w:shd w:val="clear" w:color="auto" w:fill="auto"/>
            <w:tcMar>
              <w:top w:w="20" w:type="dxa"/>
              <w:left w:w="20" w:type="dxa"/>
              <w:bottom w:w="20" w:type="dxa"/>
              <w:right w:w="20" w:type="dxa"/>
            </w:tcMar>
          </w:tcPr>
          <w:p w14:paraId="4EFABE98" w14:textId="77777777" w:rsidR="00376C97" w:rsidRPr="00B76332" w:rsidRDefault="00376C97" w:rsidP="00CC5F3E">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Adjustments to the Revenue Resources</w:t>
            </w:r>
          </w:p>
        </w:tc>
        <w:tc>
          <w:tcPr>
            <w:tcW w:w="1239" w:type="dxa"/>
            <w:shd w:val="clear" w:color="auto" w:fill="auto"/>
            <w:tcMar>
              <w:top w:w="20" w:type="dxa"/>
              <w:left w:w="20" w:type="dxa"/>
              <w:bottom w:w="20" w:type="dxa"/>
              <w:right w:w="20" w:type="dxa"/>
            </w:tcMar>
          </w:tcPr>
          <w:p w14:paraId="046E9FA5" w14:textId="77777777" w:rsidR="00376C97" w:rsidRPr="00B76332" w:rsidRDefault="00376C97" w:rsidP="00CC5F3E">
            <w:pPr>
              <w:pStyle w:val="T1TableStyle"/>
              <w:jc w:val="center"/>
              <w:rPr>
                <w:rFonts w:ascii="Verdana" w:eastAsia="Verdana" w:hAnsi="Verdana" w:cs="Verdana"/>
                <w:b/>
                <w:color w:val="000000"/>
                <w:sz w:val="2"/>
                <w:lang w:val="en-GB"/>
              </w:rPr>
            </w:pPr>
            <w:r w:rsidRPr="00B76332">
              <w:rPr>
                <w:rFonts w:ascii="Verdana" w:eastAsia="Verdana" w:hAnsi="Verdana" w:cs="Verdana"/>
                <w:b/>
                <w:color w:val="000000"/>
                <w:sz w:val="2"/>
                <w:lang w:val="en-GB"/>
              </w:rPr>
              <w:t xml:space="preserve"> </w:t>
            </w:r>
          </w:p>
        </w:tc>
        <w:tc>
          <w:tcPr>
            <w:tcW w:w="1239" w:type="dxa"/>
            <w:shd w:val="clear" w:color="auto" w:fill="auto"/>
            <w:tcMar>
              <w:top w:w="20" w:type="dxa"/>
              <w:left w:w="20" w:type="dxa"/>
              <w:bottom w:w="20" w:type="dxa"/>
              <w:right w:w="20" w:type="dxa"/>
            </w:tcMar>
          </w:tcPr>
          <w:p w14:paraId="22EF28ED" w14:textId="77777777" w:rsidR="00376C97" w:rsidRPr="00B76332" w:rsidRDefault="00376C97" w:rsidP="00CC5F3E">
            <w:pPr>
              <w:pStyle w:val="T1TableStyle"/>
              <w:jc w:val="center"/>
              <w:rPr>
                <w:rFonts w:ascii="Verdana" w:eastAsia="Verdana" w:hAnsi="Verdana" w:cs="Verdana"/>
                <w:b/>
                <w:color w:val="000000"/>
                <w:sz w:val="2"/>
                <w:lang w:val="en-GB"/>
              </w:rPr>
            </w:pPr>
            <w:r w:rsidRPr="00B76332">
              <w:rPr>
                <w:rFonts w:ascii="Verdana" w:eastAsia="Verdana" w:hAnsi="Verdana" w:cs="Verdana"/>
                <w:b/>
                <w:color w:val="000000"/>
                <w:sz w:val="2"/>
                <w:lang w:val="en-GB"/>
              </w:rPr>
              <w:t xml:space="preserve"> </w:t>
            </w:r>
          </w:p>
        </w:tc>
        <w:tc>
          <w:tcPr>
            <w:tcW w:w="1239" w:type="dxa"/>
            <w:shd w:val="clear" w:color="auto" w:fill="auto"/>
            <w:tcMar>
              <w:top w:w="20" w:type="dxa"/>
              <w:left w:w="20" w:type="dxa"/>
              <w:bottom w:w="20" w:type="dxa"/>
              <w:right w:w="20" w:type="dxa"/>
            </w:tcMar>
          </w:tcPr>
          <w:p w14:paraId="4C01D77A" w14:textId="77777777" w:rsidR="00376C97" w:rsidRPr="00B76332" w:rsidRDefault="00376C97" w:rsidP="00CC5F3E">
            <w:pPr>
              <w:pStyle w:val="T1TableStyle"/>
              <w:jc w:val="center"/>
              <w:rPr>
                <w:rFonts w:ascii="Verdana" w:eastAsia="Verdana" w:hAnsi="Verdana" w:cs="Verdana"/>
                <w:b/>
                <w:color w:val="000000"/>
                <w:sz w:val="2"/>
                <w:lang w:val="en-GB"/>
              </w:rPr>
            </w:pPr>
            <w:r w:rsidRPr="00B76332">
              <w:rPr>
                <w:rFonts w:ascii="Verdana" w:eastAsia="Verdana" w:hAnsi="Verdana" w:cs="Verdana"/>
                <w:b/>
                <w:color w:val="000000"/>
                <w:sz w:val="2"/>
                <w:lang w:val="en-GB"/>
              </w:rPr>
              <w:t xml:space="preserve"> </w:t>
            </w:r>
          </w:p>
        </w:tc>
        <w:tc>
          <w:tcPr>
            <w:tcW w:w="1244" w:type="dxa"/>
            <w:shd w:val="clear" w:color="auto" w:fill="auto"/>
            <w:tcMar>
              <w:top w:w="20" w:type="dxa"/>
              <w:left w:w="20" w:type="dxa"/>
              <w:bottom w:w="20" w:type="dxa"/>
              <w:right w:w="20" w:type="dxa"/>
            </w:tcMar>
          </w:tcPr>
          <w:p w14:paraId="7DB432D1" w14:textId="77777777" w:rsidR="00376C97" w:rsidRPr="00B76332" w:rsidRDefault="00376C97" w:rsidP="00CC5F3E">
            <w:pPr>
              <w:pStyle w:val="T1TableStyle"/>
              <w:jc w:val="center"/>
              <w:rPr>
                <w:rFonts w:ascii="Verdana" w:eastAsia="Verdana" w:hAnsi="Verdana" w:cs="Verdana"/>
                <w:b/>
                <w:color w:val="000000"/>
                <w:sz w:val="2"/>
                <w:lang w:val="en-GB"/>
              </w:rPr>
            </w:pPr>
            <w:r w:rsidRPr="00B76332">
              <w:rPr>
                <w:rFonts w:ascii="Verdana" w:eastAsia="Verdana" w:hAnsi="Verdana" w:cs="Verdana"/>
                <w:b/>
                <w:color w:val="000000"/>
                <w:sz w:val="2"/>
                <w:lang w:val="en-GB"/>
              </w:rPr>
              <w:t xml:space="preserve"> </w:t>
            </w:r>
          </w:p>
        </w:tc>
      </w:tr>
      <w:tr w:rsidR="00376C97" w:rsidRPr="00B76332" w14:paraId="77A5A161" w14:textId="77777777" w:rsidTr="00FB5015">
        <w:trPr>
          <w:trHeight w:val="140"/>
          <w:jc w:val="center"/>
        </w:trPr>
        <w:tc>
          <w:tcPr>
            <w:tcW w:w="6822" w:type="dxa"/>
            <w:shd w:val="clear" w:color="auto" w:fill="auto"/>
            <w:tcMar>
              <w:top w:w="20" w:type="dxa"/>
              <w:left w:w="20" w:type="dxa"/>
              <w:bottom w:w="20" w:type="dxa"/>
              <w:right w:w="20" w:type="dxa"/>
            </w:tcMar>
          </w:tcPr>
          <w:p w14:paraId="1621C228" w14:textId="77777777" w:rsidR="00376C97" w:rsidRPr="00B76332" w:rsidRDefault="00376C97" w:rsidP="00CC5F3E">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Amounts by which income and expenditure included in the Comprehensive Income and Expenditure Statement are different from revenue for the year calculated in accordance with statutory requirements:</w:t>
            </w:r>
          </w:p>
        </w:tc>
        <w:tc>
          <w:tcPr>
            <w:tcW w:w="1239" w:type="dxa"/>
            <w:shd w:val="clear" w:color="auto" w:fill="auto"/>
            <w:tcMar>
              <w:top w:w="20" w:type="dxa"/>
              <w:left w:w="20" w:type="dxa"/>
              <w:bottom w:w="20" w:type="dxa"/>
              <w:right w:w="20" w:type="dxa"/>
            </w:tcMar>
          </w:tcPr>
          <w:p w14:paraId="2822396C" w14:textId="77777777" w:rsidR="00376C97" w:rsidRPr="00B76332" w:rsidRDefault="00376C97" w:rsidP="00CC5F3E">
            <w:pPr>
              <w:pStyle w:val="T1TableStyle"/>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4401A340" w14:textId="77777777" w:rsidR="00376C97" w:rsidRPr="00B76332" w:rsidRDefault="00376C97" w:rsidP="00CC5F3E">
            <w:pPr>
              <w:pStyle w:val="T1TableStyle"/>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0DE09EE0" w14:textId="77777777" w:rsidR="00376C97" w:rsidRPr="00B76332" w:rsidRDefault="00376C97" w:rsidP="00CC5F3E">
            <w:pPr>
              <w:pStyle w:val="T1TableStyle"/>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44" w:type="dxa"/>
            <w:shd w:val="clear" w:color="auto" w:fill="auto"/>
            <w:tcMar>
              <w:top w:w="20" w:type="dxa"/>
              <w:left w:w="20" w:type="dxa"/>
              <w:bottom w:w="20" w:type="dxa"/>
              <w:right w:w="20" w:type="dxa"/>
            </w:tcMar>
          </w:tcPr>
          <w:p w14:paraId="7D3BBBEE" w14:textId="77777777" w:rsidR="00376C97" w:rsidRPr="00B76332" w:rsidRDefault="00376C97" w:rsidP="00CC5F3E">
            <w:pPr>
              <w:pStyle w:val="T1TableStyle"/>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r>
      <w:tr w:rsidR="00376C97" w:rsidRPr="00B76332" w14:paraId="51F1D6F0" w14:textId="77777777" w:rsidTr="00FB5015">
        <w:trPr>
          <w:trHeight w:val="140"/>
          <w:jc w:val="center"/>
        </w:trPr>
        <w:tc>
          <w:tcPr>
            <w:tcW w:w="6822" w:type="dxa"/>
            <w:shd w:val="clear" w:color="auto" w:fill="auto"/>
            <w:tcMar>
              <w:top w:w="20" w:type="dxa"/>
              <w:left w:w="20" w:type="dxa"/>
              <w:bottom w:w="20" w:type="dxa"/>
              <w:right w:w="20" w:type="dxa"/>
            </w:tcMar>
          </w:tcPr>
          <w:p w14:paraId="282CF343" w14:textId="77777777" w:rsidR="00376C97" w:rsidRPr="00B76332" w:rsidRDefault="00376C97" w:rsidP="00CC5F3E">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Pension cost (transferred to (or from) the Pensions Reserve)</w:t>
            </w:r>
          </w:p>
        </w:tc>
        <w:tc>
          <w:tcPr>
            <w:tcW w:w="1239" w:type="dxa"/>
            <w:shd w:val="clear" w:color="auto" w:fill="auto"/>
            <w:tcMar>
              <w:top w:w="20" w:type="dxa"/>
              <w:left w:w="20" w:type="dxa"/>
              <w:bottom w:w="20" w:type="dxa"/>
              <w:right w:w="20" w:type="dxa"/>
            </w:tcMar>
          </w:tcPr>
          <w:p w14:paraId="5F7D0FE7" w14:textId="77777777" w:rsidR="00376C97" w:rsidRPr="00B76332" w:rsidRDefault="00376C97">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w:t>
            </w:r>
            <w:r w:rsidR="003B61E9" w:rsidRPr="00B76332">
              <w:rPr>
                <w:rFonts w:ascii="Verdana" w:eastAsia="Verdana" w:hAnsi="Verdana" w:cs="Verdana"/>
                <w:color w:val="000000"/>
                <w:sz w:val="16"/>
                <w:lang w:val="en-GB"/>
              </w:rPr>
              <w:t>1</w:t>
            </w:r>
            <w:r w:rsidR="00017322" w:rsidRPr="00B76332">
              <w:rPr>
                <w:rFonts w:ascii="Verdana" w:eastAsia="Verdana" w:hAnsi="Verdana" w:cs="Verdana"/>
                <w:color w:val="000000"/>
                <w:sz w:val="16"/>
                <w:lang w:val="en-GB"/>
              </w:rPr>
              <w:t>41</w:t>
            </w:r>
            <w:r w:rsidRPr="00B76332">
              <w:rPr>
                <w:rFonts w:ascii="Verdana" w:eastAsia="Verdana" w:hAnsi="Verdana" w:cs="Verdana"/>
                <w:color w:val="000000"/>
                <w:sz w:val="16"/>
                <w:lang w:val="en-GB"/>
              </w:rPr>
              <w:t>)</w:t>
            </w:r>
          </w:p>
        </w:tc>
        <w:tc>
          <w:tcPr>
            <w:tcW w:w="1239" w:type="dxa"/>
            <w:shd w:val="clear" w:color="auto" w:fill="auto"/>
            <w:tcMar>
              <w:top w:w="20" w:type="dxa"/>
              <w:left w:w="20" w:type="dxa"/>
              <w:bottom w:w="20" w:type="dxa"/>
              <w:right w:w="20" w:type="dxa"/>
            </w:tcMar>
          </w:tcPr>
          <w:p w14:paraId="5BD80475"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092FD9CB"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44" w:type="dxa"/>
            <w:shd w:val="clear" w:color="auto" w:fill="auto"/>
            <w:tcMar>
              <w:top w:w="20" w:type="dxa"/>
              <w:left w:w="20" w:type="dxa"/>
              <w:bottom w:w="20" w:type="dxa"/>
              <w:right w:w="20" w:type="dxa"/>
            </w:tcMar>
          </w:tcPr>
          <w:p w14:paraId="0BC2F9B2" w14:textId="77777777" w:rsidR="00376C97" w:rsidRPr="00B76332" w:rsidRDefault="003B61E9">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w:t>
            </w:r>
            <w:r w:rsidR="00017322" w:rsidRPr="00B76332">
              <w:rPr>
                <w:rFonts w:ascii="Verdana" w:eastAsia="Verdana" w:hAnsi="Verdana" w:cs="Verdana"/>
                <w:color w:val="000000"/>
                <w:sz w:val="16"/>
                <w:lang w:val="en-GB"/>
              </w:rPr>
              <w:t>41</w:t>
            </w:r>
          </w:p>
        </w:tc>
      </w:tr>
      <w:tr w:rsidR="00376C97" w:rsidRPr="00B76332" w14:paraId="1F441C78" w14:textId="77777777" w:rsidTr="00FB5015">
        <w:trPr>
          <w:trHeight w:val="140"/>
          <w:jc w:val="center"/>
        </w:trPr>
        <w:tc>
          <w:tcPr>
            <w:tcW w:w="6822" w:type="dxa"/>
            <w:shd w:val="clear" w:color="auto" w:fill="auto"/>
            <w:tcMar>
              <w:top w:w="20" w:type="dxa"/>
              <w:left w:w="20" w:type="dxa"/>
              <w:bottom w:w="20" w:type="dxa"/>
              <w:right w:w="20" w:type="dxa"/>
            </w:tcMar>
          </w:tcPr>
          <w:p w14:paraId="45CF94A5" w14:textId="77777777" w:rsidR="00376C97" w:rsidRPr="00B76332" w:rsidRDefault="00376C97" w:rsidP="00CC5F3E">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Council tax and NDR (transfers to or from the Collection Fund)</w:t>
            </w:r>
          </w:p>
        </w:tc>
        <w:tc>
          <w:tcPr>
            <w:tcW w:w="1239" w:type="dxa"/>
            <w:shd w:val="clear" w:color="auto" w:fill="auto"/>
            <w:tcMar>
              <w:top w:w="20" w:type="dxa"/>
              <w:left w:w="20" w:type="dxa"/>
              <w:bottom w:w="20" w:type="dxa"/>
              <w:right w:w="20" w:type="dxa"/>
            </w:tcMar>
          </w:tcPr>
          <w:p w14:paraId="47866784" w14:textId="77777777" w:rsidR="00376C97" w:rsidRPr="00B76332" w:rsidRDefault="00376C97" w:rsidP="00CC5F3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89</w:t>
            </w:r>
          </w:p>
        </w:tc>
        <w:tc>
          <w:tcPr>
            <w:tcW w:w="1239" w:type="dxa"/>
            <w:shd w:val="clear" w:color="auto" w:fill="auto"/>
            <w:tcMar>
              <w:top w:w="20" w:type="dxa"/>
              <w:left w:w="20" w:type="dxa"/>
              <w:bottom w:w="20" w:type="dxa"/>
              <w:right w:w="20" w:type="dxa"/>
            </w:tcMar>
          </w:tcPr>
          <w:p w14:paraId="0A3E0A2C"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0918FDF3"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44" w:type="dxa"/>
            <w:shd w:val="clear" w:color="auto" w:fill="auto"/>
            <w:tcMar>
              <w:top w:w="20" w:type="dxa"/>
              <w:left w:w="20" w:type="dxa"/>
              <w:bottom w:w="20" w:type="dxa"/>
              <w:right w:w="20" w:type="dxa"/>
            </w:tcMar>
          </w:tcPr>
          <w:p w14:paraId="1ED2FD17" w14:textId="77777777" w:rsidR="00376C97" w:rsidRPr="00B76332" w:rsidRDefault="00376C97" w:rsidP="00CC5F3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(89)</w:t>
            </w:r>
          </w:p>
        </w:tc>
      </w:tr>
      <w:tr w:rsidR="00376C97" w:rsidRPr="00B76332" w14:paraId="76EF2728" w14:textId="77777777" w:rsidTr="00FB5015">
        <w:trPr>
          <w:trHeight w:val="140"/>
          <w:jc w:val="center"/>
        </w:trPr>
        <w:tc>
          <w:tcPr>
            <w:tcW w:w="6822" w:type="dxa"/>
            <w:shd w:val="clear" w:color="auto" w:fill="auto"/>
            <w:tcMar>
              <w:top w:w="20" w:type="dxa"/>
              <w:left w:w="20" w:type="dxa"/>
              <w:bottom w:w="20" w:type="dxa"/>
              <w:right w:w="20" w:type="dxa"/>
            </w:tcMar>
          </w:tcPr>
          <w:p w14:paraId="1304FB84" w14:textId="77777777" w:rsidR="00376C97" w:rsidRPr="00B76332" w:rsidRDefault="00376C97" w:rsidP="00CC5F3E">
            <w:pPr>
              <w:pStyle w:val="T1TableStyle"/>
              <w:rPr>
                <w:rFonts w:ascii="Verdana" w:eastAsia="Verdana" w:hAnsi="Verdana" w:cs="Verdana"/>
                <w:color w:val="000000"/>
                <w:sz w:val="16"/>
                <w:lang w:val="en-GB"/>
              </w:rPr>
            </w:pPr>
          </w:p>
        </w:tc>
        <w:tc>
          <w:tcPr>
            <w:tcW w:w="1239" w:type="dxa"/>
            <w:shd w:val="clear" w:color="auto" w:fill="auto"/>
            <w:tcMar>
              <w:top w:w="20" w:type="dxa"/>
              <w:left w:w="20" w:type="dxa"/>
              <w:bottom w:w="20" w:type="dxa"/>
              <w:right w:w="20" w:type="dxa"/>
            </w:tcMar>
          </w:tcPr>
          <w:p w14:paraId="4131BB37" w14:textId="77777777" w:rsidR="00376C97" w:rsidRPr="00B76332" w:rsidRDefault="00376C97" w:rsidP="00CC5F3E">
            <w:pPr>
              <w:pStyle w:val="T1TableStyle"/>
              <w:jc w:val="right"/>
              <w:rPr>
                <w:rFonts w:ascii="Verdana" w:eastAsia="Verdana" w:hAnsi="Verdana" w:cs="Verdana"/>
                <w:color w:val="000000"/>
                <w:sz w:val="16"/>
                <w:lang w:val="en-GB"/>
              </w:rPr>
            </w:pPr>
          </w:p>
        </w:tc>
        <w:tc>
          <w:tcPr>
            <w:tcW w:w="1239" w:type="dxa"/>
            <w:shd w:val="clear" w:color="auto" w:fill="auto"/>
            <w:tcMar>
              <w:top w:w="20" w:type="dxa"/>
              <w:left w:w="20" w:type="dxa"/>
              <w:bottom w:w="20" w:type="dxa"/>
              <w:right w:w="20" w:type="dxa"/>
            </w:tcMar>
          </w:tcPr>
          <w:p w14:paraId="2BE7F2AA" w14:textId="77777777" w:rsidR="00376C97" w:rsidRPr="00B76332" w:rsidRDefault="00376C97" w:rsidP="00CC5F3E">
            <w:pPr>
              <w:pStyle w:val="T1TableStyle"/>
              <w:jc w:val="center"/>
              <w:rPr>
                <w:rFonts w:ascii="Verdana" w:eastAsia="Verdana" w:hAnsi="Verdana" w:cs="Verdana"/>
                <w:color w:val="000000"/>
                <w:sz w:val="2"/>
                <w:lang w:val="en-GB"/>
              </w:rPr>
            </w:pPr>
          </w:p>
        </w:tc>
        <w:tc>
          <w:tcPr>
            <w:tcW w:w="1239" w:type="dxa"/>
            <w:shd w:val="clear" w:color="auto" w:fill="auto"/>
            <w:tcMar>
              <w:top w:w="20" w:type="dxa"/>
              <w:left w:w="20" w:type="dxa"/>
              <w:bottom w:w="20" w:type="dxa"/>
              <w:right w:w="20" w:type="dxa"/>
            </w:tcMar>
          </w:tcPr>
          <w:p w14:paraId="7C553ABF" w14:textId="77777777" w:rsidR="00376C97" w:rsidRPr="00B76332" w:rsidRDefault="00376C97" w:rsidP="00CC5F3E">
            <w:pPr>
              <w:pStyle w:val="T1TableStyle"/>
              <w:jc w:val="center"/>
              <w:rPr>
                <w:rFonts w:ascii="Verdana" w:eastAsia="Verdana" w:hAnsi="Verdana" w:cs="Verdana"/>
                <w:color w:val="000000"/>
                <w:sz w:val="2"/>
                <w:lang w:val="en-GB"/>
              </w:rPr>
            </w:pPr>
          </w:p>
        </w:tc>
        <w:tc>
          <w:tcPr>
            <w:tcW w:w="1244" w:type="dxa"/>
            <w:shd w:val="clear" w:color="auto" w:fill="auto"/>
            <w:tcMar>
              <w:top w:w="20" w:type="dxa"/>
              <w:left w:w="20" w:type="dxa"/>
              <w:bottom w:w="20" w:type="dxa"/>
              <w:right w:w="20" w:type="dxa"/>
            </w:tcMar>
          </w:tcPr>
          <w:p w14:paraId="6CBBAD2A" w14:textId="77777777" w:rsidR="00376C97" w:rsidRPr="00B76332" w:rsidRDefault="00376C97" w:rsidP="00CC5F3E">
            <w:pPr>
              <w:pStyle w:val="T1TableStyle"/>
              <w:jc w:val="right"/>
              <w:rPr>
                <w:rFonts w:ascii="Verdana" w:eastAsia="Verdana" w:hAnsi="Verdana" w:cs="Verdana"/>
                <w:color w:val="000000"/>
                <w:sz w:val="16"/>
                <w:lang w:val="en-GB"/>
              </w:rPr>
            </w:pPr>
          </w:p>
        </w:tc>
      </w:tr>
      <w:tr w:rsidR="00376C97" w:rsidRPr="00B76332" w14:paraId="2E10777A" w14:textId="77777777" w:rsidTr="00FB5015">
        <w:trPr>
          <w:trHeight w:val="140"/>
          <w:jc w:val="center"/>
        </w:trPr>
        <w:tc>
          <w:tcPr>
            <w:tcW w:w="6822" w:type="dxa"/>
            <w:tcBorders>
              <w:bottom w:val="single" w:sz="2" w:space="0" w:color="000000"/>
            </w:tcBorders>
            <w:shd w:val="clear" w:color="auto" w:fill="auto"/>
            <w:tcMar>
              <w:top w:w="20" w:type="dxa"/>
              <w:left w:w="20" w:type="dxa"/>
              <w:bottom w:w="20" w:type="dxa"/>
              <w:right w:w="20" w:type="dxa"/>
            </w:tcMar>
          </w:tcPr>
          <w:p w14:paraId="4FBE0FF5" w14:textId="77777777" w:rsidR="00376C97" w:rsidRPr="00B76332" w:rsidRDefault="00376C97" w:rsidP="00CC5F3E">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Reversal of entries included in the Surplus or Deficit on the Provision of Services in relation to capital expenditure (these items are charged to the Capital Adjustment Account)</w:t>
            </w:r>
          </w:p>
        </w:tc>
        <w:tc>
          <w:tcPr>
            <w:tcW w:w="1239" w:type="dxa"/>
            <w:tcBorders>
              <w:bottom w:val="single" w:sz="2" w:space="0" w:color="000000"/>
            </w:tcBorders>
            <w:shd w:val="clear" w:color="auto" w:fill="auto"/>
            <w:tcMar>
              <w:top w:w="20" w:type="dxa"/>
              <w:left w:w="20" w:type="dxa"/>
              <w:bottom w:w="20" w:type="dxa"/>
              <w:right w:w="20" w:type="dxa"/>
            </w:tcMar>
          </w:tcPr>
          <w:p w14:paraId="49770F88" w14:textId="77777777" w:rsidR="00376C97" w:rsidRPr="00B76332" w:rsidRDefault="00376C97" w:rsidP="00CC5F3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(11,360)</w:t>
            </w:r>
          </w:p>
        </w:tc>
        <w:tc>
          <w:tcPr>
            <w:tcW w:w="1239" w:type="dxa"/>
            <w:tcBorders>
              <w:bottom w:val="single" w:sz="2" w:space="0" w:color="000000"/>
            </w:tcBorders>
            <w:shd w:val="clear" w:color="auto" w:fill="auto"/>
            <w:tcMar>
              <w:top w:w="20" w:type="dxa"/>
              <w:left w:w="20" w:type="dxa"/>
              <w:bottom w:w="20" w:type="dxa"/>
              <w:right w:w="20" w:type="dxa"/>
            </w:tcMar>
          </w:tcPr>
          <w:p w14:paraId="779BB2F6"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tcBorders>
              <w:bottom w:val="single" w:sz="2" w:space="0" w:color="000000"/>
            </w:tcBorders>
            <w:shd w:val="clear" w:color="auto" w:fill="auto"/>
            <w:tcMar>
              <w:top w:w="20" w:type="dxa"/>
              <w:left w:w="20" w:type="dxa"/>
              <w:bottom w:w="20" w:type="dxa"/>
              <w:right w:w="20" w:type="dxa"/>
            </w:tcMar>
          </w:tcPr>
          <w:p w14:paraId="2B2D906A" w14:textId="77777777" w:rsidR="00376C97" w:rsidRPr="00B76332" w:rsidRDefault="00376C97" w:rsidP="00CC5F3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(645)</w:t>
            </w:r>
          </w:p>
        </w:tc>
        <w:tc>
          <w:tcPr>
            <w:tcW w:w="1244" w:type="dxa"/>
            <w:tcBorders>
              <w:bottom w:val="single" w:sz="2" w:space="0" w:color="000000"/>
            </w:tcBorders>
            <w:shd w:val="clear" w:color="auto" w:fill="auto"/>
            <w:tcMar>
              <w:top w:w="20" w:type="dxa"/>
              <w:left w:w="20" w:type="dxa"/>
              <w:bottom w:w="20" w:type="dxa"/>
              <w:right w:w="20" w:type="dxa"/>
            </w:tcMar>
          </w:tcPr>
          <w:p w14:paraId="0E09EE87" w14:textId="77777777" w:rsidR="00376C97" w:rsidRPr="00B76332" w:rsidRDefault="00376C97" w:rsidP="00CC5F3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12,005</w:t>
            </w:r>
          </w:p>
        </w:tc>
      </w:tr>
      <w:tr w:rsidR="00376C97" w:rsidRPr="00B76332" w14:paraId="55B3D04F" w14:textId="77777777" w:rsidTr="00FB5015">
        <w:trPr>
          <w:trHeight w:val="140"/>
          <w:jc w:val="center"/>
        </w:trPr>
        <w:tc>
          <w:tcPr>
            <w:tcW w:w="6822" w:type="dxa"/>
            <w:shd w:val="clear" w:color="auto" w:fill="auto"/>
            <w:tcMar>
              <w:top w:w="20" w:type="dxa"/>
              <w:left w:w="20" w:type="dxa"/>
              <w:bottom w:w="20" w:type="dxa"/>
              <w:right w:w="20" w:type="dxa"/>
            </w:tcMar>
          </w:tcPr>
          <w:p w14:paraId="48C45345" w14:textId="77777777" w:rsidR="00376C97" w:rsidRPr="00FB5015" w:rsidRDefault="00376C97" w:rsidP="00CC5F3E">
            <w:pPr>
              <w:pStyle w:val="T1TableStyle"/>
              <w:rPr>
                <w:rFonts w:ascii="Verdana" w:eastAsia="Verdana" w:hAnsi="Verdana" w:cs="Verdana"/>
                <w:b/>
                <w:color w:val="000000"/>
                <w:sz w:val="16"/>
                <w:lang w:val="en-GB"/>
              </w:rPr>
            </w:pPr>
            <w:r w:rsidRPr="00FB5015">
              <w:rPr>
                <w:rFonts w:ascii="Verdana" w:eastAsia="Verdana" w:hAnsi="Verdana" w:cs="Verdana"/>
                <w:b/>
                <w:color w:val="000000"/>
                <w:sz w:val="16"/>
                <w:lang w:val="en-GB"/>
              </w:rPr>
              <w:t>Total Adjustments to Revenue Resources</w:t>
            </w:r>
          </w:p>
        </w:tc>
        <w:tc>
          <w:tcPr>
            <w:tcW w:w="1239" w:type="dxa"/>
            <w:shd w:val="clear" w:color="auto" w:fill="auto"/>
            <w:tcMar>
              <w:top w:w="20" w:type="dxa"/>
              <w:left w:w="20" w:type="dxa"/>
              <w:bottom w:w="20" w:type="dxa"/>
              <w:right w:w="20" w:type="dxa"/>
            </w:tcMar>
          </w:tcPr>
          <w:p w14:paraId="2EBB50A4" w14:textId="77777777" w:rsidR="00376C97" w:rsidRPr="00FB5015" w:rsidRDefault="00376C97">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w:t>
            </w:r>
            <w:r w:rsidR="003B61E9" w:rsidRPr="00FB5015">
              <w:rPr>
                <w:rFonts w:ascii="Verdana" w:eastAsia="Verdana" w:hAnsi="Verdana" w:cs="Verdana"/>
                <w:b/>
                <w:color w:val="000000"/>
                <w:sz w:val="16"/>
                <w:lang w:val="en-GB"/>
              </w:rPr>
              <w:t>11</w:t>
            </w:r>
            <w:r w:rsidRPr="00FB5015">
              <w:rPr>
                <w:rFonts w:ascii="Verdana" w:eastAsia="Verdana" w:hAnsi="Verdana" w:cs="Verdana"/>
                <w:b/>
                <w:color w:val="000000"/>
                <w:sz w:val="16"/>
                <w:lang w:val="en-GB"/>
              </w:rPr>
              <w:t>,</w:t>
            </w:r>
            <w:r w:rsidR="003B61E9" w:rsidRPr="00FB5015">
              <w:rPr>
                <w:rFonts w:ascii="Verdana" w:eastAsia="Verdana" w:hAnsi="Verdana" w:cs="Verdana"/>
                <w:b/>
                <w:color w:val="000000"/>
                <w:sz w:val="16"/>
                <w:lang w:val="en-GB"/>
              </w:rPr>
              <w:t>4</w:t>
            </w:r>
            <w:r w:rsidR="00017322" w:rsidRPr="00FB5015">
              <w:rPr>
                <w:rFonts w:ascii="Verdana" w:eastAsia="Verdana" w:hAnsi="Verdana" w:cs="Verdana"/>
                <w:b/>
                <w:color w:val="000000"/>
                <w:sz w:val="16"/>
                <w:lang w:val="en-GB"/>
              </w:rPr>
              <w:t>12</w:t>
            </w:r>
            <w:r w:rsidRPr="00FB5015">
              <w:rPr>
                <w:rFonts w:ascii="Verdana" w:eastAsia="Verdana" w:hAnsi="Verdana" w:cs="Verdana"/>
                <w:b/>
                <w:color w:val="000000"/>
                <w:sz w:val="16"/>
                <w:lang w:val="en-GB"/>
              </w:rPr>
              <w:t>)</w:t>
            </w:r>
          </w:p>
        </w:tc>
        <w:tc>
          <w:tcPr>
            <w:tcW w:w="1239" w:type="dxa"/>
            <w:shd w:val="clear" w:color="auto" w:fill="auto"/>
            <w:tcMar>
              <w:top w:w="20" w:type="dxa"/>
              <w:left w:w="20" w:type="dxa"/>
              <w:bottom w:w="20" w:type="dxa"/>
              <w:right w:w="20" w:type="dxa"/>
            </w:tcMar>
          </w:tcPr>
          <w:p w14:paraId="63115D7F" w14:textId="77777777" w:rsidR="00376C97" w:rsidRPr="00FB5015" w:rsidRDefault="00376C97" w:rsidP="00CC5F3E">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0</w:t>
            </w:r>
          </w:p>
        </w:tc>
        <w:tc>
          <w:tcPr>
            <w:tcW w:w="1239" w:type="dxa"/>
            <w:shd w:val="clear" w:color="auto" w:fill="auto"/>
            <w:tcMar>
              <w:top w:w="20" w:type="dxa"/>
              <w:left w:w="20" w:type="dxa"/>
              <w:bottom w:w="20" w:type="dxa"/>
              <w:right w:w="20" w:type="dxa"/>
            </w:tcMar>
          </w:tcPr>
          <w:p w14:paraId="2C3CBAA3" w14:textId="77777777" w:rsidR="00376C97" w:rsidRPr="00FB5015" w:rsidRDefault="00376C97" w:rsidP="00CC5F3E">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(645)</w:t>
            </w:r>
          </w:p>
        </w:tc>
        <w:tc>
          <w:tcPr>
            <w:tcW w:w="1244" w:type="dxa"/>
            <w:shd w:val="clear" w:color="auto" w:fill="auto"/>
            <w:tcMar>
              <w:top w:w="20" w:type="dxa"/>
              <w:left w:w="20" w:type="dxa"/>
              <w:bottom w:w="20" w:type="dxa"/>
              <w:right w:w="20" w:type="dxa"/>
            </w:tcMar>
          </w:tcPr>
          <w:p w14:paraId="30D0CF77" w14:textId="77777777" w:rsidR="00376C97" w:rsidRPr="00FB5015" w:rsidRDefault="00376C97">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1</w:t>
            </w:r>
            <w:r w:rsidR="00017322" w:rsidRPr="00FB5015">
              <w:rPr>
                <w:rFonts w:ascii="Verdana" w:eastAsia="Verdana" w:hAnsi="Verdana" w:cs="Verdana"/>
                <w:b/>
                <w:color w:val="000000"/>
                <w:sz w:val="16"/>
                <w:lang w:val="en-GB"/>
              </w:rPr>
              <w:t>2</w:t>
            </w:r>
            <w:r w:rsidR="00F10514" w:rsidRPr="00FB5015">
              <w:rPr>
                <w:rFonts w:ascii="Verdana" w:eastAsia="Verdana" w:hAnsi="Verdana" w:cs="Verdana"/>
                <w:b/>
                <w:color w:val="000000"/>
                <w:sz w:val="16"/>
                <w:lang w:val="en-GB"/>
              </w:rPr>
              <w:t>,</w:t>
            </w:r>
            <w:r w:rsidR="00017322" w:rsidRPr="00FB5015">
              <w:rPr>
                <w:rFonts w:ascii="Verdana" w:eastAsia="Verdana" w:hAnsi="Verdana" w:cs="Verdana"/>
                <w:b/>
                <w:color w:val="000000"/>
                <w:sz w:val="16"/>
                <w:lang w:val="en-GB"/>
              </w:rPr>
              <w:t>057</w:t>
            </w:r>
          </w:p>
        </w:tc>
      </w:tr>
      <w:tr w:rsidR="00376C97" w:rsidRPr="00B76332" w14:paraId="0B36D767" w14:textId="77777777" w:rsidTr="00FB5015">
        <w:trPr>
          <w:trHeight w:hRule="exact" w:val="81"/>
          <w:jc w:val="center"/>
        </w:trPr>
        <w:tc>
          <w:tcPr>
            <w:tcW w:w="6822" w:type="dxa"/>
            <w:shd w:val="clear" w:color="auto" w:fill="auto"/>
            <w:tcMar>
              <w:top w:w="20" w:type="dxa"/>
              <w:left w:w="20" w:type="dxa"/>
              <w:bottom w:w="20" w:type="dxa"/>
              <w:right w:w="20" w:type="dxa"/>
            </w:tcMar>
          </w:tcPr>
          <w:p w14:paraId="6E4B5CDC"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5C364EEB" w14:textId="77777777" w:rsidR="00376C97" w:rsidRPr="00B76332" w:rsidRDefault="00376C97" w:rsidP="00CC5F3E">
            <w:pPr>
              <w:pStyle w:val="T1TableStyle"/>
              <w:jc w:val="center"/>
              <w:rPr>
                <w:rFonts w:ascii="Verdana" w:eastAsia="Verdana" w:hAnsi="Verdana" w:cs="Verdana"/>
                <w:color w:val="000000"/>
                <w:sz w:val="2"/>
                <w:lang w:val="en-GB"/>
              </w:rPr>
            </w:pPr>
          </w:p>
        </w:tc>
        <w:tc>
          <w:tcPr>
            <w:tcW w:w="1239" w:type="dxa"/>
            <w:shd w:val="clear" w:color="auto" w:fill="auto"/>
            <w:tcMar>
              <w:top w:w="20" w:type="dxa"/>
              <w:left w:w="20" w:type="dxa"/>
              <w:bottom w:w="20" w:type="dxa"/>
              <w:right w:w="20" w:type="dxa"/>
            </w:tcMar>
          </w:tcPr>
          <w:p w14:paraId="2A7E75E6"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507DBAF1"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44" w:type="dxa"/>
            <w:shd w:val="clear" w:color="auto" w:fill="auto"/>
            <w:tcMar>
              <w:top w:w="20" w:type="dxa"/>
              <w:left w:w="20" w:type="dxa"/>
              <w:bottom w:w="20" w:type="dxa"/>
              <w:right w:w="20" w:type="dxa"/>
            </w:tcMar>
          </w:tcPr>
          <w:p w14:paraId="027986D9"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r>
      <w:tr w:rsidR="00376C97" w:rsidRPr="00B76332" w14:paraId="138BD320" w14:textId="77777777" w:rsidTr="00FB5015">
        <w:trPr>
          <w:trHeight w:val="140"/>
          <w:jc w:val="center"/>
        </w:trPr>
        <w:tc>
          <w:tcPr>
            <w:tcW w:w="6822" w:type="dxa"/>
            <w:shd w:val="clear" w:color="auto" w:fill="auto"/>
            <w:tcMar>
              <w:top w:w="20" w:type="dxa"/>
              <w:left w:w="20" w:type="dxa"/>
              <w:bottom w:w="20" w:type="dxa"/>
              <w:right w:w="20" w:type="dxa"/>
            </w:tcMar>
          </w:tcPr>
          <w:p w14:paraId="51F2301C" w14:textId="77777777" w:rsidR="00376C97" w:rsidRPr="00B76332" w:rsidRDefault="00376C97" w:rsidP="00CC5F3E">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 xml:space="preserve">Adjustments between Revenue and Capital Resources </w:t>
            </w:r>
          </w:p>
          <w:p w14:paraId="532C7AA7" w14:textId="77777777" w:rsidR="00376C97" w:rsidRPr="00B76332" w:rsidRDefault="00376C97" w:rsidP="00CC5F3E">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 xml:space="preserve">Transfer Capital Receipts to Capital Receipts Reserve                                                                                        </w:t>
            </w:r>
          </w:p>
        </w:tc>
        <w:tc>
          <w:tcPr>
            <w:tcW w:w="1239" w:type="dxa"/>
            <w:shd w:val="clear" w:color="auto" w:fill="auto"/>
            <w:tcMar>
              <w:top w:w="20" w:type="dxa"/>
              <w:left w:w="20" w:type="dxa"/>
              <w:bottom w:w="20" w:type="dxa"/>
              <w:right w:w="20" w:type="dxa"/>
            </w:tcMar>
          </w:tcPr>
          <w:p w14:paraId="6C6A3713" w14:textId="77777777" w:rsidR="00376C97" w:rsidRPr="00B76332" w:rsidRDefault="00376C97" w:rsidP="00D91109">
            <w:pPr>
              <w:pStyle w:val="T1TableStyle"/>
              <w:rPr>
                <w:rFonts w:ascii="Verdana" w:eastAsia="Verdana" w:hAnsi="Verdana" w:cs="Verdana"/>
                <w:color w:val="000000"/>
                <w:sz w:val="2"/>
                <w:lang w:val="en-GB"/>
              </w:rPr>
            </w:pPr>
          </w:p>
          <w:p w14:paraId="41CFCF02" w14:textId="77777777" w:rsidR="00376C97" w:rsidRPr="00B76332" w:rsidRDefault="00376C97" w:rsidP="00CC5F3E">
            <w:pPr>
              <w:rPr>
                <w:sz w:val="16"/>
                <w:szCs w:val="16"/>
                <w:lang w:val="en-GB"/>
              </w:rPr>
            </w:pPr>
            <w:r w:rsidRPr="00B76332">
              <w:rPr>
                <w:lang w:val="en-GB"/>
              </w:rPr>
              <w:t xml:space="preserve">          </w:t>
            </w:r>
            <w:r w:rsidRPr="00B76332">
              <w:rPr>
                <w:sz w:val="16"/>
                <w:szCs w:val="16"/>
                <w:lang w:val="en-GB"/>
              </w:rPr>
              <w:t xml:space="preserve">930  </w:t>
            </w:r>
          </w:p>
          <w:p w14:paraId="5C456A59" w14:textId="77777777" w:rsidR="00376C97" w:rsidRPr="00B76332" w:rsidRDefault="00376C97" w:rsidP="00CC5F3E">
            <w:pPr>
              <w:rPr>
                <w:sz w:val="16"/>
                <w:szCs w:val="16"/>
                <w:lang w:val="en-GB"/>
              </w:rPr>
            </w:pPr>
          </w:p>
          <w:p w14:paraId="6E0DC460" w14:textId="070B658B" w:rsidR="00376C97" w:rsidRPr="00B76332" w:rsidRDefault="00376C97" w:rsidP="00CC5F3E">
            <w:pPr>
              <w:tabs>
                <w:tab w:val="left" w:pos="332"/>
                <w:tab w:val="center" w:pos="572"/>
              </w:tabs>
              <w:rPr>
                <w:sz w:val="16"/>
                <w:szCs w:val="16"/>
                <w:lang w:val="en-GB"/>
              </w:rPr>
            </w:pPr>
            <w:r w:rsidRPr="00B76332">
              <w:rPr>
                <w:sz w:val="16"/>
                <w:szCs w:val="16"/>
                <w:lang w:val="en-GB"/>
              </w:rPr>
              <w:tab/>
              <w:t xml:space="preserve">        467                       </w:t>
            </w:r>
          </w:p>
        </w:tc>
        <w:tc>
          <w:tcPr>
            <w:tcW w:w="1239" w:type="dxa"/>
            <w:shd w:val="clear" w:color="auto" w:fill="auto"/>
            <w:tcMar>
              <w:top w:w="20" w:type="dxa"/>
              <w:left w:w="20" w:type="dxa"/>
              <w:bottom w:w="20" w:type="dxa"/>
              <w:right w:w="20" w:type="dxa"/>
            </w:tcMar>
          </w:tcPr>
          <w:p w14:paraId="2133943B"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p w14:paraId="52CA70ED" w14:textId="77777777" w:rsidR="00376C97" w:rsidRPr="00B76332" w:rsidRDefault="00376C97" w:rsidP="00CC5F3E">
            <w:pPr>
              <w:rPr>
                <w:lang w:val="en-GB"/>
              </w:rPr>
            </w:pPr>
          </w:p>
          <w:p w14:paraId="3B5B179A" w14:textId="77777777" w:rsidR="00376C97" w:rsidRPr="00B76332" w:rsidRDefault="00376C97" w:rsidP="00CC5F3E">
            <w:pPr>
              <w:tabs>
                <w:tab w:val="left" w:pos="881"/>
              </w:tabs>
              <w:rPr>
                <w:sz w:val="16"/>
                <w:szCs w:val="16"/>
                <w:lang w:val="en-GB"/>
              </w:rPr>
            </w:pPr>
            <w:r w:rsidRPr="00B76332">
              <w:rPr>
                <w:sz w:val="16"/>
                <w:szCs w:val="16"/>
                <w:lang w:val="en-GB"/>
              </w:rPr>
              <w:t xml:space="preserve">            (467)</w:t>
            </w:r>
          </w:p>
          <w:p w14:paraId="30A5512D" w14:textId="77777777" w:rsidR="00376C97" w:rsidRPr="00B76332" w:rsidRDefault="00376C97" w:rsidP="00CC5F3E">
            <w:pPr>
              <w:tabs>
                <w:tab w:val="left" w:pos="881"/>
              </w:tabs>
              <w:rPr>
                <w:sz w:val="16"/>
                <w:szCs w:val="16"/>
                <w:lang w:val="en-GB"/>
              </w:rPr>
            </w:pPr>
            <w:r w:rsidRPr="00B76332">
              <w:rPr>
                <w:sz w:val="16"/>
                <w:szCs w:val="16"/>
                <w:lang w:val="en-GB"/>
              </w:rPr>
              <w:t xml:space="preserve">     </w:t>
            </w:r>
          </w:p>
        </w:tc>
        <w:tc>
          <w:tcPr>
            <w:tcW w:w="1239" w:type="dxa"/>
            <w:shd w:val="clear" w:color="auto" w:fill="auto"/>
            <w:tcMar>
              <w:top w:w="20" w:type="dxa"/>
              <w:left w:w="20" w:type="dxa"/>
              <w:bottom w:w="20" w:type="dxa"/>
              <w:right w:w="20" w:type="dxa"/>
            </w:tcMar>
          </w:tcPr>
          <w:p w14:paraId="51280A35"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44" w:type="dxa"/>
            <w:shd w:val="clear" w:color="auto" w:fill="auto"/>
            <w:tcMar>
              <w:top w:w="20" w:type="dxa"/>
              <w:left w:w="20" w:type="dxa"/>
              <w:bottom w:w="20" w:type="dxa"/>
              <w:right w:w="20" w:type="dxa"/>
            </w:tcMar>
          </w:tcPr>
          <w:p w14:paraId="081C6B73" w14:textId="77777777" w:rsidR="00376C97" w:rsidRPr="00B76332" w:rsidRDefault="00376C97" w:rsidP="00D91109">
            <w:pPr>
              <w:pStyle w:val="T1TableStyle"/>
              <w:rPr>
                <w:rFonts w:ascii="Verdana" w:eastAsia="Verdana" w:hAnsi="Verdana" w:cs="Verdana"/>
                <w:color w:val="000000"/>
                <w:sz w:val="2"/>
                <w:lang w:val="en-GB"/>
              </w:rPr>
            </w:pPr>
          </w:p>
          <w:p w14:paraId="4552C63C" w14:textId="77777777" w:rsidR="00376C97" w:rsidRPr="00B76332" w:rsidRDefault="00376C97" w:rsidP="00CC5F3E">
            <w:pPr>
              <w:tabs>
                <w:tab w:val="left" w:pos="559"/>
              </w:tabs>
              <w:rPr>
                <w:sz w:val="16"/>
                <w:szCs w:val="16"/>
                <w:lang w:val="en-GB"/>
              </w:rPr>
            </w:pPr>
            <w:r w:rsidRPr="00B76332">
              <w:rPr>
                <w:lang w:val="en-GB"/>
              </w:rPr>
              <w:t xml:space="preserve">         </w:t>
            </w:r>
            <w:r w:rsidRPr="00B76332">
              <w:rPr>
                <w:sz w:val="16"/>
                <w:szCs w:val="16"/>
                <w:lang w:val="en-GB"/>
              </w:rPr>
              <w:t>(930)</w:t>
            </w:r>
          </w:p>
        </w:tc>
      </w:tr>
      <w:tr w:rsidR="00376C97" w:rsidRPr="00B76332" w14:paraId="44A0312B" w14:textId="77777777" w:rsidTr="00FB5015">
        <w:trPr>
          <w:trHeight w:val="140"/>
          <w:jc w:val="center"/>
        </w:trPr>
        <w:tc>
          <w:tcPr>
            <w:tcW w:w="6822" w:type="dxa"/>
            <w:shd w:val="clear" w:color="auto" w:fill="auto"/>
            <w:tcMar>
              <w:top w:w="20" w:type="dxa"/>
              <w:left w:w="20" w:type="dxa"/>
              <w:bottom w:w="20" w:type="dxa"/>
              <w:right w:w="20" w:type="dxa"/>
            </w:tcMar>
          </w:tcPr>
          <w:p w14:paraId="762F389B" w14:textId="77777777" w:rsidR="00376C97" w:rsidRPr="00B76332" w:rsidRDefault="00376C97" w:rsidP="00CC5F3E">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Statutory Provision for the repayment of debt (transfer to the Capital Adjustment Account)</w:t>
            </w:r>
          </w:p>
        </w:tc>
        <w:tc>
          <w:tcPr>
            <w:tcW w:w="1239" w:type="dxa"/>
            <w:shd w:val="clear" w:color="auto" w:fill="auto"/>
            <w:tcMar>
              <w:top w:w="20" w:type="dxa"/>
              <w:left w:w="20" w:type="dxa"/>
              <w:bottom w:w="20" w:type="dxa"/>
              <w:right w:w="20" w:type="dxa"/>
            </w:tcMar>
          </w:tcPr>
          <w:p w14:paraId="0C9B852D" w14:textId="77777777" w:rsidR="00376C97" w:rsidRPr="00B76332" w:rsidRDefault="00376C97" w:rsidP="00CC5F3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1,367</w:t>
            </w:r>
          </w:p>
        </w:tc>
        <w:tc>
          <w:tcPr>
            <w:tcW w:w="1239" w:type="dxa"/>
            <w:shd w:val="clear" w:color="auto" w:fill="auto"/>
            <w:tcMar>
              <w:top w:w="20" w:type="dxa"/>
              <w:left w:w="20" w:type="dxa"/>
              <w:bottom w:w="20" w:type="dxa"/>
              <w:right w:w="20" w:type="dxa"/>
            </w:tcMar>
          </w:tcPr>
          <w:p w14:paraId="4550D45B"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48EF8C10"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44" w:type="dxa"/>
            <w:shd w:val="clear" w:color="auto" w:fill="auto"/>
            <w:tcMar>
              <w:top w:w="20" w:type="dxa"/>
              <w:left w:w="20" w:type="dxa"/>
              <w:bottom w:w="20" w:type="dxa"/>
              <w:right w:w="20" w:type="dxa"/>
            </w:tcMar>
          </w:tcPr>
          <w:p w14:paraId="28DD15F5" w14:textId="77777777" w:rsidR="00376C97" w:rsidRPr="00B76332" w:rsidRDefault="00376C97" w:rsidP="00CC5F3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(1,367)</w:t>
            </w:r>
          </w:p>
        </w:tc>
      </w:tr>
      <w:tr w:rsidR="00376C97" w:rsidRPr="00B76332" w14:paraId="397A64B1" w14:textId="77777777" w:rsidTr="00FB5015">
        <w:trPr>
          <w:trHeight w:val="140"/>
          <w:jc w:val="center"/>
        </w:trPr>
        <w:tc>
          <w:tcPr>
            <w:tcW w:w="6822" w:type="dxa"/>
            <w:tcBorders>
              <w:bottom w:val="single" w:sz="2" w:space="0" w:color="000000"/>
            </w:tcBorders>
            <w:shd w:val="clear" w:color="auto" w:fill="auto"/>
            <w:tcMar>
              <w:top w:w="20" w:type="dxa"/>
              <w:left w:w="20" w:type="dxa"/>
              <w:bottom w:w="20" w:type="dxa"/>
              <w:right w:w="20" w:type="dxa"/>
            </w:tcMar>
          </w:tcPr>
          <w:p w14:paraId="508B1E4E" w14:textId="77777777" w:rsidR="00376C97" w:rsidRPr="00B76332" w:rsidRDefault="00376C97" w:rsidP="00CC5F3E">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Capital expenditure financed from revenue balances (transfer to the Capital Adjustment Account)</w:t>
            </w:r>
          </w:p>
        </w:tc>
        <w:tc>
          <w:tcPr>
            <w:tcW w:w="1239" w:type="dxa"/>
            <w:tcBorders>
              <w:bottom w:val="single" w:sz="2" w:space="0" w:color="000000"/>
            </w:tcBorders>
            <w:shd w:val="clear" w:color="auto" w:fill="auto"/>
            <w:tcMar>
              <w:top w:w="20" w:type="dxa"/>
              <w:left w:w="20" w:type="dxa"/>
              <w:bottom w:w="20" w:type="dxa"/>
              <w:right w:w="20" w:type="dxa"/>
            </w:tcMar>
          </w:tcPr>
          <w:p w14:paraId="04166E75" w14:textId="77777777" w:rsidR="00376C97" w:rsidRPr="00B76332" w:rsidRDefault="00376C97" w:rsidP="00CC5F3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4,496</w:t>
            </w:r>
          </w:p>
        </w:tc>
        <w:tc>
          <w:tcPr>
            <w:tcW w:w="1239" w:type="dxa"/>
            <w:tcBorders>
              <w:bottom w:val="single" w:sz="2" w:space="0" w:color="000000"/>
            </w:tcBorders>
            <w:shd w:val="clear" w:color="auto" w:fill="auto"/>
            <w:tcMar>
              <w:top w:w="20" w:type="dxa"/>
              <w:left w:w="20" w:type="dxa"/>
              <w:bottom w:w="20" w:type="dxa"/>
              <w:right w:w="20" w:type="dxa"/>
            </w:tcMar>
          </w:tcPr>
          <w:p w14:paraId="6B9822FE"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tcBorders>
              <w:bottom w:val="single" w:sz="2" w:space="0" w:color="000000"/>
            </w:tcBorders>
            <w:shd w:val="clear" w:color="auto" w:fill="auto"/>
            <w:tcMar>
              <w:top w:w="20" w:type="dxa"/>
              <w:left w:w="20" w:type="dxa"/>
              <w:bottom w:w="20" w:type="dxa"/>
              <w:right w:w="20" w:type="dxa"/>
            </w:tcMar>
          </w:tcPr>
          <w:p w14:paraId="468355B8"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44" w:type="dxa"/>
            <w:tcBorders>
              <w:bottom w:val="single" w:sz="2" w:space="0" w:color="000000"/>
            </w:tcBorders>
            <w:shd w:val="clear" w:color="auto" w:fill="auto"/>
            <w:tcMar>
              <w:top w:w="20" w:type="dxa"/>
              <w:left w:w="20" w:type="dxa"/>
              <w:bottom w:w="20" w:type="dxa"/>
              <w:right w:w="20" w:type="dxa"/>
            </w:tcMar>
          </w:tcPr>
          <w:p w14:paraId="377C5FF7" w14:textId="77777777" w:rsidR="00376C97" w:rsidRPr="00B76332" w:rsidRDefault="00376C97" w:rsidP="00CC5F3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(4,496)</w:t>
            </w:r>
          </w:p>
        </w:tc>
      </w:tr>
      <w:tr w:rsidR="00376C97" w:rsidRPr="00B76332" w14:paraId="2C8C5F00" w14:textId="77777777" w:rsidTr="00FB5015">
        <w:trPr>
          <w:trHeight w:val="140"/>
          <w:jc w:val="center"/>
        </w:trPr>
        <w:tc>
          <w:tcPr>
            <w:tcW w:w="6822" w:type="dxa"/>
            <w:shd w:val="clear" w:color="auto" w:fill="auto"/>
            <w:tcMar>
              <w:top w:w="20" w:type="dxa"/>
              <w:left w:w="20" w:type="dxa"/>
              <w:bottom w:w="20" w:type="dxa"/>
              <w:right w:w="20" w:type="dxa"/>
            </w:tcMar>
          </w:tcPr>
          <w:p w14:paraId="2775AB9A" w14:textId="77777777" w:rsidR="00376C97" w:rsidRPr="00FB5015" w:rsidRDefault="00376C97" w:rsidP="00CC5F3E">
            <w:pPr>
              <w:pStyle w:val="T1TableStyle"/>
              <w:rPr>
                <w:rFonts w:ascii="Verdana" w:eastAsia="Verdana" w:hAnsi="Verdana" w:cs="Verdana"/>
                <w:b/>
                <w:color w:val="000000"/>
                <w:sz w:val="16"/>
                <w:lang w:val="en-GB"/>
              </w:rPr>
            </w:pPr>
            <w:r w:rsidRPr="00FB5015">
              <w:rPr>
                <w:rFonts w:ascii="Verdana" w:eastAsia="Verdana" w:hAnsi="Verdana" w:cs="Verdana"/>
                <w:b/>
                <w:color w:val="000000"/>
                <w:sz w:val="16"/>
                <w:lang w:val="en-GB"/>
              </w:rPr>
              <w:t>Total Adjustments between Revenue and Capital Resources</w:t>
            </w:r>
          </w:p>
        </w:tc>
        <w:tc>
          <w:tcPr>
            <w:tcW w:w="1239" w:type="dxa"/>
            <w:shd w:val="clear" w:color="auto" w:fill="auto"/>
            <w:tcMar>
              <w:top w:w="20" w:type="dxa"/>
              <w:left w:w="20" w:type="dxa"/>
              <w:bottom w:w="20" w:type="dxa"/>
              <w:right w:w="20" w:type="dxa"/>
            </w:tcMar>
          </w:tcPr>
          <w:p w14:paraId="6844E97E" w14:textId="77777777" w:rsidR="00376C97" w:rsidRPr="00FB5015" w:rsidRDefault="00376C97" w:rsidP="00CC5F3E">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7,260</w:t>
            </w:r>
          </w:p>
        </w:tc>
        <w:tc>
          <w:tcPr>
            <w:tcW w:w="1239" w:type="dxa"/>
            <w:shd w:val="clear" w:color="auto" w:fill="auto"/>
            <w:tcMar>
              <w:top w:w="20" w:type="dxa"/>
              <w:left w:w="20" w:type="dxa"/>
              <w:bottom w:w="20" w:type="dxa"/>
              <w:right w:w="20" w:type="dxa"/>
            </w:tcMar>
          </w:tcPr>
          <w:p w14:paraId="36BE699B" w14:textId="77777777" w:rsidR="00376C97" w:rsidRPr="00FB5015" w:rsidRDefault="00376C97" w:rsidP="00CC5F3E">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 xml:space="preserve">   (467)</w:t>
            </w:r>
          </w:p>
        </w:tc>
        <w:tc>
          <w:tcPr>
            <w:tcW w:w="1239" w:type="dxa"/>
            <w:shd w:val="clear" w:color="auto" w:fill="auto"/>
            <w:tcMar>
              <w:top w:w="20" w:type="dxa"/>
              <w:left w:w="20" w:type="dxa"/>
              <w:bottom w:w="20" w:type="dxa"/>
              <w:right w:w="20" w:type="dxa"/>
            </w:tcMar>
          </w:tcPr>
          <w:p w14:paraId="41E62930" w14:textId="77777777" w:rsidR="00376C97" w:rsidRPr="00FB5015" w:rsidRDefault="00376C97" w:rsidP="00CC5F3E">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0</w:t>
            </w:r>
          </w:p>
        </w:tc>
        <w:tc>
          <w:tcPr>
            <w:tcW w:w="1244" w:type="dxa"/>
            <w:shd w:val="clear" w:color="auto" w:fill="auto"/>
            <w:tcMar>
              <w:top w:w="20" w:type="dxa"/>
              <w:left w:w="20" w:type="dxa"/>
              <w:bottom w:w="20" w:type="dxa"/>
              <w:right w:w="20" w:type="dxa"/>
            </w:tcMar>
          </w:tcPr>
          <w:p w14:paraId="35C6F406" w14:textId="77777777" w:rsidR="00376C97" w:rsidRPr="00FB5015" w:rsidRDefault="00376C97" w:rsidP="00CC5F3E">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(6,793)</w:t>
            </w:r>
          </w:p>
        </w:tc>
      </w:tr>
      <w:tr w:rsidR="00376C97" w:rsidRPr="00B76332" w14:paraId="52F79262" w14:textId="77777777" w:rsidTr="00FB5015">
        <w:trPr>
          <w:trHeight w:hRule="exact" w:val="81"/>
          <w:jc w:val="center"/>
        </w:trPr>
        <w:tc>
          <w:tcPr>
            <w:tcW w:w="6822" w:type="dxa"/>
            <w:shd w:val="clear" w:color="auto" w:fill="auto"/>
            <w:tcMar>
              <w:top w:w="20" w:type="dxa"/>
              <w:left w:w="20" w:type="dxa"/>
              <w:bottom w:w="20" w:type="dxa"/>
              <w:right w:w="20" w:type="dxa"/>
            </w:tcMar>
          </w:tcPr>
          <w:p w14:paraId="20254E28"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52340F20"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32351A1D"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3A379C0F"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44" w:type="dxa"/>
            <w:shd w:val="clear" w:color="auto" w:fill="auto"/>
            <w:tcMar>
              <w:top w:w="20" w:type="dxa"/>
              <w:left w:w="20" w:type="dxa"/>
              <w:bottom w:w="20" w:type="dxa"/>
              <w:right w:w="20" w:type="dxa"/>
            </w:tcMar>
          </w:tcPr>
          <w:p w14:paraId="026AB6E8"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r>
      <w:tr w:rsidR="00376C97" w:rsidRPr="00B76332" w14:paraId="6726D61D" w14:textId="77777777" w:rsidTr="00FB5015">
        <w:trPr>
          <w:trHeight w:val="140"/>
          <w:jc w:val="center"/>
        </w:trPr>
        <w:tc>
          <w:tcPr>
            <w:tcW w:w="11785" w:type="dxa"/>
            <w:gridSpan w:val="5"/>
            <w:shd w:val="clear" w:color="auto" w:fill="auto"/>
            <w:tcMar>
              <w:top w:w="20" w:type="dxa"/>
              <w:left w:w="20" w:type="dxa"/>
              <w:bottom w:w="20" w:type="dxa"/>
              <w:right w:w="20" w:type="dxa"/>
            </w:tcMar>
          </w:tcPr>
          <w:p w14:paraId="7EB7AAF8" w14:textId="77777777" w:rsidR="00376C97" w:rsidRPr="00B76332" w:rsidRDefault="00376C97" w:rsidP="00CC5F3E">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Adjustments to Capital Resources</w:t>
            </w:r>
          </w:p>
        </w:tc>
      </w:tr>
      <w:tr w:rsidR="00376C97" w:rsidRPr="00B76332" w14:paraId="2A81F0DB" w14:textId="77777777" w:rsidTr="00FB5015">
        <w:trPr>
          <w:trHeight w:val="140"/>
          <w:jc w:val="center"/>
        </w:trPr>
        <w:tc>
          <w:tcPr>
            <w:tcW w:w="6822" w:type="dxa"/>
            <w:shd w:val="clear" w:color="auto" w:fill="auto"/>
            <w:tcMar>
              <w:top w:w="20" w:type="dxa"/>
              <w:left w:w="20" w:type="dxa"/>
              <w:bottom w:w="20" w:type="dxa"/>
              <w:right w:w="20" w:type="dxa"/>
            </w:tcMar>
          </w:tcPr>
          <w:p w14:paraId="57F117A3" w14:textId="77777777" w:rsidR="00376C97" w:rsidRPr="00B76332" w:rsidRDefault="00376C97" w:rsidP="00CC5F3E">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Use of the Capital Receipts Reserve to finance capital expenditure</w:t>
            </w:r>
          </w:p>
        </w:tc>
        <w:tc>
          <w:tcPr>
            <w:tcW w:w="1239" w:type="dxa"/>
            <w:shd w:val="clear" w:color="auto" w:fill="auto"/>
            <w:tcMar>
              <w:top w:w="20" w:type="dxa"/>
              <w:left w:w="20" w:type="dxa"/>
              <w:bottom w:w="20" w:type="dxa"/>
              <w:right w:w="20" w:type="dxa"/>
            </w:tcMar>
          </w:tcPr>
          <w:p w14:paraId="5724A0C7"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3338E6F5" w14:textId="77777777" w:rsidR="00376C97" w:rsidRPr="00B76332" w:rsidRDefault="00376C97" w:rsidP="00CC5F3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4,266</w:t>
            </w:r>
          </w:p>
        </w:tc>
        <w:tc>
          <w:tcPr>
            <w:tcW w:w="1239" w:type="dxa"/>
            <w:shd w:val="clear" w:color="auto" w:fill="auto"/>
            <w:tcMar>
              <w:top w:w="20" w:type="dxa"/>
              <w:left w:w="20" w:type="dxa"/>
              <w:bottom w:w="20" w:type="dxa"/>
              <w:right w:w="20" w:type="dxa"/>
            </w:tcMar>
          </w:tcPr>
          <w:p w14:paraId="290117BA"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44" w:type="dxa"/>
            <w:shd w:val="clear" w:color="auto" w:fill="auto"/>
            <w:tcMar>
              <w:top w:w="20" w:type="dxa"/>
              <w:left w:w="20" w:type="dxa"/>
              <w:bottom w:w="20" w:type="dxa"/>
              <w:right w:w="20" w:type="dxa"/>
            </w:tcMar>
          </w:tcPr>
          <w:p w14:paraId="29F8026E" w14:textId="77777777" w:rsidR="00376C97" w:rsidRPr="00B76332" w:rsidRDefault="00376C97" w:rsidP="00CC5F3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(4,266)</w:t>
            </w:r>
          </w:p>
        </w:tc>
      </w:tr>
      <w:tr w:rsidR="00376C97" w:rsidRPr="00B76332" w14:paraId="0064237B" w14:textId="77777777" w:rsidTr="00FB5015">
        <w:trPr>
          <w:trHeight w:val="140"/>
          <w:jc w:val="center"/>
        </w:trPr>
        <w:tc>
          <w:tcPr>
            <w:tcW w:w="6822" w:type="dxa"/>
            <w:shd w:val="clear" w:color="auto" w:fill="auto"/>
            <w:tcMar>
              <w:top w:w="20" w:type="dxa"/>
              <w:left w:w="20" w:type="dxa"/>
              <w:bottom w:w="20" w:type="dxa"/>
              <w:right w:w="20" w:type="dxa"/>
            </w:tcMar>
          </w:tcPr>
          <w:p w14:paraId="5601D28E" w14:textId="77777777" w:rsidR="00376C97" w:rsidRPr="00B76332" w:rsidRDefault="00376C97" w:rsidP="00CC5F3E">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Application of capital grants to finance capital expenditure</w:t>
            </w:r>
          </w:p>
        </w:tc>
        <w:tc>
          <w:tcPr>
            <w:tcW w:w="1239" w:type="dxa"/>
            <w:shd w:val="clear" w:color="auto" w:fill="auto"/>
            <w:tcMar>
              <w:top w:w="20" w:type="dxa"/>
              <w:left w:w="20" w:type="dxa"/>
              <w:bottom w:w="20" w:type="dxa"/>
              <w:right w:w="20" w:type="dxa"/>
            </w:tcMar>
          </w:tcPr>
          <w:p w14:paraId="1EF778FD" w14:textId="77777777" w:rsidR="00376C97" w:rsidRPr="00B76332" w:rsidRDefault="00376C97" w:rsidP="00D91109">
            <w:pPr>
              <w:pStyle w:val="T1TableStyle"/>
              <w:rPr>
                <w:rFonts w:ascii="Verdana" w:eastAsia="Verdana" w:hAnsi="Verdana" w:cs="Verdana"/>
                <w:color w:val="000000"/>
                <w:sz w:val="2"/>
                <w:lang w:val="en-GB"/>
              </w:rPr>
            </w:pPr>
          </w:p>
        </w:tc>
        <w:tc>
          <w:tcPr>
            <w:tcW w:w="1239" w:type="dxa"/>
            <w:shd w:val="clear" w:color="auto" w:fill="auto"/>
            <w:tcMar>
              <w:top w:w="20" w:type="dxa"/>
              <w:left w:w="20" w:type="dxa"/>
              <w:bottom w:w="20" w:type="dxa"/>
              <w:right w:w="20" w:type="dxa"/>
            </w:tcMar>
          </w:tcPr>
          <w:p w14:paraId="16E94EDD"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0F833CAB" w14:textId="77777777" w:rsidR="00376C97" w:rsidRPr="00B76332" w:rsidRDefault="00376C97" w:rsidP="00CC5F3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645</w:t>
            </w:r>
          </w:p>
        </w:tc>
        <w:tc>
          <w:tcPr>
            <w:tcW w:w="1244" w:type="dxa"/>
            <w:shd w:val="clear" w:color="auto" w:fill="auto"/>
            <w:tcMar>
              <w:top w:w="20" w:type="dxa"/>
              <w:left w:w="20" w:type="dxa"/>
              <w:bottom w:w="20" w:type="dxa"/>
              <w:right w:w="20" w:type="dxa"/>
            </w:tcMar>
          </w:tcPr>
          <w:p w14:paraId="38BB316E" w14:textId="77777777" w:rsidR="00376C97" w:rsidRPr="00B76332" w:rsidRDefault="00376C97" w:rsidP="00CC5F3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(645)</w:t>
            </w:r>
          </w:p>
        </w:tc>
      </w:tr>
      <w:tr w:rsidR="00376C97" w:rsidRPr="00B76332" w14:paraId="4F58E6A9" w14:textId="77777777" w:rsidTr="00FB5015">
        <w:trPr>
          <w:trHeight w:val="140"/>
          <w:jc w:val="center"/>
        </w:trPr>
        <w:tc>
          <w:tcPr>
            <w:tcW w:w="6822" w:type="dxa"/>
            <w:tcBorders>
              <w:top w:val="single" w:sz="2" w:space="0" w:color="000000"/>
            </w:tcBorders>
            <w:shd w:val="clear" w:color="auto" w:fill="auto"/>
            <w:tcMar>
              <w:top w:w="20" w:type="dxa"/>
              <w:left w:w="20" w:type="dxa"/>
              <w:bottom w:w="20" w:type="dxa"/>
              <w:right w:w="20" w:type="dxa"/>
            </w:tcMar>
          </w:tcPr>
          <w:p w14:paraId="1CB1C2FC" w14:textId="77777777" w:rsidR="00376C97" w:rsidRPr="00FB5015" w:rsidRDefault="00376C97" w:rsidP="00CC5F3E">
            <w:pPr>
              <w:pStyle w:val="T1TableStyle"/>
              <w:rPr>
                <w:rFonts w:ascii="Verdana" w:eastAsia="Verdana" w:hAnsi="Verdana" w:cs="Verdana"/>
                <w:b/>
                <w:color w:val="000000"/>
                <w:sz w:val="16"/>
                <w:lang w:val="en-GB"/>
              </w:rPr>
            </w:pPr>
            <w:r w:rsidRPr="00FB5015">
              <w:rPr>
                <w:rFonts w:ascii="Verdana" w:eastAsia="Verdana" w:hAnsi="Verdana" w:cs="Verdana"/>
                <w:b/>
                <w:color w:val="000000"/>
                <w:sz w:val="16"/>
                <w:lang w:val="en-GB"/>
              </w:rPr>
              <w:t>Total Adjustments to Capital Resources</w:t>
            </w:r>
          </w:p>
        </w:tc>
        <w:tc>
          <w:tcPr>
            <w:tcW w:w="1239" w:type="dxa"/>
            <w:tcBorders>
              <w:top w:val="single" w:sz="2" w:space="0" w:color="000000"/>
            </w:tcBorders>
            <w:shd w:val="clear" w:color="auto" w:fill="auto"/>
            <w:tcMar>
              <w:top w:w="20" w:type="dxa"/>
              <w:left w:w="20" w:type="dxa"/>
              <w:bottom w:w="20" w:type="dxa"/>
              <w:right w:w="20" w:type="dxa"/>
            </w:tcMar>
          </w:tcPr>
          <w:p w14:paraId="6A91F1D9" w14:textId="77777777" w:rsidR="00376C97" w:rsidRPr="00FB5015" w:rsidRDefault="00376C97" w:rsidP="00CC5F3E">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0</w:t>
            </w:r>
          </w:p>
        </w:tc>
        <w:tc>
          <w:tcPr>
            <w:tcW w:w="1239" w:type="dxa"/>
            <w:tcBorders>
              <w:top w:val="single" w:sz="2" w:space="0" w:color="000000"/>
            </w:tcBorders>
            <w:shd w:val="clear" w:color="auto" w:fill="auto"/>
            <w:tcMar>
              <w:top w:w="20" w:type="dxa"/>
              <w:left w:w="20" w:type="dxa"/>
              <w:bottom w:w="20" w:type="dxa"/>
              <w:right w:w="20" w:type="dxa"/>
            </w:tcMar>
          </w:tcPr>
          <w:p w14:paraId="7BF7F1D0" w14:textId="77777777" w:rsidR="00376C97" w:rsidRPr="00FB5015" w:rsidRDefault="00376C97" w:rsidP="00CC5F3E">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4,266</w:t>
            </w:r>
          </w:p>
        </w:tc>
        <w:tc>
          <w:tcPr>
            <w:tcW w:w="1239" w:type="dxa"/>
            <w:tcBorders>
              <w:top w:val="single" w:sz="2" w:space="0" w:color="000000"/>
            </w:tcBorders>
            <w:shd w:val="clear" w:color="auto" w:fill="auto"/>
            <w:tcMar>
              <w:top w:w="20" w:type="dxa"/>
              <w:left w:w="20" w:type="dxa"/>
              <w:bottom w:w="20" w:type="dxa"/>
              <w:right w:w="20" w:type="dxa"/>
            </w:tcMar>
          </w:tcPr>
          <w:p w14:paraId="7204AC8C" w14:textId="77777777" w:rsidR="00376C97" w:rsidRPr="00FB5015" w:rsidRDefault="00376C97" w:rsidP="00CC5F3E">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645</w:t>
            </w:r>
          </w:p>
        </w:tc>
        <w:tc>
          <w:tcPr>
            <w:tcW w:w="1244" w:type="dxa"/>
            <w:tcBorders>
              <w:top w:val="single" w:sz="2" w:space="0" w:color="000000"/>
            </w:tcBorders>
            <w:shd w:val="clear" w:color="auto" w:fill="auto"/>
            <w:tcMar>
              <w:top w:w="20" w:type="dxa"/>
              <w:left w:w="20" w:type="dxa"/>
              <w:bottom w:w="20" w:type="dxa"/>
              <w:right w:w="20" w:type="dxa"/>
            </w:tcMar>
          </w:tcPr>
          <w:p w14:paraId="385C7DF5" w14:textId="77777777" w:rsidR="00376C97" w:rsidRPr="00FB5015" w:rsidRDefault="00376C97" w:rsidP="00CC5F3E">
            <w:pPr>
              <w:pStyle w:val="T1TableStyle"/>
              <w:jc w:val="right"/>
              <w:rPr>
                <w:rFonts w:ascii="Verdana" w:eastAsia="Verdana" w:hAnsi="Verdana" w:cs="Verdana"/>
                <w:b/>
                <w:color w:val="000000"/>
                <w:sz w:val="16"/>
                <w:lang w:val="en-GB"/>
              </w:rPr>
            </w:pPr>
            <w:r w:rsidRPr="00FB5015">
              <w:rPr>
                <w:rFonts w:ascii="Verdana" w:eastAsia="Verdana" w:hAnsi="Verdana" w:cs="Verdana"/>
                <w:b/>
                <w:color w:val="000000"/>
                <w:sz w:val="16"/>
                <w:lang w:val="en-GB"/>
              </w:rPr>
              <w:t>(4,911)</w:t>
            </w:r>
          </w:p>
        </w:tc>
      </w:tr>
      <w:tr w:rsidR="00376C97" w:rsidRPr="00B76332" w14:paraId="0EFAC6F4" w14:textId="77777777" w:rsidTr="00FB5015">
        <w:trPr>
          <w:trHeight w:hRule="exact" w:val="81"/>
          <w:jc w:val="center"/>
        </w:trPr>
        <w:tc>
          <w:tcPr>
            <w:tcW w:w="6822" w:type="dxa"/>
            <w:shd w:val="clear" w:color="auto" w:fill="auto"/>
            <w:tcMar>
              <w:top w:w="20" w:type="dxa"/>
              <w:left w:w="20" w:type="dxa"/>
              <w:bottom w:w="20" w:type="dxa"/>
              <w:right w:w="20" w:type="dxa"/>
            </w:tcMar>
          </w:tcPr>
          <w:p w14:paraId="2095C640"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2CE34B76"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26D2A8EA"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7AA6D193"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44" w:type="dxa"/>
            <w:shd w:val="clear" w:color="auto" w:fill="auto"/>
            <w:tcMar>
              <w:top w:w="20" w:type="dxa"/>
              <w:left w:w="20" w:type="dxa"/>
              <w:bottom w:w="20" w:type="dxa"/>
              <w:right w:w="20" w:type="dxa"/>
            </w:tcMar>
          </w:tcPr>
          <w:p w14:paraId="6CC2F9EC"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r>
      <w:tr w:rsidR="00376C97" w:rsidRPr="00B76332" w14:paraId="0E1935C5" w14:textId="77777777" w:rsidTr="00FB5015">
        <w:trPr>
          <w:trHeight w:val="140"/>
          <w:jc w:val="center"/>
        </w:trPr>
        <w:tc>
          <w:tcPr>
            <w:tcW w:w="6822" w:type="dxa"/>
            <w:shd w:val="clear" w:color="auto" w:fill="auto"/>
            <w:tcMar>
              <w:top w:w="20" w:type="dxa"/>
              <w:left w:w="20" w:type="dxa"/>
              <w:bottom w:w="20" w:type="dxa"/>
              <w:right w:w="20" w:type="dxa"/>
            </w:tcMar>
          </w:tcPr>
          <w:p w14:paraId="45AF27A0" w14:textId="77777777" w:rsidR="00376C97" w:rsidRPr="00B76332" w:rsidRDefault="00376C97" w:rsidP="00CC5F3E">
            <w:pPr>
              <w:pStyle w:val="T1TableStyle"/>
              <w:rPr>
                <w:rFonts w:ascii="Verdana" w:eastAsia="Verdana" w:hAnsi="Verdana" w:cs="Verdana"/>
                <w:color w:val="000000"/>
                <w:sz w:val="16"/>
                <w:lang w:val="en-GB"/>
              </w:rPr>
            </w:pPr>
            <w:r w:rsidRPr="00B76332">
              <w:rPr>
                <w:rFonts w:ascii="Verdana" w:eastAsia="Verdana" w:hAnsi="Verdana" w:cs="Verdana"/>
                <w:color w:val="000000"/>
                <w:sz w:val="16"/>
                <w:lang w:val="en-GB"/>
              </w:rPr>
              <w:t>Other adjustments</w:t>
            </w:r>
          </w:p>
        </w:tc>
        <w:tc>
          <w:tcPr>
            <w:tcW w:w="1239" w:type="dxa"/>
            <w:shd w:val="clear" w:color="auto" w:fill="auto"/>
            <w:tcMar>
              <w:top w:w="20" w:type="dxa"/>
              <w:left w:w="20" w:type="dxa"/>
              <w:bottom w:w="20" w:type="dxa"/>
              <w:right w:w="20" w:type="dxa"/>
            </w:tcMar>
          </w:tcPr>
          <w:p w14:paraId="6B900CAC" w14:textId="77777777" w:rsidR="00376C97" w:rsidRPr="00B76332" w:rsidRDefault="00376C97" w:rsidP="00CC5F3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1,060</w:t>
            </w:r>
          </w:p>
        </w:tc>
        <w:tc>
          <w:tcPr>
            <w:tcW w:w="1239" w:type="dxa"/>
            <w:shd w:val="clear" w:color="auto" w:fill="auto"/>
            <w:tcMar>
              <w:top w:w="20" w:type="dxa"/>
              <w:left w:w="20" w:type="dxa"/>
              <w:bottom w:w="20" w:type="dxa"/>
              <w:right w:w="20" w:type="dxa"/>
            </w:tcMar>
          </w:tcPr>
          <w:p w14:paraId="104323BD" w14:textId="77777777" w:rsidR="00376C97" w:rsidRPr="00B76332" w:rsidRDefault="00376C97" w:rsidP="00CC5F3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0</w:t>
            </w:r>
          </w:p>
        </w:tc>
        <w:tc>
          <w:tcPr>
            <w:tcW w:w="1239" w:type="dxa"/>
            <w:shd w:val="clear" w:color="auto" w:fill="auto"/>
            <w:tcMar>
              <w:top w:w="20" w:type="dxa"/>
              <w:left w:w="20" w:type="dxa"/>
              <w:bottom w:w="20" w:type="dxa"/>
              <w:right w:w="20" w:type="dxa"/>
            </w:tcMar>
          </w:tcPr>
          <w:p w14:paraId="7ABEC9DF" w14:textId="77777777" w:rsidR="00376C97" w:rsidRPr="00B76332" w:rsidRDefault="00376C97" w:rsidP="00CC5F3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(1,629)</w:t>
            </w:r>
          </w:p>
        </w:tc>
        <w:tc>
          <w:tcPr>
            <w:tcW w:w="1244" w:type="dxa"/>
            <w:shd w:val="clear" w:color="auto" w:fill="auto"/>
            <w:tcMar>
              <w:top w:w="20" w:type="dxa"/>
              <w:left w:w="20" w:type="dxa"/>
              <w:bottom w:w="20" w:type="dxa"/>
              <w:right w:w="20" w:type="dxa"/>
            </w:tcMar>
          </w:tcPr>
          <w:p w14:paraId="04536368" w14:textId="77777777" w:rsidR="00376C97" w:rsidRPr="00B76332" w:rsidRDefault="00376C97" w:rsidP="00CC5F3E">
            <w:pPr>
              <w:pStyle w:val="T1TableStyle"/>
              <w:jc w:val="right"/>
              <w:rPr>
                <w:rFonts w:ascii="Verdana" w:eastAsia="Verdana" w:hAnsi="Verdana" w:cs="Verdana"/>
                <w:color w:val="000000"/>
                <w:sz w:val="16"/>
                <w:lang w:val="en-GB"/>
              </w:rPr>
            </w:pPr>
            <w:r w:rsidRPr="00B76332">
              <w:rPr>
                <w:rFonts w:ascii="Verdana" w:eastAsia="Verdana" w:hAnsi="Verdana" w:cs="Verdana"/>
                <w:color w:val="000000"/>
                <w:sz w:val="16"/>
                <w:lang w:val="en-GB"/>
              </w:rPr>
              <w:t>569</w:t>
            </w:r>
          </w:p>
        </w:tc>
      </w:tr>
      <w:tr w:rsidR="00376C97" w:rsidRPr="00B76332" w14:paraId="2D039329" w14:textId="77777777" w:rsidTr="00FB5015">
        <w:trPr>
          <w:trHeight w:hRule="exact" w:val="81"/>
          <w:jc w:val="center"/>
        </w:trPr>
        <w:tc>
          <w:tcPr>
            <w:tcW w:w="6822" w:type="dxa"/>
            <w:shd w:val="clear" w:color="auto" w:fill="auto"/>
            <w:tcMar>
              <w:top w:w="20" w:type="dxa"/>
              <w:left w:w="20" w:type="dxa"/>
              <w:bottom w:w="20" w:type="dxa"/>
              <w:right w:w="20" w:type="dxa"/>
            </w:tcMar>
          </w:tcPr>
          <w:p w14:paraId="783087C0"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78D4D200"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17893094"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39" w:type="dxa"/>
            <w:shd w:val="clear" w:color="auto" w:fill="auto"/>
            <w:tcMar>
              <w:top w:w="20" w:type="dxa"/>
              <w:left w:w="20" w:type="dxa"/>
              <w:bottom w:w="20" w:type="dxa"/>
              <w:right w:w="20" w:type="dxa"/>
            </w:tcMar>
          </w:tcPr>
          <w:p w14:paraId="05196ADF"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c>
          <w:tcPr>
            <w:tcW w:w="1244" w:type="dxa"/>
            <w:shd w:val="clear" w:color="auto" w:fill="auto"/>
            <w:tcMar>
              <w:top w:w="20" w:type="dxa"/>
              <w:left w:w="20" w:type="dxa"/>
              <w:bottom w:w="20" w:type="dxa"/>
              <w:right w:w="20" w:type="dxa"/>
            </w:tcMar>
          </w:tcPr>
          <w:p w14:paraId="3B259CF7" w14:textId="77777777" w:rsidR="00376C97" w:rsidRPr="00B76332" w:rsidRDefault="00376C97" w:rsidP="00CC5F3E">
            <w:pPr>
              <w:pStyle w:val="T1TableStyle"/>
              <w:jc w:val="center"/>
              <w:rPr>
                <w:rFonts w:ascii="Verdana" w:eastAsia="Verdana" w:hAnsi="Verdana" w:cs="Verdana"/>
                <w:color w:val="000000"/>
                <w:sz w:val="2"/>
                <w:lang w:val="en-GB"/>
              </w:rPr>
            </w:pPr>
            <w:r w:rsidRPr="00B76332">
              <w:rPr>
                <w:rFonts w:ascii="Verdana" w:eastAsia="Verdana" w:hAnsi="Verdana" w:cs="Verdana"/>
                <w:color w:val="000000"/>
                <w:sz w:val="2"/>
                <w:lang w:val="en-GB"/>
              </w:rPr>
              <w:t xml:space="preserve"> </w:t>
            </w:r>
          </w:p>
        </w:tc>
      </w:tr>
      <w:tr w:rsidR="00376C97" w:rsidRPr="003516A4" w14:paraId="3DBEE55E" w14:textId="77777777" w:rsidTr="00FB5015">
        <w:trPr>
          <w:trHeight w:val="140"/>
          <w:jc w:val="center"/>
        </w:trPr>
        <w:tc>
          <w:tcPr>
            <w:tcW w:w="6822" w:type="dxa"/>
            <w:tcBorders>
              <w:top w:val="single" w:sz="2" w:space="0" w:color="000000"/>
              <w:bottom w:val="single" w:sz="12" w:space="0" w:color="000000"/>
            </w:tcBorders>
            <w:shd w:val="clear" w:color="auto" w:fill="auto"/>
            <w:tcMar>
              <w:top w:w="20" w:type="dxa"/>
              <w:left w:w="20" w:type="dxa"/>
              <w:bottom w:w="20" w:type="dxa"/>
              <w:right w:w="20" w:type="dxa"/>
            </w:tcMar>
          </w:tcPr>
          <w:p w14:paraId="7D316727" w14:textId="77777777" w:rsidR="00376C97" w:rsidRPr="00B76332" w:rsidRDefault="00376C97" w:rsidP="00CC5F3E">
            <w:pPr>
              <w:pStyle w:val="T1TableStyle"/>
              <w:rPr>
                <w:rFonts w:ascii="Verdana" w:eastAsia="Verdana" w:hAnsi="Verdana" w:cs="Verdana"/>
                <w:b/>
                <w:color w:val="000000"/>
                <w:sz w:val="16"/>
                <w:lang w:val="en-GB"/>
              </w:rPr>
            </w:pPr>
            <w:r w:rsidRPr="00B76332">
              <w:rPr>
                <w:rFonts w:ascii="Verdana" w:eastAsia="Verdana" w:hAnsi="Verdana" w:cs="Verdana"/>
                <w:b/>
                <w:color w:val="000000"/>
                <w:sz w:val="16"/>
                <w:lang w:val="en-GB"/>
              </w:rPr>
              <w:t>Total Adjustments</w:t>
            </w:r>
          </w:p>
        </w:tc>
        <w:tc>
          <w:tcPr>
            <w:tcW w:w="1239" w:type="dxa"/>
            <w:tcBorders>
              <w:top w:val="single" w:sz="2" w:space="0" w:color="000000"/>
              <w:bottom w:val="single" w:sz="12" w:space="0" w:color="000000"/>
            </w:tcBorders>
            <w:shd w:val="clear" w:color="auto" w:fill="auto"/>
            <w:tcMar>
              <w:top w:w="20" w:type="dxa"/>
              <w:left w:w="20" w:type="dxa"/>
              <w:bottom w:w="20" w:type="dxa"/>
              <w:right w:w="20" w:type="dxa"/>
            </w:tcMar>
          </w:tcPr>
          <w:p w14:paraId="6B4F4C82" w14:textId="77777777" w:rsidR="00376C97" w:rsidRPr="00B76332" w:rsidRDefault="00376C97">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w:t>
            </w:r>
            <w:r w:rsidR="003B61E9" w:rsidRPr="00B76332">
              <w:rPr>
                <w:rFonts w:ascii="Verdana" w:eastAsia="Verdana" w:hAnsi="Verdana" w:cs="Verdana"/>
                <w:b/>
                <w:color w:val="000000"/>
                <w:sz w:val="16"/>
                <w:lang w:val="en-GB"/>
              </w:rPr>
              <w:t>3</w:t>
            </w:r>
            <w:r w:rsidRPr="00B76332">
              <w:rPr>
                <w:rFonts w:ascii="Verdana" w:eastAsia="Verdana" w:hAnsi="Verdana" w:cs="Verdana"/>
                <w:b/>
                <w:color w:val="000000"/>
                <w:sz w:val="16"/>
                <w:lang w:val="en-GB"/>
              </w:rPr>
              <w:t>,</w:t>
            </w:r>
            <w:r w:rsidR="003B61E9" w:rsidRPr="00B76332">
              <w:rPr>
                <w:rFonts w:ascii="Verdana" w:eastAsia="Verdana" w:hAnsi="Verdana" w:cs="Verdana"/>
                <w:b/>
                <w:color w:val="000000"/>
                <w:sz w:val="16"/>
                <w:lang w:val="en-GB"/>
              </w:rPr>
              <w:t>0</w:t>
            </w:r>
            <w:r w:rsidR="00017322" w:rsidRPr="00B76332">
              <w:rPr>
                <w:rFonts w:ascii="Verdana" w:eastAsia="Verdana" w:hAnsi="Verdana" w:cs="Verdana"/>
                <w:b/>
                <w:color w:val="000000"/>
                <w:sz w:val="16"/>
                <w:lang w:val="en-GB"/>
              </w:rPr>
              <w:t>92</w:t>
            </w:r>
            <w:r w:rsidRPr="00B76332">
              <w:rPr>
                <w:rFonts w:ascii="Verdana" w:eastAsia="Verdana" w:hAnsi="Verdana" w:cs="Verdana"/>
                <w:b/>
                <w:color w:val="000000"/>
                <w:sz w:val="16"/>
                <w:lang w:val="en-GB"/>
              </w:rPr>
              <w:t>)</w:t>
            </w:r>
          </w:p>
        </w:tc>
        <w:tc>
          <w:tcPr>
            <w:tcW w:w="1239" w:type="dxa"/>
            <w:tcBorders>
              <w:top w:val="single" w:sz="2" w:space="0" w:color="000000"/>
              <w:bottom w:val="single" w:sz="12" w:space="0" w:color="000000"/>
            </w:tcBorders>
            <w:shd w:val="clear" w:color="auto" w:fill="auto"/>
            <w:tcMar>
              <w:top w:w="20" w:type="dxa"/>
              <w:left w:w="20" w:type="dxa"/>
              <w:bottom w:w="20" w:type="dxa"/>
              <w:right w:w="20" w:type="dxa"/>
            </w:tcMar>
          </w:tcPr>
          <w:p w14:paraId="5C37157B" w14:textId="77777777" w:rsidR="00376C97" w:rsidRPr="00B76332" w:rsidRDefault="00376C97" w:rsidP="00CC5F3E">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3,799</w:t>
            </w:r>
          </w:p>
        </w:tc>
        <w:tc>
          <w:tcPr>
            <w:tcW w:w="1239" w:type="dxa"/>
            <w:tcBorders>
              <w:top w:val="single" w:sz="2" w:space="0" w:color="000000"/>
              <w:bottom w:val="single" w:sz="12" w:space="0" w:color="000000"/>
            </w:tcBorders>
            <w:shd w:val="clear" w:color="auto" w:fill="auto"/>
            <w:tcMar>
              <w:top w:w="20" w:type="dxa"/>
              <w:left w:w="20" w:type="dxa"/>
              <w:bottom w:w="20" w:type="dxa"/>
              <w:right w:w="20" w:type="dxa"/>
            </w:tcMar>
          </w:tcPr>
          <w:p w14:paraId="483FEC12" w14:textId="77777777" w:rsidR="00376C97" w:rsidRPr="00B76332" w:rsidRDefault="00376C97" w:rsidP="00CC5F3E">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(1,629)</w:t>
            </w:r>
          </w:p>
        </w:tc>
        <w:tc>
          <w:tcPr>
            <w:tcW w:w="1244" w:type="dxa"/>
            <w:tcBorders>
              <w:top w:val="single" w:sz="2" w:space="0" w:color="000000"/>
              <w:bottom w:val="single" w:sz="12" w:space="0" w:color="000000"/>
            </w:tcBorders>
            <w:shd w:val="clear" w:color="auto" w:fill="auto"/>
            <w:tcMar>
              <w:top w:w="20" w:type="dxa"/>
              <w:left w:w="20" w:type="dxa"/>
              <w:bottom w:w="20" w:type="dxa"/>
              <w:right w:w="20" w:type="dxa"/>
            </w:tcMar>
          </w:tcPr>
          <w:p w14:paraId="575046F4" w14:textId="77777777" w:rsidR="00376C97" w:rsidRPr="00B76332" w:rsidRDefault="003B61E9">
            <w:pPr>
              <w:pStyle w:val="T1TableStyle"/>
              <w:jc w:val="right"/>
              <w:rPr>
                <w:rFonts w:ascii="Verdana" w:eastAsia="Verdana" w:hAnsi="Verdana" w:cs="Verdana"/>
                <w:b/>
                <w:color w:val="000000"/>
                <w:sz w:val="16"/>
                <w:lang w:val="en-GB"/>
              </w:rPr>
            </w:pPr>
            <w:r w:rsidRPr="00B76332">
              <w:rPr>
                <w:rFonts w:ascii="Verdana" w:eastAsia="Verdana" w:hAnsi="Verdana" w:cs="Verdana"/>
                <w:b/>
                <w:color w:val="000000"/>
                <w:sz w:val="16"/>
                <w:lang w:val="en-GB"/>
              </w:rPr>
              <w:t>9</w:t>
            </w:r>
            <w:r w:rsidR="00017322" w:rsidRPr="00B76332">
              <w:rPr>
                <w:rFonts w:ascii="Verdana" w:eastAsia="Verdana" w:hAnsi="Verdana" w:cs="Verdana"/>
                <w:b/>
                <w:color w:val="000000"/>
                <w:sz w:val="16"/>
                <w:lang w:val="en-GB"/>
              </w:rPr>
              <w:t>22</w:t>
            </w:r>
          </w:p>
        </w:tc>
      </w:tr>
    </w:tbl>
    <w:p w14:paraId="5F72221C" w14:textId="77777777" w:rsidR="00CA6653" w:rsidRPr="003516A4" w:rsidRDefault="00CA6653">
      <w:pPr>
        <w:pStyle w:val="Normal0"/>
        <w:spacing w:after="160" w:line="259" w:lineRule="auto"/>
        <w:rPr>
          <w:rFonts w:ascii="Verdana" w:eastAsia="Verdana" w:hAnsi="Verdana" w:cs="Verdana"/>
          <w:sz w:val="22"/>
          <w:szCs w:val="22"/>
          <w:highlight w:val="yellow"/>
          <w:lang w:val="en-GB"/>
        </w:rPr>
      </w:pPr>
    </w:p>
    <w:p w14:paraId="389379A5" w14:textId="77777777" w:rsidR="00376C97" w:rsidRPr="003516A4" w:rsidRDefault="00376C97">
      <w:pPr>
        <w:pStyle w:val="Normal0"/>
        <w:spacing w:after="160" w:line="259" w:lineRule="auto"/>
        <w:rPr>
          <w:rFonts w:ascii="Verdana" w:eastAsia="Verdana" w:hAnsi="Verdana" w:cs="Verdana"/>
          <w:sz w:val="22"/>
          <w:szCs w:val="22"/>
          <w:highlight w:val="yellow"/>
          <w:lang w:val="en-GB"/>
        </w:rPr>
      </w:pPr>
    </w:p>
    <w:p w14:paraId="12169267" w14:textId="7F6A0A88" w:rsidR="00FE10B9" w:rsidRPr="00852B4D" w:rsidRDefault="00FE10B9" w:rsidP="00FE10B9">
      <w:pPr>
        <w:pStyle w:val="Heading1"/>
      </w:pPr>
      <w:bookmarkStart w:id="21" w:name="_Toc75122775"/>
      <w:r>
        <w:t>Note 7</w:t>
      </w:r>
      <w:r w:rsidRPr="00852B4D">
        <w:t xml:space="preserve"> </w:t>
      </w:r>
      <w:r>
        <w:t>–</w:t>
      </w:r>
      <w:r w:rsidRPr="00852B4D">
        <w:t xml:space="preserve"> </w:t>
      </w:r>
      <w:r>
        <w:t>Transfers to/from Earmarked Reserves</w:t>
      </w:r>
      <w:bookmarkEnd w:id="21"/>
    </w:p>
    <w:p w14:paraId="11D353E9" w14:textId="77777777" w:rsidR="00CA6653" w:rsidRDefault="00CA6653" w:rsidP="00C80C35">
      <w:pPr>
        <w:pStyle w:val="Normal0"/>
        <w:spacing w:after="160" w:line="259" w:lineRule="auto"/>
        <w:jc w:val="both"/>
        <w:rPr>
          <w:rFonts w:ascii="Verdana" w:eastAsia="Verdana" w:hAnsi="Verdana" w:cs="Verdana"/>
          <w:sz w:val="22"/>
          <w:szCs w:val="22"/>
          <w:lang w:val="en-GB"/>
        </w:rPr>
      </w:pPr>
      <w:r w:rsidRPr="005C7AE8">
        <w:rPr>
          <w:rFonts w:ascii="Verdana" w:eastAsia="Verdana" w:hAnsi="Verdana" w:cs="Verdana"/>
          <w:sz w:val="22"/>
          <w:szCs w:val="22"/>
          <w:lang w:val="en-GB"/>
        </w:rPr>
        <w:t>The table below sets out the amounts set aside from the General Fund in earmarked reserves to provide financing for future expenditure plans and the amounts posted back from earmarked reserves to meet</w:t>
      </w:r>
      <w:r w:rsidR="005C7AE8" w:rsidRPr="005C7AE8">
        <w:rPr>
          <w:rFonts w:ascii="Verdana" w:eastAsia="Verdana" w:hAnsi="Verdana" w:cs="Verdana"/>
          <w:sz w:val="22"/>
          <w:szCs w:val="22"/>
          <w:lang w:val="en-GB"/>
        </w:rPr>
        <w:t xml:space="preserve"> General Fund expenditure in 2020</w:t>
      </w:r>
      <w:r w:rsidRPr="005C7AE8">
        <w:rPr>
          <w:rFonts w:ascii="Verdana" w:eastAsia="Verdana" w:hAnsi="Verdana" w:cs="Verdana"/>
          <w:sz w:val="22"/>
          <w:szCs w:val="22"/>
          <w:lang w:val="en-GB"/>
        </w:rPr>
        <w:t>/</w:t>
      </w:r>
      <w:r w:rsidR="006C3861" w:rsidRPr="005C7AE8">
        <w:rPr>
          <w:rFonts w:ascii="Verdana" w:eastAsia="Verdana" w:hAnsi="Verdana" w:cs="Verdana"/>
          <w:sz w:val="22"/>
          <w:szCs w:val="22"/>
          <w:lang w:val="en-GB"/>
        </w:rPr>
        <w:t>2</w:t>
      </w:r>
      <w:r w:rsidR="005C7AE8" w:rsidRPr="005C7AE8">
        <w:rPr>
          <w:rFonts w:ascii="Verdana" w:eastAsia="Verdana" w:hAnsi="Verdana" w:cs="Verdana"/>
          <w:sz w:val="22"/>
          <w:szCs w:val="22"/>
          <w:lang w:val="en-GB"/>
        </w:rPr>
        <w:t>1</w:t>
      </w:r>
      <w:r w:rsidRPr="005C7AE8">
        <w:rPr>
          <w:rFonts w:ascii="Verdana" w:eastAsia="Verdana" w:hAnsi="Verdana" w:cs="Verdana"/>
          <w:sz w:val="22"/>
          <w:szCs w:val="22"/>
          <w:lang w:val="en-GB"/>
        </w:rPr>
        <w:t>.</w:t>
      </w:r>
    </w:p>
    <w:p w14:paraId="6954D130" w14:textId="77777777" w:rsidR="00FE10B9" w:rsidRPr="005C7AE8" w:rsidRDefault="00FE10B9" w:rsidP="00C80C35">
      <w:pPr>
        <w:pStyle w:val="Normal0"/>
        <w:spacing w:after="160" w:line="259" w:lineRule="auto"/>
        <w:jc w:val="both"/>
        <w:rPr>
          <w:rFonts w:ascii="Verdana" w:eastAsia="Verdana" w:hAnsi="Verdana" w:cs="Verdana"/>
          <w:sz w:val="22"/>
          <w:szCs w:val="22"/>
          <w:lang w:val="en-GB"/>
        </w:rPr>
      </w:pPr>
    </w:p>
    <w:tbl>
      <w:tblPr>
        <w:tblW w:w="12208" w:type="dxa"/>
        <w:jc w:val="center"/>
        <w:tblLook w:val="04A0" w:firstRow="1" w:lastRow="0" w:firstColumn="1" w:lastColumn="0" w:noHBand="0" w:noVBand="1"/>
      </w:tblPr>
      <w:tblGrid>
        <w:gridCol w:w="3116"/>
        <w:gridCol w:w="1241"/>
        <w:gridCol w:w="1318"/>
        <w:gridCol w:w="1305"/>
        <w:gridCol w:w="1241"/>
        <w:gridCol w:w="1294"/>
        <w:gridCol w:w="1277"/>
        <w:gridCol w:w="1416"/>
      </w:tblGrid>
      <w:tr w:rsidR="005C7AE8" w:rsidRPr="005C7AE8" w14:paraId="54FF9ECC" w14:textId="77777777" w:rsidTr="00FE10B9">
        <w:trPr>
          <w:trHeight w:val="425"/>
          <w:jc w:val="center"/>
        </w:trPr>
        <w:tc>
          <w:tcPr>
            <w:tcW w:w="3317" w:type="dxa"/>
            <w:vMerge w:val="restart"/>
            <w:tcBorders>
              <w:top w:val="nil"/>
              <w:left w:val="nil"/>
              <w:bottom w:val="nil"/>
              <w:right w:val="nil"/>
            </w:tcBorders>
            <w:shd w:val="clear" w:color="auto" w:fill="auto"/>
            <w:vAlign w:val="center"/>
            <w:hideMark/>
          </w:tcPr>
          <w:p w14:paraId="1538C7C2" w14:textId="77777777" w:rsidR="005C7AE8" w:rsidRPr="005C7AE8" w:rsidRDefault="005C7AE8" w:rsidP="005C7AE8">
            <w:pPr>
              <w:rPr>
                <w:rFonts w:ascii="Times New Roman" w:eastAsia="Times New Roman" w:hAnsi="Times New Roman" w:cs="Times New Roman"/>
                <w:sz w:val="20"/>
                <w:szCs w:val="20"/>
                <w:lang w:val="en-GB" w:eastAsia="en-GB"/>
              </w:rPr>
            </w:pPr>
          </w:p>
        </w:tc>
        <w:tc>
          <w:tcPr>
            <w:tcW w:w="1241" w:type="dxa"/>
            <w:vMerge w:val="restart"/>
            <w:tcBorders>
              <w:top w:val="nil"/>
              <w:left w:val="nil"/>
              <w:bottom w:val="nil"/>
              <w:right w:val="nil"/>
            </w:tcBorders>
            <w:shd w:val="clear" w:color="auto" w:fill="auto"/>
            <w:vAlign w:val="center"/>
            <w:hideMark/>
          </w:tcPr>
          <w:p w14:paraId="3E542B41" w14:textId="77777777" w:rsidR="005C7AE8" w:rsidRPr="005C7AE8" w:rsidRDefault="005C7AE8" w:rsidP="005C7AE8">
            <w:pPr>
              <w:jc w:val="center"/>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Balance at 1 April 2019</w:t>
            </w:r>
          </w:p>
        </w:tc>
        <w:tc>
          <w:tcPr>
            <w:tcW w:w="1318" w:type="dxa"/>
            <w:tcBorders>
              <w:top w:val="nil"/>
              <w:left w:val="nil"/>
              <w:bottom w:val="nil"/>
              <w:right w:val="nil"/>
            </w:tcBorders>
            <w:shd w:val="clear" w:color="auto" w:fill="auto"/>
            <w:vAlign w:val="center"/>
            <w:hideMark/>
          </w:tcPr>
          <w:p w14:paraId="3E0C306C" w14:textId="77777777" w:rsidR="005C7AE8" w:rsidRPr="005C7AE8" w:rsidRDefault="005C7AE8" w:rsidP="005C7AE8">
            <w:pPr>
              <w:jc w:val="center"/>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 xml:space="preserve">Transfers In </w:t>
            </w:r>
          </w:p>
        </w:tc>
        <w:tc>
          <w:tcPr>
            <w:tcW w:w="1305" w:type="dxa"/>
            <w:vMerge w:val="restart"/>
            <w:tcBorders>
              <w:top w:val="nil"/>
              <w:left w:val="nil"/>
              <w:bottom w:val="nil"/>
              <w:right w:val="nil"/>
            </w:tcBorders>
            <w:shd w:val="clear" w:color="auto" w:fill="auto"/>
            <w:vAlign w:val="center"/>
            <w:hideMark/>
          </w:tcPr>
          <w:p w14:paraId="74AA6C42" w14:textId="77777777" w:rsidR="005C7AE8" w:rsidRPr="005C7AE8" w:rsidRDefault="005C7AE8" w:rsidP="005C7AE8">
            <w:pPr>
              <w:jc w:val="center"/>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Transfers Out 2019/20</w:t>
            </w:r>
          </w:p>
        </w:tc>
        <w:tc>
          <w:tcPr>
            <w:tcW w:w="1241" w:type="dxa"/>
            <w:vMerge w:val="restart"/>
            <w:tcBorders>
              <w:top w:val="nil"/>
              <w:left w:val="nil"/>
              <w:bottom w:val="nil"/>
              <w:right w:val="nil"/>
            </w:tcBorders>
            <w:shd w:val="clear" w:color="auto" w:fill="auto"/>
            <w:vAlign w:val="center"/>
            <w:hideMark/>
          </w:tcPr>
          <w:p w14:paraId="490815B0" w14:textId="77777777" w:rsidR="005C7AE8" w:rsidRPr="005C7AE8" w:rsidRDefault="005C7AE8" w:rsidP="005C7AE8">
            <w:pPr>
              <w:jc w:val="center"/>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Balance at 31 March 2020</w:t>
            </w:r>
          </w:p>
        </w:tc>
        <w:tc>
          <w:tcPr>
            <w:tcW w:w="1316" w:type="dxa"/>
            <w:tcBorders>
              <w:top w:val="nil"/>
              <w:left w:val="nil"/>
              <w:bottom w:val="nil"/>
              <w:right w:val="nil"/>
            </w:tcBorders>
            <w:shd w:val="clear" w:color="auto" w:fill="auto"/>
            <w:vAlign w:val="center"/>
            <w:hideMark/>
          </w:tcPr>
          <w:p w14:paraId="5634E890" w14:textId="77777777" w:rsidR="005C7AE8" w:rsidRPr="005C7AE8" w:rsidRDefault="005C7AE8" w:rsidP="005C7AE8">
            <w:pPr>
              <w:jc w:val="center"/>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 xml:space="preserve">Transfers In </w:t>
            </w:r>
          </w:p>
        </w:tc>
        <w:tc>
          <w:tcPr>
            <w:tcW w:w="1305" w:type="dxa"/>
            <w:vMerge w:val="restart"/>
            <w:tcBorders>
              <w:top w:val="nil"/>
              <w:left w:val="nil"/>
              <w:bottom w:val="nil"/>
              <w:right w:val="nil"/>
            </w:tcBorders>
            <w:shd w:val="clear" w:color="auto" w:fill="auto"/>
            <w:vAlign w:val="center"/>
            <w:hideMark/>
          </w:tcPr>
          <w:p w14:paraId="46CABE2B" w14:textId="77777777" w:rsidR="005C7AE8" w:rsidRPr="005C7AE8" w:rsidRDefault="005C7AE8" w:rsidP="005C7AE8">
            <w:pPr>
              <w:jc w:val="center"/>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Transfers Out 2020/21</w:t>
            </w:r>
          </w:p>
        </w:tc>
        <w:tc>
          <w:tcPr>
            <w:tcW w:w="1165" w:type="dxa"/>
            <w:vMerge w:val="restart"/>
            <w:tcBorders>
              <w:top w:val="nil"/>
              <w:left w:val="nil"/>
              <w:bottom w:val="nil"/>
              <w:right w:val="nil"/>
            </w:tcBorders>
            <w:shd w:val="clear" w:color="auto" w:fill="auto"/>
            <w:vAlign w:val="center"/>
            <w:hideMark/>
          </w:tcPr>
          <w:p w14:paraId="6AEE5A00" w14:textId="77777777" w:rsidR="005C7AE8" w:rsidRPr="005C7AE8" w:rsidRDefault="005C7AE8" w:rsidP="005C7AE8">
            <w:pPr>
              <w:jc w:val="center"/>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Balance at 31 March 2021</w:t>
            </w:r>
          </w:p>
        </w:tc>
      </w:tr>
      <w:tr w:rsidR="005C7AE8" w:rsidRPr="005C7AE8" w14:paraId="16192973" w14:textId="77777777" w:rsidTr="00FE10B9">
        <w:trPr>
          <w:trHeight w:val="235"/>
          <w:jc w:val="center"/>
        </w:trPr>
        <w:tc>
          <w:tcPr>
            <w:tcW w:w="3317" w:type="dxa"/>
            <w:vMerge/>
            <w:tcBorders>
              <w:top w:val="nil"/>
              <w:left w:val="nil"/>
              <w:bottom w:val="nil"/>
              <w:right w:val="nil"/>
            </w:tcBorders>
            <w:vAlign w:val="center"/>
            <w:hideMark/>
          </w:tcPr>
          <w:p w14:paraId="6D7BC80E" w14:textId="77777777" w:rsidR="005C7AE8" w:rsidRPr="005C7AE8" w:rsidRDefault="005C7AE8" w:rsidP="005C7AE8">
            <w:pPr>
              <w:rPr>
                <w:rFonts w:ascii="Times New Roman" w:eastAsia="Times New Roman" w:hAnsi="Times New Roman" w:cs="Times New Roman"/>
                <w:sz w:val="20"/>
                <w:szCs w:val="20"/>
                <w:lang w:val="en-GB" w:eastAsia="en-GB"/>
              </w:rPr>
            </w:pPr>
          </w:p>
        </w:tc>
        <w:tc>
          <w:tcPr>
            <w:tcW w:w="1241" w:type="dxa"/>
            <w:vMerge/>
            <w:tcBorders>
              <w:top w:val="nil"/>
              <w:left w:val="nil"/>
              <w:bottom w:val="nil"/>
              <w:right w:val="nil"/>
            </w:tcBorders>
            <w:vAlign w:val="center"/>
            <w:hideMark/>
          </w:tcPr>
          <w:p w14:paraId="40B6BA05" w14:textId="77777777" w:rsidR="005C7AE8" w:rsidRPr="005C7AE8" w:rsidRDefault="005C7AE8" w:rsidP="005C7AE8">
            <w:pPr>
              <w:rPr>
                <w:rFonts w:eastAsia="Times New Roman" w:cs="Calibri"/>
                <w:b/>
                <w:bCs/>
                <w:color w:val="000000"/>
                <w:sz w:val="16"/>
                <w:szCs w:val="16"/>
                <w:lang w:val="en-GB" w:eastAsia="en-GB"/>
              </w:rPr>
            </w:pPr>
          </w:p>
        </w:tc>
        <w:tc>
          <w:tcPr>
            <w:tcW w:w="1318" w:type="dxa"/>
            <w:tcBorders>
              <w:top w:val="nil"/>
              <w:left w:val="nil"/>
              <w:bottom w:val="nil"/>
              <w:right w:val="nil"/>
            </w:tcBorders>
            <w:shd w:val="clear" w:color="auto" w:fill="auto"/>
            <w:vAlign w:val="center"/>
            <w:hideMark/>
          </w:tcPr>
          <w:p w14:paraId="3D0B3240" w14:textId="77777777" w:rsidR="005C7AE8" w:rsidRPr="005C7AE8" w:rsidRDefault="005C7AE8" w:rsidP="005C7AE8">
            <w:pPr>
              <w:jc w:val="center"/>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2019/20</w:t>
            </w:r>
          </w:p>
        </w:tc>
        <w:tc>
          <w:tcPr>
            <w:tcW w:w="1305" w:type="dxa"/>
            <w:vMerge/>
            <w:tcBorders>
              <w:top w:val="nil"/>
              <w:left w:val="nil"/>
              <w:bottom w:val="nil"/>
              <w:right w:val="nil"/>
            </w:tcBorders>
            <w:vAlign w:val="center"/>
            <w:hideMark/>
          </w:tcPr>
          <w:p w14:paraId="71939252" w14:textId="77777777" w:rsidR="005C7AE8" w:rsidRPr="005C7AE8" w:rsidRDefault="005C7AE8" w:rsidP="005C7AE8">
            <w:pPr>
              <w:rPr>
                <w:rFonts w:eastAsia="Times New Roman" w:cs="Calibri"/>
                <w:b/>
                <w:bCs/>
                <w:color w:val="000000"/>
                <w:sz w:val="16"/>
                <w:szCs w:val="16"/>
                <w:lang w:val="en-GB" w:eastAsia="en-GB"/>
              </w:rPr>
            </w:pPr>
          </w:p>
        </w:tc>
        <w:tc>
          <w:tcPr>
            <w:tcW w:w="1241" w:type="dxa"/>
            <w:vMerge/>
            <w:tcBorders>
              <w:top w:val="nil"/>
              <w:left w:val="nil"/>
              <w:bottom w:val="nil"/>
              <w:right w:val="nil"/>
            </w:tcBorders>
            <w:vAlign w:val="center"/>
            <w:hideMark/>
          </w:tcPr>
          <w:p w14:paraId="45614229" w14:textId="77777777" w:rsidR="005C7AE8" w:rsidRPr="005C7AE8" w:rsidRDefault="005C7AE8" w:rsidP="005C7AE8">
            <w:pPr>
              <w:rPr>
                <w:rFonts w:eastAsia="Times New Roman" w:cs="Calibri"/>
                <w:b/>
                <w:bCs/>
                <w:color w:val="000000"/>
                <w:sz w:val="16"/>
                <w:szCs w:val="16"/>
                <w:lang w:val="en-GB" w:eastAsia="en-GB"/>
              </w:rPr>
            </w:pPr>
          </w:p>
        </w:tc>
        <w:tc>
          <w:tcPr>
            <w:tcW w:w="1316" w:type="dxa"/>
            <w:tcBorders>
              <w:top w:val="nil"/>
              <w:left w:val="nil"/>
              <w:bottom w:val="nil"/>
              <w:right w:val="nil"/>
            </w:tcBorders>
            <w:shd w:val="clear" w:color="auto" w:fill="auto"/>
            <w:vAlign w:val="center"/>
            <w:hideMark/>
          </w:tcPr>
          <w:p w14:paraId="3F33E7CD" w14:textId="77777777" w:rsidR="005C7AE8" w:rsidRPr="005C7AE8" w:rsidRDefault="005C7AE8" w:rsidP="005C7AE8">
            <w:pPr>
              <w:jc w:val="center"/>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2020/21</w:t>
            </w:r>
          </w:p>
        </w:tc>
        <w:tc>
          <w:tcPr>
            <w:tcW w:w="1305" w:type="dxa"/>
            <w:vMerge/>
            <w:tcBorders>
              <w:top w:val="nil"/>
              <w:left w:val="nil"/>
              <w:bottom w:val="nil"/>
              <w:right w:val="nil"/>
            </w:tcBorders>
            <w:vAlign w:val="center"/>
            <w:hideMark/>
          </w:tcPr>
          <w:p w14:paraId="45507332" w14:textId="77777777" w:rsidR="005C7AE8" w:rsidRPr="005C7AE8" w:rsidRDefault="005C7AE8" w:rsidP="005C7AE8">
            <w:pPr>
              <w:rPr>
                <w:rFonts w:eastAsia="Times New Roman" w:cs="Calibri"/>
                <w:b/>
                <w:bCs/>
                <w:color w:val="000000"/>
                <w:sz w:val="16"/>
                <w:szCs w:val="16"/>
                <w:lang w:val="en-GB" w:eastAsia="en-GB"/>
              </w:rPr>
            </w:pPr>
          </w:p>
        </w:tc>
        <w:tc>
          <w:tcPr>
            <w:tcW w:w="1165" w:type="dxa"/>
            <w:vMerge/>
            <w:tcBorders>
              <w:top w:val="nil"/>
              <w:left w:val="nil"/>
              <w:bottom w:val="nil"/>
              <w:right w:val="nil"/>
            </w:tcBorders>
            <w:vAlign w:val="center"/>
            <w:hideMark/>
          </w:tcPr>
          <w:p w14:paraId="3A602932" w14:textId="77777777" w:rsidR="005C7AE8" w:rsidRPr="005C7AE8" w:rsidRDefault="005C7AE8" w:rsidP="005C7AE8">
            <w:pPr>
              <w:rPr>
                <w:rFonts w:eastAsia="Times New Roman" w:cs="Calibri"/>
                <w:b/>
                <w:bCs/>
                <w:color w:val="000000"/>
                <w:sz w:val="16"/>
                <w:szCs w:val="16"/>
                <w:lang w:val="en-GB" w:eastAsia="en-GB"/>
              </w:rPr>
            </w:pPr>
          </w:p>
        </w:tc>
      </w:tr>
      <w:tr w:rsidR="005C7AE8" w:rsidRPr="005C7AE8" w14:paraId="4D64585B" w14:textId="77777777" w:rsidTr="00FE10B9">
        <w:trPr>
          <w:trHeight w:val="247"/>
          <w:jc w:val="center"/>
        </w:trPr>
        <w:tc>
          <w:tcPr>
            <w:tcW w:w="3317" w:type="dxa"/>
            <w:tcBorders>
              <w:top w:val="nil"/>
              <w:left w:val="nil"/>
              <w:bottom w:val="nil"/>
              <w:right w:val="nil"/>
            </w:tcBorders>
            <w:shd w:val="clear" w:color="auto" w:fill="auto"/>
            <w:vAlign w:val="center"/>
            <w:hideMark/>
          </w:tcPr>
          <w:p w14:paraId="5E57E2CA" w14:textId="77777777" w:rsidR="005C7AE8" w:rsidRPr="005C7AE8" w:rsidRDefault="005C7AE8" w:rsidP="005C7AE8">
            <w:pPr>
              <w:jc w:val="center"/>
              <w:rPr>
                <w:rFonts w:eastAsia="Times New Roman" w:cs="Calibri"/>
                <w:color w:val="000000"/>
                <w:sz w:val="2"/>
                <w:szCs w:val="2"/>
                <w:lang w:val="en-GB" w:eastAsia="en-GB"/>
              </w:rPr>
            </w:pPr>
            <w:r w:rsidRPr="005C7AE8">
              <w:rPr>
                <w:rFonts w:eastAsia="Times New Roman" w:cs="Calibri"/>
                <w:color w:val="000000"/>
                <w:sz w:val="2"/>
                <w:szCs w:val="2"/>
                <w:lang w:val="en-GB" w:eastAsia="en-GB"/>
              </w:rPr>
              <w:t xml:space="preserve"> </w:t>
            </w:r>
          </w:p>
        </w:tc>
        <w:tc>
          <w:tcPr>
            <w:tcW w:w="1241" w:type="dxa"/>
            <w:tcBorders>
              <w:top w:val="nil"/>
              <w:left w:val="nil"/>
              <w:bottom w:val="single" w:sz="8" w:space="0" w:color="000000"/>
              <w:right w:val="nil"/>
            </w:tcBorders>
            <w:shd w:val="clear" w:color="auto" w:fill="auto"/>
            <w:vAlign w:val="center"/>
            <w:hideMark/>
          </w:tcPr>
          <w:p w14:paraId="6CA43A32"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£000</w:t>
            </w:r>
          </w:p>
        </w:tc>
        <w:tc>
          <w:tcPr>
            <w:tcW w:w="1318" w:type="dxa"/>
            <w:tcBorders>
              <w:top w:val="nil"/>
              <w:left w:val="nil"/>
              <w:bottom w:val="single" w:sz="8" w:space="0" w:color="000000"/>
              <w:right w:val="nil"/>
            </w:tcBorders>
            <w:shd w:val="clear" w:color="auto" w:fill="auto"/>
            <w:vAlign w:val="center"/>
            <w:hideMark/>
          </w:tcPr>
          <w:p w14:paraId="73596FB2"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£000</w:t>
            </w:r>
          </w:p>
        </w:tc>
        <w:tc>
          <w:tcPr>
            <w:tcW w:w="1305" w:type="dxa"/>
            <w:tcBorders>
              <w:top w:val="nil"/>
              <w:left w:val="nil"/>
              <w:bottom w:val="single" w:sz="8" w:space="0" w:color="000000"/>
              <w:right w:val="nil"/>
            </w:tcBorders>
            <w:shd w:val="clear" w:color="auto" w:fill="auto"/>
            <w:vAlign w:val="center"/>
            <w:hideMark/>
          </w:tcPr>
          <w:p w14:paraId="491EF048"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£000</w:t>
            </w:r>
          </w:p>
        </w:tc>
        <w:tc>
          <w:tcPr>
            <w:tcW w:w="1241" w:type="dxa"/>
            <w:tcBorders>
              <w:top w:val="nil"/>
              <w:left w:val="nil"/>
              <w:bottom w:val="single" w:sz="8" w:space="0" w:color="000000"/>
              <w:right w:val="nil"/>
            </w:tcBorders>
            <w:shd w:val="clear" w:color="auto" w:fill="auto"/>
            <w:vAlign w:val="center"/>
            <w:hideMark/>
          </w:tcPr>
          <w:p w14:paraId="42F4D44C"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£000</w:t>
            </w:r>
          </w:p>
        </w:tc>
        <w:tc>
          <w:tcPr>
            <w:tcW w:w="1316" w:type="dxa"/>
            <w:tcBorders>
              <w:top w:val="nil"/>
              <w:left w:val="nil"/>
              <w:bottom w:val="single" w:sz="8" w:space="0" w:color="000000"/>
              <w:right w:val="nil"/>
            </w:tcBorders>
            <w:shd w:val="clear" w:color="auto" w:fill="auto"/>
            <w:vAlign w:val="center"/>
            <w:hideMark/>
          </w:tcPr>
          <w:p w14:paraId="45812ECB"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£000</w:t>
            </w:r>
          </w:p>
        </w:tc>
        <w:tc>
          <w:tcPr>
            <w:tcW w:w="1305" w:type="dxa"/>
            <w:tcBorders>
              <w:top w:val="nil"/>
              <w:left w:val="nil"/>
              <w:bottom w:val="single" w:sz="8" w:space="0" w:color="000000"/>
              <w:right w:val="nil"/>
            </w:tcBorders>
            <w:shd w:val="clear" w:color="auto" w:fill="auto"/>
            <w:vAlign w:val="center"/>
            <w:hideMark/>
          </w:tcPr>
          <w:p w14:paraId="07ECEAA8"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£000</w:t>
            </w:r>
          </w:p>
        </w:tc>
        <w:tc>
          <w:tcPr>
            <w:tcW w:w="1165" w:type="dxa"/>
            <w:tcBorders>
              <w:top w:val="nil"/>
              <w:left w:val="nil"/>
              <w:bottom w:val="single" w:sz="8" w:space="0" w:color="000000"/>
              <w:right w:val="nil"/>
            </w:tcBorders>
            <w:shd w:val="clear" w:color="auto" w:fill="auto"/>
            <w:vAlign w:val="center"/>
            <w:hideMark/>
          </w:tcPr>
          <w:p w14:paraId="26F2D865"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£000</w:t>
            </w:r>
          </w:p>
        </w:tc>
      </w:tr>
      <w:tr w:rsidR="005C7AE8" w:rsidRPr="005C7AE8" w14:paraId="225FA855" w14:textId="77777777" w:rsidTr="00FE10B9">
        <w:trPr>
          <w:trHeight w:val="330"/>
          <w:jc w:val="center"/>
        </w:trPr>
        <w:tc>
          <w:tcPr>
            <w:tcW w:w="3317" w:type="dxa"/>
            <w:tcBorders>
              <w:top w:val="nil"/>
              <w:left w:val="nil"/>
              <w:bottom w:val="nil"/>
              <w:right w:val="nil"/>
            </w:tcBorders>
            <w:shd w:val="clear" w:color="auto" w:fill="auto"/>
            <w:vAlign w:val="center"/>
            <w:hideMark/>
          </w:tcPr>
          <w:p w14:paraId="1D9E87B5" w14:textId="2C0CA8AD" w:rsidR="005C7AE8" w:rsidRPr="005C7AE8" w:rsidRDefault="00EC6193" w:rsidP="005C7AE8">
            <w:pPr>
              <w:rPr>
                <w:rFonts w:eastAsia="Times New Roman" w:cs="Calibri"/>
                <w:b/>
                <w:bCs/>
                <w:color w:val="000000"/>
                <w:sz w:val="16"/>
                <w:szCs w:val="16"/>
                <w:lang w:val="en-GB" w:eastAsia="en-GB"/>
              </w:rPr>
            </w:pPr>
            <w:r>
              <w:rPr>
                <w:rFonts w:eastAsia="Times New Roman" w:cs="Calibri"/>
                <w:b/>
                <w:bCs/>
                <w:color w:val="000000"/>
                <w:sz w:val="16"/>
                <w:szCs w:val="16"/>
                <w:lang w:val="en-GB" w:eastAsia="en-GB"/>
              </w:rPr>
              <w:t>Earmarked</w:t>
            </w:r>
            <w:r w:rsidR="005C7AE8" w:rsidRPr="005C7AE8">
              <w:rPr>
                <w:rFonts w:eastAsia="Times New Roman" w:cs="Calibri"/>
                <w:b/>
                <w:bCs/>
                <w:color w:val="000000"/>
                <w:sz w:val="16"/>
                <w:szCs w:val="16"/>
                <w:lang w:val="en-GB" w:eastAsia="en-GB"/>
              </w:rPr>
              <w:t xml:space="preserve"> Reserves:</w:t>
            </w:r>
          </w:p>
        </w:tc>
        <w:tc>
          <w:tcPr>
            <w:tcW w:w="1241" w:type="dxa"/>
            <w:tcBorders>
              <w:top w:val="nil"/>
              <w:left w:val="nil"/>
              <w:bottom w:val="nil"/>
              <w:right w:val="nil"/>
            </w:tcBorders>
            <w:shd w:val="clear" w:color="auto" w:fill="auto"/>
            <w:vAlign w:val="center"/>
            <w:hideMark/>
          </w:tcPr>
          <w:p w14:paraId="65C8ECC4" w14:textId="77777777" w:rsidR="005C7AE8" w:rsidRPr="005C7AE8" w:rsidRDefault="005C7AE8" w:rsidP="005C7AE8">
            <w:pPr>
              <w:jc w:val="center"/>
              <w:rPr>
                <w:rFonts w:eastAsia="Times New Roman" w:cs="Calibri"/>
                <w:color w:val="000000"/>
                <w:sz w:val="2"/>
                <w:szCs w:val="2"/>
                <w:lang w:val="en-GB" w:eastAsia="en-GB"/>
              </w:rPr>
            </w:pPr>
            <w:r w:rsidRPr="005C7AE8">
              <w:rPr>
                <w:rFonts w:eastAsia="Times New Roman" w:cs="Calibri"/>
                <w:color w:val="000000"/>
                <w:sz w:val="2"/>
                <w:szCs w:val="2"/>
                <w:lang w:val="en-GB" w:eastAsia="en-GB"/>
              </w:rPr>
              <w:t xml:space="preserve"> </w:t>
            </w:r>
          </w:p>
        </w:tc>
        <w:tc>
          <w:tcPr>
            <w:tcW w:w="1318" w:type="dxa"/>
            <w:tcBorders>
              <w:top w:val="nil"/>
              <w:left w:val="nil"/>
              <w:bottom w:val="nil"/>
              <w:right w:val="nil"/>
            </w:tcBorders>
            <w:shd w:val="clear" w:color="auto" w:fill="auto"/>
            <w:vAlign w:val="center"/>
            <w:hideMark/>
          </w:tcPr>
          <w:p w14:paraId="682FF604" w14:textId="77777777" w:rsidR="005C7AE8" w:rsidRPr="005C7AE8" w:rsidRDefault="005C7AE8" w:rsidP="005C7AE8">
            <w:pPr>
              <w:jc w:val="center"/>
              <w:rPr>
                <w:rFonts w:eastAsia="Times New Roman" w:cs="Calibri"/>
                <w:color w:val="000000"/>
                <w:sz w:val="2"/>
                <w:szCs w:val="2"/>
                <w:lang w:val="en-GB" w:eastAsia="en-GB"/>
              </w:rPr>
            </w:pPr>
            <w:r w:rsidRPr="005C7AE8">
              <w:rPr>
                <w:rFonts w:eastAsia="Times New Roman" w:cs="Calibri"/>
                <w:color w:val="000000"/>
                <w:sz w:val="2"/>
                <w:szCs w:val="2"/>
                <w:lang w:val="en-GB" w:eastAsia="en-GB"/>
              </w:rPr>
              <w:t xml:space="preserve"> </w:t>
            </w:r>
          </w:p>
        </w:tc>
        <w:tc>
          <w:tcPr>
            <w:tcW w:w="1305" w:type="dxa"/>
            <w:tcBorders>
              <w:top w:val="nil"/>
              <w:left w:val="nil"/>
              <w:bottom w:val="nil"/>
              <w:right w:val="nil"/>
            </w:tcBorders>
            <w:shd w:val="clear" w:color="auto" w:fill="auto"/>
            <w:vAlign w:val="center"/>
            <w:hideMark/>
          </w:tcPr>
          <w:p w14:paraId="12FDD6FD" w14:textId="77777777" w:rsidR="005C7AE8" w:rsidRPr="005C7AE8" w:rsidRDefault="005C7AE8" w:rsidP="005C7AE8">
            <w:pPr>
              <w:jc w:val="center"/>
              <w:rPr>
                <w:rFonts w:eastAsia="Times New Roman" w:cs="Calibri"/>
                <w:color w:val="000000"/>
                <w:sz w:val="2"/>
                <w:szCs w:val="2"/>
                <w:lang w:val="en-GB" w:eastAsia="en-GB"/>
              </w:rPr>
            </w:pPr>
            <w:r w:rsidRPr="005C7AE8">
              <w:rPr>
                <w:rFonts w:eastAsia="Times New Roman" w:cs="Calibri"/>
                <w:color w:val="000000"/>
                <w:sz w:val="2"/>
                <w:szCs w:val="2"/>
                <w:lang w:val="en-GB" w:eastAsia="en-GB"/>
              </w:rPr>
              <w:t xml:space="preserve"> </w:t>
            </w:r>
          </w:p>
        </w:tc>
        <w:tc>
          <w:tcPr>
            <w:tcW w:w="1241" w:type="dxa"/>
            <w:tcBorders>
              <w:top w:val="nil"/>
              <w:left w:val="nil"/>
              <w:bottom w:val="nil"/>
              <w:right w:val="nil"/>
            </w:tcBorders>
            <w:shd w:val="clear" w:color="auto" w:fill="auto"/>
            <w:vAlign w:val="center"/>
            <w:hideMark/>
          </w:tcPr>
          <w:p w14:paraId="2F2D7217" w14:textId="77777777" w:rsidR="005C7AE8" w:rsidRPr="005C7AE8" w:rsidRDefault="005C7AE8" w:rsidP="005C7AE8">
            <w:pPr>
              <w:jc w:val="center"/>
              <w:rPr>
                <w:rFonts w:eastAsia="Times New Roman" w:cs="Calibri"/>
                <w:color w:val="000000"/>
                <w:sz w:val="2"/>
                <w:szCs w:val="2"/>
                <w:lang w:val="en-GB" w:eastAsia="en-GB"/>
              </w:rPr>
            </w:pPr>
            <w:r w:rsidRPr="005C7AE8">
              <w:rPr>
                <w:rFonts w:eastAsia="Times New Roman" w:cs="Calibri"/>
                <w:color w:val="000000"/>
                <w:sz w:val="2"/>
                <w:szCs w:val="2"/>
                <w:lang w:val="en-GB" w:eastAsia="en-GB"/>
              </w:rPr>
              <w:t xml:space="preserve"> </w:t>
            </w:r>
          </w:p>
        </w:tc>
        <w:tc>
          <w:tcPr>
            <w:tcW w:w="1316" w:type="dxa"/>
            <w:tcBorders>
              <w:top w:val="nil"/>
              <w:left w:val="nil"/>
              <w:bottom w:val="nil"/>
              <w:right w:val="nil"/>
            </w:tcBorders>
            <w:shd w:val="clear" w:color="auto" w:fill="auto"/>
            <w:vAlign w:val="center"/>
            <w:hideMark/>
          </w:tcPr>
          <w:p w14:paraId="7D7EAF73" w14:textId="77777777" w:rsidR="005C7AE8" w:rsidRPr="005C7AE8" w:rsidRDefault="005C7AE8" w:rsidP="005C7AE8">
            <w:pPr>
              <w:jc w:val="center"/>
              <w:rPr>
                <w:rFonts w:eastAsia="Times New Roman" w:cs="Calibri"/>
                <w:color w:val="000000"/>
                <w:sz w:val="2"/>
                <w:szCs w:val="2"/>
                <w:lang w:val="en-GB" w:eastAsia="en-GB"/>
              </w:rPr>
            </w:pPr>
            <w:r w:rsidRPr="005C7AE8">
              <w:rPr>
                <w:rFonts w:eastAsia="Times New Roman" w:cs="Calibri"/>
                <w:color w:val="000000"/>
                <w:sz w:val="2"/>
                <w:szCs w:val="2"/>
                <w:lang w:val="en-GB" w:eastAsia="en-GB"/>
              </w:rPr>
              <w:t xml:space="preserve"> </w:t>
            </w:r>
          </w:p>
        </w:tc>
        <w:tc>
          <w:tcPr>
            <w:tcW w:w="1305" w:type="dxa"/>
            <w:tcBorders>
              <w:top w:val="nil"/>
              <w:left w:val="nil"/>
              <w:bottom w:val="nil"/>
              <w:right w:val="nil"/>
            </w:tcBorders>
            <w:shd w:val="clear" w:color="auto" w:fill="auto"/>
            <w:vAlign w:val="center"/>
            <w:hideMark/>
          </w:tcPr>
          <w:p w14:paraId="001DB97B" w14:textId="77777777" w:rsidR="005C7AE8" w:rsidRPr="005C7AE8" w:rsidRDefault="005C7AE8" w:rsidP="005C7AE8">
            <w:pPr>
              <w:jc w:val="center"/>
              <w:rPr>
                <w:rFonts w:eastAsia="Times New Roman" w:cs="Calibri"/>
                <w:color w:val="000000"/>
                <w:sz w:val="2"/>
                <w:szCs w:val="2"/>
                <w:lang w:val="en-GB" w:eastAsia="en-GB"/>
              </w:rPr>
            </w:pPr>
            <w:r w:rsidRPr="005C7AE8">
              <w:rPr>
                <w:rFonts w:eastAsia="Times New Roman" w:cs="Calibri"/>
                <w:color w:val="000000"/>
                <w:sz w:val="2"/>
                <w:szCs w:val="2"/>
                <w:lang w:val="en-GB" w:eastAsia="en-GB"/>
              </w:rPr>
              <w:t xml:space="preserve"> </w:t>
            </w:r>
          </w:p>
        </w:tc>
        <w:tc>
          <w:tcPr>
            <w:tcW w:w="1165" w:type="dxa"/>
            <w:tcBorders>
              <w:top w:val="nil"/>
              <w:left w:val="nil"/>
              <w:bottom w:val="nil"/>
              <w:right w:val="nil"/>
            </w:tcBorders>
            <w:shd w:val="clear" w:color="auto" w:fill="auto"/>
            <w:vAlign w:val="center"/>
            <w:hideMark/>
          </w:tcPr>
          <w:p w14:paraId="0F6149FA" w14:textId="77777777" w:rsidR="005C7AE8" w:rsidRPr="005C7AE8" w:rsidRDefault="005C7AE8" w:rsidP="005C7AE8">
            <w:pPr>
              <w:jc w:val="center"/>
              <w:rPr>
                <w:rFonts w:eastAsia="Times New Roman" w:cs="Calibri"/>
                <w:color w:val="000000"/>
                <w:sz w:val="2"/>
                <w:szCs w:val="2"/>
                <w:lang w:val="en-GB" w:eastAsia="en-GB"/>
              </w:rPr>
            </w:pPr>
            <w:r w:rsidRPr="005C7AE8">
              <w:rPr>
                <w:rFonts w:eastAsia="Times New Roman" w:cs="Calibri"/>
                <w:color w:val="000000"/>
                <w:sz w:val="2"/>
                <w:szCs w:val="2"/>
                <w:lang w:val="en-GB" w:eastAsia="en-GB"/>
              </w:rPr>
              <w:t xml:space="preserve"> </w:t>
            </w:r>
          </w:p>
        </w:tc>
      </w:tr>
      <w:tr w:rsidR="005C7AE8" w:rsidRPr="005C7AE8" w14:paraId="1491B9B5" w14:textId="77777777" w:rsidTr="00FE10B9">
        <w:trPr>
          <w:trHeight w:val="235"/>
          <w:jc w:val="center"/>
        </w:trPr>
        <w:tc>
          <w:tcPr>
            <w:tcW w:w="3317" w:type="dxa"/>
            <w:tcBorders>
              <w:top w:val="nil"/>
              <w:left w:val="nil"/>
              <w:bottom w:val="nil"/>
              <w:right w:val="nil"/>
            </w:tcBorders>
            <w:shd w:val="clear" w:color="auto" w:fill="auto"/>
            <w:vAlign w:val="center"/>
            <w:hideMark/>
          </w:tcPr>
          <w:p w14:paraId="4AC982AD" w14:textId="77777777" w:rsidR="005C7AE8" w:rsidRPr="005C7AE8" w:rsidRDefault="005C7AE8" w:rsidP="005C7AE8">
            <w:pPr>
              <w:rPr>
                <w:rFonts w:eastAsia="Times New Roman" w:cs="Calibri"/>
                <w:color w:val="000000"/>
                <w:sz w:val="16"/>
                <w:szCs w:val="16"/>
                <w:lang w:val="en-GB" w:eastAsia="en-GB"/>
              </w:rPr>
            </w:pPr>
            <w:r w:rsidRPr="005C7AE8">
              <w:rPr>
                <w:rFonts w:eastAsia="Times New Roman" w:cs="Calibri"/>
                <w:color w:val="000000"/>
                <w:sz w:val="16"/>
                <w:szCs w:val="16"/>
                <w:lang w:val="en-GB" w:eastAsia="en-GB"/>
              </w:rPr>
              <w:t>Chief Constable Reserve</w:t>
            </w:r>
          </w:p>
        </w:tc>
        <w:tc>
          <w:tcPr>
            <w:tcW w:w="1241" w:type="dxa"/>
            <w:tcBorders>
              <w:top w:val="nil"/>
              <w:left w:val="nil"/>
              <w:bottom w:val="nil"/>
              <w:right w:val="nil"/>
            </w:tcBorders>
            <w:shd w:val="clear" w:color="auto" w:fill="auto"/>
            <w:vAlign w:val="center"/>
            <w:hideMark/>
          </w:tcPr>
          <w:p w14:paraId="2FA702F0"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(571)</w:t>
            </w:r>
          </w:p>
        </w:tc>
        <w:tc>
          <w:tcPr>
            <w:tcW w:w="1318" w:type="dxa"/>
            <w:tcBorders>
              <w:top w:val="nil"/>
              <w:left w:val="nil"/>
              <w:bottom w:val="nil"/>
              <w:right w:val="nil"/>
            </w:tcBorders>
            <w:shd w:val="clear" w:color="auto" w:fill="auto"/>
            <w:vAlign w:val="center"/>
            <w:hideMark/>
          </w:tcPr>
          <w:p w14:paraId="35286DBB"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(500)</w:t>
            </w:r>
          </w:p>
        </w:tc>
        <w:tc>
          <w:tcPr>
            <w:tcW w:w="1305" w:type="dxa"/>
            <w:tcBorders>
              <w:top w:val="nil"/>
              <w:left w:val="nil"/>
              <w:bottom w:val="nil"/>
              <w:right w:val="nil"/>
            </w:tcBorders>
            <w:shd w:val="clear" w:color="auto" w:fill="auto"/>
            <w:vAlign w:val="center"/>
            <w:hideMark/>
          </w:tcPr>
          <w:p w14:paraId="6B066FC7"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1,071</w:t>
            </w:r>
          </w:p>
        </w:tc>
        <w:tc>
          <w:tcPr>
            <w:tcW w:w="1241" w:type="dxa"/>
            <w:tcBorders>
              <w:top w:val="nil"/>
              <w:left w:val="nil"/>
              <w:bottom w:val="nil"/>
              <w:right w:val="nil"/>
            </w:tcBorders>
            <w:shd w:val="clear" w:color="auto" w:fill="auto"/>
            <w:vAlign w:val="center"/>
            <w:hideMark/>
          </w:tcPr>
          <w:p w14:paraId="70FB251E"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0</w:t>
            </w:r>
          </w:p>
        </w:tc>
        <w:tc>
          <w:tcPr>
            <w:tcW w:w="1316" w:type="dxa"/>
            <w:tcBorders>
              <w:top w:val="nil"/>
              <w:left w:val="nil"/>
              <w:bottom w:val="nil"/>
              <w:right w:val="nil"/>
            </w:tcBorders>
            <w:shd w:val="clear" w:color="auto" w:fill="auto"/>
            <w:vAlign w:val="center"/>
            <w:hideMark/>
          </w:tcPr>
          <w:p w14:paraId="6DCBEB9A"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305" w:type="dxa"/>
            <w:tcBorders>
              <w:top w:val="nil"/>
              <w:left w:val="nil"/>
              <w:bottom w:val="nil"/>
              <w:right w:val="nil"/>
            </w:tcBorders>
            <w:shd w:val="clear" w:color="auto" w:fill="auto"/>
            <w:vAlign w:val="center"/>
            <w:hideMark/>
          </w:tcPr>
          <w:p w14:paraId="431A6EF4"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165" w:type="dxa"/>
            <w:tcBorders>
              <w:top w:val="nil"/>
              <w:left w:val="nil"/>
              <w:bottom w:val="nil"/>
              <w:right w:val="nil"/>
            </w:tcBorders>
            <w:shd w:val="clear" w:color="auto" w:fill="auto"/>
            <w:vAlign w:val="center"/>
            <w:hideMark/>
          </w:tcPr>
          <w:p w14:paraId="681F51CB"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0</w:t>
            </w:r>
          </w:p>
        </w:tc>
      </w:tr>
      <w:tr w:rsidR="005C7AE8" w:rsidRPr="005C7AE8" w14:paraId="0CCE7916" w14:textId="77777777" w:rsidTr="00FE10B9">
        <w:trPr>
          <w:trHeight w:val="235"/>
          <w:jc w:val="center"/>
        </w:trPr>
        <w:tc>
          <w:tcPr>
            <w:tcW w:w="3317" w:type="dxa"/>
            <w:tcBorders>
              <w:top w:val="nil"/>
              <w:left w:val="nil"/>
              <w:bottom w:val="nil"/>
              <w:right w:val="nil"/>
            </w:tcBorders>
            <w:shd w:val="clear" w:color="auto" w:fill="auto"/>
            <w:vAlign w:val="center"/>
            <w:hideMark/>
          </w:tcPr>
          <w:p w14:paraId="358E09E1" w14:textId="77777777" w:rsidR="005C7AE8" w:rsidRPr="005C7AE8" w:rsidRDefault="005C7AE8" w:rsidP="005C7AE8">
            <w:pPr>
              <w:rPr>
                <w:rFonts w:eastAsia="Times New Roman" w:cs="Calibri"/>
                <w:color w:val="000000"/>
                <w:sz w:val="16"/>
                <w:szCs w:val="16"/>
                <w:lang w:val="en-GB" w:eastAsia="en-GB"/>
              </w:rPr>
            </w:pPr>
            <w:r w:rsidRPr="005C7AE8">
              <w:rPr>
                <w:rFonts w:eastAsia="Times New Roman" w:cs="Calibri"/>
                <w:color w:val="000000"/>
                <w:sz w:val="16"/>
                <w:szCs w:val="16"/>
                <w:lang w:val="en-GB" w:eastAsia="en-GB"/>
              </w:rPr>
              <w:t>Estate Maintenance Reserve</w:t>
            </w:r>
          </w:p>
        </w:tc>
        <w:tc>
          <w:tcPr>
            <w:tcW w:w="1241" w:type="dxa"/>
            <w:tcBorders>
              <w:top w:val="nil"/>
              <w:left w:val="nil"/>
              <w:bottom w:val="nil"/>
              <w:right w:val="nil"/>
            </w:tcBorders>
            <w:shd w:val="clear" w:color="auto" w:fill="auto"/>
            <w:vAlign w:val="center"/>
            <w:hideMark/>
          </w:tcPr>
          <w:p w14:paraId="251DCE43"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(48)</w:t>
            </w:r>
          </w:p>
        </w:tc>
        <w:tc>
          <w:tcPr>
            <w:tcW w:w="1318" w:type="dxa"/>
            <w:tcBorders>
              <w:top w:val="nil"/>
              <w:left w:val="nil"/>
              <w:bottom w:val="nil"/>
              <w:right w:val="nil"/>
            </w:tcBorders>
            <w:shd w:val="clear" w:color="auto" w:fill="auto"/>
            <w:vAlign w:val="center"/>
            <w:hideMark/>
          </w:tcPr>
          <w:p w14:paraId="037EABCC"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305" w:type="dxa"/>
            <w:tcBorders>
              <w:top w:val="nil"/>
              <w:left w:val="nil"/>
              <w:bottom w:val="nil"/>
              <w:right w:val="nil"/>
            </w:tcBorders>
            <w:shd w:val="clear" w:color="auto" w:fill="auto"/>
            <w:vAlign w:val="center"/>
            <w:hideMark/>
          </w:tcPr>
          <w:p w14:paraId="2D916137"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48</w:t>
            </w:r>
          </w:p>
        </w:tc>
        <w:tc>
          <w:tcPr>
            <w:tcW w:w="1241" w:type="dxa"/>
            <w:tcBorders>
              <w:top w:val="nil"/>
              <w:left w:val="nil"/>
              <w:bottom w:val="nil"/>
              <w:right w:val="nil"/>
            </w:tcBorders>
            <w:shd w:val="clear" w:color="auto" w:fill="auto"/>
            <w:vAlign w:val="center"/>
            <w:hideMark/>
          </w:tcPr>
          <w:p w14:paraId="3D4B45FC"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0</w:t>
            </w:r>
          </w:p>
        </w:tc>
        <w:tc>
          <w:tcPr>
            <w:tcW w:w="1316" w:type="dxa"/>
            <w:tcBorders>
              <w:top w:val="nil"/>
              <w:left w:val="nil"/>
              <w:bottom w:val="nil"/>
              <w:right w:val="nil"/>
            </w:tcBorders>
            <w:shd w:val="clear" w:color="auto" w:fill="auto"/>
            <w:vAlign w:val="center"/>
            <w:hideMark/>
          </w:tcPr>
          <w:p w14:paraId="0BC8A792"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305" w:type="dxa"/>
            <w:tcBorders>
              <w:top w:val="nil"/>
              <w:left w:val="nil"/>
              <w:bottom w:val="nil"/>
              <w:right w:val="nil"/>
            </w:tcBorders>
            <w:shd w:val="clear" w:color="auto" w:fill="auto"/>
            <w:vAlign w:val="center"/>
            <w:hideMark/>
          </w:tcPr>
          <w:p w14:paraId="2BD14968"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165" w:type="dxa"/>
            <w:tcBorders>
              <w:top w:val="nil"/>
              <w:left w:val="nil"/>
              <w:bottom w:val="nil"/>
              <w:right w:val="nil"/>
            </w:tcBorders>
            <w:shd w:val="clear" w:color="auto" w:fill="auto"/>
            <w:vAlign w:val="center"/>
            <w:hideMark/>
          </w:tcPr>
          <w:p w14:paraId="16F9EB8F"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0</w:t>
            </w:r>
          </w:p>
        </w:tc>
      </w:tr>
      <w:tr w:rsidR="005C7AE8" w:rsidRPr="005C7AE8" w14:paraId="6C7E7B4E" w14:textId="77777777" w:rsidTr="00FE10B9">
        <w:trPr>
          <w:trHeight w:val="330"/>
          <w:jc w:val="center"/>
        </w:trPr>
        <w:tc>
          <w:tcPr>
            <w:tcW w:w="3317" w:type="dxa"/>
            <w:tcBorders>
              <w:top w:val="nil"/>
              <w:left w:val="nil"/>
              <w:bottom w:val="nil"/>
              <w:right w:val="nil"/>
            </w:tcBorders>
            <w:shd w:val="clear" w:color="auto" w:fill="auto"/>
            <w:vAlign w:val="center"/>
            <w:hideMark/>
          </w:tcPr>
          <w:p w14:paraId="6807F3F1" w14:textId="77777777" w:rsidR="005C7AE8" w:rsidRPr="005C7AE8" w:rsidRDefault="005C7AE8" w:rsidP="005C7AE8">
            <w:pPr>
              <w:rPr>
                <w:rFonts w:eastAsia="Times New Roman" w:cs="Calibri"/>
                <w:color w:val="000000"/>
                <w:sz w:val="16"/>
                <w:szCs w:val="16"/>
                <w:lang w:val="en-GB" w:eastAsia="en-GB"/>
              </w:rPr>
            </w:pPr>
            <w:r w:rsidRPr="005C7AE8">
              <w:rPr>
                <w:rFonts w:eastAsia="Times New Roman" w:cs="Calibri"/>
                <w:color w:val="000000"/>
                <w:sz w:val="16"/>
                <w:szCs w:val="16"/>
                <w:lang w:val="en-GB" w:eastAsia="en-GB"/>
              </w:rPr>
              <w:t>Corporate Communications Local Reserve</w:t>
            </w:r>
          </w:p>
        </w:tc>
        <w:tc>
          <w:tcPr>
            <w:tcW w:w="1241" w:type="dxa"/>
            <w:tcBorders>
              <w:top w:val="nil"/>
              <w:left w:val="nil"/>
              <w:bottom w:val="nil"/>
              <w:right w:val="nil"/>
            </w:tcBorders>
            <w:shd w:val="clear" w:color="auto" w:fill="auto"/>
            <w:vAlign w:val="center"/>
            <w:hideMark/>
          </w:tcPr>
          <w:p w14:paraId="1426522D"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(73)</w:t>
            </w:r>
          </w:p>
        </w:tc>
        <w:tc>
          <w:tcPr>
            <w:tcW w:w="1318" w:type="dxa"/>
            <w:tcBorders>
              <w:top w:val="nil"/>
              <w:left w:val="nil"/>
              <w:bottom w:val="nil"/>
              <w:right w:val="nil"/>
            </w:tcBorders>
            <w:shd w:val="clear" w:color="auto" w:fill="auto"/>
            <w:vAlign w:val="center"/>
            <w:hideMark/>
          </w:tcPr>
          <w:p w14:paraId="1D2B31DC"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305" w:type="dxa"/>
            <w:tcBorders>
              <w:top w:val="nil"/>
              <w:left w:val="nil"/>
              <w:bottom w:val="nil"/>
              <w:right w:val="nil"/>
            </w:tcBorders>
            <w:shd w:val="clear" w:color="auto" w:fill="auto"/>
            <w:vAlign w:val="center"/>
            <w:hideMark/>
          </w:tcPr>
          <w:p w14:paraId="1D249087"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73</w:t>
            </w:r>
          </w:p>
        </w:tc>
        <w:tc>
          <w:tcPr>
            <w:tcW w:w="1241" w:type="dxa"/>
            <w:tcBorders>
              <w:top w:val="nil"/>
              <w:left w:val="nil"/>
              <w:bottom w:val="nil"/>
              <w:right w:val="nil"/>
            </w:tcBorders>
            <w:shd w:val="clear" w:color="auto" w:fill="auto"/>
            <w:vAlign w:val="center"/>
            <w:hideMark/>
          </w:tcPr>
          <w:p w14:paraId="1EC94916"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0</w:t>
            </w:r>
          </w:p>
        </w:tc>
        <w:tc>
          <w:tcPr>
            <w:tcW w:w="1316" w:type="dxa"/>
            <w:tcBorders>
              <w:top w:val="nil"/>
              <w:left w:val="nil"/>
              <w:bottom w:val="nil"/>
              <w:right w:val="nil"/>
            </w:tcBorders>
            <w:shd w:val="clear" w:color="auto" w:fill="auto"/>
            <w:vAlign w:val="center"/>
            <w:hideMark/>
          </w:tcPr>
          <w:p w14:paraId="2B0593C1"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305" w:type="dxa"/>
            <w:tcBorders>
              <w:top w:val="nil"/>
              <w:left w:val="nil"/>
              <w:bottom w:val="nil"/>
              <w:right w:val="nil"/>
            </w:tcBorders>
            <w:shd w:val="clear" w:color="auto" w:fill="auto"/>
            <w:vAlign w:val="center"/>
            <w:hideMark/>
          </w:tcPr>
          <w:p w14:paraId="100226E3"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165" w:type="dxa"/>
            <w:tcBorders>
              <w:top w:val="nil"/>
              <w:left w:val="nil"/>
              <w:bottom w:val="nil"/>
              <w:right w:val="nil"/>
            </w:tcBorders>
            <w:shd w:val="clear" w:color="auto" w:fill="auto"/>
            <w:vAlign w:val="center"/>
            <w:hideMark/>
          </w:tcPr>
          <w:p w14:paraId="3D9A88CA"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0</w:t>
            </w:r>
          </w:p>
        </w:tc>
      </w:tr>
      <w:tr w:rsidR="005C7AE8" w:rsidRPr="005C7AE8" w14:paraId="49BB66A7" w14:textId="77777777" w:rsidTr="00FE10B9">
        <w:trPr>
          <w:trHeight w:val="235"/>
          <w:jc w:val="center"/>
        </w:trPr>
        <w:tc>
          <w:tcPr>
            <w:tcW w:w="3317" w:type="dxa"/>
            <w:tcBorders>
              <w:top w:val="nil"/>
              <w:left w:val="nil"/>
              <w:bottom w:val="nil"/>
              <w:right w:val="nil"/>
            </w:tcBorders>
            <w:shd w:val="clear" w:color="auto" w:fill="auto"/>
            <w:vAlign w:val="center"/>
            <w:hideMark/>
          </w:tcPr>
          <w:p w14:paraId="4B4D5BF1" w14:textId="77777777" w:rsidR="005C7AE8" w:rsidRPr="005C7AE8" w:rsidRDefault="005C7AE8" w:rsidP="005C7AE8">
            <w:pPr>
              <w:rPr>
                <w:rFonts w:eastAsia="Times New Roman" w:cs="Calibri"/>
                <w:color w:val="000000"/>
                <w:sz w:val="16"/>
                <w:szCs w:val="16"/>
                <w:lang w:val="en-GB" w:eastAsia="en-GB"/>
              </w:rPr>
            </w:pPr>
            <w:r w:rsidRPr="005C7AE8">
              <w:rPr>
                <w:rFonts w:eastAsia="Times New Roman" w:cs="Calibri"/>
                <w:color w:val="000000"/>
                <w:sz w:val="16"/>
                <w:szCs w:val="16"/>
                <w:lang w:val="en-GB" w:eastAsia="en-GB"/>
              </w:rPr>
              <w:t>Insurance Reserve - Legal</w:t>
            </w:r>
          </w:p>
        </w:tc>
        <w:tc>
          <w:tcPr>
            <w:tcW w:w="1241" w:type="dxa"/>
            <w:tcBorders>
              <w:top w:val="nil"/>
              <w:left w:val="nil"/>
              <w:bottom w:val="nil"/>
              <w:right w:val="nil"/>
            </w:tcBorders>
            <w:shd w:val="clear" w:color="auto" w:fill="auto"/>
            <w:vAlign w:val="center"/>
            <w:hideMark/>
          </w:tcPr>
          <w:p w14:paraId="71CD0916"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(361)</w:t>
            </w:r>
          </w:p>
        </w:tc>
        <w:tc>
          <w:tcPr>
            <w:tcW w:w="1318" w:type="dxa"/>
            <w:tcBorders>
              <w:top w:val="nil"/>
              <w:left w:val="nil"/>
              <w:bottom w:val="nil"/>
              <w:right w:val="nil"/>
            </w:tcBorders>
            <w:shd w:val="clear" w:color="auto" w:fill="auto"/>
            <w:vAlign w:val="center"/>
            <w:hideMark/>
          </w:tcPr>
          <w:p w14:paraId="61E27758"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305" w:type="dxa"/>
            <w:tcBorders>
              <w:top w:val="nil"/>
              <w:left w:val="nil"/>
              <w:bottom w:val="nil"/>
              <w:right w:val="nil"/>
            </w:tcBorders>
            <w:shd w:val="clear" w:color="auto" w:fill="auto"/>
            <w:vAlign w:val="center"/>
            <w:hideMark/>
          </w:tcPr>
          <w:p w14:paraId="4809499A"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241" w:type="dxa"/>
            <w:tcBorders>
              <w:top w:val="nil"/>
              <w:left w:val="nil"/>
              <w:bottom w:val="nil"/>
              <w:right w:val="nil"/>
            </w:tcBorders>
            <w:shd w:val="clear" w:color="auto" w:fill="auto"/>
            <w:vAlign w:val="center"/>
            <w:hideMark/>
          </w:tcPr>
          <w:p w14:paraId="27598299"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(361)</w:t>
            </w:r>
          </w:p>
        </w:tc>
        <w:tc>
          <w:tcPr>
            <w:tcW w:w="1316" w:type="dxa"/>
            <w:tcBorders>
              <w:top w:val="nil"/>
              <w:left w:val="nil"/>
              <w:bottom w:val="nil"/>
              <w:right w:val="nil"/>
            </w:tcBorders>
            <w:shd w:val="clear" w:color="auto" w:fill="auto"/>
            <w:vAlign w:val="center"/>
            <w:hideMark/>
          </w:tcPr>
          <w:p w14:paraId="2FF3DF68"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305" w:type="dxa"/>
            <w:tcBorders>
              <w:top w:val="nil"/>
              <w:left w:val="nil"/>
              <w:bottom w:val="nil"/>
              <w:right w:val="nil"/>
            </w:tcBorders>
            <w:shd w:val="clear" w:color="auto" w:fill="auto"/>
            <w:vAlign w:val="center"/>
            <w:hideMark/>
          </w:tcPr>
          <w:p w14:paraId="39CE589F"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361</w:t>
            </w:r>
          </w:p>
        </w:tc>
        <w:tc>
          <w:tcPr>
            <w:tcW w:w="1165" w:type="dxa"/>
            <w:tcBorders>
              <w:top w:val="nil"/>
              <w:left w:val="nil"/>
              <w:bottom w:val="nil"/>
              <w:right w:val="nil"/>
            </w:tcBorders>
            <w:shd w:val="clear" w:color="auto" w:fill="auto"/>
            <w:vAlign w:val="center"/>
            <w:hideMark/>
          </w:tcPr>
          <w:p w14:paraId="3C2A9C4F"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0</w:t>
            </w:r>
          </w:p>
        </w:tc>
      </w:tr>
      <w:tr w:rsidR="005C7AE8" w:rsidRPr="005C7AE8" w14:paraId="40E7EB4B" w14:textId="77777777" w:rsidTr="00FE10B9">
        <w:trPr>
          <w:trHeight w:val="235"/>
          <w:jc w:val="center"/>
        </w:trPr>
        <w:tc>
          <w:tcPr>
            <w:tcW w:w="3317" w:type="dxa"/>
            <w:tcBorders>
              <w:top w:val="nil"/>
              <w:left w:val="nil"/>
              <w:bottom w:val="nil"/>
              <w:right w:val="nil"/>
            </w:tcBorders>
            <w:shd w:val="clear" w:color="auto" w:fill="auto"/>
            <w:vAlign w:val="center"/>
            <w:hideMark/>
          </w:tcPr>
          <w:p w14:paraId="355DFA59" w14:textId="77777777" w:rsidR="005C7AE8" w:rsidRPr="005C7AE8" w:rsidRDefault="005C7AE8" w:rsidP="005C7AE8">
            <w:pPr>
              <w:rPr>
                <w:rFonts w:eastAsia="Times New Roman" w:cs="Calibri"/>
                <w:color w:val="000000"/>
                <w:sz w:val="16"/>
                <w:szCs w:val="16"/>
                <w:lang w:val="en-GB" w:eastAsia="en-GB"/>
              </w:rPr>
            </w:pPr>
            <w:r w:rsidRPr="005C7AE8">
              <w:rPr>
                <w:rFonts w:eastAsia="Times New Roman" w:cs="Calibri"/>
                <w:color w:val="000000"/>
                <w:sz w:val="16"/>
                <w:szCs w:val="16"/>
                <w:lang w:val="en-GB" w:eastAsia="en-GB"/>
              </w:rPr>
              <w:t>Insurance Reserve</w:t>
            </w:r>
          </w:p>
        </w:tc>
        <w:tc>
          <w:tcPr>
            <w:tcW w:w="1241" w:type="dxa"/>
            <w:tcBorders>
              <w:top w:val="nil"/>
              <w:left w:val="nil"/>
              <w:bottom w:val="nil"/>
              <w:right w:val="nil"/>
            </w:tcBorders>
            <w:shd w:val="clear" w:color="auto" w:fill="auto"/>
            <w:vAlign w:val="center"/>
            <w:hideMark/>
          </w:tcPr>
          <w:p w14:paraId="7159EE76"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(2,927)</w:t>
            </w:r>
          </w:p>
        </w:tc>
        <w:tc>
          <w:tcPr>
            <w:tcW w:w="1318" w:type="dxa"/>
            <w:tcBorders>
              <w:top w:val="nil"/>
              <w:left w:val="nil"/>
              <w:bottom w:val="nil"/>
              <w:right w:val="nil"/>
            </w:tcBorders>
            <w:shd w:val="clear" w:color="auto" w:fill="auto"/>
            <w:vAlign w:val="center"/>
            <w:hideMark/>
          </w:tcPr>
          <w:p w14:paraId="221E25AC"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(779)</w:t>
            </w:r>
          </w:p>
        </w:tc>
        <w:tc>
          <w:tcPr>
            <w:tcW w:w="1305" w:type="dxa"/>
            <w:tcBorders>
              <w:top w:val="nil"/>
              <w:left w:val="nil"/>
              <w:bottom w:val="nil"/>
              <w:right w:val="nil"/>
            </w:tcBorders>
            <w:shd w:val="clear" w:color="auto" w:fill="auto"/>
            <w:vAlign w:val="center"/>
            <w:hideMark/>
          </w:tcPr>
          <w:p w14:paraId="7997F43F"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688</w:t>
            </w:r>
          </w:p>
        </w:tc>
        <w:tc>
          <w:tcPr>
            <w:tcW w:w="1241" w:type="dxa"/>
            <w:tcBorders>
              <w:top w:val="nil"/>
              <w:left w:val="nil"/>
              <w:bottom w:val="nil"/>
              <w:right w:val="nil"/>
            </w:tcBorders>
            <w:shd w:val="clear" w:color="auto" w:fill="auto"/>
            <w:vAlign w:val="center"/>
            <w:hideMark/>
          </w:tcPr>
          <w:p w14:paraId="55822100"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(3,018)</w:t>
            </w:r>
          </w:p>
        </w:tc>
        <w:tc>
          <w:tcPr>
            <w:tcW w:w="1316" w:type="dxa"/>
            <w:tcBorders>
              <w:top w:val="nil"/>
              <w:left w:val="nil"/>
              <w:bottom w:val="nil"/>
              <w:right w:val="nil"/>
            </w:tcBorders>
            <w:shd w:val="clear" w:color="auto" w:fill="auto"/>
            <w:vAlign w:val="center"/>
            <w:hideMark/>
          </w:tcPr>
          <w:p w14:paraId="7C38F09C"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(779)</w:t>
            </w:r>
          </w:p>
        </w:tc>
        <w:tc>
          <w:tcPr>
            <w:tcW w:w="1305" w:type="dxa"/>
            <w:tcBorders>
              <w:top w:val="nil"/>
              <w:left w:val="nil"/>
              <w:bottom w:val="nil"/>
              <w:right w:val="nil"/>
            </w:tcBorders>
            <w:shd w:val="clear" w:color="auto" w:fill="auto"/>
            <w:vAlign w:val="center"/>
            <w:hideMark/>
          </w:tcPr>
          <w:p w14:paraId="2F739B4A" w14:textId="7BEA3206" w:rsidR="005C7AE8" w:rsidRPr="005C7AE8" w:rsidRDefault="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2,17</w:t>
            </w:r>
            <w:r w:rsidR="00760723">
              <w:rPr>
                <w:rFonts w:eastAsia="Times New Roman" w:cs="Calibri"/>
                <w:color w:val="000000"/>
                <w:sz w:val="16"/>
                <w:szCs w:val="16"/>
                <w:lang w:val="en-GB" w:eastAsia="en-GB"/>
              </w:rPr>
              <w:t>2</w:t>
            </w:r>
          </w:p>
        </w:tc>
        <w:tc>
          <w:tcPr>
            <w:tcW w:w="1165" w:type="dxa"/>
            <w:tcBorders>
              <w:top w:val="nil"/>
              <w:left w:val="nil"/>
              <w:bottom w:val="nil"/>
              <w:right w:val="nil"/>
            </w:tcBorders>
            <w:shd w:val="clear" w:color="auto" w:fill="auto"/>
            <w:vAlign w:val="center"/>
            <w:hideMark/>
          </w:tcPr>
          <w:p w14:paraId="01194139" w14:textId="0064C25A" w:rsidR="005C7AE8" w:rsidRPr="005C7AE8" w:rsidRDefault="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(1,62</w:t>
            </w:r>
            <w:r w:rsidR="00760723">
              <w:rPr>
                <w:rFonts w:eastAsia="Times New Roman" w:cs="Calibri"/>
                <w:b/>
                <w:bCs/>
                <w:color w:val="000000"/>
                <w:sz w:val="16"/>
                <w:szCs w:val="16"/>
                <w:lang w:val="en-GB" w:eastAsia="en-GB"/>
              </w:rPr>
              <w:t>5</w:t>
            </w:r>
            <w:r w:rsidRPr="005C7AE8">
              <w:rPr>
                <w:rFonts w:eastAsia="Times New Roman" w:cs="Calibri"/>
                <w:b/>
                <w:bCs/>
                <w:color w:val="000000"/>
                <w:sz w:val="16"/>
                <w:szCs w:val="16"/>
                <w:lang w:val="en-GB" w:eastAsia="en-GB"/>
              </w:rPr>
              <w:t>)</w:t>
            </w:r>
          </w:p>
        </w:tc>
      </w:tr>
      <w:tr w:rsidR="005C7AE8" w:rsidRPr="005C7AE8" w14:paraId="48B45613" w14:textId="77777777" w:rsidTr="00FE10B9">
        <w:trPr>
          <w:trHeight w:val="235"/>
          <w:jc w:val="center"/>
        </w:trPr>
        <w:tc>
          <w:tcPr>
            <w:tcW w:w="3317" w:type="dxa"/>
            <w:tcBorders>
              <w:top w:val="nil"/>
              <w:left w:val="nil"/>
              <w:bottom w:val="nil"/>
              <w:right w:val="nil"/>
            </w:tcBorders>
            <w:shd w:val="clear" w:color="auto" w:fill="auto"/>
            <w:vAlign w:val="center"/>
            <w:hideMark/>
          </w:tcPr>
          <w:p w14:paraId="1C3A6FF2" w14:textId="77777777" w:rsidR="005C7AE8" w:rsidRPr="005C7AE8" w:rsidRDefault="005C7AE8" w:rsidP="005C7AE8">
            <w:pPr>
              <w:rPr>
                <w:rFonts w:eastAsia="Times New Roman" w:cs="Calibri"/>
                <w:color w:val="000000"/>
                <w:sz w:val="16"/>
                <w:szCs w:val="16"/>
                <w:lang w:val="en-GB" w:eastAsia="en-GB"/>
              </w:rPr>
            </w:pPr>
            <w:r w:rsidRPr="005C7AE8">
              <w:rPr>
                <w:rFonts w:eastAsia="Times New Roman" w:cs="Calibri"/>
                <w:color w:val="000000"/>
                <w:sz w:val="16"/>
                <w:szCs w:val="16"/>
                <w:lang w:val="en-GB" w:eastAsia="en-GB"/>
              </w:rPr>
              <w:t>Ill Health Reserve</w:t>
            </w:r>
          </w:p>
        </w:tc>
        <w:tc>
          <w:tcPr>
            <w:tcW w:w="1241" w:type="dxa"/>
            <w:tcBorders>
              <w:top w:val="nil"/>
              <w:left w:val="nil"/>
              <w:bottom w:val="nil"/>
              <w:right w:val="nil"/>
            </w:tcBorders>
            <w:shd w:val="clear" w:color="auto" w:fill="auto"/>
            <w:vAlign w:val="center"/>
            <w:hideMark/>
          </w:tcPr>
          <w:p w14:paraId="08E551BD"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(1,718)</w:t>
            </w:r>
          </w:p>
        </w:tc>
        <w:tc>
          <w:tcPr>
            <w:tcW w:w="1318" w:type="dxa"/>
            <w:tcBorders>
              <w:top w:val="nil"/>
              <w:left w:val="nil"/>
              <w:bottom w:val="nil"/>
              <w:right w:val="nil"/>
            </w:tcBorders>
            <w:shd w:val="clear" w:color="auto" w:fill="auto"/>
            <w:vAlign w:val="center"/>
            <w:hideMark/>
          </w:tcPr>
          <w:p w14:paraId="607D6353"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305" w:type="dxa"/>
            <w:tcBorders>
              <w:top w:val="nil"/>
              <w:left w:val="nil"/>
              <w:bottom w:val="nil"/>
              <w:right w:val="nil"/>
            </w:tcBorders>
            <w:shd w:val="clear" w:color="auto" w:fill="auto"/>
            <w:vAlign w:val="center"/>
            <w:hideMark/>
          </w:tcPr>
          <w:p w14:paraId="455852AD"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80</w:t>
            </w:r>
          </w:p>
        </w:tc>
        <w:tc>
          <w:tcPr>
            <w:tcW w:w="1241" w:type="dxa"/>
            <w:tcBorders>
              <w:top w:val="nil"/>
              <w:left w:val="nil"/>
              <w:bottom w:val="nil"/>
              <w:right w:val="nil"/>
            </w:tcBorders>
            <w:shd w:val="clear" w:color="auto" w:fill="auto"/>
            <w:vAlign w:val="center"/>
            <w:hideMark/>
          </w:tcPr>
          <w:p w14:paraId="6868836C"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(1,638)</w:t>
            </w:r>
          </w:p>
        </w:tc>
        <w:tc>
          <w:tcPr>
            <w:tcW w:w="1316" w:type="dxa"/>
            <w:tcBorders>
              <w:top w:val="nil"/>
              <w:left w:val="nil"/>
              <w:bottom w:val="nil"/>
              <w:right w:val="nil"/>
            </w:tcBorders>
            <w:shd w:val="clear" w:color="auto" w:fill="auto"/>
            <w:vAlign w:val="center"/>
            <w:hideMark/>
          </w:tcPr>
          <w:p w14:paraId="0C86B881"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305" w:type="dxa"/>
            <w:tcBorders>
              <w:top w:val="nil"/>
              <w:left w:val="nil"/>
              <w:bottom w:val="nil"/>
              <w:right w:val="nil"/>
            </w:tcBorders>
            <w:shd w:val="clear" w:color="auto" w:fill="auto"/>
            <w:vAlign w:val="center"/>
            <w:hideMark/>
          </w:tcPr>
          <w:p w14:paraId="2760E06A"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578</w:t>
            </w:r>
          </w:p>
        </w:tc>
        <w:tc>
          <w:tcPr>
            <w:tcW w:w="1165" w:type="dxa"/>
            <w:tcBorders>
              <w:top w:val="nil"/>
              <w:left w:val="nil"/>
              <w:bottom w:val="nil"/>
              <w:right w:val="nil"/>
            </w:tcBorders>
            <w:shd w:val="clear" w:color="auto" w:fill="auto"/>
            <w:vAlign w:val="center"/>
            <w:hideMark/>
          </w:tcPr>
          <w:p w14:paraId="4A8E1B26"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(1,060)</w:t>
            </w:r>
          </w:p>
        </w:tc>
      </w:tr>
      <w:tr w:rsidR="005C7AE8" w:rsidRPr="005C7AE8" w14:paraId="5677D63E" w14:textId="77777777" w:rsidTr="00FE10B9">
        <w:trPr>
          <w:trHeight w:val="235"/>
          <w:jc w:val="center"/>
        </w:trPr>
        <w:tc>
          <w:tcPr>
            <w:tcW w:w="3317" w:type="dxa"/>
            <w:tcBorders>
              <w:top w:val="nil"/>
              <w:left w:val="nil"/>
              <w:bottom w:val="nil"/>
              <w:right w:val="nil"/>
            </w:tcBorders>
            <w:shd w:val="clear" w:color="auto" w:fill="auto"/>
            <w:vAlign w:val="center"/>
            <w:hideMark/>
          </w:tcPr>
          <w:p w14:paraId="4956E580" w14:textId="77777777" w:rsidR="005C7AE8" w:rsidRPr="005C7AE8" w:rsidRDefault="005C7AE8" w:rsidP="005C7AE8">
            <w:pPr>
              <w:rPr>
                <w:rFonts w:eastAsia="Times New Roman" w:cs="Calibri"/>
                <w:color w:val="000000"/>
                <w:sz w:val="16"/>
                <w:szCs w:val="16"/>
                <w:lang w:val="en-GB" w:eastAsia="en-GB"/>
              </w:rPr>
            </w:pPr>
            <w:r w:rsidRPr="005C7AE8">
              <w:rPr>
                <w:rFonts w:eastAsia="Times New Roman" w:cs="Calibri"/>
                <w:color w:val="000000"/>
                <w:sz w:val="16"/>
                <w:szCs w:val="16"/>
                <w:lang w:val="en-GB" w:eastAsia="en-GB"/>
              </w:rPr>
              <w:t>PCC Operational Reserve</w:t>
            </w:r>
          </w:p>
        </w:tc>
        <w:tc>
          <w:tcPr>
            <w:tcW w:w="1241" w:type="dxa"/>
            <w:tcBorders>
              <w:top w:val="nil"/>
              <w:left w:val="nil"/>
              <w:bottom w:val="nil"/>
              <w:right w:val="nil"/>
            </w:tcBorders>
            <w:shd w:val="clear" w:color="auto" w:fill="auto"/>
            <w:vAlign w:val="center"/>
            <w:hideMark/>
          </w:tcPr>
          <w:p w14:paraId="25AF4E19"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(500)</w:t>
            </w:r>
          </w:p>
        </w:tc>
        <w:tc>
          <w:tcPr>
            <w:tcW w:w="1318" w:type="dxa"/>
            <w:tcBorders>
              <w:top w:val="nil"/>
              <w:left w:val="nil"/>
              <w:bottom w:val="nil"/>
              <w:right w:val="nil"/>
            </w:tcBorders>
            <w:shd w:val="clear" w:color="auto" w:fill="auto"/>
            <w:vAlign w:val="center"/>
            <w:hideMark/>
          </w:tcPr>
          <w:p w14:paraId="5153CC74"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(500)</w:t>
            </w:r>
          </w:p>
        </w:tc>
        <w:tc>
          <w:tcPr>
            <w:tcW w:w="1305" w:type="dxa"/>
            <w:tcBorders>
              <w:top w:val="nil"/>
              <w:left w:val="nil"/>
              <w:bottom w:val="nil"/>
              <w:right w:val="nil"/>
            </w:tcBorders>
            <w:shd w:val="clear" w:color="auto" w:fill="auto"/>
            <w:vAlign w:val="center"/>
            <w:hideMark/>
          </w:tcPr>
          <w:p w14:paraId="16D760E6"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241" w:type="dxa"/>
            <w:tcBorders>
              <w:top w:val="nil"/>
              <w:left w:val="nil"/>
              <w:bottom w:val="nil"/>
              <w:right w:val="nil"/>
            </w:tcBorders>
            <w:shd w:val="clear" w:color="auto" w:fill="auto"/>
            <w:vAlign w:val="center"/>
            <w:hideMark/>
          </w:tcPr>
          <w:p w14:paraId="5FAD1A77"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(1,000)</w:t>
            </w:r>
          </w:p>
        </w:tc>
        <w:tc>
          <w:tcPr>
            <w:tcW w:w="1316" w:type="dxa"/>
            <w:tcBorders>
              <w:top w:val="nil"/>
              <w:left w:val="nil"/>
              <w:bottom w:val="nil"/>
              <w:right w:val="nil"/>
            </w:tcBorders>
            <w:shd w:val="clear" w:color="auto" w:fill="auto"/>
            <w:vAlign w:val="center"/>
            <w:hideMark/>
          </w:tcPr>
          <w:p w14:paraId="0EDD28F1" w14:textId="34809F02" w:rsidR="005C7AE8" w:rsidRPr="005C7AE8" w:rsidRDefault="003C732D">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w:t>
            </w:r>
            <w:r w:rsidR="00A54B61">
              <w:rPr>
                <w:rFonts w:eastAsia="Times New Roman" w:cs="Calibri"/>
                <w:color w:val="000000"/>
                <w:sz w:val="16"/>
                <w:szCs w:val="16"/>
                <w:lang w:val="en-GB" w:eastAsia="en-GB"/>
              </w:rPr>
              <w:t>150</w:t>
            </w:r>
            <w:r>
              <w:rPr>
                <w:rFonts w:eastAsia="Times New Roman" w:cs="Calibri"/>
                <w:color w:val="000000"/>
                <w:sz w:val="16"/>
                <w:szCs w:val="16"/>
                <w:lang w:val="en-GB" w:eastAsia="en-GB"/>
              </w:rPr>
              <w:t>)</w:t>
            </w:r>
          </w:p>
        </w:tc>
        <w:tc>
          <w:tcPr>
            <w:tcW w:w="1305" w:type="dxa"/>
            <w:tcBorders>
              <w:top w:val="nil"/>
              <w:left w:val="nil"/>
              <w:bottom w:val="nil"/>
              <w:right w:val="nil"/>
            </w:tcBorders>
            <w:shd w:val="clear" w:color="auto" w:fill="auto"/>
            <w:vAlign w:val="center"/>
            <w:hideMark/>
          </w:tcPr>
          <w:p w14:paraId="557853A1"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165" w:type="dxa"/>
            <w:tcBorders>
              <w:top w:val="nil"/>
              <w:left w:val="nil"/>
              <w:bottom w:val="nil"/>
              <w:right w:val="nil"/>
            </w:tcBorders>
            <w:shd w:val="clear" w:color="auto" w:fill="auto"/>
            <w:vAlign w:val="center"/>
            <w:hideMark/>
          </w:tcPr>
          <w:p w14:paraId="042D3C88" w14:textId="4560DEED" w:rsidR="005C7AE8" w:rsidRPr="005C7AE8" w:rsidRDefault="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(1,</w:t>
            </w:r>
            <w:r w:rsidR="00A54B61">
              <w:rPr>
                <w:rFonts w:eastAsia="Times New Roman" w:cs="Calibri"/>
                <w:b/>
                <w:bCs/>
                <w:color w:val="000000"/>
                <w:sz w:val="16"/>
                <w:szCs w:val="16"/>
                <w:lang w:val="en-GB" w:eastAsia="en-GB"/>
              </w:rPr>
              <w:t>150</w:t>
            </w:r>
            <w:r w:rsidRPr="005C7AE8">
              <w:rPr>
                <w:rFonts w:eastAsia="Times New Roman" w:cs="Calibri"/>
                <w:b/>
                <w:bCs/>
                <w:color w:val="000000"/>
                <w:sz w:val="16"/>
                <w:szCs w:val="16"/>
                <w:lang w:val="en-GB" w:eastAsia="en-GB"/>
              </w:rPr>
              <w:t>)</w:t>
            </w:r>
          </w:p>
        </w:tc>
      </w:tr>
      <w:tr w:rsidR="005C7AE8" w:rsidRPr="005C7AE8" w14:paraId="5577E798" w14:textId="77777777" w:rsidTr="00FE10B9">
        <w:trPr>
          <w:trHeight w:val="235"/>
          <w:jc w:val="center"/>
        </w:trPr>
        <w:tc>
          <w:tcPr>
            <w:tcW w:w="3317" w:type="dxa"/>
            <w:tcBorders>
              <w:top w:val="nil"/>
              <w:left w:val="nil"/>
              <w:bottom w:val="nil"/>
              <w:right w:val="nil"/>
            </w:tcBorders>
            <w:shd w:val="clear" w:color="auto" w:fill="auto"/>
            <w:vAlign w:val="center"/>
            <w:hideMark/>
          </w:tcPr>
          <w:p w14:paraId="4E62E223" w14:textId="77777777" w:rsidR="005C7AE8" w:rsidRPr="005C7AE8" w:rsidRDefault="005C7AE8" w:rsidP="005C7AE8">
            <w:pPr>
              <w:rPr>
                <w:rFonts w:eastAsia="Times New Roman" w:cs="Calibri"/>
                <w:color w:val="000000"/>
                <w:sz w:val="16"/>
                <w:szCs w:val="16"/>
                <w:lang w:val="en-GB" w:eastAsia="en-GB"/>
              </w:rPr>
            </w:pPr>
            <w:r w:rsidRPr="005C7AE8">
              <w:rPr>
                <w:rFonts w:eastAsia="Times New Roman" w:cs="Calibri"/>
                <w:color w:val="000000"/>
                <w:sz w:val="16"/>
                <w:szCs w:val="16"/>
                <w:lang w:val="en-GB" w:eastAsia="en-GB"/>
              </w:rPr>
              <w:t>PCC Estate Strategy Reserve</w:t>
            </w:r>
          </w:p>
        </w:tc>
        <w:tc>
          <w:tcPr>
            <w:tcW w:w="1241" w:type="dxa"/>
            <w:tcBorders>
              <w:top w:val="nil"/>
              <w:left w:val="nil"/>
              <w:bottom w:val="nil"/>
              <w:right w:val="nil"/>
            </w:tcBorders>
            <w:shd w:val="clear" w:color="auto" w:fill="auto"/>
            <w:vAlign w:val="center"/>
            <w:hideMark/>
          </w:tcPr>
          <w:p w14:paraId="428A3BD8"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(2,800)</w:t>
            </w:r>
          </w:p>
        </w:tc>
        <w:tc>
          <w:tcPr>
            <w:tcW w:w="1318" w:type="dxa"/>
            <w:tcBorders>
              <w:top w:val="nil"/>
              <w:left w:val="nil"/>
              <w:bottom w:val="nil"/>
              <w:right w:val="nil"/>
            </w:tcBorders>
            <w:shd w:val="clear" w:color="auto" w:fill="auto"/>
            <w:vAlign w:val="center"/>
            <w:hideMark/>
          </w:tcPr>
          <w:p w14:paraId="4C26B339"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305" w:type="dxa"/>
            <w:tcBorders>
              <w:top w:val="nil"/>
              <w:left w:val="nil"/>
              <w:bottom w:val="nil"/>
              <w:right w:val="nil"/>
            </w:tcBorders>
            <w:shd w:val="clear" w:color="auto" w:fill="auto"/>
            <w:vAlign w:val="center"/>
            <w:hideMark/>
          </w:tcPr>
          <w:p w14:paraId="03B65ED0"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241" w:type="dxa"/>
            <w:tcBorders>
              <w:top w:val="nil"/>
              <w:left w:val="nil"/>
              <w:bottom w:val="nil"/>
              <w:right w:val="nil"/>
            </w:tcBorders>
            <w:shd w:val="clear" w:color="auto" w:fill="auto"/>
            <w:vAlign w:val="center"/>
            <w:hideMark/>
          </w:tcPr>
          <w:p w14:paraId="06600185"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(2,800)</w:t>
            </w:r>
          </w:p>
        </w:tc>
        <w:tc>
          <w:tcPr>
            <w:tcW w:w="1316" w:type="dxa"/>
            <w:tcBorders>
              <w:top w:val="nil"/>
              <w:left w:val="nil"/>
              <w:bottom w:val="nil"/>
              <w:right w:val="nil"/>
            </w:tcBorders>
            <w:shd w:val="clear" w:color="auto" w:fill="auto"/>
            <w:vAlign w:val="center"/>
            <w:hideMark/>
          </w:tcPr>
          <w:p w14:paraId="2C270862" w14:textId="191EDB82" w:rsidR="005C7AE8" w:rsidRPr="005C7AE8" w:rsidRDefault="003C732D" w:rsidP="005C7AE8">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(400)</w:t>
            </w:r>
          </w:p>
        </w:tc>
        <w:tc>
          <w:tcPr>
            <w:tcW w:w="1305" w:type="dxa"/>
            <w:tcBorders>
              <w:top w:val="nil"/>
              <w:left w:val="nil"/>
              <w:bottom w:val="nil"/>
              <w:right w:val="nil"/>
            </w:tcBorders>
            <w:shd w:val="clear" w:color="auto" w:fill="auto"/>
            <w:vAlign w:val="center"/>
            <w:hideMark/>
          </w:tcPr>
          <w:p w14:paraId="707972DD"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165" w:type="dxa"/>
            <w:tcBorders>
              <w:top w:val="nil"/>
              <w:left w:val="nil"/>
              <w:bottom w:val="nil"/>
              <w:right w:val="nil"/>
            </w:tcBorders>
            <w:shd w:val="clear" w:color="auto" w:fill="auto"/>
            <w:vAlign w:val="center"/>
            <w:hideMark/>
          </w:tcPr>
          <w:p w14:paraId="7E386B43" w14:textId="5F9848B5" w:rsidR="005C7AE8" w:rsidRPr="005C7AE8" w:rsidRDefault="003C732D" w:rsidP="005C7AE8">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(3,2</w:t>
            </w:r>
            <w:r w:rsidR="005C7AE8" w:rsidRPr="005C7AE8">
              <w:rPr>
                <w:rFonts w:eastAsia="Times New Roman" w:cs="Calibri"/>
                <w:b/>
                <w:bCs/>
                <w:color w:val="000000"/>
                <w:sz w:val="16"/>
                <w:szCs w:val="16"/>
                <w:lang w:val="en-GB" w:eastAsia="en-GB"/>
              </w:rPr>
              <w:t>00)</w:t>
            </w:r>
          </w:p>
        </w:tc>
      </w:tr>
      <w:tr w:rsidR="005C7AE8" w:rsidRPr="005C7AE8" w14:paraId="37E55730" w14:textId="77777777" w:rsidTr="00FE10B9">
        <w:trPr>
          <w:trHeight w:val="235"/>
          <w:jc w:val="center"/>
        </w:trPr>
        <w:tc>
          <w:tcPr>
            <w:tcW w:w="3317" w:type="dxa"/>
            <w:tcBorders>
              <w:top w:val="nil"/>
              <w:left w:val="nil"/>
              <w:bottom w:val="nil"/>
              <w:right w:val="nil"/>
            </w:tcBorders>
            <w:shd w:val="clear" w:color="auto" w:fill="auto"/>
            <w:vAlign w:val="center"/>
            <w:hideMark/>
          </w:tcPr>
          <w:p w14:paraId="73FC8E9A" w14:textId="77777777" w:rsidR="005C7AE8" w:rsidRPr="005C7AE8" w:rsidRDefault="005C7AE8" w:rsidP="005C7AE8">
            <w:pPr>
              <w:rPr>
                <w:rFonts w:eastAsia="Times New Roman" w:cs="Calibri"/>
                <w:color w:val="000000"/>
                <w:sz w:val="16"/>
                <w:szCs w:val="16"/>
                <w:lang w:val="en-GB" w:eastAsia="en-GB"/>
              </w:rPr>
            </w:pPr>
            <w:r w:rsidRPr="005C7AE8">
              <w:rPr>
                <w:rFonts w:eastAsia="Times New Roman" w:cs="Calibri"/>
                <w:color w:val="000000"/>
                <w:sz w:val="16"/>
                <w:szCs w:val="16"/>
                <w:lang w:val="en-GB" w:eastAsia="en-GB"/>
              </w:rPr>
              <w:t>Cost of Change Reserve</w:t>
            </w:r>
          </w:p>
        </w:tc>
        <w:tc>
          <w:tcPr>
            <w:tcW w:w="1241" w:type="dxa"/>
            <w:tcBorders>
              <w:top w:val="nil"/>
              <w:left w:val="nil"/>
              <w:bottom w:val="nil"/>
              <w:right w:val="nil"/>
            </w:tcBorders>
            <w:shd w:val="clear" w:color="auto" w:fill="auto"/>
            <w:vAlign w:val="center"/>
            <w:hideMark/>
          </w:tcPr>
          <w:p w14:paraId="3AF7A8BA"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(1,443)</w:t>
            </w:r>
          </w:p>
        </w:tc>
        <w:tc>
          <w:tcPr>
            <w:tcW w:w="1318" w:type="dxa"/>
            <w:tcBorders>
              <w:top w:val="nil"/>
              <w:left w:val="nil"/>
              <w:bottom w:val="nil"/>
              <w:right w:val="nil"/>
            </w:tcBorders>
            <w:shd w:val="clear" w:color="auto" w:fill="auto"/>
            <w:vAlign w:val="center"/>
            <w:hideMark/>
          </w:tcPr>
          <w:p w14:paraId="4A10A7EF"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(121)</w:t>
            </w:r>
          </w:p>
        </w:tc>
        <w:tc>
          <w:tcPr>
            <w:tcW w:w="1305" w:type="dxa"/>
            <w:tcBorders>
              <w:top w:val="nil"/>
              <w:left w:val="nil"/>
              <w:bottom w:val="nil"/>
              <w:right w:val="nil"/>
            </w:tcBorders>
            <w:shd w:val="clear" w:color="auto" w:fill="auto"/>
            <w:vAlign w:val="center"/>
            <w:hideMark/>
          </w:tcPr>
          <w:p w14:paraId="7C0756C9"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241" w:type="dxa"/>
            <w:tcBorders>
              <w:top w:val="nil"/>
              <w:left w:val="nil"/>
              <w:bottom w:val="nil"/>
              <w:right w:val="nil"/>
            </w:tcBorders>
            <w:shd w:val="clear" w:color="auto" w:fill="auto"/>
            <w:vAlign w:val="center"/>
            <w:hideMark/>
          </w:tcPr>
          <w:p w14:paraId="40994A7D"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(1,564)</w:t>
            </w:r>
          </w:p>
        </w:tc>
        <w:tc>
          <w:tcPr>
            <w:tcW w:w="1316" w:type="dxa"/>
            <w:tcBorders>
              <w:top w:val="nil"/>
              <w:left w:val="nil"/>
              <w:bottom w:val="nil"/>
              <w:right w:val="nil"/>
            </w:tcBorders>
            <w:shd w:val="clear" w:color="auto" w:fill="auto"/>
            <w:vAlign w:val="center"/>
            <w:hideMark/>
          </w:tcPr>
          <w:p w14:paraId="53CB85C9" w14:textId="30551219" w:rsidR="005C7AE8" w:rsidRPr="005C7AE8" w:rsidRDefault="003C732D">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w:t>
            </w:r>
            <w:r w:rsidR="00760723">
              <w:rPr>
                <w:rFonts w:eastAsia="Times New Roman" w:cs="Calibri"/>
                <w:color w:val="000000"/>
                <w:sz w:val="16"/>
                <w:szCs w:val="16"/>
                <w:lang w:val="en-GB" w:eastAsia="en-GB"/>
              </w:rPr>
              <w:t>1,087</w:t>
            </w:r>
            <w:r>
              <w:rPr>
                <w:rFonts w:eastAsia="Times New Roman" w:cs="Calibri"/>
                <w:color w:val="000000"/>
                <w:sz w:val="16"/>
                <w:szCs w:val="16"/>
                <w:lang w:val="en-GB" w:eastAsia="en-GB"/>
              </w:rPr>
              <w:t>)</w:t>
            </w:r>
          </w:p>
        </w:tc>
        <w:tc>
          <w:tcPr>
            <w:tcW w:w="1305" w:type="dxa"/>
            <w:tcBorders>
              <w:top w:val="nil"/>
              <w:left w:val="nil"/>
              <w:bottom w:val="nil"/>
              <w:right w:val="nil"/>
            </w:tcBorders>
            <w:shd w:val="clear" w:color="auto" w:fill="auto"/>
            <w:vAlign w:val="center"/>
            <w:hideMark/>
          </w:tcPr>
          <w:p w14:paraId="41D84AD5"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165" w:type="dxa"/>
            <w:tcBorders>
              <w:top w:val="nil"/>
              <w:left w:val="nil"/>
              <w:bottom w:val="nil"/>
              <w:right w:val="nil"/>
            </w:tcBorders>
            <w:shd w:val="clear" w:color="auto" w:fill="auto"/>
            <w:vAlign w:val="center"/>
            <w:hideMark/>
          </w:tcPr>
          <w:p w14:paraId="21BBACEA" w14:textId="168901A6" w:rsidR="005C7AE8" w:rsidRPr="005C7AE8" w:rsidRDefault="003C732D" w:rsidP="005C7AE8">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w:t>
            </w:r>
            <w:r w:rsidR="00A54B61">
              <w:rPr>
                <w:rFonts w:eastAsia="Times New Roman" w:cs="Calibri"/>
                <w:b/>
                <w:bCs/>
                <w:color w:val="000000"/>
                <w:sz w:val="16"/>
                <w:szCs w:val="16"/>
                <w:lang w:val="en-GB" w:eastAsia="en-GB"/>
              </w:rPr>
              <w:t>2,651</w:t>
            </w:r>
            <w:r w:rsidR="005C7AE8" w:rsidRPr="005C7AE8">
              <w:rPr>
                <w:rFonts w:eastAsia="Times New Roman" w:cs="Calibri"/>
                <w:b/>
                <w:bCs/>
                <w:color w:val="000000"/>
                <w:sz w:val="16"/>
                <w:szCs w:val="16"/>
                <w:lang w:val="en-GB" w:eastAsia="en-GB"/>
              </w:rPr>
              <w:t>)</w:t>
            </w:r>
          </w:p>
        </w:tc>
      </w:tr>
      <w:tr w:rsidR="005C7AE8" w:rsidRPr="005C7AE8" w14:paraId="46D37546" w14:textId="77777777" w:rsidTr="00FE10B9">
        <w:trPr>
          <w:trHeight w:val="235"/>
          <w:jc w:val="center"/>
        </w:trPr>
        <w:tc>
          <w:tcPr>
            <w:tcW w:w="3317" w:type="dxa"/>
            <w:tcBorders>
              <w:top w:val="nil"/>
              <w:left w:val="nil"/>
              <w:bottom w:val="nil"/>
              <w:right w:val="nil"/>
            </w:tcBorders>
            <w:shd w:val="clear" w:color="auto" w:fill="auto"/>
            <w:vAlign w:val="center"/>
            <w:hideMark/>
          </w:tcPr>
          <w:p w14:paraId="744E9F88" w14:textId="77777777" w:rsidR="005C7AE8" w:rsidRPr="005C7AE8" w:rsidRDefault="005C7AE8" w:rsidP="005C7AE8">
            <w:pPr>
              <w:rPr>
                <w:rFonts w:eastAsia="Times New Roman" w:cs="Calibri"/>
                <w:color w:val="000000"/>
                <w:sz w:val="16"/>
                <w:szCs w:val="16"/>
                <w:lang w:val="en-GB" w:eastAsia="en-GB"/>
              </w:rPr>
            </w:pPr>
            <w:r w:rsidRPr="005C7AE8">
              <w:rPr>
                <w:rFonts w:eastAsia="Times New Roman" w:cs="Calibri"/>
                <w:color w:val="000000"/>
                <w:sz w:val="16"/>
                <w:szCs w:val="16"/>
                <w:lang w:val="en-GB" w:eastAsia="en-GB"/>
              </w:rPr>
              <w:t>COVID19 Reserve</w:t>
            </w:r>
          </w:p>
        </w:tc>
        <w:tc>
          <w:tcPr>
            <w:tcW w:w="1241" w:type="dxa"/>
            <w:tcBorders>
              <w:top w:val="nil"/>
              <w:left w:val="nil"/>
              <w:bottom w:val="nil"/>
              <w:right w:val="nil"/>
            </w:tcBorders>
            <w:shd w:val="clear" w:color="auto" w:fill="auto"/>
            <w:vAlign w:val="center"/>
            <w:hideMark/>
          </w:tcPr>
          <w:p w14:paraId="074B0F1C"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0</w:t>
            </w:r>
          </w:p>
        </w:tc>
        <w:tc>
          <w:tcPr>
            <w:tcW w:w="1318" w:type="dxa"/>
            <w:tcBorders>
              <w:top w:val="nil"/>
              <w:left w:val="nil"/>
              <w:bottom w:val="nil"/>
              <w:right w:val="nil"/>
            </w:tcBorders>
            <w:shd w:val="clear" w:color="auto" w:fill="auto"/>
            <w:vAlign w:val="center"/>
            <w:hideMark/>
          </w:tcPr>
          <w:p w14:paraId="658F4B75"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(1,000)</w:t>
            </w:r>
          </w:p>
        </w:tc>
        <w:tc>
          <w:tcPr>
            <w:tcW w:w="1305" w:type="dxa"/>
            <w:tcBorders>
              <w:top w:val="nil"/>
              <w:left w:val="nil"/>
              <w:bottom w:val="nil"/>
              <w:right w:val="nil"/>
            </w:tcBorders>
            <w:shd w:val="clear" w:color="auto" w:fill="auto"/>
            <w:vAlign w:val="center"/>
            <w:hideMark/>
          </w:tcPr>
          <w:p w14:paraId="454EC0BD"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241" w:type="dxa"/>
            <w:tcBorders>
              <w:top w:val="nil"/>
              <w:left w:val="nil"/>
              <w:bottom w:val="nil"/>
              <w:right w:val="nil"/>
            </w:tcBorders>
            <w:shd w:val="clear" w:color="auto" w:fill="auto"/>
            <w:vAlign w:val="center"/>
            <w:hideMark/>
          </w:tcPr>
          <w:p w14:paraId="7944E873"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(1,000)</w:t>
            </w:r>
          </w:p>
        </w:tc>
        <w:tc>
          <w:tcPr>
            <w:tcW w:w="1316" w:type="dxa"/>
            <w:tcBorders>
              <w:top w:val="nil"/>
              <w:left w:val="nil"/>
              <w:bottom w:val="nil"/>
              <w:right w:val="nil"/>
            </w:tcBorders>
            <w:shd w:val="clear" w:color="auto" w:fill="auto"/>
            <w:vAlign w:val="center"/>
            <w:hideMark/>
          </w:tcPr>
          <w:p w14:paraId="63968327"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(751)</w:t>
            </w:r>
          </w:p>
        </w:tc>
        <w:tc>
          <w:tcPr>
            <w:tcW w:w="1305" w:type="dxa"/>
            <w:tcBorders>
              <w:top w:val="nil"/>
              <w:left w:val="nil"/>
              <w:bottom w:val="nil"/>
              <w:right w:val="nil"/>
            </w:tcBorders>
            <w:shd w:val="clear" w:color="auto" w:fill="auto"/>
            <w:vAlign w:val="center"/>
            <w:hideMark/>
          </w:tcPr>
          <w:p w14:paraId="20326748" w14:textId="77777777" w:rsidR="005C7AE8" w:rsidRPr="005C7AE8" w:rsidRDefault="005C7AE8" w:rsidP="005C7AE8">
            <w:pPr>
              <w:jc w:val="right"/>
              <w:rPr>
                <w:rFonts w:eastAsia="Times New Roman" w:cs="Calibri"/>
                <w:color w:val="000000"/>
                <w:sz w:val="16"/>
                <w:szCs w:val="16"/>
                <w:lang w:val="en-GB" w:eastAsia="en-GB"/>
              </w:rPr>
            </w:pPr>
            <w:r w:rsidRPr="005C7AE8">
              <w:rPr>
                <w:rFonts w:eastAsia="Times New Roman" w:cs="Calibri"/>
                <w:color w:val="000000"/>
                <w:sz w:val="16"/>
                <w:szCs w:val="16"/>
                <w:lang w:val="en-GB" w:eastAsia="en-GB"/>
              </w:rPr>
              <w:t>0</w:t>
            </w:r>
          </w:p>
        </w:tc>
        <w:tc>
          <w:tcPr>
            <w:tcW w:w="1165" w:type="dxa"/>
            <w:tcBorders>
              <w:top w:val="nil"/>
              <w:left w:val="nil"/>
              <w:bottom w:val="nil"/>
              <w:right w:val="nil"/>
            </w:tcBorders>
            <w:shd w:val="clear" w:color="auto" w:fill="auto"/>
            <w:vAlign w:val="center"/>
            <w:hideMark/>
          </w:tcPr>
          <w:p w14:paraId="48B0EF27"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(1,751)</w:t>
            </w:r>
          </w:p>
        </w:tc>
      </w:tr>
      <w:tr w:rsidR="005C7AE8" w:rsidRPr="005C7AE8" w14:paraId="75616833" w14:textId="77777777" w:rsidTr="00FE10B9">
        <w:trPr>
          <w:trHeight w:val="247"/>
          <w:jc w:val="center"/>
        </w:trPr>
        <w:tc>
          <w:tcPr>
            <w:tcW w:w="3317" w:type="dxa"/>
            <w:tcBorders>
              <w:top w:val="nil"/>
              <w:left w:val="nil"/>
              <w:bottom w:val="nil"/>
              <w:right w:val="nil"/>
            </w:tcBorders>
            <w:shd w:val="clear" w:color="auto" w:fill="auto"/>
            <w:vAlign w:val="center"/>
            <w:hideMark/>
          </w:tcPr>
          <w:p w14:paraId="3946CA8F" w14:textId="77777777" w:rsidR="005C7AE8" w:rsidRPr="005C7AE8" w:rsidRDefault="005C7AE8" w:rsidP="005C7AE8">
            <w:pPr>
              <w:jc w:val="right"/>
              <w:rPr>
                <w:rFonts w:eastAsia="Times New Roman" w:cs="Calibri"/>
                <w:b/>
                <w:bCs/>
                <w:color w:val="000000"/>
                <w:sz w:val="16"/>
                <w:szCs w:val="16"/>
                <w:lang w:val="en-GB" w:eastAsia="en-GB"/>
              </w:rPr>
            </w:pPr>
          </w:p>
        </w:tc>
        <w:tc>
          <w:tcPr>
            <w:tcW w:w="1241" w:type="dxa"/>
            <w:tcBorders>
              <w:top w:val="nil"/>
              <w:left w:val="nil"/>
              <w:bottom w:val="nil"/>
              <w:right w:val="nil"/>
            </w:tcBorders>
            <w:shd w:val="clear" w:color="auto" w:fill="auto"/>
            <w:noWrap/>
            <w:vAlign w:val="bottom"/>
            <w:hideMark/>
          </w:tcPr>
          <w:p w14:paraId="6BD59867" w14:textId="77777777" w:rsidR="005C7AE8" w:rsidRPr="005C7AE8" w:rsidRDefault="005C7AE8" w:rsidP="005C7AE8">
            <w:pPr>
              <w:rPr>
                <w:rFonts w:ascii="Times New Roman" w:eastAsia="Times New Roman" w:hAnsi="Times New Roman" w:cs="Times New Roman"/>
                <w:sz w:val="20"/>
                <w:szCs w:val="20"/>
                <w:lang w:val="en-GB" w:eastAsia="en-GB"/>
              </w:rPr>
            </w:pPr>
          </w:p>
        </w:tc>
        <w:tc>
          <w:tcPr>
            <w:tcW w:w="1318" w:type="dxa"/>
            <w:tcBorders>
              <w:top w:val="nil"/>
              <w:left w:val="nil"/>
              <w:bottom w:val="nil"/>
              <w:right w:val="nil"/>
            </w:tcBorders>
            <w:shd w:val="clear" w:color="auto" w:fill="auto"/>
            <w:noWrap/>
            <w:vAlign w:val="bottom"/>
            <w:hideMark/>
          </w:tcPr>
          <w:p w14:paraId="7C449A0E" w14:textId="77777777" w:rsidR="005C7AE8" w:rsidRPr="005C7AE8" w:rsidRDefault="005C7AE8" w:rsidP="005C7AE8">
            <w:pPr>
              <w:rPr>
                <w:rFonts w:ascii="Times New Roman" w:eastAsia="Times New Roman" w:hAnsi="Times New Roman" w:cs="Times New Roman"/>
                <w:sz w:val="20"/>
                <w:szCs w:val="20"/>
                <w:lang w:val="en-GB" w:eastAsia="en-GB"/>
              </w:rPr>
            </w:pPr>
          </w:p>
        </w:tc>
        <w:tc>
          <w:tcPr>
            <w:tcW w:w="1305" w:type="dxa"/>
            <w:tcBorders>
              <w:top w:val="nil"/>
              <w:left w:val="nil"/>
              <w:bottom w:val="nil"/>
              <w:right w:val="nil"/>
            </w:tcBorders>
            <w:shd w:val="clear" w:color="auto" w:fill="auto"/>
            <w:noWrap/>
            <w:vAlign w:val="bottom"/>
            <w:hideMark/>
          </w:tcPr>
          <w:p w14:paraId="6ED707FD" w14:textId="77777777" w:rsidR="005C7AE8" w:rsidRPr="005C7AE8" w:rsidRDefault="005C7AE8" w:rsidP="005C7AE8">
            <w:pPr>
              <w:rPr>
                <w:rFonts w:ascii="Times New Roman" w:eastAsia="Times New Roman" w:hAnsi="Times New Roman" w:cs="Times New Roman"/>
                <w:sz w:val="20"/>
                <w:szCs w:val="20"/>
                <w:lang w:val="en-GB" w:eastAsia="en-GB"/>
              </w:rPr>
            </w:pPr>
          </w:p>
        </w:tc>
        <w:tc>
          <w:tcPr>
            <w:tcW w:w="1241" w:type="dxa"/>
            <w:tcBorders>
              <w:top w:val="nil"/>
              <w:left w:val="nil"/>
              <w:bottom w:val="nil"/>
              <w:right w:val="nil"/>
            </w:tcBorders>
            <w:shd w:val="clear" w:color="auto" w:fill="auto"/>
            <w:noWrap/>
            <w:vAlign w:val="bottom"/>
            <w:hideMark/>
          </w:tcPr>
          <w:p w14:paraId="4A5A6D52" w14:textId="77777777" w:rsidR="005C7AE8" w:rsidRPr="005C7AE8" w:rsidRDefault="005C7AE8" w:rsidP="005C7AE8">
            <w:pPr>
              <w:rPr>
                <w:rFonts w:ascii="Times New Roman" w:eastAsia="Times New Roman" w:hAnsi="Times New Roman" w:cs="Times New Roman"/>
                <w:sz w:val="20"/>
                <w:szCs w:val="20"/>
                <w:lang w:val="en-GB" w:eastAsia="en-GB"/>
              </w:rPr>
            </w:pPr>
          </w:p>
        </w:tc>
        <w:tc>
          <w:tcPr>
            <w:tcW w:w="1316" w:type="dxa"/>
            <w:tcBorders>
              <w:top w:val="nil"/>
              <w:left w:val="nil"/>
              <w:bottom w:val="nil"/>
              <w:right w:val="nil"/>
            </w:tcBorders>
            <w:shd w:val="clear" w:color="auto" w:fill="auto"/>
            <w:vAlign w:val="center"/>
            <w:hideMark/>
          </w:tcPr>
          <w:p w14:paraId="0A20B8BC" w14:textId="77777777" w:rsidR="005C7AE8" w:rsidRPr="005C7AE8" w:rsidRDefault="005C7AE8" w:rsidP="005C7AE8">
            <w:pPr>
              <w:rPr>
                <w:rFonts w:ascii="Times New Roman" w:eastAsia="Times New Roman" w:hAnsi="Times New Roman" w:cs="Times New Roman"/>
                <w:sz w:val="20"/>
                <w:szCs w:val="20"/>
                <w:lang w:val="en-GB" w:eastAsia="en-GB"/>
              </w:rPr>
            </w:pPr>
          </w:p>
        </w:tc>
        <w:tc>
          <w:tcPr>
            <w:tcW w:w="1305" w:type="dxa"/>
            <w:tcBorders>
              <w:top w:val="nil"/>
              <w:left w:val="nil"/>
              <w:bottom w:val="nil"/>
              <w:right w:val="nil"/>
            </w:tcBorders>
            <w:shd w:val="clear" w:color="auto" w:fill="auto"/>
            <w:vAlign w:val="center"/>
            <w:hideMark/>
          </w:tcPr>
          <w:p w14:paraId="245BC4E3" w14:textId="77777777" w:rsidR="005C7AE8" w:rsidRPr="005C7AE8" w:rsidRDefault="005C7AE8" w:rsidP="005C7AE8">
            <w:pPr>
              <w:rPr>
                <w:rFonts w:ascii="Times New Roman" w:eastAsia="Times New Roman" w:hAnsi="Times New Roman" w:cs="Times New Roman"/>
                <w:sz w:val="20"/>
                <w:szCs w:val="20"/>
                <w:lang w:val="en-GB" w:eastAsia="en-GB"/>
              </w:rPr>
            </w:pPr>
          </w:p>
        </w:tc>
        <w:tc>
          <w:tcPr>
            <w:tcW w:w="1165" w:type="dxa"/>
            <w:tcBorders>
              <w:top w:val="nil"/>
              <w:left w:val="nil"/>
              <w:bottom w:val="nil"/>
              <w:right w:val="nil"/>
            </w:tcBorders>
            <w:shd w:val="clear" w:color="auto" w:fill="auto"/>
            <w:vAlign w:val="center"/>
            <w:hideMark/>
          </w:tcPr>
          <w:p w14:paraId="6F9D01F8" w14:textId="77777777" w:rsidR="005C7AE8" w:rsidRPr="005C7AE8" w:rsidRDefault="005C7AE8" w:rsidP="005C7AE8">
            <w:pPr>
              <w:rPr>
                <w:rFonts w:ascii="Times New Roman" w:eastAsia="Times New Roman" w:hAnsi="Times New Roman" w:cs="Times New Roman"/>
                <w:sz w:val="20"/>
                <w:szCs w:val="20"/>
                <w:lang w:val="en-GB" w:eastAsia="en-GB"/>
              </w:rPr>
            </w:pPr>
          </w:p>
        </w:tc>
      </w:tr>
      <w:tr w:rsidR="005C7AE8" w:rsidRPr="005C7AE8" w14:paraId="4615B87D" w14:textId="77777777" w:rsidTr="00FE10B9">
        <w:trPr>
          <w:trHeight w:val="247"/>
          <w:jc w:val="center"/>
        </w:trPr>
        <w:tc>
          <w:tcPr>
            <w:tcW w:w="3317" w:type="dxa"/>
            <w:tcBorders>
              <w:top w:val="single" w:sz="8" w:space="0" w:color="000000"/>
              <w:left w:val="nil"/>
              <w:bottom w:val="single" w:sz="12" w:space="0" w:color="000000"/>
              <w:right w:val="nil"/>
            </w:tcBorders>
            <w:shd w:val="clear" w:color="auto" w:fill="auto"/>
            <w:vAlign w:val="center"/>
            <w:hideMark/>
          </w:tcPr>
          <w:p w14:paraId="34E755F4" w14:textId="2111059D" w:rsidR="005C7AE8" w:rsidRPr="005C7AE8" w:rsidRDefault="005C7AE8">
            <w:pPr>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 xml:space="preserve">Total </w:t>
            </w:r>
            <w:r w:rsidR="00EC6193">
              <w:rPr>
                <w:rFonts w:eastAsia="Times New Roman" w:cs="Calibri"/>
                <w:b/>
                <w:bCs/>
                <w:color w:val="000000"/>
                <w:sz w:val="16"/>
                <w:szCs w:val="16"/>
                <w:lang w:val="en-GB" w:eastAsia="en-GB"/>
              </w:rPr>
              <w:t>Earmarked Reserves</w:t>
            </w:r>
          </w:p>
        </w:tc>
        <w:tc>
          <w:tcPr>
            <w:tcW w:w="1241" w:type="dxa"/>
            <w:tcBorders>
              <w:top w:val="single" w:sz="8" w:space="0" w:color="auto"/>
              <w:left w:val="nil"/>
              <w:bottom w:val="single" w:sz="12" w:space="0" w:color="auto"/>
              <w:right w:val="nil"/>
            </w:tcBorders>
            <w:shd w:val="clear" w:color="auto" w:fill="auto"/>
            <w:vAlign w:val="center"/>
            <w:hideMark/>
          </w:tcPr>
          <w:p w14:paraId="29D93AFF"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(10,441)</w:t>
            </w:r>
          </w:p>
        </w:tc>
        <w:tc>
          <w:tcPr>
            <w:tcW w:w="1318" w:type="dxa"/>
            <w:tcBorders>
              <w:top w:val="single" w:sz="8" w:space="0" w:color="auto"/>
              <w:left w:val="nil"/>
              <w:bottom w:val="single" w:sz="12" w:space="0" w:color="auto"/>
              <w:right w:val="nil"/>
            </w:tcBorders>
            <w:shd w:val="clear" w:color="auto" w:fill="auto"/>
            <w:vAlign w:val="center"/>
            <w:hideMark/>
          </w:tcPr>
          <w:p w14:paraId="0DB91BCF"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(2,900)</w:t>
            </w:r>
          </w:p>
        </w:tc>
        <w:tc>
          <w:tcPr>
            <w:tcW w:w="1305" w:type="dxa"/>
            <w:tcBorders>
              <w:top w:val="single" w:sz="8" w:space="0" w:color="auto"/>
              <w:left w:val="nil"/>
              <w:bottom w:val="single" w:sz="12" w:space="0" w:color="auto"/>
              <w:right w:val="nil"/>
            </w:tcBorders>
            <w:shd w:val="clear" w:color="auto" w:fill="auto"/>
            <w:vAlign w:val="center"/>
            <w:hideMark/>
          </w:tcPr>
          <w:p w14:paraId="116C9F81"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1,960</w:t>
            </w:r>
          </w:p>
        </w:tc>
        <w:tc>
          <w:tcPr>
            <w:tcW w:w="1241" w:type="dxa"/>
            <w:tcBorders>
              <w:top w:val="single" w:sz="8" w:space="0" w:color="auto"/>
              <w:left w:val="nil"/>
              <w:bottom w:val="single" w:sz="12" w:space="0" w:color="auto"/>
              <w:right w:val="nil"/>
            </w:tcBorders>
            <w:shd w:val="clear" w:color="auto" w:fill="auto"/>
            <w:vAlign w:val="center"/>
            <w:hideMark/>
          </w:tcPr>
          <w:p w14:paraId="0F2FE066" w14:textId="77777777" w:rsidR="005C7AE8" w:rsidRPr="005C7AE8" w:rsidRDefault="005C7AE8" w:rsidP="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(11,381)</w:t>
            </w:r>
          </w:p>
        </w:tc>
        <w:tc>
          <w:tcPr>
            <w:tcW w:w="1316" w:type="dxa"/>
            <w:tcBorders>
              <w:top w:val="single" w:sz="8" w:space="0" w:color="auto"/>
              <w:left w:val="nil"/>
              <w:bottom w:val="single" w:sz="12" w:space="0" w:color="auto"/>
              <w:right w:val="nil"/>
            </w:tcBorders>
            <w:shd w:val="clear" w:color="auto" w:fill="auto"/>
            <w:vAlign w:val="center"/>
            <w:hideMark/>
          </w:tcPr>
          <w:p w14:paraId="3AC055F0" w14:textId="442D686E" w:rsidR="005C7AE8" w:rsidRPr="005C7AE8" w:rsidRDefault="003C732D" w:rsidP="005C7AE8">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(3,167</w:t>
            </w:r>
            <w:r w:rsidR="005C7AE8" w:rsidRPr="005C7AE8">
              <w:rPr>
                <w:rFonts w:eastAsia="Times New Roman" w:cs="Calibri"/>
                <w:b/>
                <w:bCs/>
                <w:color w:val="000000"/>
                <w:sz w:val="16"/>
                <w:szCs w:val="16"/>
                <w:lang w:val="en-GB" w:eastAsia="en-GB"/>
              </w:rPr>
              <w:t>)</w:t>
            </w:r>
          </w:p>
        </w:tc>
        <w:tc>
          <w:tcPr>
            <w:tcW w:w="1305" w:type="dxa"/>
            <w:tcBorders>
              <w:top w:val="single" w:sz="8" w:space="0" w:color="auto"/>
              <w:left w:val="nil"/>
              <w:bottom w:val="single" w:sz="12" w:space="0" w:color="auto"/>
              <w:right w:val="nil"/>
            </w:tcBorders>
            <w:shd w:val="clear" w:color="auto" w:fill="auto"/>
            <w:vAlign w:val="center"/>
            <w:hideMark/>
          </w:tcPr>
          <w:p w14:paraId="7FADAA75" w14:textId="1B943F83" w:rsidR="005C7AE8" w:rsidRPr="005C7AE8" w:rsidRDefault="005C7AE8">
            <w:pPr>
              <w:jc w:val="right"/>
              <w:rPr>
                <w:rFonts w:eastAsia="Times New Roman" w:cs="Calibri"/>
                <w:b/>
                <w:bCs/>
                <w:color w:val="000000"/>
                <w:sz w:val="16"/>
                <w:szCs w:val="16"/>
                <w:lang w:val="en-GB" w:eastAsia="en-GB"/>
              </w:rPr>
            </w:pPr>
            <w:r w:rsidRPr="005C7AE8">
              <w:rPr>
                <w:rFonts w:eastAsia="Times New Roman" w:cs="Calibri"/>
                <w:b/>
                <w:bCs/>
                <w:color w:val="000000"/>
                <w:sz w:val="16"/>
                <w:szCs w:val="16"/>
                <w:lang w:val="en-GB" w:eastAsia="en-GB"/>
              </w:rPr>
              <w:t>3,11</w:t>
            </w:r>
            <w:r w:rsidR="00760723">
              <w:rPr>
                <w:rFonts w:eastAsia="Times New Roman" w:cs="Calibri"/>
                <w:b/>
                <w:bCs/>
                <w:color w:val="000000"/>
                <w:sz w:val="16"/>
                <w:szCs w:val="16"/>
                <w:lang w:val="en-GB" w:eastAsia="en-GB"/>
              </w:rPr>
              <w:t>1</w:t>
            </w:r>
          </w:p>
        </w:tc>
        <w:tc>
          <w:tcPr>
            <w:tcW w:w="1165" w:type="dxa"/>
            <w:tcBorders>
              <w:top w:val="single" w:sz="8" w:space="0" w:color="auto"/>
              <w:left w:val="nil"/>
              <w:bottom w:val="single" w:sz="12" w:space="0" w:color="auto"/>
              <w:right w:val="nil"/>
            </w:tcBorders>
            <w:shd w:val="clear" w:color="auto" w:fill="auto"/>
            <w:vAlign w:val="center"/>
            <w:hideMark/>
          </w:tcPr>
          <w:p w14:paraId="44713547" w14:textId="5FB33A8F" w:rsidR="005C7AE8" w:rsidRPr="005C7AE8" w:rsidRDefault="003C732D">
            <w:pPr>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(11,43</w:t>
            </w:r>
            <w:r w:rsidR="00760723">
              <w:rPr>
                <w:rFonts w:eastAsia="Times New Roman" w:cs="Calibri"/>
                <w:b/>
                <w:bCs/>
                <w:color w:val="000000"/>
                <w:sz w:val="16"/>
                <w:szCs w:val="16"/>
                <w:lang w:val="en-GB" w:eastAsia="en-GB"/>
              </w:rPr>
              <w:t>7</w:t>
            </w:r>
            <w:r w:rsidR="005C7AE8" w:rsidRPr="005C7AE8">
              <w:rPr>
                <w:rFonts w:eastAsia="Times New Roman" w:cs="Calibri"/>
                <w:b/>
                <w:bCs/>
                <w:color w:val="000000"/>
                <w:sz w:val="16"/>
                <w:szCs w:val="16"/>
                <w:lang w:val="en-GB" w:eastAsia="en-GB"/>
              </w:rPr>
              <w:t>)</w:t>
            </w:r>
          </w:p>
        </w:tc>
      </w:tr>
    </w:tbl>
    <w:p w14:paraId="4A536921" w14:textId="77777777" w:rsidR="005C7AE8" w:rsidRDefault="005C7AE8">
      <w:pPr>
        <w:pStyle w:val="Normal0"/>
        <w:spacing w:after="160" w:line="259" w:lineRule="auto"/>
        <w:rPr>
          <w:rFonts w:ascii="Verdana" w:eastAsia="Verdana" w:hAnsi="Verdana" w:cs="Verdana"/>
          <w:b/>
          <w:sz w:val="22"/>
          <w:szCs w:val="22"/>
          <w:highlight w:val="yellow"/>
          <w:lang w:val="en-GB"/>
        </w:rPr>
      </w:pPr>
    </w:p>
    <w:p w14:paraId="7CF4E908" w14:textId="77777777" w:rsidR="005C7AE8" w:rsidRDefault="005C7AE8">
      <w:pPr>
        <w:pStyle w:val="Normal0"/>
        <w:spacing w:after="160" w:line="259" w:lineRule="auto"/>
        <w:rPr>
          <w:rFonts w:ascii="Verdana" w:eastAsia="Verdana" w:hAnsi="Verdana" w:cs="Verdana"/>
          <w:b/>
          <w:sz w:val="22"/>
          <w:szCs w:val="22"/>
          <w:highlight w:val="yellow"/>
          <w:lang w:val="en-GB"/>
        </w:rPr>
      </w:pPr>
    </w:p>
    <w:p w14:paraId="57A579D4" w14:textId="77777777" w:rsidR="00FE10B9" w:rsidRDefault="00FE10B9">
      <w:pPr>
        <w:pStyle w:val="Normal0"/>
        <w:spacing w:after="160" w:line="259" w:lineRule="auto"/>
        <w:rPr>
          <w:rFonts w:ascii="Verdana" w:eastAsia="Verdana" w:hAnsi="Verdana" w:cs="Verdana"/>
          <w:b/>
          <w:sz w:val="22"/>
          <w:szCs w:val="22"/>
          <w:highlight w:val="yellow"/>
          <w:lang w:val="en-GB"/>
        </w:rPr>
      </w:pPr>
    </w:p>
    <w:p w14:paraId="023F95F5" w14:textId="77777777" w:rsidR="00FE10B9" w:rsidRPr="003516A4" w:rsidRDefault="00FE10B9">
      <w:pPr>
        <w:pStyle w:val="Normal0"/>
        <w:spacing w:after="160" w:line="259" w:lineRule="auto"/>
        <w:rPr>
          <w:rFonts w:ascii="Verdana" w:eastAsia="Verdana" w:hAnsi="Verdana" w:cs="Verdana"/>
          <w:b/>
          <w:sz w:val="22"/>
          <w:szCs w:val="22"/>
          <w:highlight w:val="yellow"/>
          <w:lang w:val="en-GB"/>
        </w:rPr>
      </w:pPr>
    </w:p>
    <w:p w14:paraId="7D7CD163" w14:textId="77777777" w:rsidR="00FE10B9" w:rsidRDefault="00FE10B9">
      <w:pPr>
        <w:rPr>
          <w:rFonts w:eastAsia="Verdana" w:cs="Verdana"/>
          <w:highlight w:val="yellow"/>
          <w:lang w:val="en-GB"/>
        </w:rPr>
      </w:pPr>
      <w:r>
        <w:rPr>
          <w:rFonts w:eastAsia="Verdana" w:cs="Verdana"/>
          <w:highlight w:val="yellow"/>
          <w:lang w:val="en-GB"/>
        </w:rPr>
        <w:br w:type="page"/>
      </w:r>
    </w:p>
    <w:p w14:paraId="5A9CD423" w14:textId="09F45566" w:rsidR="00C80C35" w:rsidRPr="001115A3" w:rsidRDefault="00C80C35">
      <w:pPr>
        <w:pStyle w:val="Normal0"/>
        <w:spacing w:after="160" w:line="259" w:lineRule="auto"/>
        <w:rPr>
          <w:rFonts w:ascii="Verdana" w:eastAsia="Verdana" w:hAnsi="Verdana" w:cs="Verdana"/>
          <w:sz w:val="22"/>
          <w:szCs w:val="22"/>
          <w:lang w:val="en-GB"/>
        </w:rPr>
      </w:pPr>
      <w:r w:rsidRPr="001115A3">
        <w:rPr>
          <w:rFonts w:ascii="Verdana" w:eastAsia="Verdana" w:hAnsi="Verdana" w:cs="Verdana"/>
          <w:sz w:val="22"/>
          <w:szCs w:val="22"/>
          <w:lang w:val="en-GB"/>
        </w:rPr>
        <w:t>The following table details the usable reserves and the purpose for which are held by Surrey Police:</w:t>
      </w:r>
    </w:p>
    <w:tbl>
      <w:tblPr>
        <w:tblW w:w="14963" w:type="dxa"/>
        <w:tblLook w:val="04A0" w:firstRow="1" w:lastRow="0" w:firstColumn="1" w:lastColumn="0" w:noHBand="0" w:noVBand="1"/>
      </w:tblPr>
      <w:tblGrid>
        <w:gridCol w:w="3105"/>
        <w:gridCol w:w="8844"/>
        <w:gridCol w:w="3014"/>
      </w:tblGrid>
      <w:tr w:rsidR="00C80C35" w:rsidRPr="001115A3" w14:paraId="0E200B69" w14:textId="77777777" w:rsidTr="00FE10B9">
        <w:trPr>
          <w:trHeight w:val="250"/>
        </w:trPr>
        <w:tc>
          <w:tcPr>
            <w:tcW w:w="3105" w:type="dxa"/>
            <w:tcBorders>
              <w:top w:val="single" w:sz="4" w:space="0" w:color="auto"/>
              <w:left w:val="single" w:sz="4" w:space="0" w:color="auto"/>
              <w:bottom w:val="single" w:sz="4" w:space="0" w:color="auto"/>
              <w:right w:val="nil"/>
            </w:tcBorders>
            <w:shd w:val="clear" w:color="auto" w:fill="auto"/>
            <w:vAlign w:val="center"/>
            <w:hideMark/>
          </w:tcPr>
          <w:p w14:paraId="4D8322D9" w14:textId="77777777" w:rsidR="00C80C35" w:rsidRPr="001115A3" w:rsidRDefault="00C80C35" w:rsidP="00C80C35">
            <w:pPr>
              <w:rPr>
                <w:rFonts w:cs="Times New Roman"/>
                <w:b/>
                <w:bCs/>
                <w:color w:val="009999"/>
                <w:sz w:val="18"/>
                <w:szCs w:val="18"/>
                <w:lang w:eastAsia="en-GB"/>
              </w:rPr>
            </w:pPr>
            <w:r w:rsidRPr="001115A3">
              <w:rPr>
                <w:rFonts w:cs="Times New Roman"/>
                <w:b/>
                <w:bCs/>
                <w:color w:val="009999"/>
                <w:sz w:val="18"/>
                <w:szCs w:val="18"/>
                <w:lang w:eastAsia="en-GB"/>
              </w:rPr>
              <w:t>Reserve</w:t>
            </w:r>
          </w:p>
        </w:tc>
        <w:tc>
          <w:tcPr>
            <w:tcW w:w="8844" w:type="dxa"/>
            <w:tcBorders>
              <w:top w:val="single" w:sz="4" w:space="0" w:color="auto"/>
              <w:left w:val="nil"/>
              <w:bottom w:val="single" w:sz="4" w:space="0" w:color="auto"/>
              <w:right w:val="single" w:sz="4" w:space="0" w:color="auto"/>
            </w:tcBorders>
            <w:shd w:val="clear" w:color="auto" w:fill="auto"/>
            <w:vAlign w:val="center"/>
            <w:hideMark/>
          </w:tcPr>
          <w:p w14:paraId="3ADCBA65" w14:textId="77777777" w:rsidR="00C80C35" w:rsidRPr="001115A3" w:rsidRDefault="00C80C35" w:rsidP="00C80C35">
            <w:pPr>
              <w:rPr>
                <w:rFonts w:cs="Times New Roman"/>
                <w:b/>
                <w:bCs/>
                <w:color w:val="009999"/>
                <w:sz w:val="18"/>
                <w:szCs w:val="18"/>
                <w:lang w:eastAsia="en-GB"/>
              </w:rPr>
            </w:pPr>
            <w:r w:rsidRPr="001115A3">
              <w:rPr>
                <w:rFonts w:cs="Times New Roman"/>
                <w:b/>
                <w:bCs/>
                <w:color w:val="009999"/>
                <w:sz w:val="18"/>
                <w:szCs w:val="18"/>
                <w:lang w:eastAsia="en-GB"/>
              </w:rPr>
              <w:t> </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14:paraId="40E78D2F" w14:textId="77777777" w:rsidR="00C80C35" w:rsidRPr="001115A3" w:rsidRDefault="00C80C35" w:rsidP="00C80C35">
            <w:pPr>
              <w:rPr>
                <w:rFonts w:cs="Times New Roman"/>
                <w:b/>
                <w:bCs/>
                <w:color w:val="009999"/>
                <w:sz w:val="18"/>
                <w:szCs w:val="18"/>
                <w:lang w:eastAsia="en-GB"/>
              </w:rPr>
            </w:pPr>
            <w:r w:rsidRPr="001115A3">
              <w:rPr>
                <w:rFonts w:cs="Times New Roman"/>
                <w:b/>
                <w:bCs/>
                <w:color w:val="009999"/>
                <w:sz w:val="18"/>
                <w:szCs w:val="18"/>
                <w:lang w:eastAsia="en-GB"/>
              </w:rPr>
              <w:t>Level or Target</w:t>
            </w:r>
          </w:p>
        </w:tc>
      </w:tr>
      <w:tr w:rsidR="00C80C35" w:rsidRPr="001115A3" w14:paraId="51ABD456" w14:textId="77777777" w:rsidTr="00FE10B9">
        <w:trPr>
          <w:trHeight w:val="250"/>
        </w:trPr>
        <w:tc>
          <w:tcPr>
            <w:tcW w:w="3105" w:type="dxa"/>
            <w:tcBorders>
              <w:top w:val="nil"/>
              <w:left w:val="single" w:sz="4" w:space="0" w:color="auto"/>
              <w:bottom w:val="single" w:sz="4" w:space="0" w:color="auto"/>
              <w:right w:val="nil"/>
            </w:tcBorders>
            <w:shd w:val="clear" w:color="auto" w:fill="auto"/>
            <w:vAlign w:val="center"/>
            <w:hideMark/>
          </w:tcPr>
          <w:p w14:paraId="7E626B9F" w14:textId="77777777" w:rsidR="00C80C35" w:rsidRPr="001115A3" w:rsidRDefault="00C80C35" w:rsidP="00C80C35">
            <w:pPr>
              <w:rPr>
                <w:rFonts w:cs="Times New Roman"/>
                <w:b/>
                <w:bCs/>
                <w:color w:val="009999"/>
                <w:sz w:val="18"/>
                <w:szCs w:val="18"/>
                <w:lang w:eastAsia="en-GB"/>
              </w:rPr>
            </w:pPr>
            <w:r w:rsidRPr="001115A3">
              <w:rPr>
                <w:rFonts w:cs="Times New Roman"/>
                <w:b/>
                <w:bCs/>
                <w:color w:val="009999"/>
                <w:sz w:val="18"/>
                <w:szCs w:val="18"/>
                <w:lang w:eastAsia="en-GB"/>
              </w:rPr>
              <w:t>General</w:t>
            </w:r>
          </w:p>
        </w:tc>
        <w:tc>
          <w:tcPr>
            <w:tcW w:w="8844" w:type="dxa"/>
            <w:tcBorders>
              <w:top w:val="nil"/>
              <w:left w:val="nil"/>
              <w:bottom w:val="single" w:sz="4" w:space="0" w:color="auto"/>
              <w:right w:val="nil"/>
            </w:tcBorders>
            <w:shd w:val="clear" w:color="auto" w:fill="auto"/>
            <w:vAlign w:val="center"/>
            <w:hideMark/>
          </w:tcPr>
          <w:p w14:paraId="20C7A09C" w14:textId="77777777" w:rsidR="00C80C35" w:rsidRPr="001115A3" w:rsidRDefault="00C80C35" w:rsidP="00C80C35">
            <w:pPr>
              <w:rPr>
                <w:rFonts w:cs="Times New Roman"/>
                <w:b/>
                <w:bCs/>
                <w:color w:val="009999"/>
                <w:sz w:val="18"/>
                <w:szCs w:val="18"/>
                <w:lang w:eastAsia="en-GB"/>
              </w:rPr>
            </w:pPr>
            <w:r w:rsidRPr="001115A3">
              <w:rPr>
                <w:rFonts w:cs="Times New Roman"/>
                <w:b/>
                <w:bCs/>
                <w:color w:val="009999"/>
                <w:sz w:val="18"/>
                <w:szCs w:val="18"/>
                <w:lang w:eastAsia="en-GB"/>
              </w:rPr>
              <w:t> </w:t>
            </w:r>
          </w:p>
        </w:tc>
        <w:tc>
          <w:tcPr>
            <w:tcW w:w="3012" w:type="dxa"/>
            <w:tcBorders>
              <w:top w:val="nil"/>
              <w:left w:val="nil"/>
              <w:bottom w:val="single" w:sz="4" w:space="0" w:color="auto"/>
              <w:right w:val="single" w:sz="4" w:space="0" w:color="auto"/>
            </w:tcBorders>
            <w:shd w:val="clear" w:color="auto" w:fill="auto"/>
            <w:vAlign w:val="center"/>
            <w:hideMark/>
          </w:tcPr>
          <w:p w14:paraId="25693F3D" w14:textId="77777777" w:rsidR="00C80C35" w:rsidRPr="001115A3" w:rsidRDefault="00C80C35" w:rsidP="00C80C35">
            <w:pPr>
              <w:rPr>
                <w:rFonts w:cs="Times New Roman"/>
                <w:b/>
                <w:bCs/>
                <w:color w:val="009999"/>
                <w:sz w:val="18"/>
                <w:szCs w:val="18"/>
                <w:lang w:eastAsia="en-GB"/>
              </w:rPr>
            </w:pPr>
            <w:r w:rsidRPr="001115A3">
              <w:rPr>
                <w:rFonts w:cs="Times New Roman"/>
                <w:b/>
                <w:bCs/>
                <w:color w:val="009999"/>
                <w:sz w:val="18"/>
                <w:szCs w:val="18"/>
                <w:lang w:eastAsia="en-GB"/>
              </w:rPr>
              <w:t> </w:t>
            </w:r>
          </w:p>
        </w:tc>
      </w:tr>
      <w:tr w:rsidR="00C80C35" w:rsidRPr="001115A3" w14:paraId="7BB2347E" w14:textId="77777777" w:rsidTr="001115A3">
        <w:trPr>
          <w:trHeight w:val="1436"/>
        </w:trPr>
        <w:tc>
          <w:tcPr>
            <w:tcW w:w="3105" w:type="dxa"/>
            <w:tcBorders>
              <w:top w:val="nil"/>
              <w:left w:val="single" w:sz="4" w:space="0" w:color="auto"/>
              <w:bottom w:val="single" w:sz="4" w:space="0" w:color="auto"/>
              <w:right w:val="single" w:sz="4" w:space="0" w:color="auto"/>
            </w:tcBorders>
            <w:shd w:val="clear" w:color="auto" w:fill="auto"/>
            <w:vAlign w:val="center"/>
            <w:hideMark/>
          </w:tcPr>
          <w:p w14:paraId="47FDC487" w14:textId="77777777" w:rsidR="00C80C35" w:rsidRPr="001115A3" w:rsidRDefault="00C80C35" w:rsidP="00C80C35">
            <w:pPr>
              <w:rPr>
                <w:rFonts w:cs="Times New Roman"/>
                <w:b/>
                <w:bCs/>
                <w:color w:val="000000"/>
                <w:sz w:val="18"/>
                <w:szCs w:val="18"/>
                <w:lang w:eastAsia="en-GB"/>
              </w:rPr>
            </w:pPr>
            <w:r w:rsidRPr="001115A3">
              <w:rPr>
                <w:rFonts w:cs="Times New Roman"/>
                <w:b/>
                <w:bCs/>
                <w:color w:val="000000"/>
                <w:sz w:val="18"/>
                <w:szCs w:val="18"/>
                <w:lang w:eastAsia="en-GB"/>
              </w:rPr>
              <w:t>General Reserves</w:t>
            </w:r>
          </w:p>
        </w:tc>
        <w:tc>
          <w:tcPr>
            <w:tcW w:w="8844" w:type="dxa"/>
            <w:tcBorders>
              <w:top w:val="nil"/>
              <w:left w:val="nil"/>
              <w:bottom w:val="single" w:sz="4" w:space="0" w:color="auto"/>
              <w:right w:val="single" w:sz="4" w:space="0" w:color="auto"/>
            </w:tcBorders>
            <w:shd w:val="clear" w:color="auto" w:fill="auto"/>
            <w:vAlign w:val="center"/>
            <w:hideMark/>
          </w:tcPr>
          <w:p w14:paraId="6D694E59" w14:textId="77777777" w:rsidR="00C80C35" w:rsidRPr="001115A3" w:rsidRDefault="00C80C35" w:rsidP="00C80C35">
            <w:pPr>
              <w:rPr>
                <w:rFonts w:cs="Times New Roman"/>
                <w:color w:val="000000"/>
                <w:sz w:val="18"/>
                <w:szCs w:val="18"/>
                <w:lang w:eastAsia="en-GB"/>
              </w:rPr>
            </w:pPr>
            <w:r w:rsidRPr="001115A3">
              <w:rPr>
                <w:rFonts w:cs="Times New Roman"/>
                <w:color w:val="000000"/>
                <w:sz w:val="18"/>
                <w:szCs w:val="18"/>
                <w:lang w:eastAsia="en-GB"/>
              </w:rPr>
              <w:t>Provides a working balance to cover day to day cash flow requirements and to cover exceptional unforeseen financial and operational risks. The target level for the reserve is reviewed as part of the annual budget setting process.</w:t>
            </w:r>
          </w:p>
          <w:p w14:paraId="7BEFAE54" w14:textId="77777777" w:rsidR="00C80C35" w:rsidRPr="001115A3" w:rsidRDefault="00C80C35" w:rsidP="00C80C35">
            <w:pPr>
              <w:rPr>
                <w:rFonts w:cs="Times New Roman"/>
                <w:color w:val="000000"/>
                <w:sz w:val="18"/>
                <w:szCs w:val="18"/>
                <w:lang w:eastAsia="en-GB"/>
              </w:rPr>
            </w:pPr>
            <w:r w:rsidRPr="001115A3">
              <w:rPr>
                <w:rFonts w:cs="Times New Roman"/>
                <w:color w:val="000000"/>
                <w:sz w:val="18"/>
                <w:szCs w:val="18"/>
                <w:lang w:eastAsia="en-GB"/>
              </w:rPr>
              <w:br/>
              <w:t xml:space="preserve">This includes a separately identified Chief Constable </w:t>
            </w:r>
          </w:p>
          <w:p w14:paraId="5537F6C3" w14:textId="5552EC3B" w:rsidR="00395DBB" w:rsidRPr="001115A3" w:rsidRDefault="00C80C35" w:rsidP="00C80C35">
            <w:pPr>
              <w:rPr>
                <w:rFonts w:cs="Times New Roman"/>
                <w:color w:val="000000"/>
                <w:sz w:val="18"/>
                <w:szCs w:val="18"/>
                <w:lang w:eastAsia="en-GB"/>
              </w:rPr>
            </w:pPr>
            <w:r w:rsidRPr="001115A3">
              <w:rPr>
                <w:rFonts w:cs="Times New Roman"/>
                <w:color w:val="000000"/>
                <w:sz w:val="18"/>
                <w:szCs w:val="18"/>
                <w:lang w:eastAsia="en-GB"/>
              </w:rPr>
              <w:t xml:space="preserve">Operational Reserve to provide access to funding for immediate operational policing demands without need for further approval from the PCC. Prior to 2019/20 this reserve was </w:t>
            </w:r>
            <w:r w:rsidR="002271B4">
              <w:rPr>
                <w:rFonts w:cs="Times New Roman"/>
                <w:color w:val="000000"/>
                <w:sz w:val="18"/>
                <w:szCs w:val="18"/>
                <w:lang w:eastAsia="en-GB"/>
              </w:rPr>
              <w:t xml:space="preserve">previously </w:t>
            </w:r>
            <w:r w:rsidRPr="001115A3">
              <w:rPr>
                <w:rFonts w:cs="Times New Roman"/>
                <w:color w:val="000000"/>
                <w:sz w:val="18"/>
                <w:szCs w:val="18"/>
                <w:lang w:eastAsia="en-GB"/>
              </w:rPr>
              <w:t xml:space="preserve">included within the earmarked reserves category. </w:t>
            </w:r>
          </w:p>
        </w:tc>
        <w:tc>
          <w:tcPr>
            <w:tcW w:w="3012" w:type="dxa"/>
            <w:tcBorders>
              <w:top w:val="nil"/>
              <w:left w:val="nil"/>
              <w:bottom w:val="single" w:sz="4" w:space="0" w:color="auto"/>
              <w:right w:val="single" w:sz="4" w:space="0" w:color="auto"/>
            </w:tcBorders>
            <w:shd w:val="clear" w:color="auto" w:fill="auto"/>
            <w:vAlign w:val="center"/>
            <w:hideMark/>
          </w:tcPr>
          <w:p w14:paraId="5F0270E7" w14:textId="77777777" w:rsidR="00C80C35" w:rsidRPr="001115A3" w:rsidRDefault="00C80C35" w:rsidP="00C80C35">
            <w:pPr>
              <w:rPr>
                <w:rFonts w:cs="Times New Roman"/>
                <w:color w:val="000000"/>
                <w:sz w:val="18"/>
                <w:szCs w:val="18"/>
                <w:lang w:eastAsia="en-GB"/>
              </w:rPr>
            </w:pPr>
            <w:r w:rsidRPr="001115A3">
              <w:rPr>
                <w:rFonts w:cs="Times New Roman"/>
                <w:color w:val="000000"/>
                <w:sz w:val="18"/>
                <w:szCs w:val="18"/>
                <w:lang w:eastAsia="en-GB"/>
              </w:rPr>
              <w:t>3% of Net Revenue Expenditure Budget as at 31 March each year.</w:t>
            </w:r>
          </w:p>
        </w:tc>
      </w:tr>
      <w:tr w:rsidR="00C80C35" w:rsidRPr="001115A3" w14:paraId="2A904F9C" w14:textId="77777777" w:rsidTr="00FE10B9">
        <w:trPr>
          <w:trHeight w:val="250"/>
        </w:trPr>
        <w:tc>
          <w:tcPr>
            <w:tcW w:w="14963" w:type="dxa"/>
            <w:gridSpan w:val="3"/>
            <w:tcBorders>
              <w:top w:val="nil"/>
              <w:left w:val="single" w:sz="4" w:space="0" w:color="auto"/>
              <w:bottom w:val="single" w:sz="4" w:space="0" w:color="auto"/>
              <w:right w:val="single" w:sz="4" w:space="0" w:color="auto"/>
            </w:tcBorders>
            <w:shd w:val="clear" w:color="auto" w:fill="auto"/>
            <w:vAlign w:val="center"/>
            <w:hideMark/>
          </w:tcPr>
          <w:p w14:paraId="7E94B929" w14:textId="77777777" w:rsidR="00C80C35" w:rsidRPr="001115A3" w:rsidRDefault="00C80C35" w:rsidP="00C80C35">
            <w:pPr>
              <w:rPr>
                <w:rFonts w:cs="Times New Roman"/>
                <w:b/>
                <w:bCs/>
                <w:color w:val="009999"/>
                <w:sz w:val="18"/>
                <w:szCs w:val="18"/>
                <w:lang w:eastAsia="en-GB"/>
              </w:rPr>
            </w:pPr>
            <w:r w:rsidRPr="001115A3">
              <w:rPr>
                <w:rFonts w:cs="Times New Roman"/>
                <w:b/>
                <w:bCs/>
                <w:color w:val="009999"/>
                <w:sz w:val="18"/>
                <w:szCs w:val="18"/>
                <w:lang w:eastAsia="en-GB"/>
              </w:rPr>
              <w:t>Contingency and Risk </w:t>
            </w:r>
          </w:p>
        </w:tc>
      </w:tr>
      <w:tr w:rsidR="00303CEA" w:rsidRPr="003516A4" w14:paraId="2868CE67" w14:textId="77777777" w:rsidTr="00FE10B9">
        <w:trPr>
          <w:trHeight w:val="1191"/>
        </w:trPr>
        <w:tc>
          <w:tcPr>
            <w:tcW w:w="3105" w:type="dxa"/>
            <w:tcBorders>
              <w:top w:val="nil"/>
              <w:left w:val="single" w:sz="4" w:space="0" w:color="auto"/>
              <w:bottom w:val="single" w:sz="4" w:space="0" w:color="auto"/>
              <w:right w:val="single" w:sz="4" w:space="0" w:color="auto"/>
            </w:tcBorders>
            <w:shd w:val="clear" w:color="auto" w:fill="auto"/>
            <w:vAlign w:val="center"/>
          </w:tcPr>
          <w:p w14:paraId="7D4AD4EE" w14:textId="77777777" w:rsidR="00303CEA" w:rsidRPr="001115A3" w:rsidRDefault="00303CEA" w:rsidP="00303CEA">
            <w:pPr>
              <w:rPr>
                <w:rFonts w:cs="Times New Roman"/>
                <w:b/>
                <w:bCs/>
                <w:color w:val="000000"/>
                <w:sz w:val="18"/>
                <w:szCs w:val="18"/>
                <w:lang w:eastAsia="en-GB"/>
              </w:rPr>
            </w:pPr>
            <w:r w:rsidRPr="001115A3">
              <w:rPr>
                <w:rFonts w:cs="Times New Roman"/>
                <w:b/>
                <w:bCs/>
                <w:color w:val="000000"/>
                <w:sz w:val="18"/>
                <w:szCs w:val="18"/>
                <w:lang w:eastAsia="en-GB"/>
              </w:rPr>
              <w:t>Police Officer Ill Health Pension Reserve</w:t>
            </w:r>
          </w:p>
        </w:tc>
        <w:tc>
          <w:tcPr>
            <w:tcW w:w="8844" w:type="dxa"/>
            <w:tcBorders>
              <w:top w:val="nil"/>
              <w:left w:val="nil"/>
              <w:bottom w:val="single" w:sz="4" w:space="0" w:color="auto"/>
              <w:right w:val="single" w:sz="4" w:space="0" w:color="auto"/>
            </w:tcBorders>
            <w:shd w:val="clear" w:color="auto" w:fill="auto"/>
            <w:vAlign w:val="center"/>
          </w:tcPr>
          <w:p w14:paraId="3AD7B6AE" w14:textId="77777777" w:rsidR="00303CEA" w:rsidRPr="001115A3" w:rsidRDefault="00303CEA" w:rsidP="00303CEA">
            <w:pPr>
              <w:rPr>
                <w:rFonts w:cs="Times New Roman"/>
                <w:color w:val="000000"/>
                <w:sz w:val="18"/>
                <w:szCs w:val="18"/>
                <w:lang w:eastAsia="en-GB"/>
              </w:rPr>
            </w:pPr>
            <w:r w:rsidRPr="001115A3">
              <w:rPr>
                <w:rFonts w:cs="Times New Roman"/>
                <w:color w:val="000000"/>
                <w:sz w:val="18"/>
                <w:szCs w:val="18"/>
                <w:lang w:eastAsia="en-GB"/>
              </w:rPr>
              <w:t>This reserve provides for the self-funding of police officer ill health and injury payments not covered by the pension grant funding.</w:t>
            </w:r>
          </w:p>
          <w:p w14:paraId="008813BF" w14:textId="77777777" w:rsidR="00303CEA" w:rsidRPr="001115A3" w:rsidRDefault="00303CEA" w:rsidP="00303CEA">
            <w:pPr>
              <w:rPr>
                <w:rFonts w:cs="Times New Roman"/>
                <w:color w:val="000000"/>
                <w:sz w:val="18"/>
                <w:szCs w:val="18"/>
                <w:lang w:eastAsia="en-GB"/>
              </w:rPr>
            </w:pPr>
            <w:r w:rsidRPr="001115A3">
              <w:rPr>
                <w:rFonts w:cs="Times New Roman"/>
                <w:color w:val="000000"/>
                <w:sz w:val="18"/>
                <w:szCs w:val="18"/>
                <w:lang w:eastAsia="en-GB"/>
              </w:rPr>
              <w:br/>
              <w:t>This reserve is maintained to meet the capital charge made by the Home Office for each officer that retires due to ill health. A percentage of the police officer cost as recommended by the Home Office is added to this reserve and the level will fluctuate from year to year depending on the number of police officer retirees.</w:t>
            </w:r>
          </w:p>
        </w:tc>
        <w:tc>
          <w:tcPr>
            <w:tcW w:w="3012" w:type="dxa"/>
            <w:tcBorders>
              <w:top w:val="nil"/>
              <w:left w:val="nil"/>
              <w:bottom w:val="single" w:sz="4" w:space="0" w:color="auto"/>
              <w:right w:val="single" w:sz="4" w:space="0" w:color="auto"/>
            </w:tcBorders>
            <w:shd w:val="clear" w:color="auto" w:fill="auto"/>
            <w:vAlign w:val="center"/>
          </w:tcPr>
          <w:p w14:paraId="7F6A3464" w14:textId="77777777" w:rsidR="00303CEA" w:rsidRPr="001115A3" w:rsidRDefault="00303CEA" w:rsidP="00303CEA">
            <w:pPr>
              <w:rPr>
                <w:rFonts w:cs="Times New Roman"/>
                <w:color w:val="000000"/>
                <w:sz w:val="18"/>
                <w:szCs w:val="18"/>
                <w:lang w:eastAsia="en-GB"/>
              </w:rPr>
            </w:pPr>
            <w:r w:rsidRPr="001115A3">
              <w:rPr>
                <w:rFonts w:cs="Times New Roman"/>
                <w:color w:val="000000"/>
                <w:sz w:val="18"/>
                <w:szCs w:val="18"/>
                <w:lang w:eastAsia="en-GB"/>
              </w:rPr>
              <w:t>Assessed as part of the medium term financial planning process.</w:t>
            </w:r>
          </w:p>
        </w:tc>
      </w:tr>
      <w:tr w:rsidR="00C80C35" w:rsidRPr="003516A4" w14:paraId="20734DF0" w14:textId="77777777" w:rsidTr="001115A3">
        <w:trPr>
          <w:trHeight w:val="2124"/>
        </w:trPr>
        <w:tc>
          <w:tcPr>
            <w:tcW w:w="3105" w:type="dxa"/>
            <w:tcBorders>
              <w:top w:val="nil"/>
              <w:left w:val="single" w:sz="4" w:space="0" w:color="auto"/>
              <w:bottom w:val="single" w:sz="4" w:space="0" w:color="auto"/>
              <w:right w:val="single" w:sz="4" w:space="0" w:color="auto"/>
            </w:tcBorders>
            <w:shd w:val="clear" w:color="auto" w:fill="auto"/>
            <w:vAlign w:val="center"/>
            <w:hideMark/>
          </w:tcPr>
          <w:p w14:paraId="57C2FDFD" w14:textId="77777777" w:rsidR="00C80C35" w:rsidRPr="001115A3" w:rsidRDefault="00C80C35" w:rsidP="00C80C35">
            <w:pPr>
              <w:rPr>
                <w:rFonts w:cs="Times New Roman"/>
                <w:b/>
                <w:bCs/>
                <w:color w:val="000000"/>
                <w:sz w:val="18"/>
                <w:szCs w:val="18"/>
                <w:lang w:eastAsia="en-GB"/>
              </w:rPr>
            </w:pPr>
            <w:r w:rsidRPr="001115A3">
              <w:rPr>
                <w:rFonts w:cs="Times New Roman"/>
                <w:b/>
                <w:bCs/>
                <w:color w:val="000000"/>
                <w:sz w:val="18"/>
                <w:szCs w:val="18"/>
                <w:lang w:eastAsia="en-GB"/>
              </w:rPr>
              <w:t>Insurance Reserve</w:t>
            </w:r>
          </w:p>
        </w:tc>
        <w:tc>
          <w:tcPr>
            <w:tcW w:w="8844" w:type="dxa"/>
            <w:tcBorders>
              <w:top w:val="nil"/>
              <w:left w:val="nil"/>
              <w:bottom w:val="single" w:sz="4" w:space="0" w:color="auto"/>
              <w:right w:val="single" w:sz="4" w:space="0" w:color="auto"/>
            </w:tcBorders>
            <w:shd w:val="clear" w:color="auto" w:fill="auto"/>
            <w:vAlign w:val="center"/>
            <w:hideMark/>
          </w:tcPr>
          <w:p w14:paraId="6E96B211" w14:textId="77777777" w:rsidR="00C80C35" w:rsidRPr="001115A3" w:rsidRDefault="00C80C35" w:rsidP="00C80C35">
            <w:pPr>
              <w:rPr>
                <w:rFonts w:cs="Times New Roman"/>
                <w:color w:val="000000"/>
                <w:sz w:val="18"/>
                <w:szCs w:val="18"/>
                <w:lang w:eastAsia="en-GB"/>
              </w:rPr>
            </w:pPr>
            <w:r w:rsidRPr="001115A3">
              <w:rPr>
                <w:rFonts w:cs="Times New Roman"/>
                <w:color w:val="000000"/>
                <w:sz w:val="18"/>
                <w:szCs w:val="18"/>
                <w:lang w:eastAsia="en-GB"/>
              </w:rPr>
              <w:t>Provides for the self-funding of certain uninsurable risks, such as payments of compensation or damages, or below the excess level such as motor claims. This Reserve is funded from revenue or transfers from other reserves and is adjusted annually, following an independent actuarial review, to reflect up to date management information on inflation and risk.</w:t>
            </w:r>
            <w:r w:rsidRPr="001115A3">
              <w:rPr>
                <w:rFonts w:cs="Times New Roman"/>
                <w:color w:val="000000"/>
                <w:sz w:val="18"/>
                <w:szCs w:val="18"/>
                <w:lang w:eastAsia="en-GB"/>
              </w:rPr>
              <w:br/>
            </w:r>
            <w:r w:rsidRPr="001115A3">
              <w:rPr>
                <w:rFonts w:cs="Times New Roman"/>
                <w:color w:val="000000"/>
                <w:sz w:val="18"/>
                <w:szCs w:val="18"/>
                <w:lang w:eastAsia="en-GB"/>
              </w:rPr>
              <w:br/>
              <w:t>To improve consistency in funding claims, there is a need to split claims between a provision on the Balance Sheet for the cost of claims received and outstanding; and funds held in the reserve to cover claims incurred but not received or quantified. Claims that have been reported and assessed as more likely to be settled are carried as a financial provision whilst known incidents where no claim has yet been made, are covered by the insurance reserve. The revenue account makes a contribution to the reserve each year that in-year liabilities, as they arise, are charged against. The level of the reserve is reviewed annually.</w:t>
            </w:r>
          </w:p>
        </w:tc>
        <w:tc>
          <w:tcPr>
            <w:tcW w:w="3012" w:type="dxa"/>
            <w:tcBorders>
              <w:top w:val="nil"/>
              <w:left w:val="nil"/>
              <w:bottom w:val="single" w:sz="4" w:space="0" w:color="auto"/>
              <w:right w:val="single" w:sz="4" w:space="0" w:color="auto"/>
            </w:tcBorders>
            <w:shd w:val="clear" w:color="auto" w:fill="auto"/>
            <w:vAlign w:val="center"/>
            <w:hideMark/>
          </w:tcPr>
          <w:p w14:paraId="263A2A3E" w14:textId="77777777" w:rsidR="00C80C35" w:rsidRPr="001115A3" w:rsidRDefault="00C80C35" w:rsidP="00C80C35">
            <w:pPr>
              <w:rPr>
                <w:rFonts w:cs="Times New Roman"/>
                <w:color w:val="000000"/>
                <w:sz w:val="18"/>
                <w:szCs w:val="18"/>
                <w:lang w:eastAsia="en-GB"/>
              </w:rPr>
            </w:pPr>
            <w:r w:rsidRPr="001115A3">
              <w:rPr>
                <w:rFonts w:cs="Times New Roman"/>
                <w:color w:val="000000"/>
                <w:sz w:val="18"/>
                <w:szCs w:val="18"/>
                <w:lang w:eastAsia="en-GB"/>
              </w:rPr>
              <w:t>Assessed as part of the annual insurance actuarial review.</w:t>
            </w:r>
          </w:p>
        </w:tc>
      </w:tr>
      <w:tr w:rsidR="00C80C35" w:rsidRPr="003516A4" w14:paraId="4E082055" w14:textId="77777777" w:rsidTr="00FE10B9">
        <w:trPr>
          <w:trHeight w:val="250"/>
        </w:trPr>
        <w:tc>
          <w:tcPr>
            <w:tcW w:w="3105" w:type="dxa"/>
            <w:tcBorders>
              <w:top w:val="single" w:sz="4" w:space="0" w:color="auto"/>
              <w:left w:val="single" w:sz="4" w:space="0" w:color="auto"/>
              <w:bottom w:val="single" w:sz="4" w:space="0" w:color="auto"/>
              <w:right w:val="nil"/>
            </w:tcBorders>
            <w:shd w:val="clear" w:color="auto" w:fill="auto"/>
            <w:vAlign w:val="center"/>
            <w:hideMark/>
          </w:tcPr>
          <w:p w14:paraId="0281B99F" w14:textId="77777777" w:rsidR="00C80C35" w:rsidRPr="001115A3" w:rsidRDefault="00C80C35" w:rsidP="00C80C35">
            <w:pPr>
              <w:rPr>
                <w:rFonts w:cs="Times New Roman"/>
                <w:b/>
                <w:bCs/>
                <w:color w:val="009999"/>
                <w:sz w:val="20"/>
                <w:szCs w:val="20"/>
                <w:lang w:eastAsia="en-GB"/>
              </w:rPr>
            </w:pPr>
            <w:r w:rsidRPr="001115A3">
              <w:rPr>
                <w:rFonts w:cs="Times New Roman"/>
                <w:b/>
                <w:bCs/>
                <w:color w:val="009999"/>
                <w:sz w:val="20"/>
                <w:szCs w:val="20"/>
                <w:lang w:eastAsia="en-GB"/>
              </w:rPr>
              <w:t>Investment</w:t>
            </w:r>
          </w:p>
        </w:tc>
        <w:tc>
          <w:tcPr>
            <w:tcW w:w="8844" w:type="dxa"/>
            <w:tcBorders>
              <w:top w:val="single" w:sz="4" w:space="0" w:color="auto"/>
              <w:left w:val="nil"/>
              <w:bottom w:val="single" w:sz="4" w:space="0" w:color="auto"/>
              <w:right w:val="nil"/>
            </w:tcBorders>
            <w:shd w:val="clear" w:color="auto" w:fill="auto"/>
            <w:vAlign w:val="center"/>
            <w:hideMark/>
          </w:tcPr>
          <w:p w14:paraId="45BABC8A" w14:textId="77777777" w:rsidR="00C80C35" w:rsidRPr="001115A3" w:rsidRDefault="00C80C35" w:rsidP="00C80C35">
            <w:pPr>
              <w:rPr>
                <w:rFonts w:cs="Times New Roman"/>
                <w:b/>
                <w:bCs/>
                <w:color w:val="009999"/>
                <w:sz w:val="20"/>
                <w:szCs w:val="20"/>
                <w:lang w:eastAsia="en-GB"/>
              </w:rPr>
            </w:pPr>
            <w:r w:rsidRPr="001115A3">
              <w:rPr>
                <w:rFonts w:cs="Times New Roman"/>
                <w:b/>
                <w:bCs/>
                <w:color w:val="009999"/>
                <w:sz w:val="20"/>
                <w:szCs w:val="20"/>
                <w:lang w:eastAsia="en-GB"/>
              </w:rPr>
              <w:t> </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14:paraId="27DFC152" w14:textId="77777777" w:rsidR="00C80C35" w:rsidRPr="001115A3" w:rsidRDefault="00C80C35" w:rsidP="00C80C35">
            <w:pPr>
              <w:rPr>
                <w:rFonts w:cs="Times New Roman"/>
                <w:b/>
                <w:bCs/>
                <w:color w:val="009999"/>
                <w:sz w:val="20"/>
                <w:szCs w:val="20"/>
                <w:lang w:eastAsia="en-GB"/>
              </w:rPr>
            </w:pPr>
            <w:r w:rsidRPr="001115A3">
              <w:rPr>
                <w:rFonts w:cs="Times New Roman"/>
                <w:b/>
                <w:bCs/>
                <w:color w:val="009999"/>
                <w:sz w:val="20"/>
                <w:szCs w:val="20"/>
                <w:lang w:eastAsia="en-GB"/>
              </w:rPr>
              <w:t> </w:t>
            </w:r>
          </w:p>
        </w:tc>
      </w:tr>
      <w:tr w:rsidR="00C80C35" w:rsidRPr="003516A4" w14:paraId="7AE74119" w14:textId="77777777" w:rsidTr="001115A3">
        <w:trPr>
          <w:trHeight w:val="67"/>
        </w:trPr>
        <w:tc>
          <w:tcPr>
            <w:tcW w:w="3105" w:type="dxa"/>
            <w:tcBorders>
              <w:top w:val="nil"/>
              <w:left w:val="single" w:sz="4" w:space="0" w:color="auto"/>
              <w:bottom w:val="single" w:sz="4" w:space="0" w:color="auto"/>
              <w:right w:val="single" w:sz="4" w:space="0" w:color="auto"/>
            </w:tcBorders>
            <w:shd w:val="clear" w:color="auto" w:fill="auto"/>
            <w:vAlign w:val="center"/>
            <w:hideMark/>
          </w:tcPr>
          <w:p w14:paraId="28CD49E7" w14:textId="77777777" w:rsidR="00C80C35" w:rsidRPr="001115A3" w:rsidRDefault="00C80C35" w:rsidP="00C80C35">
            <w:pPr>
              <w:rPr>
                <w:rFonts w:cs="Times New Roman"/>
                <w:b/>
                <w:bCs/>
                <w:color w:val="000000"/>
                <w:sz w:val="20"/>
                <w:szCs w:val="20"/>
                <w:lang w:eastAsia="en-GB"/>
              </w:rPr>
            </w:pPr>
            <w:r w:rsidRPr="001115A3">
              <w:rPr>
                <w:rFonts w:cs="Times New Roman"/>
                <w:b/>
                <w:bCs/>
                <w:color w:val="000000"/>
                <w:sz w:val="20"/>
                <w:szCs w:val="20"/>
                <w:lang w:eastAsia="en-GB"/>
              </w:rPr>
              <w:t>Capital Receipts Reserve</w:t>
            </w:r>
          </w:p>
        </w:tc>
        <w:tc>
          <w:tcPr>
            <w:tcW w:w="8844" w:type="dxa"/>
            <w:tcBorders>
              <w:top w:val="nil"/>
              <w:left w:val="nil"/>
              <w:bottom w:val="single" w:sz="4" w:space="0" w:color="auto"/>
              <w:right w:val="single" w:sz="4" w:space="0" w:color="auto"/>
            </w:tcBorders>
            <w:shd w:val="clear" w:color="auto" w:fill="auto"/>
            <w:vAlign w:val="center"/>
            <w:hideMark/>
          </w:tcPr>
          <w:p w14:paraId="6698E168" w14:textId="77777777" w:rsidR="00C80C35" w:rsidRPr="001115A3" w:rsidRDefault="00C80C35" w:rsidP="00C80C35">
            <w:pPr>
              <w:rPr>
                <w:rFonts w:cs="Times New Roman"/>
                <w:color w:val="000000"/>
                <w:sz w:val="20"/>
                <w:szCs w:val="20"/>
                <w:lang w:eastAsia="en-GB"/>
              </w:rPr>
            </w:pPr>
            <w:r w:rsidRPr="001115A3">
              <w:rPr>
                <w:rFonts w:cs="Times New Roman"/>
                <w:color w:val="000000"/>
                <w:sz w:val="20"/>
                <w:szCs w:val="20"/>
                <w:lang w:eastAsia="en-GB"/>
              </w:rPr>
              <w:t>This reserve holds the proceeds from the sale of assets, and can only be used for financing capital expenditure in accordance with regulations.</w:t>
            </w:r>
          </w:p>
        </w:tc>
        <w:tc>
          <w:tcPr>
            <w:tcW w:w="3012" w:type="dxa"/>
            <w:tcBorders>
              <w:top w:val="nil"/>
              <w:left w:val="nil"/>
              <w:bottom w:val="single" w:sz="4" w:space="0" w:color="auto"/>
              <w:right w:val="single" w:sz="4" w:space="0" w:color="auto"/>
            </w:tcBorders>
            <w:shd w:val="clear" w:color="auto" w:fill="auto"/>
            <w:vAlign w:val="center"/>
            <w:hideMark/>
          </w:tcPr>
          <w:p w14:paraId="120C3F5B" w14:textId="77777777" w:rsidR="00C80C35" w:rsidRPr="001115A3" w:rsidRDefault="00C80C35" w:rsidP="00C80C35">
            <w:pPr>
              <w:rPr>
                <w:rFonts w:cs="Times New Roman"/>
                <w:color w:val="000000"/>
                <w:sz w:val="20"/>
                <w:szCs w:val="20"/>
                <w:lang w:eastAsia="en-GB"/>
              </w:rPr>
            </w:pPr>
            <w:r w:rsidRPr="001115A3">
              <w:rPr>
                <w:rFonts w:cs="Times New Roman"/>
                <w:color w:val="000000"/>
                <w:sz w:val="20"/>
                <w:szCs w:val="20"/>
                <w:lang w:eastAsia="en-GB"/>
              </w:rPr>
              <w:t>Receipts from the sale of assets are taken to this reserve.</w:t>
            </w:r>
          </w:p>
        </w:tc>
      </w:tr>
      <w:tr w:rsidR="00C80C35" w:rsidRPr="003516A4" w14:paraId="589BC8B4" w14:textId="77777777" w:rsidTr="001115A3">
        <w:trPr>
          <w:trHeight w:val="754"/>
        </w:trPr>
        <w:tc>
          <w:tcPr>
            <w:tcW w:w="3105" w:type="dxa"/>
            <w:tcBorders>
              <w:top w:val="nil"/>
              <w:left w:val="single" w:sz="4" w:space="0" w:color="auto"/>
              <w:bottom w:val="single" w:sz="4" w:space="0" w:color="auto"/>
              <w:right w:val="single" w:sz="4" w:space="0" w:color="auto"/>
            </w:tcBorders>
            <w:shd w:val="clear" w:color="auto" w:fill="auto"/>
            <w:vAlign w:val="center"/>
            <w:hideMark/>
          </w:tcPr>
          <w:p w14:paraId="14B96162" w14:textId="77777777" w:rsidR="00C80C35" w:rsidRPr="001115A3" w:rsidRDefault="00C80C35" w:rsidP="00C80C35">
            <w:pPr>
              <w:rPr>
                <w:rFonts w:cs="Times New Roman"/>
                <w:b/>
                <w:bCs/>
                <w:color w:val="000000"/>
                <w:sz w:val="20"/>
                <w:szCs w:val="20"/>
                <w:lang w:eastAsia="en-GB"/>
              </w:rPr>
            </w:pPr>
            <w:r w:rsidRPr="001115A3">
              <w:rPr>
                <w:rFonts w:cs="Times New Roman"/>
                <w:b/>
                <w:bCs/>
                <w:color w:val="000000"/>
                <w:sz w:val="20"/>
                <w:szCs w:val="20"/>
                <w:lang w:eastAsia="en-GB"/>
              </w:rPr>
              <w:t>Capital Grants &amp; Contributions Unapplied Reserve</w:t>
            </w:r>
          </w:p>
        </w:tc>
        <w:tc>
          <w:tcPr>
            <w:tcW w:w="8844" w:type="dxa"/>
            <w:tcBorders>
              <w:top w:val="nil"/>
              <w:left w:val="nil"/>
              <w:bottom w:val="single" w:sz="4" w:space="0" w:color="auto"/>
              <w:right w:val="single" w:sz="4" w:space="0" w:color="auto"/>
            </w:tcBorders>
            <w:shd w:val="clear" w:color="auto" w:fill="auto"/>
            <w:vAlign w:val="center"/>
            <w:hideMark/>
          </w:tcPr>
          <w:p w14:paraId="26D9A579" w14:textId="77777777" w:rsidR="00C80C35" w:rsidRPr="001115A3" w:rsidRDefault="00C80C35" w:rsidP="00C80C35">
            <w:pPr>
              <w:rPr>
                <w:rFonts w:cs="Times New Roman"/>
                <w:color w:val="000000"/>
                <w:sz w:val="20"/>
                <w:szCs w:val="20"/>
                <w:lang w:eastAsia="en-GB"/>
              </w:rPr>
            </w:pPr>
            <w:r w:rsidRPr="001115A3">
              <w:rPr>
                <w:rFonts w:cs="Times New Roman"/>
                <w:color w:val="000000"/>
                <w:sz w:val="20"/>
                <w:szCs w:val="20"/>
                <w:lang w:eastAsia="en-GB"/>
              </w:rPr>
              <w:t>This reserve holds unused elements of grant and other external funding to be spend in the following financial year in line with the conditions of the grant or external funding.</w:t>
            </w:r>
          </w:p>
        </w:tc>
        <w:tc>
          <w:tcPr>
            <w:tcW w:w="3012" w:type="dxa"/>
            <w:tcBorders>
              <w:top w:val="nil"/>
              <w:left w:val="nil"/>
              <w:bottom w:val="single" w:sz="4" w:space="0" w:color="auto"/>
              <w:right w:val="single" w:sz="4" w:space="0" w:color="auto"/>
            </w:tcBorders>
            <w:shd w:val="clear" w:color="auto" w:fill="auto"/>
            <w:vAlign w:val="center"/>
            <w:hideMark/>
          </w:tcPr>
          <w:p w14:paraId="06ADE7A1" w14:textId="77777777" w:rsidR="00C80C35" w:rsidRPr="001115A3" w:rsidRDefault="00C80C35" w:rsidP="00C80C35">
            <w:pPr>
              <w:rPr>
                <w:rFonts w:cs="Times New Roman"/>
                <w:color w:val="000000"/>
                <w:sz w:val="20"/>
                <w:szCs w:val="20"/>
                <w:lang w:eastAsia="en-GB"/>
              </w:rPr>
            </w:pPr>
            <w:r w:rsidRPr="001115A3">
              <w:rPr>
                <w:rFonts w:cs="Times New Roman"/>
                <w:color w:val="000000"/>
                <w:sz w:val="20"/>
                <w:szCs w:val="20"/>
                <w:lang w:eastAsia="en-GB"/>
              </w:rPr>
              <w:t>As determined by the closure of accounts process.</w:t>
            </w:r>
          </w:p>
        </w:tc>
      </w:tr>
      <w:tr w:rsidR="00C80C35" w:rsidRPr="003516A4" w14:paraId="0160D532" w14:textId="77777777" w:rsidTr="001115A3">
        <w:trPr>
          <w:trHeight w:val="250"/>
        </w:trPr>
        <w:tc>
          <w:tcPr>
            <w:tcW w:w="3105" w:type="dxa"/>
            <w:tcBorders>
              <w:top w:val="single" w:sz="4" w:space="0" w:color="auto"/>
              <w:left w:val="single" w:sz="4" w:space="0" w:color="auto"/>
              <w:bottom w:val="single" w:sz="4" w:space="0" w:color="auto"/>
              <w:right w:val="nil"/>
            </w:tcBorders>
            <w:shd w:val="clear" w:color="auto" w:fill="auto"/>
            <w:vAlign w:val="center"/>
            <w:hideMark/>
          </w:tcPr>
          <w:p w14:paraId="6B6F8A96" w14:textId="77777777" w:rsidR="00C80C35" w:rsidRPr="00474441" w:rsidRDefault="00C80C35" w:rsidP="00C80C35">
            <w:pPr>
              <w:rPr>
                <w:rFonts w:cs="Times New Roman"/>
                <w:b/>
                <w:bCs/>
                <w:color w:val="009999"/>
                <w:sz w:val="20"/>
                <w:szCs w:val="20"/>
                <w:lang w:eastAsia="en-GB"/>
              </w:rPr>
            </w:pPr>
            <w:r w:rsidRPr="00474441">
              <w:rPr>
                <w:rFonts w:cs="Times New Roman"/>
                <w:b/>
                <w:bCs/>
                <w:color w:val="009999"/>
                <w:sz w:val="20"/>
                <w:szCs w:val="20"/>
                <w:lang w:eastAsia="en-GB"/>
              </w:rPr>
              <w:t>Single Use</w:t>
            </w:r>
          </w:p>
        </w:tc>
        <w:tc>
          <w:tcPr>
            <w:tcW w:w="8844" w:type="dxa"/>
            <w:tcBorders>
              <w:top w:val="single" w:sz="4" w:space="0" w:color="auto"/>
              <w:left w:val="nil"/>
              <w:bottom w:val="single" w:sz="4" w:space="0" w:color="auto"/>
              <w:right w:val="nil"/>
            </w:tcBorders>
            <w:shd w:val="clear" w:color="auto" w:fill="auto"/>
            <w:vAlign w:val="center"/>
            <w:hideMark/>
          </w:tcPr>
          <w:p w14:paraId="31249D98" w14:textId="77777777" w:rsidR="00C80C35" w:rsidRPr="00474441" w:rsidRDefault="00C80C35" w:rsidP="00C80C35">
            <w:pPr>
              <w:rPr>
                <w:rFonts w:cs="Times New Roman"/>
                <w:b/>
                <w:bCs/>
                <w:color w:val="009999"/>
                <w:sz w:val="20"/>
                <w:szCs w:val="20"/>
                <w:lang w:eastAsia="en-GB"/>
              </w:rPr>
            </w:pPr>
            <w:r w:rsidRPr="00474441">
              <w:rPr>
                <w:rFonts w:cs="Times New Roman"/>
                <w:b/>
                <w:bCs/>
                <w:color w:val="009999"/>
                <w:sz w:val="20"/>
                <w:szCs w:val="20"/>
                <w:lang w:eastAsia="en-GB"/>
              </w:rPr>
              <w:t> </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14:paraId="64BEA8DB" w14:textId="77777777" w:rsidR="00C80C35" w:rsidRPr="00474441" w:rsidRDefault="00C80C35" w:rsidP="00C80C35">
            <w:pPr>
              <w:rPr>
                <w:rFonts w:cs="Times New Roman"/>
                <w:b/>
                <w:bCs/>
                <w:color w:val="009999"/>
                <w:sz w:val="20"/>
                <w:szCs w:val="20"/>
                <w:lang w:eastAsia="en-GB"/>
              </w:rPr>
            </w:pPr>
            <w:r w:rsidRPr="00474441">
              <w:rPr>
                <w:rFonts w:cs="Times New Roman"/>
                <w:b/>
                <w:bCs/>
                <w:color w:val="009999"/>
                <w:sz w:val="20"/>
                <w:szCs w:val="20"/>
                <w:lang w:eastAsia="en-GB"/>
              </w:rPr>
              <w:t> </w:t>
            </w:r>
          </w:p>
        </w:tc>
      </w:tr>
      <w:tr w:rsidR="00C80C35" w:rsidRPr="003516A4" w14:paraId="074AE68D" w14:textId="77777777" w:rsidTr="001115A3">
        <w:trPr>
          <w:trHeight w:val="306"/>
        </w:trPr>
        <w:tc>
          <w:tcPr>
            <w:tcW w:w="3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F8766" w14:textId="77777777" w:rsidR="00C80C35" w:rsidRPr="00474441" w:rsidRDefault="00C80C35" w:rsidP="00C80C35">
            <w:pPr>
              <w:rPr>
                <w:rFonts w:cs="Times New Roman"/>
                <w:b/>
                <w:bCs/>
                <w:color w:val="000000"/>
                <w:sz w:val="20"/>
                <w:szCs w:val="20"/>
                <w:lang w:eastAsia="en-GB"/>
              </w:rPr>
            </w:pPr>
            <w:r w:rsidRPr="00474441">
              <w:rPr>
                <w:rFonts w:cs="Times New Roman"/>
                <w:b/>
                <w:bCs/>
                <w:color w:val="000000"/>
                <w:sz w:val="20"/>
                <w:szCs w:val="20"/>
                <w:lang w:eastAsia="en-GB"/>
              </w:rPr>
              <w:t>PCC Operational Reserve</w:t>
            </w:r>
          </w:p>
        </w:tc>
        <w:tc>
          <w:tcPr>
            <w:tcW w:w="8844" w:type="dxa"/>
            <w:tcBorders>
              <w:top w:val="single" w:sz="4" w:space="0" w:color="auto"/>
              <w:left w:val="nil"/>
              <w:bottom w:val="single" w:sz="4" w:space="0" w:color="auto"/>
              <w:right w:val="single" w:sz="4" w:space="0" w:color="auto"/>
            </w:tcBorders>
            <w:shd w:val="clear" w:color="auto" w:fill="auto"/>
            <w:vAlign w:val="center"/>
            <w:hideMark/>
          </w:tcPr>
          <w:p w14:paraId="6C5A42A6" w14:textId="77777777" w:rsidR="00C80C35" w:rsidRPr="00474441" w:rsidRDefault="00C80C35" w:rsidP="00C80C35">
            <w:pPr>
              <w:rPr>
                <w:rFonts w:cs="Times New Roman"/>
                <w:color w:val="000000"/>
                <w:sz w:val="20"/>
                <w:szCs w:val="20"/>
                <w:lang w:eastAsia="en-GB"/>
              </w:rPr>
            </w:pPr>
            <w:r w:rsidRPr="00474441">
              <w:rPr>
                <w:rFonts w:cs="Times New Roman"/>
                <w:color w:val="000000"/>
                <w:sz w:val="20"/>
                <w:szCs w:val="20"/>
                <w:lang w:eastAsia="en-GB"/>
              </w:rPr>
              <w:t>This reserve was set up to facilitate transformational change that will deliver future savings and repay investment.</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14:paraId="5DBBC394" w14:textId="77777777" w:rsidR="00C80C35" w:rsidRPr="00474441" w:rsidRDefault="00C80C35" w:rsidP="00C80C35">
            <w:pPr>
              <w:rPr>
                <w:rFonts w:cs="Times New Roman"/>
                <w:color w:val="000000"/>
                <w:sz w:val="20"/>
                <w:szCs w:val="20"/>
                <w:lang w:eastAsia="en-GB"/>
              </w:rPr>
            </w:pPr>
            <w:r w:rsidRPr="00474441">
              <w:rPr>
                <w:rFonts w:cs="Times New Roman"/>
                <w:color w:val="000000"/>
                <w:sz w:val="20"/>
                <w:szCs w:val="20"/>
                <w:lang w:eastAsia="en-GB"/>
              </w:rPr>
              <w:t>Assessed as part of the medium term financial planning process.</w:t>
            </w:r>
          </w:p>
        </w:tc>
      </w:tr>
      <w:tr w:rsidR="00C80C35" w:rsidRPr="003516A4" w14:paraId="1B7D955B" w14:textId="77777777" w:rsidTr="001115A3">
        <w:trPr>
          <w:trHeight w:val="754"/>
        </w:trPr>
        <w:tc>
          <w:tcPr>
            <w:tcW w:w="3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B6445" w14:textId="77777777" w:rsidR="00C80C35" w:rsidRPr="00474441" w:rsidRDefault="00C80C35" w:rsidP="00C80C35">
            <w:pPr>
              <w:rPr>
                <w:rFonts w:cs="Times New Roman"/>
                <w:b/>
                <w:bCs/>
                <w:color w:val="000000"/>
                <w:sz w:val="20"/>
                <w:szCs w:val="20"/>
                <w:lang w:eastAsia="en-GB"/>
              </w:rPr>
            </w:pPr>
            <w:r w:rsidRPr="00474441">
              <w:rPr>
                <w:rFonts w:cs="Times New Roman"/>
                <w:b/>
                <w:bCs/>
                <w:color w:val="000000"/>
                <w:sz w:val="20"/>
                <w:szCs w:val="20"/>
                <w:lang w:eastAsia="en-GB"/>
              </w:rPr>
              <w:t>PCC Estate Strategy Reserve</w:t>
            </w:r>
          </w:p>
        </w:tc>
        <w:tc>
          <w:tcPr>
            <w:tcW w:w="8844" w:type="dxa"/>
            <w:tcBorders>
              <w:top w:val="single" w:sz="4" w:space="0" w:color="auto"/>
              <w:left w:val="nil"/>
              <w:bottom w:val="single" w:sz="4" w:space="0" w:color="auto"/>
              <w:right w:val="single" w:sz="4" w:space="0" w:color="auto"/>
            </w:tcBorders>
            <w:shd w:val="clear" w:color="auto" w:fill="auto"/>
            <w:vAlign w:val="center"/>
            <w:hideMark/>
          </w:tcPr>
          <w:p w14:paraId="1BC29BFC" w14:textId="77777777" w:rsidR="00C80C35" w:rsidRPr="00474441" w:rsidRDefault="00C80C35" w:rsidP="00C80C35">
            <w:pPr>
              <w:rPr>
                <w:rFonts w:cs="Times New Roman"/>
                <w:color w:val="000000"/>
                <w:sz w:val="20"/>
                <w:szCs w:val="20"/>
                <w:lang w:eastAsia="en-GB"/>
              </w:rPr>
            </w:pPr>
            <w:r w:rsidRPr="00474441">
              <w:rPr>
                <w:rFonts w:cs="Times New Roman"/>
                <w:color w:val="000000"/>
                <w:sz w:val="20"/>
                <w:szCs w:val="20"/>
                <w:lang w:eastAsia="en-GB"/>
              </w:rPr>
              <w:t>This reserve was created to manage the transition costs involved in delivering the Estate Strategy which involves rationalising some of the current estate and building a new operational headquarters.</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14:paraId="13E6E220" w14:textId="77777777" w:rsidR="00C80C35" w:rsidRPr="00474441" w:rsidRDefault="00C80C35" w:rsidP="00C80C35">
            <w:pPr>
              <w:rPr>
                <w:rFonts w:cs="Times New Roman"/>
                <w:color w:val="000000"/>
                <w:sz w:val="20"/>
                <w:szCs w:val="20"/>
                <w:lang w:eastAsia="en-GB"/>
              </w:rPr>
            </w:pPr>
            <w:r w:rsidRPr="00474441">
              <w:rPr>
                <w:rFonts w:cs="Times New Roman"/>
                <w:color w:val="000000"/>
                <w:sz w:val="20"/>
                <w:szCs w:val="20"/>
                <w:lang w:eastAsia="en-GB"/>
              </w:rPr>
              <w:t>Assessed as part of the medium term financial planning process.</w:t>
            </w:r>
          </w:p>
        </w:tc>
      </w:tr>
      <w:tr w:rsidR="00C80C35" w:rsidRPr="003516A4" w14:paraId="6F4DB279" w14:textId="77777777" w:rsidTr="001115A3">
        <w:trPr>
          <w:trHeight w:val="1006"/>
        </w:trPr>
        <w:tc>
          <w:tcPr>
            <w:tcW w:w="3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79296" w14:textId="77777777" w:rsidR="00C80C35" w:rsidRPr="00474441" w:rsidRDefault="00C80C35" w:rsidP="00C80C35">
            <w:pPr>
              <w:rPr>
                <w:rFonts w:cs="Times New Roman"/>
                <w:b/>
                <w:bCs/>
                <w:color w:val="000000"/>
                <w:sz w:val="20"/>
                <w:szCs w:val="20"/>
                <w:lang w:eastAsia="en-GB"/>
              </w:rPr>
            </w:pPr>
            <w:r w:rsidRPr="00474441">
              <w:rPr>
                <w:rFonts w:cs="Times New Roman"/>
                <w:b/>
                <w:bCs/>
                <w:color w:val="000000"/>
                <w:sz w:val="20"/>
                <w:szCs w:val="20"/>
                <w:lang w:eastAsia="en-GB"/>
              </w:rPr>
              <w:t>PCC Cost of Change Reserve</w:t>
            </w:r>
          </w:p>
        </w:tc>
        <w:tc>
          <w:tcPr>
            <w:tcW w:w="8844" w:type="dxa"/>
            <w:tcBorders>
              <w:top w:val="single" w:sz="4" w:space="0" w:color="auto"/>
              <w:left w:val="nil"/>
              <w:bottom w:val="single" w:sz="4" w:space="0" w:color="auto"/>
              <w:right w:val="single" w:sz="4" w:space="0" w:color="auto"/>
            </w:tcBorders>
            <w:shd w:val="clear" w:color="auto" w:fill="auto"/>
            <w:vAlign w:val="center"/>
            <w:hideMark/>
          </w:tcPr>
          <w:p w14:paraId="581F45C1" w14:textId="77777777" w:rsidR="00C80C35" w:rsidRPr="00474441" w:rsidRDefault="00C80C35" w:rsidP="00C80C35">
            <w:pPr>
              <w:rPr>
                <w:rFonts w:cs="Times New Roman"/>
                <w:color w:val="000000"/>
                <w:sz w:val="20"/>
                <w:szCs w:val="20"/>
                <w:lang w:eastAsia="en-GB"/>
              </w:rPr>
            </w:pPr>
            <w:r w:rsidRPr="00474441">
              <w:rPr>
                <w:rFonts w:cs="Times New Roman"/>
                <w:color w:val="000000"/>
                <w:sz w:val="20"/>
                <w:szCs w:val="20"/>
                <w:lang w:eastAsia="en-GB"/>
              </w:rPr>
              <w:t>This reserve funds projects that enhance the policing in Surrey and/or deliver savings. In practice the proposal is that any under spend from the operational budget in excess of General Reserve requirements is transferred to this reserve at the year-end subject to PCC approval.</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14:paraId="42C3DEF8" w14:textId="77777777" w:rsidR="00C80C35" w:rsidRPr="00474441" w:rsidRDefault="00C80C35" w:rsidP="00C80C35">
            <w:pPr>
              <w:rPr>
                <w:rFonts w:cs="Times New Roman"/>
                <w:color w:val="000000"/>
                <w:sz w:val="20"/>
                <w:szCs w:val="20"/>
                <w:lang w:eastAsia="en-GB"/>
              </w:rPr>
            </w:pPr>
            <w:r w:rsidRPr="00474441">
              <w:rPr>
                <w:rFonts w:cs="Times New Roman"/>
                <w:color w:val="000000"/>
                <w:sz w:val="20"/>
                <w:szCs w:val="20"/>
                <w:lang w:eastAsia="en-GB"/>
              </w:rPr>
              <w:t>Assessed as part of the medium term financial planning process.</w:t>
            </w:r>
          </w:p>
        </w:tc>
      </w:tr>
      <w:tr w:rsidR="00C80C35" w:rsidRPr="003516A4" w14:paraId="4F1B1BE2" w14:textId="77777777" w:rsidTr="001115A3">
        <w:trPr>
          <w:trHeight w:val="56"/>
        </w:trPr>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12C4B8C2" w14:textId="77777777" w:rsidR="00C80C35" w:rsidRPr="00474441" w:rsidRDefault="00C80C35" w:rsidP="00C80C35">
            <w:pPr>
              <w:rPr>
                <w:rFonts w:cs="Times New Roman"/>
                <w:b/>
                <w:bCs/>
                <w:color w:val="000000"/>
                <w:sz w:val="20"/>
                <w:szCs w:val="20"/>
                <w:lang w:eastAsia="en-GB"/>
              </w:rPr>
            </w:pPr>
            <w:r w:rsidRPr="00474441">
              <w:rPr>
                <w:rFonts w:cs="Times New Roman"/>
                <w:b/>
                <w:bCs/>
                <w:color w:val="000000"/>
                <w:sz w:val="20"/>
                <w:szCs w:val="20"/>
                <w:lang w:eastAsia="en-GB"/>
              </w:rPr>
              <w:t>Covid 19 Reserve</w:t>
            </w:r>
          </w:p>
        </w:tc>
        <w:tc>
          <w:tcPr>
            <w:tcW w:w="8844" w:type="dxa"/>
            <w:tcBorders>
              <w:top w:val="single" w:sz="4" w:space="0" w:color="auto"/>
              <w:left w:val="nil"/>
              <w:bottom w:val="single" w:sz="4" w:space="0" w:color="auto"/>
              <w:right w:val="single" w:sz="4" w:space="0" w:color="auto"/>
            </w:tcBorders>
            <w:shd w:val="clear" w:color="auto" w:fill="auto"/>
            <w:vAlign w:val="center"/>
          </w:tcPr>
          <w:p w14:paraId="1FF09410" w14:textId="77777777" w:rsidR="00C80C35" w:rsidRPr="00474441" w:rsidRDefault="00C80C35" w:rsidP="00C80C35">
            <w:pPr>
              <w:rPr>
                <w:rFonts w:cs="Times New Roman"/>
                <w:color w:val="000000"/>
                <w:sz w:val="20"/>
                <w:szCs w:val="20"/>
                <w:lang w:eastAsia="en-GB"/>
              </w:rPr>
            </w:pPr>
            <w:r w:rsidRPr="00474441">
              <w:rPr>
                <w:rFonts w:cs="Times New Roman"/>
                <w:color w:val="000000"/>
                <w:sz w:val="20"/>
                <w:szCs w:val="20"/>
                <w:lang w:eastAsia="en-GB"/>
              </w:rPr>
              <w:t>This reserve was set up to facilitate additional cost pressures likely to arise in 2020/21 as a result of the Coronavirus pandemic.</w:t>
            </w:r>
          </w:p>
        </w:tc>
        <w:tc>
          <w:tcPr>
            <w:tcW w:w="3012" w:type="dxa"/>
            <w:tcBorders>
              <w:top w:val="single" w:sz="4" w:space="0" w:color="auto"/>
              <w:left w:val="nil"/>
              <w:bottom w:val="single" w:sz="4" w:space="0" w:color="auto"/>
              <w:right w:val="single" w:sz="4" w:space="0" w:color="auto"/>
            </w:tcBorders>
            <w:shd w:val="clear" w:color="auto" w:fill="auto"/>
            <w:vAlign w:val="center"/>
          </w:tcPr>
          <w:p w14:paraId="6B6CFC62" w14:textId="77777777" w:rsidR="00C80C35" w:rsidRPr="00474441" w:rsidRDefault="00C80C35" w:rsidP="00C80C35">
            <w:pPr>
              <w:rPr>
                <w:rFonts w:cs="Times New Roman"/>
                <w:color w:val="000000"/>
                <w:sz w:val="20"/>
                <w:szCs w:val="20"/>
                <w:lang w:eastAsia="en-GB"/>
              </w:rPr>
            </w:pPr>
            <w:r w:rsidRPr="00474441">
              <w:rPr>
                <w:rFonts w:cs="Times New Roman"/>
                <w:color w:val="000000"/>
                <w:sz w:val="20"/>
                <w:szCs w:val="20"/>
                <w:lang w:eastAsia="en-GB"/>
              </w:rPr>
              <w:t>Recommended by the closure of accounts process.</w:t>
            </w:r>
          </w:p>
        </w:tc>
      </w:tr>
    </w:tbl>
    <w:p w14:paraId="5E0996AD" w14:textId="77777777" w:rsidR="00114798" w:rsidRPr="003516A4" w:rsidRDefault="00114798" w:rsidP="00C80C35">
      <w:pPr>
        <w:pStyle w:val="Normal0"/>
        <w:spacing w:after="160" w:line="259" w:lineRule="auto"/>
        <w:jc w:val="both"/>
        <w:rPr>
          <w:rFonts w:ascii="Verdana" w:eastAsia="Verdana" w:hAnsi="Verdana" w:cs="Verdana"/>
          <w:b/>
          <w:sz w:val="22"/>
          <w:szCs w:val="22"/>
          <w:highlight w:val="yellow"/>
          <w:lang w:val="en-GB"/>
        </w:rPr>
      </w:pPr>
    </w:p>
    <w:p w14:paraId="0B9BFA00" w14:textId="77777777" w:rsidR="00A4534C" w:rsidRDefault="00A4534C" w:rsidP="00A31A9E">
      <w:pPr>
        <w:pStyle w:val="Heading1"/>
      </w:pPr>
    </w:p>
    <w:p w14:paraId="5705F0E3" w14:textId="77777777" w:rsidR="00CA6653" w:rsidRPr="00C12737" w:rsidRDefault="00CA6653" w:rsidP="00A31A9E">
      <w:pPr>
        <w:pStyle w:val="Heading1"/>
      </w:pPr>
      <w:bookmarkStart w:id="22" w:name="_Toc75122776"/>
      <w:r w:rsidRPr="00C12737">
        <w:t>Note 8 - Taxation and Non-Specific Grant Income</w:t>
      </w:r>
      <w:bookmarkEnd w:id="22"/>
      <w:r w:rsidRPr="00C12737">
        <w:t xml:space="preserve"> </w:t>
      </w:r>
    </w:p>
    <w:p w14:paraId="19F71BF2" w14:textId="77777777" w:rsidR="00CA6653" w:rsidRPr="00C12737" w:rsidRDefault="00CA6653">
      <w:pPr>
        <w:pStyle w:val="Normal0"/>
        <w:spacing w:after="160"/>
        <w:rPr>
          <w:rFonts w:ascii="Verdana" w:eastAsia="Verdana" w:hAnsi="Verdana" w:cs="Verdana"/>
          <w:sz w:val="22"/>
          <w:szCs w:val="22"/>
          <w:lang w:val="en-GB"/>
        </w:rPr>
      </w:pPr>
      <w:r w:rsidRPr="00C12737">
        <w:rPr>
          <w:rFonts w:ascii="Verdana" w:eastAsia="Verdana" w:hAnsi="Verdana" w:cs="Verdana"/>
          <w:sz w:val="22"/>
          <w:szCs w:val="22"/>
          <w:lang w:val="en-GB"/>
        </w:rPr>
        <w:t>The group credited the following grants, contributions and donations to the Comprehensive Income and Expenditure Statement in 20</w:t>
      </w:r>
      <w:r w:rsidR="00056618" w:rsidRPr="00C12737">
        <w:rPr>
          <w:rFonts w:ascii="Verdana" w:eastAsia="Verdana" w:hAnsi="Verdana" w:cs="Verdana"/>
          <w:sz w:val="22"/>
          <w:szCs w:val="22"/>
          <w:lang w:val="en-GB"/>
        </w:rPr>
        <w:t>20</w:t>
      </w:r>
      <w:r w:rsidRPr="00C12737">
        <w:rPr>
          <w:rFonts w:ascii="Verdana" w:eastAsia="Verdana" w:hAnsi="Verdana" w:cs="Verdana"/>
          <w:sz w:val="22"/>
          <w:szCs w:val="22"/>
          <w:lang w:val="en-GB"/>
        </w:rPr>
        <w:t>/</w:t>
      </w:r>
      <w:r w:rsidR="00C04F26" w:rsidRPr="00C12737">
        <w:rPr>
          <w:rFonts w:ascii="Verdana" w:eastAsia="Verdana" w:hAnsi="Verdana" w:cs="Verdana"/>
          <w:sz w:val="22"/>
          <w:szCs w:val="22"/>
          <w:lang w:val="en-GB"/>
        </w:rPr>
        <w:t>2</w:t>
      </w:r>
      <w:r w:rsidR="00056618" w:rsidRPr="00C12737">
        <w:rPr>
          <w:rFonts w:ascii="Verdana" w:eastAsia="Verdana" w:hAnsi="Verdana" w:cs="Verdana"/>
          <w:sz w:val="22"/>
          <w:szCs w:val="22"/>
          <w:lang w:val="en-GB"/>
        </w:rPr>
        <w:t>1</w:t>
      </w:r>
      <w:r w:rsidRPr="00C12737">
        <w:rPr>
          <w:rFonts w:ascii="Verdana" w:eastAsia="Verdana" w:hAnsi="Verdana" w:cs="Verdana"/>
          <w:sz w:val="22"/>
          <w:szCs w:val="22"/>
          <w:lang w:val="en-GB"/>
        </w:rPr>
        <w:t>:</w:t>
      </w:r>
    </w:p>
    <w:tbl>
      <w:tblPr>
        <w:tblW w:w="0" w:type="auto"/>
        <w:jc w:val="center"/>
        <w:tblLayout w:type="fixed"/>
        <w:tblLook w:val="04A0" w:firstRow="1" w:lastRow="0" w:firstColumn="1" w:lastColumn="0" w:noHBand="0" w:noVBand="1"/>
      </w:tblPr>
      <w:tblGrid>
        <w:gridCol w:w="1721"/>
        <w:gridCol w:w="343"/>
        <w:gridCol w:w="3959"/>
        <w:gridCol w:w="1460"/>
      </w:tblGrid>
      <w:tr w:rsidR="004D417B" w:rsidRPr="00CF0671" w14:paraId="554D0C30" w14:textId="77777777" w:rsidTr="00A4534C">
        <w:trPr>
          <w:trHeight w:val="438"/>
          <w:jc w:val="center"/>
        </w:trPr>
        <w:tc>
          <w:tcPr>
            <w:tcW w:w="1721" w:type="dxa"/>
            <w:shd w:val="clear" w:color="auto" w:fill="auto"/>
            <w:tcMar>
              <w:top w:w="20" w:type="dxa"/>
              <w:left w:w="20" w:type="dxa"/>
              <w:bottom w:w="20" w:type="dxa"/>
              <w:right w:w="20" w:type="dxa"/>
            </w:tcMar>
            <w:vAlign w:val="bottom"/>
          </w:tcPr>
          <w:p w14:paraId="37F7C079" w14:textId="77777777" w:rsidR="00CA6653" w:rsidRPr="00CF0671" w:rsidRDefault="00CA6653" w:rsidP="00987C45">
            <w:pPr>
              <w:pStyle w:val="T1TableStyle"/>
              <w:jc w:val="center"/>
              <w:rPr>
                <w:rFonts w:ascii="Verdana" w:eastAsia="Verdana" w:hAnsi="Verdana" w:cs="Verdana"/>
                <w:b/>
                <w:color w:val="000000"/>
                <w:sz w:val="16"/>
                <w:lang w:val="en-GB"/>
              </w:rPr>
            </w:pPr>
            <w:r w:rsidRPr="00CF0671">
              <w:rPr>
                <w:rFonts w:ascii="Verdana" w:eastAsia="Verdana" w:hAnsi="Verdana" w:cs="Verdana"/>
                <w:b/>
                <w:color w:val="000000"/>
                <w:sz w:val="16"/>
                <w:lang w:val="en-GB"/>
              </w:rPr>
              <w:t>201</w:t>
            </w:r>
            <w:r w:rsidR="00987C45" w:rsidRPr="00CF0671">
              <w:rPr>
                <w:rFonts w:ascii="Verdana" w:eastAsia="Verdana" w:hAnsi="Verdana" w:cs="Verdana"/>
                <w:b/>
                <w:color w:val="000000"/>
                <w:sz w:val="16"/>
                <w:lang w:val="en-GB"/>
              </w:rPr>
              <w:t>9</w:t>
            </w:r>
            <w:r w:rsidRPr="00CF0671">
              <w:rPr>
                <w:rFonts w:ascii="Verdana" w:eastAsia="Verdana" w:hAnsi="Verdana" w:cs="Verdana"/>
                <w:b/>
                <w:color w:val="000000"/>
                <w:sz w:val="16"/>
                <w:lang w:val="en-GB"/>
              </w:rPr>
              <w:t>/</w:t>
            </w:r>
            <w:r w:rsidR="00987C45" w:rsidRPr="00CF0671">
              <w:rPr>
                <w:rFonts w:ascii="Verdana" w:eastAsia="Verdana" w:hAnsi="Verdana" w:cs="Verdana"/>
                <w:b/>
                <w:color w:val="000000"/>
                <w:sz w:val="16"/>
                <w:lang w:val="en-GB"/>
              </w:rPr>
              <w:t>20</w:t>
            </w:r>
          </w:p>
        </w:tc>
        <w:tc>
          <w:tcPr>
            <w:tcW w:w="343" w:type="dxa"/>
            <w:shd w:val="clear" w:color="auto" w:fill="auto"/>
            <w:tcMar>
              <w:top w:w="20" w:type="dxa"/>
              <w:left w:w="20" w:type="dxa"/>
              <w:bottom w:w="20" w:type="dxa"/>
              <w:right w:w="20" w:type="dxa"/>
            </w:tcMar>
            <w:vAlign w:val="bottom"/>
          </w:tcPr>
          <w:p w14:paraId="369FA638" w14:textId="77777777" w:rsidR="00CA6653" w:rsidRPr="00CF0671" w:rsidRDefault="00CA6653">
            <w:pPr>
              <w:pStyle w:val="T1TableStyle"/>
              <w:jc w:val="center"/>
              <w:rPr>
                <w:rFonts w:ascii="Verdana" w:eastAsia="Verdana" w:hAnsi="Verdana" w:cs="Verdana"/>
                <w:b/>
                <w:color w:val="000000"/>
                <w:sz w:val="2"/>
                <w:lang w:val="en-GB"/>
              </w:rPr>
            </w:pPr>
            <w:r w:rsidRPr="00CF0671">
              <w:rPr>
                <w:rFonts w:ascii="Verdana" w:eastAsia="Verdana" w:hAnsi="Verdana" w:cs="Verdana"/>
                <w:b/>
                <w:color w:val="000000"/>
                <w:sz w:val="2"/>
                <w:lang w:val="en-GB"/>
              </w:rPr>
              <w:t xml:space="preserve"> </w:t>
            </w:r>
          </w:p>
        </w:tc>
        <w:tc>
          <w:tcPr>
            <w:tcW w:w="3959" w:type="dxa"/>
            <w:shd w:val="clear" w:color="auto" w:fill="auto"/>
            <w:tcMar>
              <w:top w:w="20" w:type="dxa"/>
              <w:left w:w="20" w:type="dxa"/>
              <w:bottom w:w="20" w:type="dxa"/>
              <w:right w:w="20" w:type="dxa"/>
            </w:tcMar>
            <w:vAlign w:val="bottom"/>
          </w:tcPr>
          <w:p w14:paraId="25B87807" w14:textId="77777777" w:rsidR="00CA6653" w:rsidRPr="00CF0671" w:rsidRDefault="00CA6653">
            <w:pPr>
              <w:pStyle w:val="T1TableStyle"/>
              <w:jc w:val="center"/>
              <w:rPr>
                <w:rFonts w:ascii="Verdana" w:eastAsia="Verdana" w:hAnsi="Verdana" w:cs="Verdana"/>
                <w:b/>
                <w:color w:val="000000"/>
                <w:sz w:val="2"/>
                <w:lang w:val="en-GB"/>
              </w:rPr>
            </w:pPr>
            <w:r w:rsidRPr="00CF0671">
              <w:rPr>
                <w:rFonts w:ascii="Verdana" w:eastAsia="Verdana" w:hAnsi="Verdana" w:cs="Verdana"/>
                <w:b/>
                <w:color w:val="000000"/>
                <w:sz w:val="2"/>
                <w:lang w:val="en-GB"/>
              </w:rPr>
              <w:t xml:space="preserve"> </w:t>
            </w:r>
          </w:p>
        </w:tc>
        <w:tc>
          <w:tcPr>
            <w:tcW w:w="1460" w:type="dxa"/>
            <w:shd w:val="clear" w:color="auto" w:fill="auto"/>
            <w:tcMar>
              <w:top w:w="20" w:type="dxa"/>
              <w:left w:w="20" w:type="dxa"/>
              <w:bottom w:w="20" w:type="dxa"/>
              <w:right w:w="20" w:type="dxa"/>
            </w:tcMar>
            <w:vAlign w:val="bottom"/>
          </w:tcPr>
          <w:p w14:paraId="30E17B89" w14:textId="77777777" w:rsidR="00CA6653" w:rsidRPr="00CF0671" w:rsidRDefault="00CA6653" w:rsidP="00987C45">
            <w:pPr>
              <w:pStyle w:val="T1TableStyle"/>
              <w:jc w:val="center"/>
              <w:rPr>
                <w:rFonts w:ascii="Verdana" w:eastAsia="Verdana" w:hAnsi="Verdana" w:cs="Verdana"/>
                <w:b/>
                <w:color w:val="000000"/>
                <w:sz w:val="16"/>
                <w:lang w:val="en-GB"/>
              </w:rPr>
            </w:pPr>
            <w:r w:rsidRPr="00CF0671">
              <w:rPr>
                <w:rFonts w:ascii="Verdana" w:eastAsia="Verdana" w:hAnsi="Verdana" w:cs="Verdana"/>
                <w:b/>
                <w:color w:val="000000"/>
                <w:sz w:val="16"/>
                <w:lang w:val="en-GB"/>
              </w:rPr>
              <w:t>20</w:t>
            </w:r>
            <w:r w:rsidR="00987C45" w:rsidRPr="00CF0671">
              <w:rPr>
                <w:rFonts w:ascii="Verdana" w:eastAsia="Verdana" w:hAnsi="Verdana" w:cs="Verdana"/>
                <w:b/>
                <w:color w:val="000000"/>
                <w:sz w:val="16"/>
                <w:lang w:val="en-GB"/>
              </w:rPr>
              <w:t>20</w:t>
            </w:r>
            <w:r w:rsidRPr="00CF0671">
              <w:rPr>
                <w:rFonts w:ascii="Verdana" w:eastAsia="Verdana" w:hAnsi="Verdana" w:cs="Verdana"/>
                <w:b/>
                <w:color w:val="000000"/>
                <w:sz w:val="16"/>
                <w:lang w:val="en-GB"/>
              </w:rPr>
              <w:t>/2</w:t>
            </w:r>
            <w:r w:rsidR="00987C45" w:rsidRPr="00CF0671">
              <w:rPr>
                <w:rFonts w:ascii="Verdana" w:eastAsia="Verdana" w:hAnsi="Verdana" w:cs="Verdana"/>
                <w:b/>
                <w:color w:val="000000"/>
                <w:sz w:val="16"/>
                <w:lang w:val="en-GB"/>
              </w:rPr>
              <w:t>1</w:t>
            </w:r>
          </w:p>
        </w:tc>
      </w:tr>
      <w:tr w:rsidR="004D417B" w:rsidRPr="00CF0671" w14:paraId="245D79F3" w14:textId="77777777" w:rsidTr="00A4534C">
        <w:trPr>
          <w:trHeight w:val="54"/>
          <w:jc w:val="center"/>
        </w:trPr>
        <w:tc>
          <w:tcPr>
            <w:tcW w:w="1721" w:type="dxa"/>
            <w:tcBorders>
              <w:bottom w:val="single" w:sz="2" w:space="0" w:color="000000"/>
            </w:tcBorders>
            <w:shd w:val="clear" w:color="auto" w:fill="auto"/>
            <w:tcMar>
              <w:top w:w="20" w:type="dxa"/>
              <w:left w:w="20" w:type="dxa"/>
              <w:bottom w:w="20" w:type="dxa"/>
              <w:right w:w="20" w:type="dxa"/>
            </w:tcMar>
          </w:tcPr>
          <w:p w14:paraId="07D969FA" w14:textId="77777777" w:rsidR="00CA6653" w:rsidRPr="00CF0671" w:rsidRDefault="00CA6653">
            <w:pPr>
              <w:pStyle w:val="T1TableStyle"/>
              <w:jc w:val="right"/>
              <w:rPr>
                <w:rFonts w:ascii="Verdana" w:eastAsia="Verdana" w:hAnsi="Verdana" w:cs="Verdana"/>
                <w:b/>
                <w:color w:val="000000"/>
                <w:sz w:val="16"/>
                <w:lang w:val="en-GB"/>
              </w:rPr>
            </w:pPr>
            <w:r w:rsidRPr="00CF0671">
              <w:rPr>
                <w:rFonts w:ascii="Verdana" w:eastAsia="Verdana" w:hAnsi="Verdana" w:cs="Verdana"/>
                <w:b/>
                <w:color w:val="000000"/>
                <w:sz w:val="16"/>
                <w:lang w:val="en-GB"/>
              </w:rPr>
              <w:t>£000</w:t>
            </w:r>
          </w:p>
        </w:tc>
        <w:tc>
          <w:tcPr>
            <w:tcW w:w="343" w:type="dxa"/>
            <w:tcBorders>
              <w:bottom w:val="single" w:sz="2" w:space="0" w:color="000000"/>
            </w:tcBorders>
            <w:shd w:val="clear" w:color="auto" w:fill="auto"/>
            <w:tcMar>
              <w:top w:w="20" w:type="dxa"/>
              <w:left w:w="20" w:type="dxa"/>
              <w:bottom w:w="20" w:type="dxa"/>
              <w:right w:w="20" w:type="dxa"/>
            </w:tcMar>
          </w:tcPr>
          <w:p w14:paraId="3AC35BCF" w14:textId="77777777" w:rsidR="00CA6653" w:rsidRPr="00CF0671" w:rsidRDefault="00CA6653">
            <w:pPr>
              <w:pStyle w:val="T1TableStyle"/>
              <w:jc w:val="right"/>
              <w:rPr>
                <w:rFonts w:ascii="Verdana" w:eastAsia="Verdana" w:hAnsi="Verdana" w:cs="Verdana"/>
                <w:b/>
                <w:color w:val="000000"/>
                <w:sz w:val="2"/>
                <w:lang w:val="en-GB"/>
              </w:rPr>
            </w:pPr>
            <w:r w:rsidRPr="00CF0671">
              <w:rPr>
                <w:rFonts w:ascii="Verdana" w:eastAsia="Verdana" w:hAnsi="Verdana" w:cs="Verdana"/>
                <w:b/>
                <w:color w:val="000000"/>
                <w:sz w:val="2"/>
                <w:lang w:val="en-GB"/>
              </w:rPr>
              <w:t xml:space="preserve"> </w:t>
            </w:r>
          </w:p>
        </w:tc>
        <w:tc>
          <w:tcPr>
            <w:tcW w:w="3959" w:type="dxa"/>
            <w:tcBorders>
              <w:bottom w:val="single" w:sz="2" w:space="0" w:color="000000"/>
            </w:tcBorders>
            <w:shd w:val="clear" w:color="auto" w:fill="auto"/>
            <w:tcMar>
              <w:top w:w="20" w:type="dxa"/>
              <w:left w:w="20" w:type="dxa"/>
              <w:bottom w:w="20" w:type="dxa"/>
              <w:right w:w="20" w:type="dxa"/>
            </w:tcMar>
          </w:tcPr>
          <w:p w14:paraId="73A5F2AE" w14:textId="77777777" w:rsidR="00CA6653" w:rsidRPr="00CF0671" w:rsidRDefault="00CA6653">
            <w:pPr>
              <w:pStyle w:val="T1TableStyle"/>
              <w:jc w:val="right"/>
              <w:rPr>
                <w:rFonts w:ascii="Verdana" w:eastAsia="Verdana" w:hAnsi="Verdana" w:cs="Verdana"/>
                <w:b/>
                <w:color w:val="000000"/>
                <w:sz w:val="2"/>
                <w:lang w:val="en-GB"/>
              </w:rPr>
            </w:pPr>
            <w:r w:rsidRPr="00CF0671">
              <w:rPr>
                <w:rFonts w:ascii="Verdana" w:eastAsia="Verdana" w:hAnsi="Verdana" w:cs="Verdana"/>
                <w:b/>
                <w:color w:val="000000"/>
                <w:sz w:val="2"/>
                <w:lang w:val="en-GB"/>
              </w:rPr>
              <w:t xml:space="preserve"> </w:t>
            </w:r>
          </w:p>
        </w:tc>
        <w:tc>
          <w:tcPr>
            <w:tcW w:w="1460" w:type="dxa"/>
            <w:tcBorders>
              <w:bottom w:val="single" w:sz="2" w:space="0" w:color="000000"/>
            </w:tcBorders>
            <w:shd w:val="clear" w:color="auto" w:fill="auto"/>
            <w:tcMar>
              <w:top w:w="20" w:type="dxa"/>
              <w:left w:w="20" w:type="dxa"/>
              <w:bottom w:w="20" w:type="dxa"/>
              <w:right w:w="20" w:type="dxa"/>
            </w:tcMar>
          </w:tcPr>
          <w:p w14:paraId="405BFF49" w14:textId="77777777" w:rsidR="00CA6653" w:rsidRPr="00CF0671" w:rsidRDefault="00CA6653">
            <w:pPr>
              <w:pStyle w:val="T1TableStyle"/>
              <w:jc w:val="right"/>
              <w:rPr>
                <w:rFonts w:ascii="Verdana" w:eastAsia="Verdana" w:hAnsi="Verdana" w:cs="Verdana"/>
                <w:b/>
                <w:color w:val="000000"/>
                <w:sz w:val="16"/>
                <w:lang w:val="en-GB"/>
              </w:rPr>
            </w:pPr>
            <w:r w:rsidRPr="00CF0671">
              <w:rPr>
                <w:rFonts w:ascii="Verdana" w:eastAsia="Verdana" w:hAnsi="Verdana" w:cs="Verdana"/>
                <w:b/>
                <w:color w:val="000000"/>
                <w:sz w:val="16"/>
                <w:lang w:val="en-GB"/>
              </w:rPr>
              <w:t>£000</w:t>
            </w:r>
          </w:p>
        </w:tc>
      </w:tr>
      <w:tr w:rsidR="00987C45" w:rsidRPr="00CF0671" w14:paraId="0837902F" w14:textId="77777777" w:rsidTr="00A4534C">
        <w:trPr>
          <w:trHeight w:val="54"/>
          <w:jc w:val="center"/>
        </w:trPr>
        <w:tc>
          <w:tcPr>
            <w:tcW w:w="1721" w:type="dxa"/>
            <w:shd w:val="clear" w:color="auto" w:fill="auto"/>
            <w:tcMar>
              <w:top w:w="20" w:type="dxa"/>
              <w:left w:w="20" w:type="dxa"/>
              <w:bottom w:w="20" w:type="dxa"/>
              <w:right w:w="20" w:type="dxa"/>
            </w:tcMar>
          </w:tcPr>
          <w:p w14:paraId="311C1E5E" w14:textId="77777777" w:rsidR="00987C45" w:rsidRPr="00CF0671" w:rsidRDefault="00987C45" w:rsidP="00CB4EA4">
            <w:pPr>
              <w:pStyle w:val="T1TableStyle"/>
              <w:jc w:val="right"/>
              <w:rPr>
                <w:rFonts w:ascii="Verdana" w:eastAsia="Verdana" w:hAnsi="Verdana" w:cs="Verdana"/>
                <w:color w:val="000000"/>
                <w:sz w:val="16"/>
                <w:lang w:val="en-GB"/>
              </w:rPr>
            </w:pPr>
            <w:r w:rsidRPr="00CF0671">
              <w:rPr>
                <w:rFonts w:ascii="Verdana" w:eastAsia="Verdana" w:hAnsi="Verdana" w:cs="Verdana"/>
                <w:color w:val="000000"/>
                <w:sz w:val="16"/>
                <w:lang w:val="en-GB"/>
              </w:rPr>
              <w:t>(</w:t>
            </w:r>
            <w:r w:rsidR="00CF0671">
              <w:rPr>
                <w:rFonts w:ascii="Verdana" w:eastAsia="Verdana" w:hAnsi="Verdana" w:cs="Verdana"/>
                <w:color w:val="000000"/>
                <w:sz w:val="16"/>
                <w:lang w:val="en-GB"/>
              </w:rPr>
              <w:t>1</w:t>
            </w:r>
            <w:r w:rsidR="00ED128D" w:rsidRPr="00CF0671">
              <w:rPr>
                <w:rFonts w:ascii="Verdana" w:eastAsia="Verdana" w:hAnsi="Verdana" w:cs="Verdana"/>
                <w:color w:val="000000"/>
                <w:sz w:val="16"/>
                <w:lang w:val="en-GB"/>
              </w:rPr>
              <w:t>3</w:t>
            </w:r>
            <w:r w:rsidR="00CB4EA4">
              <w:rPr>
                <w:rFonts w:ascii="Verdana" w:eastAsia="Verdana" w:hAnsi="Verdana" w:cs="Verdana"/>
                <w:color w:val="000000"/>
                <w:sz w:val="16"/>
                <w:lang w:val="en-GB"/>
              </w:rPr>
              <w:t>0</w:t>
            </w:r>
            <w:r w:rsidR="00ED128D" w:rsidRPr="00CF0671">
              <w:rPr>
                <w:rFonts w:ascii="Verdana" w:eastAsia="Verdana" w:hAnsi="Verdana" w:cs="Verdana"/>
                <w:color w:val="000000"/>
                <w:sz w:val="16"/>
                <w:lang w:val="en-GB"/>
              </w:rPr>
              <w:t>,</w:t>
            </w:r>
            <w:r w:rsidR="00CB4EA4">
              <w:rPr>
                <w:rFonts w:ascii="Verdana" w:eastAsia="Verdana" w:hAnsi="Verdana" w:cs="Verdana"/>
                <w:color w:val="000000"/>
                <w:sz w:val="16"/>
                <w:lang w:val="en-GB"/>
              </w:rPr>
              <w:t>913</w:t>
            </w:r>
            <w:r w:rsidRPr="00CF0671">
              <w:rPr>
                <w:rFonts w:ascii="Verdana" w:eastAsia="Verdana" w:hAnsi="Verdana" w:cs="Verdana"/>
                <w:color w:val="000000"/>
                <w:sz w:val="16"/>
                <w:lang w:val="en-GB"/>
              </w:rPr>
              <w:t>)</w:t>
            </w:r>
          </w:p>
        </w:tc>
        <w:tc>
          <w:tcPr>
            <w:tcW w:w="343" w:type="dxa"/>
            <w:shd w:val="clear" w:color="auto" w:fill="auto"/>
            <w:tcMar>
              <w:top w:w="20" w:type="dxa"/>
              <w:left w:w="20" w:type="dxa"/>
              <w:bottom w:w="20" w:type="dxa"/>
              <w:right w:w="20" w:type="dxa"/>
            </w:tcMar>
          </w:tcPr>
          <w:p w14:paraId="1EC5D3BE" w14:textId="77777777" w:rsidR="00987C45" w:rsidRPr="00CF0671" w:rsidRDefault="00987C45" w:rsidP="00987C45">
            <w:pPr>
              <w:pStyle w:val="T1TableStyle"/>
              <w:jc w:val="center"/>
              <w:rPr>
                <w:rFonts w:ascii="Verdana" w:eastAsia="Verdana" w:hAnsi="Verdana" w:cs="Verdana"/>
                <w:color w:val="000000"/>
                <w:sz w:val="2"/>
                <w:lang w:val="en-GB"/>
              </w:rPr>
            </w:pPr>
            <w:r w:rsidRPr="00CF0671">
              <w:rPr>
                <w:rFonts w:ascii="Verdana" w:eastAsia="Verdana" w:hAnsi="Verdana" w:cs="Verdana"/>
                <w:color w:val="000000"/>
                <w:sz w:val="2"/>
                <w:lang w:val="en-GB"/>
              </w:rPr>
              <w:t xml:space="preserve"> </w:t>
            </w:r>
          </w:p>
        </w:tc>
        <w:tc>
          <w:tcPr>
            <w:tcW w:w="3959" w:type="dxa"/>
            <w:shd w:val="clear" w:color="auto" w:fill="auto"/>
            <w:tcMar>
              <w:top w:w="20" w:type="dxa"/>
              <w:left w:w="20" w:type="dxa"/>
              <w:bottom w:w="20" w:type="dxa"/>
              <w:right w:w="20" w:type="dxa"/>
            </w:tcMar>
          </w:tcPr>
          <w:p w14:paraId="2658E077" w14:textId="77777777" w:rsidR="00987C45" w:rsidRPr="00CF0671" w:rsidRDefault="00987C45" w:rsidP="00987C45">
            <w:pPr>
              <w:pStyle w:val="T1TableStyle"/>
              <w:rPr>
                <w:rFonts w:ascii="Verdana" w:eastAsia="Verdana" w:hAnsi="Verdana" w:cs="Verdana"/>
                <w:color w:val="000000"/>
                <w:sz w:val="16"/>
                <w:lang w:val="en-GB"/>
              </w:rPr>
            </w:pPr>
            <w:r w:rsidRPr="00CF0671">
              <w:rPr>
                <w:rFonts w:ascii="Verdana" w:eastAsia="Verdana" w:hAnsi="Verdana" w:cs="Verdana"/>
                <w:color w:val="000000"/>
                <w:sz w:val="16"/>
                <w:lang w:val="en-GB"/>
              </w:rPr>
              <w:t>Council tax income</w:t>
            </w:r>
          </w:p>
        </w:tc>
        <w:tc>
          <w:tcPr>
            <w:tcW w:w="1460" w:type="dxa"/>
            <w:shd w:val="clear" w:color="auto" w:fill="auto"/>
            <w:tcMar>
              <w:top w:w="20" w:type="dxa"/>
              <w:left w:w="20" w:type="dxa"/>
              <w:bottom w:w="20" w:type="dxa"/>
              <w:right w:w="20" w:type="dxa"/>
            </w:tcMar>
          </w:tcPr>
          <w:p w14:paraId="57CDAB75" w14:textId="4A8DB6B7" w:rsidR="00987C45" w:rsidRPr="00CF0671" w:rsidRDefault="00ED128D" w:rsidP="00EF2588">
            <w:pPr>
              <w:pStyle w:val="T1TableStyle"/>
              <w:rPr>
                <w:rFonts w:ascii="Verdana" w:eastAsia="Verdana" w:hAnsi="Verdana" w:cs="Verdana"/>
                <w:color w:val="000000"/>
                <w:sz w:val="16"/>
                <w:lang w:val="en-GB"/>
              </w:rPr>
            </w:pPr>
            <w:r w:rsidRPr="00CF0671">
              <w:rPr>
                <w:rFonts w:ascii="Verdana" w:eastAsia="Verdana" w:hAnsi="Verdana" w:cs="Verdana"/>
                <w:color w:val="000000"/>
                <w:sz w:val="16"/>
                <w:lang w:val="en-GB"/>
              </w:rPr>
              <w:t xml:space="preserve"> </w:t>
            </w:r>
            <w:r w:rsidR="00A4534C">
              <w:rPr>
                <w:rFonts w:ascii="Verdana" w:eastAsia="Verdana" w:hAnsi="Verdana" w:cs="Verdana"/>
                <w:color w:val="000000"/>
                <w:sz w:val="16"/>
                <w:lang w:val="en-GB"/>
              </w:rPr>
              <w:t xml:space="preserve">        </w:t>
            </w:r>
            <w:r w:rsidRPr="00CF0671">
              <w:rPr>
                <w:rFonts w:ascii="Verdana" w:eastAsia="Verdana" w:hAnsi="Verdana" w:cs="Verdana"/>
                <w:color w:val="000000"/>
                <w:sz w:val="16"/>
                <w:lang w:val="en-GB"/>
              </w:rPr>
              <w:t xml:space="preserve"> </w:t>
            </w:r>
            <w:r w:rsidR="00CF0671">
              <w:rPr>
                <w:rFonts w:ascii="Verdana" w:hAnsi="Verdana" w:cs="Calibri"/>
                <w:color w:val="000000"/>
                <w:sz w:val="16"/>
                <w:szCs w:val="16"/>
              </w:rPr>
              <w:t>(13</w:t>
            </w:r>
            <w:r w:rsidR="00D71044">
              <w:rPr>
                <w:rFonts w:ascii="Verdana" w:hAnsi="Verdana" w:cs="Calibri"/>
                <w:color w:val="000000"/>
                <w:sz w:val="16"/>
                <w:szCs w:val="16"/>
              </w:rPr>
              <w:t>5,279</w:t>
            </w:r>
            <w:r w:rsidR="00CF0671">
              <w:rPr>
                <w:rFonts w:ascii="Verdana" w:hAnsi="Verdana" w:cs="Calibri"/>
                <w:color w:val="000000"/>
                <w:sz w:val="16"/>
                <w:szCs w:val="16"/>
              </w:rPr>
              <w:t>)</w:t>
            </w:r>
          </w:p>
        </w:tc>
      </w:tr>
      <w:tr w:rsidR="00987C45" w:rsidRPr="00CF0671" w14:paraId="7DFD2440" w14:textId="77777777" w:rsidTr="00A4534C">
        <w:trPr>
          <w:trHeight w:val="54"/>
          <w:jc w:val="center"/>
        </w:trPr>
        <w:tc>
          <w:tcPr>
            <w:tcW w:w="1721" w:type="dxa"/>
            <w:shd w:val="clear" w:color="auto" w:fill="auto"/>
            <w:tcMar>
              <w:top w:w="20" w:type="dxa"/>
              <w:left w:w="20" w:type="dxa"/>
              <w:bottom w:w="20" w:type="dxa"/>
              <w:right w:w="20" w:type="dxa"/>
            </w:tcMar>
          </w:tcPr>
          <w:p w14:paraId="171AC86D" w14:textId="77777777" w:rsidR="00987C45" w:rsidRPr="00CF0671" w:rsidRDefault="00ED128D" w:rsidP="00CB4EA4">
            <w:pPr>
              <w:pStyle w:val="T1TableStyle"/>
              <w:jc w:val="right"/>
              <w:rPr>
                <w:rFonts w:ascii="Verdana" w:eastAsia="Verdana" w:hAnsi="Verdana" w:cs="Verdana"/>
                <w:color w:val="000000"/>
                <w:sz w:val="16"/>
                <w:lang w:val="en-GB"/>
              </w:rPr>
            </w:pPr>
            <w:r w:rsidRPr="00CF0671">
              <w:rPr>
                <w:rFonts w:ascii="Verdana" w:eastAsia="Verdana" w:hAnsi="Verdana" w:cs="Verdana"/>
                <w:color w:val="000000"/>
                <w:sz w:val="16"/>
                <w:lang w:val="en-GB"/>
              </w:rPr>
              <w:t>(12</w:t>
            </w:r>
            <w:r w:rsidR="00CB4EA4">
              <w:rPr>
                <w:rFonts w:ascii="Verdana" w:eastAsia="Verdana" w:hAnsi="Verdana" w:cs="Verdana"/>
                <w:color w:val="000000"/>
                <w:sz w:val="16"/>
                <w:lang w:val="en-GB"/>
              </w:rPr>
              <w:t>0</w:t>
            </w:r>
            <w:r w:rsidR="00987C45" w:rsidRPr="00CF0671">
              <w:rPr>
                <w:rFonts w:ascii="Verdana" w:eastAsia="Verdana" w:hAnsi="Verdana" w:cs="Verdana"/>
                <w:color w:val="000000"/>
                <w:sz w:val="16"/>
                <w:lang w:val="en-GB"/>
              </w:rPr>
              <w:t>,</w:t>
            </w:r>
            <w:r w:rsidR="00CB4EA4">
              <w:rPr>
                <w:rFonts w:ascii="Verdana" w:eastAsia="Verdana" w:hAnsi="Verdana" w:cs="Verdana"/>
                <w:color w:val="000000"/>
                <w:sz w:val="16"/>
                <w:lang w:val="en-GB"/>
              </w:rPr>
              <w:t>559</w:t>
            </w:r>
            <w:r w:rsidR="00987C45" w:rsidRPr="00CF0671">
              <w:rPr>
                <w:rFonts w:ascii="Verdana" w:eastAsia="Verdana" w:hAnsi="Verdana" w:cs="Verdana"/>
                <w:color w:val="000000"/>
                <w:sz w:val="16"/>
                <w:lang w:val="en-GB"/>
              </w:rPr>
              <w:t>)</w:t>
            </w:r>
          </w:p>
        </w:tc>
        <w:tc>
          <w:tcPr>
            <w:tcW w:w="343" w:type="dxa"/>
            <w:shd w:val="clear" w:color="auto" w:fill="auto"/>
            <w:tcMar>
              <w:top w:w="20" w:type="dxa"/>
              <w:left w:w="20" w:type="dxa"/>
              <w:bottom w:w="20" w:type="dxa"/>
              <w:right w:w="20" w:type="dxa"/>
            </w:tcMar>
          </w:tcPr>
          <w:p w14:paraId="7987B079" w14:textId="77777777" w:rsidR="00987C45" w:rsidRPr="00CF0671" w:rsidRDefault="00987C45" w:rsidP="00987C45">
            <w:pPr>
              <w:pStyle w:val="T1TableStyle"/>
              <w:jc w:val="center"/>
              <w:rPr>
                <w:rFonts w:ascii="Verdana" w:eastAsia="Verdana" w:hAnsi="Verdana" w:cs="Verdana"/>
                <w:color w:val="000000"/>
                <w:sz w:val="2"/>
                <w:lang w:val="en-GB"/>
              </w:rPr>
            </w:pPr>
            <w:r w:rsidRPr="00CF0671">
              <w:rPr>
                <w:rFonts w:ascii="Verdana" w:eastAsia="Verdana" w:hAnsi="Verdana" w:cs="Verdana"/>
                <w:color w:val="000000"/>
                <w:sz w:val="2"/>
                <w:lang w:val="en-GB"/>
              </w:rPr>
              <w:t xml:space="preserve"> </w:t>
            </w:r>
          </w:p>
        </w:tc>
        <w:tc>
          <w:tcPr>
            <w:tcW w:w="3959" w:type="dxa"/>
            <w:shd w:val="clear" w:color="auto" w:fill="auto"/>
            <w:tcMar>
              <w:top w:w="20" w:type="dxa"/>
              <w:left w:w="20" w:type="dxa"/>
              <w:bottom w:w="20" w:type="dxa"/>
              <w:right w:w="20" w:type="dxa"/>
            </w:tcMar>
          </w:tcPr>
          <w:p w14:paraId="7476C716" w14:textId="1491FB84" w:rsidR="00987C45" w:rsidRPr="00CF0671" w:rsidRDefault="00987C45" w:rsidP="00A4534C">
            <w:pPr>
              <w:pStyle w:val="T1TableStyle"/>
              <w:rPr>
                <w:rFonts w:ascii="Verdana" w:eastAsia="Verdana" w:hAnsi="Verdana" w:cs="Verdana"/>
                <w:color w:val="000000"/>
                <w:sz w:val="16"/>
                <w:lang w:val="en-GB"/>
              </w:rPr>
            </w:pPr>
            <w:r w:rsidRPr="00CF0671">
              <w:rPr>
                <w:rFonts w:ascii="Verdana" w:eastAsia="Verdana" w:hAnsi="Verdana" w:cs="Verdana"/>
                <w:color w:val="000000"/>
                <w:sz w:val="16"/>
                <w:lang w:val="en-GB"/>
              </w:rPr>
              <w:t>Non-ringfenced government grants</w:t>
            </w:r>
          </w:p>
        </w:tc>
        <w:tc>
          <w:tcPr>
            <w:tcW w:w="1460" w:type="dxa"/>
            <w:shd w:val="clear" w:color="auto" w:fill="auto"/>
            <w:tcMar>
              <w:top w:w="20" w:type="dxa"/>
              <w:left w:w="20" w:type="dxa"/>
              <w:bottom w:w="20" w:type="dxa"/>
              <w:right w:w="20" w:type="dxa"/>
            </w:tcMar>
          </w:tcPr>
          <w:p w14:paraId="775B2090" w14:textId="39A76E83" w:rsidR="00987C45" w:rsidRPr="00CF0671" w:rsidRDefault="00CF0671" w:rsidP="00A4534C">
            <w:pPr>
              <w:rPr>
                <w:rFonts w:eastAsia="Verdana" w:cs="Verdana"/>
                <w:color w:val="000000"/>
                <w:sz w:val="16"/>
                <w:lang w:val="en-GB"/>
              </w:rPr>
            </w:pPr>
            <w:r>
              <w:rPr>
                <w:rFonts w:cs="Calibri"/>
                <w:color w:val="000000"/>
                <w:sz w:val="16"/>
                <w:szCs w:val="16"/>
              </w:rPr>
              <w:t xml:space="preserve">   </w:t>
            </w:r>
            <w:r w:rsidR="00A4534C">
              <w:rPr>
                <w:rFonts w:cs="Calibri"/>
                <w:color w:val="000000"/>
                <w:sz w:val="16"/>
                <w:szCs w:val="16"/>
              </w:rPr>
              <w:t xml:space="preserve">       </w:t>
            </w:r>
            <w:r>
              <w:rPr>
                <w:rFonts w:cs="Calibri"/>
                <w:color w:val="000000"/>
                <w:sz w:val="16"/>
                <w:szCs w:val="16"/>
              </w:rPr>
              <w:t>(12</w:t>
            </w:r>
            <w:r w:rsidR="00DF1CBC">
              <w:rPr>
                <w:rFonts w:cs="Calibri"/>
                <w:color w:val="000000"/>
                <w:sz w:val="16"/>
                <w:szCs w:val="16"/>
              </w:rPr>
              <w:t>4,76</w:t>
            </w:r>
            <w:r w:rsidR="00D71044">
              <w:rPr>
                <w:rFonts w:cs="Calibri"/>
                <w:color w:val="000000"/>
                <w:sz w:val="16"/>
                <w:szCs w:val="16"/>
              </w:rPr>
              <w:t>7</w:t>
            </w:r>
            <w:r>
              <w:rPr>
                <w:rFonts w:cs="Calibri"/>
                <w:color w:val="000000"/>
                <w:sz w:val="16"/>
                <w:szCs w:val="16"/>
              </w:rPr>
              <w:t>)</w:t>
            </w:r>
          </w:p>
        </w:tc>
      </w:tr>
      <w:tr w:rsidR="00987C45" w:rsidRPr="00CF0671" w14:paraId="611D8EB5" w14:textId="77777777" w:rsidTr="00A4534C">
        <w:trPr>
          <w:trHeight w:val="54"/>
          <w:jc w:val="center"/>
        </w:trPr>
        <w:tc>
          <w:tcPr>
            <w:tcW w:w="1721" w:type="dxa"/>
            <w:shd w:val="clear" w:color="auto" w:fill="auto"/>
            <w:tcMar>
              <w:top w:w="20" w:type="dxa"/>
              <w:left w:w="20" w:type="dxa"/>
              <w:bottom w:w="20" w:type="dxa"/>
              <w:right w:w="20" w:type="dxa"/>
            </w:tcMar>
          </w:tcPr>
          <w:p w14:paraId="7364B9D6" w14:textId="706A921A" w:rsidR="00987C45" w:rsidRPr="00CF0671" w:rsidRDefault="00987C45" w:rsidP="00CB4EA4">
            <w:pPr>
              <w:pStyle w:val="T1TableStyle"/>
              <w:jc w:val="right"/>
              <w:rPr>
                <w:rFonts w:ascii="Verdana" w:eastAsia="Verdana" w:hAnsi="Verdana" w:cs="Verdana"/>
                <w:color w:val="000000"/>
                <w:sz w:val="16"/>
                <w:lang w:val="en-GB"/>
              </w:rPr>
            </w:pPr>
            <w:r w:rsidRPr="00CF0671">
              <w:rPr>
                <w:rFonts w:ascii="Verdana" w:eastAsia="Verdana" w:hAnsi="Verdana" w:cs="Verdana"/>
                <w:color w:val="000000"/>
                <w:sz w:val="16"/>
                <w:lang w:val="en-GB"/>
              </w:rPr>
              <w:t>(</w:t>
            </w:r>
            <w:r w:rsidR="00CB4EA4">
              <w:rPr>
                <w:rFonts w:ascii="Verdana" w:eastAsia="Verdana" w:hAnsi="Verdana" w:cs="Verdana"/>
                <w:color w:val="000000"/>
                <w:sz w:val="16"/>
                <w:lang w:val="en-GB"/>
              </w:rPr>
              <w:t>1</w:t>
            </w:r>
            <w:r w:rsidR="00A4534C">
              <w:rPr>
                <w:rFonts w:ascii="Verdana" w:eastAsia="Verdana" w:hAnsi="Verdana" w:cs="Verdana"/>
                <w:color w:val="000000"/>
                <w:sz w:val="16"/>
                <w:lang w:val="en-GB"/>
              </w:rPr>
              <w:t>,</w:t>
            </w:r>
            <w:r w:rsidR="00CB4EA4">
              <w:rPr>
                <w:rFonts w:ascii="Verdana" w:eastAsia="Verdana" w:hAnsi="Verdana" w:cs="Verdana"/>
                <w:color w:val="000000"/>
                <w:sz w:val="16"/>
                <w:lang w:val="en-GB"/>
              </w:rPr>
              <w:t>345</w:t>
            </w:r>
            <w:r w:rsidRPr="00CF0671">
              <w:rPr>
                <w:rFonts w:ascii="Verdana" w:eastAsia="Verdana" w:hAnsi="Verdana" w:cs="Verdana"/>
                <w:color w:val="000000"/>
                <w:sz w:val="16"/>
                <w:lang w:val="en-GB"/>
              </w:rPr>
              <w:t>)</w:t>
            </w:r>
          </w:p>
        </w:tc>
        <w:tc>
          <w:tcPr>
            <w:tcW w:w="343" w:type="dxa"/>
            <w:shd w:val="clear" w:color="auto" w:fill="auto"/>
            <w:tcMar>
              <w:top w:w="20" w:type="dxa"/>
              <w:left w:w="20" w:type="dxa"/>
              <w:bottom w:w="20" w:type="dxa"/>
              <w:right w:w="20" w:type="dxa"/>
            </w:tcMar>
          </w:tcPr>
          <w:p w14:paraId="7A3A3A0E" w14:textId="41F1B2F1" w:rsidR="00987C45" w:rsidRPr="00CF0671" w:rsidRDefault="00987C45" w:rsidP="00987C45">
            <w:pPr>
              <w:pStyle w:val="T1TableStyle"/>
              <w:jc w:val="center"/>
              <w:rPr>
                <w:rFonts w:ascii="Verdana" w:eastAsia="Verdana" w:hAnsi="Verdana" w:cs="Verdana"/>
                <w:color w:val="000000"/>
                <w:sz w:val="2"/>
                <w:lang w:val="en-GB"/>
              </w:rPr>
            </w:pPr>
          </w:p>
        </w:tc>
        <w:tc>
          <w:tcPr>
            <w:tcW w:w="3959" w:type="dxa"/>
            <w:shd w:val="clear" w:color="auto" w:fill="auto"/>
            <w:tcMar>
              <w:top w:w="20" w:type="dxa"/>
              <w:left w:w="20" w:type="dxa"/>
              <w:bottom w:w="20" w:type="dxa"/>
              <w:right w:w="20" w:type="dxa"/>
            </w:tcMar>
          </w:tcPr>
          <w:p w14:paraId="26D219E8" w14:textId="79B8CF32" w:rsidR="00056618" w:rsidRDefault="00987C45" w:rsidP="00056618">
            <w:pPr>
              <w:pStyle w:val="T1TableStyle"/>
              <w:rPr>
                <w:rFonts w:ascii="Verdana" w:eastAsia="Verdana" w:hAnsi="Verdana" w:cs="Verdana"/>
                <w:color w:val="000000"/>
                <w:sz w:val="16"/>
                <w:lang w:val="en-GB"/>
              </w:rPr>
            </w:pPr>
            <w:r w:rsidRPr="00CF0671">
              <w:rPr>
                <w:rFonts w:ascii="Verdana" w:eastAsia="Verdana" w:hAnsi="Verdana" w:cs="Verdana"/>
                <w:color w:val="000000"/>
                <w:sz w:val="16"/>
                <w:lang w:val="en-GB"/>
              </w:rPr>
              <w:t>Capital grants and contributions</w:t>
            </w:r>
            <w:r w:rsidR="00ED128D" w:rsidRPr="00CF0671">
              <w:rPr>
                <w:rFonts w:ascii="Verdana" w:eastAsia="Verdana" w:hAnsi="Verdana" w:cs="Verdana"/>
                <w:color w:val="000000"/>
                <w:sz w:val="16"/>
                <w:lang w:val="en-GB"/>
              </w:rPr>
              <w:t xml:space="preserve"> </w:t>
            </w:r>
            <w:r w:rsidR="00056618">
              <w:rPr>
                <w:rFonts w:ascii="Verdana" w:eastAsia="Verdana" w:hAnsi="Verdana" w:cs="Verdana"/>
                <w:color w:val="000000"/>
                <w:sz w:val="16"/>
                <w:lang w:val="en-GB"/>
              </w:rPr>
              <w:t xml:space="preserve">             </w:t>
            </w:r>
          </w:p>
          <w:p w14:paraId="6538A5A2" w14:textId="77777777" w:rsidR="00987C45" w:rsidRPr="00CF0671" w:rsidRDefault="00987C45" w:rsidP="00056618">
            <w:pPr>
              <w:pStyle w:val="T1TableStyle"/>
              <w:rPr>
                <w:rFonts w:ascii="Verdana" w:eastAsia="Verdana" w:hAnsi="Verdana" w:cs="Verdana"/>
                <w:color w:val="000000"/>
                <w:sz w:val="16"/>
                <w:lang w:val="en-GB"/>
              </w:rPr>
            </w:pPr>
          </w:p>
        </w:tc>
        <w:tc>
          <w:tcPr>
            <w:tcW w:w="1460" w:type="dxa"/>
            <w:shd w:val="clear" w:color="auto" w:fill="auto"/>
            <w:tcMar>
              <w:top w:w="20" w:type="dxa"/>
              <w:left w:w="20" w:type="dxa"/>
              <w:bottom w:w="20" w:type="dxa"/>
              <w:right w:w="20" w:type="dxa"/>
            </w:tcMar>
          </w:tcPr>
          <w:p w14:paraId="61359EE5" w14:textId="67475DDF" w:rsidR="00056618" w:rsidRPr="00CF0671" w:rsidRDefault="00056618" w:rsidP="00A4534C">
            <w:pPr>
              <w:jc w:val="center"/>
              <w:rPr>
                <w:rFonts w:eastAsia="Verdana" w:cs="Verdana"/>
                <w:color w:val="000000"/>
                <w:sz w:val="16"/>
                <w:lang w:val="en-GB"/>
              </w:rPr>
            </w:pPr>
            <w:r>
              <w:rPr>
                <w:rFonts w:cs="Calibri"/>
                <w:color w:val="000000"/>
                <w:sz w:val="16"/>
                <w:szCs w:val="16"/>
              </w:rPr>
              <w:t xml:space="preserve">     </w:t>
            </w:r>
            <w:r w:rsidR="00A4534C">
              <w:rPr>
                <w:rFonts w:cs="Calibri"/>
                <w:color w:val="000000"/>
                <w:sz w:val="16"/>
                <w:szCs w:val="16"/>
              </w:rPr>
              <w:t xml:space="preserve">         </w:t>
            </w:r>
            <w:r>
              <w:rPr>
                <w:rFonts w:cs="Calibri"/>
                <w:color w:val="000000"/>
                <w:sz w:val="16"/>
                <w:szCs w:val="16"/>
              </w:rPr>
              <w:t xml:space="preserve"> (</w:t>
            </w:r>
            <w:r w:rsidR="00D71044">
              <w:rPr>
                <w:rFonts w:cs="Calibri"/>
                <w:color w:val="000000"/>
                <w:sz w:val="16"/>
                <w:szCs w:val="16"/>
              </w:rPr>
              <w:t>297</w:t>
            </w:r>
            <w:r>
              <w:rPr>
                <w:rFonts w:cs="Calibri"/>
                <w:color w:val="000000"/>
                <w:sz w:val="16"/>
                <w:szCs w:val="16"/>
              </w:rPr>
              <w:t>)</w:t>
            </w:r>
          </w:p>
        </w:tc>
      </w:tr>
      <w:tr w:rsidR="00056618" w:rsidRPr="00CF0671" w14:paraId="534DDF2E" w14:textId="77777777" w:rsidTr="00A4534C">
        <w:trPr>
          <w:trHeight w:val="49"/>
          <w:jc w:val="center"/>
        </w:trPr>
        <w:tc>
          <w:tcPr>
            <w:tcW w:w="1721" w:type="dxa"/>
            <w:tcBorders>
              <w:top w:val="single" w:sz="2" w:space="0" w:color="000000"/>
              <w:bottom w:val="single" w:sz="12" w:space="0" w:color="000000"/>
            </w:tcBorders>
            <w:shd w:val="clear" w:color="auto" w:fill="auto"/>
            <w:tcMar>
              <w:top w:w="20" w:type="dxa"/>
              <w:left w:w="20" w:type="dxa"/>
              <w:bottom w:w="20" w:type="dxa"/>
              <w:right w:w="20" w:type="dxa"/>
            </w:tcMar>
          </w:tcPr>
          <w:p w14:paraId="45F89596" w14:textId="77777777" w:rsidR="00056618" w:rsidRPr="00CF0671" w:rsidRDefault="00056618" w:rsidP="00CB4EA4">
            <w:pPr>
              <w:pStyle w:val="T1TableStyle"/>
              <w:jc w:val="right"/>
              <w:rPr>
                <w:rFonts w:ascii="Verdana" w:eastAsia="Verdana" w:hAnsi="Verdana" w:cs="Verdana"/>
                <w:b/>
                <w:color w:val="000000"/>
                <w:sz w:val="16"/>
                <w:lang w:val="en-GB"/>
              </w:rPr>
            </w:pPr>
            <w:r w:rsidRPr="00CF0671">
              <w:rPr>
                <w:rFonts w:ascii="Verdana" w:eastAsia="Verdana" w:hAnsi="Verdana" w:cs="Verdana"/>
                <w:b/>
                <w:color w:val="000000"/>
                <w:sz w:val="16"/>
                <w:lang w:val="en-GB"/>
              </w:rPr>
              <w:t>(</w:t>
            </w:r>
            <w:r w:rsidR="00CB4EA4">
              <w:rPr>
                <w:rFonts w:ascii="Verdana" w:eastAsia="Verdana" w:hAnsi="Verdana" w:cs="Verdana"/>
                <w:b/>
                <w:color w:val="000000"/>
                <w:sz w:val="16"/>
                <w:lang w:val="en-GB"/>
              </w:rPr>
              <w:t>252,817</w:t>
            </w:r>
            <w:r w:rsidRPr="00CF0671">
              <w:rPr>
                <w:rFonts w:ascii="Verdana" w:eastAsia="Verdana" w:hAnsi="Verdana" w:cs="Verdana"/>
                <w:b/>
                <w:color w:val="000000"/>
                <w:sz w:val="16"/>
                <w:lang w:val="en-GB"/>
              </w:rPr>
              <w:t>)</w:t>
            </w:r>
          </w:p>
        </w:tc>
        <w:tc>
          <w:tcPr>
            <w:tcW w:w="343" w:type="dxa"/>
            <w:tcBorders>
              <w:top w:val="single" w:sz="2" w:space="0" w:color="000000"/>
              <w:bottom w:val="single" w:sz="12" w:space="0" w:color="000000"/>
            </w:tcBorders>
            <w:shd w:val="clear" w:color="auto" w:fill="auto"/>
            <w:tcMar>
              <w:top w:w="20" w:type="dxa"/>
              <w:left w:w="20" w:type="dxa"/>
              <w:bottom w:w="20" w:type="dxa"/>
              <w:right w:w="20" w:type="dxa"/>
            </w:tcMar>
          </w:tcPr>
          <w:p w14:paraId="6C8F818B" w14:textId="77777777" w:rsidR="00056618" w:rsidRPr="00CF0671" w:rsidRDefault="00056618" w:rsidP="00056618">
            <w:pPr>
              <w:pStyle w:val="T1TableStyle"/>
              <w:jc w:val="center"/>
              <w:rPr>
                <w:rFonts w:ascii="Verdana" w:eastAsia="Verdana" w:hAnsi="Verdana" w:cs="Verdana"/>
                <w:b/>
                <w:color w:val="000000"/>
                <w:sz w:val="2"/>
                <w:lang w:val="en-GB"/>
              </w:rPr>
            </w:pPr>
            <w:r w:rsidRPr="00CF0671">
              <w:rPr>
                <w:rFonts w:ascii="Verdana" w:eastAsia="Verdana" w:hAnsi="Verdana" w:cs="Verdana"/>
                <w:b/>
                <w:color w:val="000000"/>
                <w:sz w:val="2"/>
                <w:lang w:val="en-GB"/>
              </w:rPr>
              <w:t xml:space="preserve"> </w:t>
            </w:r>
          </w:p>
        </w:tc>
        <w:tc>
          <w:tcPr>
            <w:tcW w:w="3959" w:type="dxa"/>
            <w:tcBorders>
              <w:top w:val="single" w:sz="2" w:space="0" w:color="000000"/>
              <w:bottom w:val="single" w:sz="12" w:space="0" w:color="000000"/>
            </w:tcBorders>
            <w:shd w:val="clear" w:color="auto" w:fill="auto"/>
            <w:tcMar>
              <w:top w:w="20" w:type="dxa"/>
              <w:left w:w="20" w:type="dxa"/>
              <w:bottom w:w="20" w:type="dxa"/>
              <w:right w:w="20" w:type="dxa"/>
            </w:tcMar>
          </w:tcPr>
          <w:p w14:paraId="58699A78" w14:textId="77777777" w:rsidR="00056618" w:rsidRPr="00CF0671" w:rsidRDefault="00056618" w:rsidP="00056618">
            <w:pPr>
              <w:pStyle w:val="T1TableStyle"/>
              <w:rPr>
                <w:rFonts w:ascii="Verdana" w:eastAsia="Verdana" w:hAnsi="Verdana" w:cs="Verdana"/>
                <w:b/>
                <w:color w:val="000000"/>
                <w:sz w:val="16"/>
                <w:lang w:val="en-GB"/>
              </w:rPr>
            </w:pPr>
            <w:r w:rsidRPr="00CF0671">
              <w:rPr>
                <w:rFonts w:ascii="Verdana" w:eastAsia="Verdana" w:hAnsi="Verdana" w:cs="Verdana"/>
                <w:b/>
                <w:color w:val="000000"/>
                <w:sz w:val="16"/>
                <w:lang w:val="en-GB"/>
              </w:rPr>
              <w:t>Total</w:t>
            </w:r>
          </w:p>
        </w:tc>
        <w:tc>
          <w:tcPr>
            <w:tcW w:w="146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657D9DD" w14:textId="37E91C63" w:rsidR="00056618" w:rsidRDefault="00056618" w:rsidP="00056618">
            <w:pPr>
              <w:jc w:val="right"/>
              <w:rPr>
                <w:rFonts w:cs="Calibri"/>
                <w:b/>
                <w:bCs/>
                <w:color w:val="000000"/>
                <w:sz w:val="16"/>
                <w:szCs w:val="16"/>
              </w:rPr>
            </w:pPr>
            <w:r>
              <w:rPr>
                <w:rFonts w:cs="Calibri"/>
                <w:b/>
                <w:bCs/>
                <w:color w:val="000000"/>
                <w:sz w:val="16"/>
                <w:szCs w:val="16"/>
              </w:rPr>
              <w:t>(26</w:t>
            </w:r>
            <w:r w:rsidR="00D71044">
              <w:rPr>
                <w:rFonts w:cs="Calibri"/>
                <w:b/>
                <w:bCs/>
                <w:color w:val="000000"/>
                <w:sz w:val="16"/>
                <w:szCs w:val="16"/>
              </w:rPr>
              <w:t>0,343</w:t>
            </w:r>
            <w:r>
              <w:rPr>
                <w:rFonts w:cs="Calibri"/>
                <w:b/>
                <w:bCs/>
                <w:color w:val="000000"/>
                <w:sz w:val="16"/>
                <w:szCs w:val="16"/>
              </w:rPr>
              <w:t>)</w:t>
            </w:r>
          </w:p>
        </w:tc>
      </w:tr>
    </w:tbl>
    <w:p w14:paraId="2984EAA6" w14:textId="77777777" w:rsidR="00A31A9E" w:rsidRDefault="00CA6653" w:rsidP="00A31A9E">
      <w:pPr>
        <w:pStyle w:val="Heading1"/>
      </w:pPr>
      <w:bookmarkStart w:id="23" w:name="_Toc75122777"/>
      <w:r w:rsidRPr="00C12737">
        <w:t>Note 9 - Grant Income</w:t>
      </w:r>
      <w:bookmarkEnd w:id="23"/>
    </w:p>
    <w:p w14:paraId="3591930A" w14:textId="2CC2B77B" w:rsidR="00A4534C" w:rsidRPr="00A4534C" w:rsidRDefault="00A4534C" w:rsidP="00A4534C">
      <w:pPr>
        <w:rPr>
          <w:lang w:val="pt-BR"/>
        </w:rPr>
      </w:pPr>
      <w:r>
        <w:rPr>
          <w:lang w:val="pt-BR"/>
        </w:rPr>
        <w:t>The Police and Crime Commissioner credited the following grants, contributions and donations to the Comprehensive Income and Expenditure Statement:</w:t>
      </w:r>
    </w:p>
    <w:tbl>
      <w:tblPr>
        <w:tblW w:w="14055" w:type="dxa"/>
        <w:tblLook w:val="04A0" w:firstRow="1" w:lastRow="0" w:firstColumn="1" w:lastColumn="0" w:noHBand="0" w:noVBand="1"/>
      </w:tblPr>
      <w:tblGrid>
        <w:gridCol w:w="14055"/>
      </w:tblGrid>
      <w:tr w:rsidR="00097F97" w:rsidRPr="00097F97" w14:paraId="61D1257E" w14:textId="77777777" w:rsidTr="00E26C79">
        <w:trPr>
          <w:trHeight w:val="260"/>
        </w:trPr>
        <w:tc>
          <w:tcPr>
            <w:tcW w:w="14055" w:type="dxa"/>
            <w:tcBorders>
              <w:top w:val="nil"/>
              <w:left w:val="nil"/>
              <w:bottom w:val="nil"/>
              <w:right w:val="nil"/>
            </w:tcBorders>
            <w:shd w:val="clear" w:color="auto" w:fill="auto"/>
            <w:noWrap/>
            <w:vAlign w:val="center"/>
          </w:tcPr>
          <w:p w14:paraId="6B2ABE3D" w14:textId="77777777" w:rsidR="00097F97" w:rsidRPr="00097F97" w:rsidRDefault="00097F97" w:rsidP="00097F97">
            <w:pPr>
              <w:rPr>
                <w:rFonts w:eastAsia="Times New Roman" w:cs="Calibri"/>
                <w:color w:val="000000"/>
                <w:lang w:val="en-GB" w:eastAsia="en-GB"/>
              </w:rPr>
            </w:pPr>
            <w:bookmarkStart w:id="24" w:name="RANGE!E1"/>
          </w:p>
        </w:tc>
      </w:tr>
      <w:tr w:rsidR="00097F97" w:rsidRPr="00097F97" w14:paraId="152BBF5D" w14:textId="77777777" w:rsidTr="00E26C79">
        <w:trPr>
          <w:trHeight w:val="64"/>
        </w:trPr>
        <w:tc>
          <w:tcPr>
            <w:tcW w:w="14055" w:type="dxa"/>
            <w:tcBorders>
              <w:top w:val="nil"/>
              <w:left w:val="nil"/>
              <w:bottom w:val="nil"/>
              <w:right w:val="nil"/>
            </w:tcBorders>
            <w:shd w:val="clear" w:color="auto" w:fill="auto"/>
            <w:vAlign w:val="center"/>
          </w:tcPr>
          <w:tbl>
            <w:tblPr>
              <w:tblW w:w="13837" w:type="dxa"/>
              <w:tblInd w:w="1" w:type="dxa"/>
              <w:tblLook w:val="04A0" w:firstRow="1" w:lastRow="0" w:firstColumn="1" w:lastColumn="0" w:noHBand="0" w:noVBand="1"/>
            </w:tblPr>
            <w:tblGrid>
              <w:gridCol w:w="2111"/>
              <w:gridCol w:w="631"/>
              <w:gridCol w:w="9304"/>
              <w:gridCol w:w="1791"/>
            </w:tblGrid>
            <w:tr w:rsidR="00ED128D" w:rsidRPr="00ED128D" w14:paraId="19284343" w14:textId="77777777" w:rsidTr="00E26C79">
              <w:trPr>
                <w:trHeight w:val="260"/>
              </w:trPr>
              <w:tc>
                <w:tcPr>
                  <w:tcW w:w="13837" w:type="dxa"/>
                  <w:gridSpan w:val="4"/>
                  <w:tcBorders>
                    <w:top w:val="nil"/>
                    <w:left w:val="nil"/>
                    <w:bottom w:val="nil"/>
                    <w:right w:val="nil"/>
                  </w:tcBorders>
                  <w:shd w:val="clear" w:color="auto" w:fill="auto"/>
                  <w:vAlign w:val="center"/>
                  <w:hideMark/>
                </w:tcPr>
                <w:p w14:paraId="4004F498" w14:textId="77777777" w:rsidR="00ED128D" w:rsidRPr="00ED128D" w:rsidRDefault="00ED128D" w:rsidP="00ED128D">
                  <w:pPr>
                    <w:rPr>
                      <w:rFonts w:eastAsia="Times New Roman" w:cs="Calibri"/>
                      <w:b/>
                      <w:bCs/>
                      <w:color w:val="000000"/>
                      <w:sz w:val="24"/>
                      <w:szCs w:val="24"/>
                      <w:lang w:val="en-GB" w:eastAsia="en-GB"/>
                    </w:rPr>
                  </w:pPr>
                  <w:r w:rsidRPr="00ED128D">
                    <w:rPr>
                      <w:rFonts w:eastAsia="Times New Roman" w:cs="Calibri"/>
                      <w:b/>
                      <w:bCs/>
                      <w:color w:val="000000"/>
                      <w:sz w:val="24"/>
                      <w:szCs w:val="24"/>
                      <w:lang w:val="en-GB" w:eastAsia="en-GB"/>
                    </w:rPr>
                    <w:t xml:space="preserve">Grant Income Credited to Taxation and non-specific Grant Income and Expenditure </w:t>
                  </w:r>
                </w:p>
              </w:tc>
            </w:tr>
            <w:tr w:rsidR="00ED128D" w:rsidRPr="00ED128D" w14:paraId="2FF6A223" w14:textId="77777777" w:rsidTr="00E26C79">
              <w:trPr>
                <w:trHeight w:val="64"/>
              </w:trPr>
              <w:tc>
                <w:tcPr>
                  <w:tcW w:w="2111" w:type="dxa"/>
                  <w:tcBorders>
                    <w:top w:val="nil"/>
                    <w:left w:val="nil"/>
                    <w:bottom w:val="nil"/>
                    <w:right w:val="nil"/>
                  </w:tcBorders>
                  <w:shd w:val="clear" w:color="auto" w:fill="auto"/>
                  <w:vAlign w:val="center"/>
                  <w:hideMark/>
                </w:tcPr>
                <w:p w14:paraId="38A9253A" w14:textId="77777777" w:rsidR="00ED128D" w:rsidRPr="00ED128D" w:rsidRDefault="00ED128D" w:rsidP="00ED128D">
                  <w:pPr>
                    <w:rPr>
                      <w:rFonts w:eastAsia="Times New Roman" w:cs="Calibri"/>
                      <w:b/>
                      <w:bCs/>
                      <w:color w:val="000000"/>
                      <w:sz w:val="2"/>
                      <w:szCs w:val="2"/>
                      <w:lang w:val="en-GB" w:eastAsia="en-GB"/>
                    </w:rPr>
                  </w:pPr>
                  <w:r w:rsidRPr="00ED128D">
                    <w:rPr>
                      <w:rFonts w:eastAsia="Times New Roman" w:cs="Calibri"/>
                      <w:b/>
                      <w:bCs/>
                      <w:color w:val="000000"/>
                      <w:sz w:val="2"/>
                      <w:szCs w:val="2"/>
                      <w:lang w:val="en-GB" w:eastAsia="en-GB"/>
                    </w:rPr>
                    <w:t xml:space="preserve"> </w:t>
                  </w:r>
                </w:p>
              </w:tc>
              <w:tc>
                <w:tcPr>
                  <w:tcW w:w="631" w:type="dxa"/>
                  <w:tcBorders>
                    <w:top w:val="nil"/>
                    <w:left w:val="nil"/>
                    <w:bottom w:val="nil"/>
                    <w:right w:val="nil"/>
                  </w:tcBorders>
                  <w:shd w:val="clear" w:color="auto" w:fill="auto"/>
                  <w:vAlign w:val="center"/>
                  <w:hideMark/>
                </w:tcPr>
                <w:p w14:paraId="4C05EB46" w14:textId="77777777" w:rsidR="00ED128D" w:rsidRPr="00ED128D" w:rsidRDefault="00ED128D" w:rsidP="00ED128D">
                  <w:pPr>
                    <w:rPr>
                      <w:rFonts w:eastAsia="Times New Roman" w:cs="Calibri"/>
                      <w:b/>
                      <w:bCs/>
                      <w:color w:val="000000"/>
                      <w:sz w:val="2"/>
                      <w:szCs w:val="2"/>
                      <w:lang w:val="en-GB" w:eastAsia="en-GB"/>
                    </w:rPr>
                  </w:pPr>
                  <w:r w:rsidRPr="00ED128D">
                    <w:rPr>
                      <w:rFonts w:eastAsia="Times New Roman" w:cs="Calibri"/>
                      <w:b/>
                      <w:bCs/>
                      <w:color w:val="000000"/>
                      <w:sz w:val="2"/>
                      <w:szCs w:val="2"/>
                      <w:lang w:val="en-GB" w:eastAsia="en-GB"/>
                    </w:rPr>
                    <w:t xml:space="preserve"> </w:t>
                  </w:r>
                </w:p>
              </w:tc>
              <w:tc>
                <w:tcPr>
                  <w:tcW w:w="9304" w:type="dxa"/>
                  <w:tcBorders>
                    <w:top w:val="nil"/>
                    <w:left w:val="nil"/>
                    <w:bottom w:val="nil"/>
                    <w:right w:val="nil"/>
                  </w:tcBorders>
                  <w:shd w:val="clear" w:color="auto" w:fill="auto"/>
                  <w:vAlign w:val="center"/>
                  <w:hideMark/>
                </w:tcPr>
                <w:p w14:paraId="1A1FC808" w14:textId="77777777" w:rsidR="00ED128D" w:rsidRPr="00ED128D" w:rsidRDefault="00ED128D" w:rsidP="00ED128D">
                  <w:pPr>
                    <w:rPr>
                      <w:rFonts w:eastAsia="Times New Roman" w:cs="Calibri"/>
                      <w:b/>
                      <w:bCs/>
                      <w:color w:val="000000"/>
                      <w:sz w:val="2"/>
                      <w:szCs w:val="2"/>
                      <w:lang w:val="en-GB" w:eastAsia="en-GB"/>
                    </w:rPr>
                  </w:pPr>
                  <w:r w:rsidRPr="00ED128D">
                    <w:rPr>
                      <w:rFonts w:eastAsia="Times New Roman" w:cs="Calibri"/>
                      <w:b/>
                      <w:bCs/>
                      <w:color w:val="000000"/>
                      <w:sz w:val="2"/>
                      <w:szCs w:val="2"/>
                      <w:lang w:val="en-GB" w:eastAsia="en-GB"/>
                    </w:rPr>
                    <w:t xml:space="preserve"> </w:t>
                  </w:r>
                </w:p>
              </w:tc>
              <w:tc>
                <w:tcPr>
                  <w:tcW w:w="1790" w:type="dxa"/>
                  <w:tcBorders>
                    <w:top w:val="nil"/>
                    <w:left w:val="nil"/>
                    <w:bottom w:val="nil"/>
                    <w:right w:val="nil"/>
                  </w:tcBorders>
                  <w:shd w:val="clear" w:color="auto" w:fill="auto"/>
                  <w:vAlign w:val="center"/>
                  <w:hideMark/>
                </w:tcPr>
                <w:p w14:paraId="50498816" w14:textId="77777777" w:rsidR="00ED128D" w:rsidRPr="00ED128D" w:rsidRDefault="00ED128D" w:rsidP="00ED128D">
                  <w:pPr>
                    <w:rPr>
                      <w:rFonts w:eastAsia="Times New Roman" w:cs="Calibri"/>
                      <w:b/>
                      <w:bCs/>
                      <w:color w:val="000000"/>
                      <w:sz w:val="2"/>
                      <w:szCs w:val="2"/>
                      <w:lang w:val="en-GB" w:eastAsia="en-GB"/>
                    </w:rPr>
                  </w:pPr>
                  <w:r w:rsidRPr="00ED128D">
                    <w:rPr>
                      <w:rFonts w:eastAsia="Times New Roman" w:cs="Calibri"/>
                      <w:b/>
                      <w:bCs/>
                      <w:color w:val="000000"/>
                      <w:sz w:val="2"/>
                      <w:szCs w:val="2"/>
                      <w:lang w:val="en-GB" w:eastAsia="en-GB"/>
                    </w:rPr>
                    <w:t xml:space="preserve"> </w:t>
                  </w:r>
                </w:p>
              </w:tc>
            </w:tr>
            <w:tr w:rsidR="00ED128D" w:rsidRPr="00ED128D" w14:paraId="74CC82D7" w14:textId="77777777" w:rsidTr="00E26C79">
              <w:trPr>
                <w:trHeight w:val="546"/>
              </w:trPr>
              <w:tc>
                <w:tcPr>
                  <w:tcW w:w="2111" w:type="dxa"/>
                  <w:tcBorders>
                    <w:top w:val="nil"/>
                    <w:left w:val="nil"/>
                    <w:bottom w:val="nil"/>
                    <w:right w:val="nil"/>
                  </w:tcBorders>
                  <w:shd w:val="clear" w:color="auto" w:fill="auto"/>
                  <w:vAlign w:val="center"/>
                  <w:hideMark/>
                </w:tcPr>
                <w:p w14:paraId="23B6F301" w14:textId="77777777" w:rsidR="00ED128D" w:rsidRPr="00ED128D" w:rsidRDefault="00ED128D" w:rsidP="00AE0A9C">
                  <w:pPr>
                    <w:jc w:val="center"/>
                    <w:rPr>
                      <w:rFonts w:eastAsia="Times New Roman" w:cs="Calibri"/>
                      <w:b/>
                      <w:bCs/>
                      <w:color w:val="000000"/>
                      <w:sz w:val="16"/>
                      <w:szCs w:val="16"/>
                      <w:lang w:val="en-GB" w:eastAsia="en-GB"/>
                    </w:rPr>
                  </w:pPr>
                  <w:r w:rsidRPr="00ED128D">
                    <w:rPr>
                      <w:rFonts w:eastAsia="Times New Roman" w:cs="Calibri"/>
                      <w:b/>
                      <w:bCs/>
                      <w:color w:val="000000"/>
                      <w:sz w:val="16"/>
                      <w:szCs w:val="16"/>
                      <w:lang w:val="en-GB" w:eastAsia="en-GB"/>
                    </w:rPr>
                    <w:t>31-Mar-</w:t>
                  </w:r>
                  <w:r w:rsidR="00AE0A9C">
                    <w:rPr>
                      <w:rFonts w:eastAsia="Times New Roman" w:cs="Calibri"/>
                      <w:b/>
                      <w:bCs/>
                      <w:color w:val="000000"/>
                      <w:sz w:val="16"/>
                      <w:szCs w:val="16"/>
                      <w:lang w:val="en-GB" w:eastAsia="en-GB"/>
                    </w:rPr>
                    <w:t>20</w:t>
                  </w:r>
                </w:p>
              </w:tc>
              <w:tc>
                <w:tcPr>
                  <w:tcW w:w="631" w:type="dxa"/>
                  <w:tcBorders>
                    <w:top w:val="nil"/>
                    <w:left w:val="nil"/>
                    <w:bottom w:val="nil"/>
                    <w:right w:val="nil"/>
                  </w:tcBorders>
                  <w:shd w:val="clear" w:color="auto" w:fill="auto"/>
                  <w:vAlign w:val="center"/>
                  <w:hideMark/>
                </w:tcPr>
                <w:p w14:paraId="3C95427B" w14:textId="77777777" w:rsidR="00ED128D" w:rsidRPr="00ED128D" w:rsidRDefault="00ED128D" w:rsidP="00ED128D">
                  <w:pPr>
                    <w:rPr>
                      <w:rFonts w:eastAsia="Times New Roman" w:cs="Calibri"/>
                      <w:b/>
                      <w:bCs/>
                      <w:color w:val="000000"/>
                      <w:sz w:val="2"/>
                      <w:szCs w:val="2"/>
                      <w:lang w:val="en-GB" w:eastAsia="en-GB"/>
                    </w:rPr>
                  </w:pPr>
                  <w:r w:rsidRPr="00ED128D">
                    <w:rPr>
                      <w:rFonts w:eastAsia="Times New Roman" w:cs="Calibri"/>
                      <w:b/>
                      <w:bCs/>
                      <w:color w:val="000000"/>
                      <w:sz w:val="2"/>
                      <w:szCs w:val="2"/>
                      <w:lang w:val="en-GB" w:eastAsia="en-GB"/>
                    </w:rPr>
                    <w:t xml:space="preserve"> </w:t>
                  </w:r>
                </w:p>
              </w:tc>
              <w:tc>
                <w:tcPr>
                  <w:tcW w:w="9304" w:type="dxa"/>
                  <w:tcBorders>
                    <w:top w:val="nil"/>
                    <w:left w:val="nil"/>
                    <w:bottom w:val="nil"/>
                    <w:right w:val="nil"/>
                  </w:tcBorders>
                  <w:shd w:val="clear" w:color="auto" w:fill="auto"/>
                  <w:vAlign w:val="center"/>
                  <w:hideMark/>
                </w:tcPr>
                <w:p w14:paraId="45244FB6" w14:textId="77777777" w:rsidR="00ED128D" w:rsidRPr="00ED128D" w:rsidRDefault="00ED128D" w:rsidP="00ED128D">
                  <w:pPr>
                    <w:rPr>
                      <w:rFonts w:eastAsia="Times New Roman" w:cs="Calibri"/>
                      <w:b/>
                      <w:bCs/>
                      <w:color w:val="000000"/>
                      <w:sz w:val="2"/>
                      <w:szCs w:val="2"/>
                      <w:lang w:val="en-GB" w:eastAsia="en-GB"/>
                    </w:rPr>
                  </w:pPr>
                  <w:r w:rsidRPr="00ED128D">
                    <w:rPr>
                      <w:rFonts w:eastAsia="Times New Roman" w:cs="Calibri"/>
                      <w:b/>
                      <w:bCs/>
                      <w:color w:val="000000"/>
                      <w:sz w:val="2"/>
                      <w:szCs w:val="2"/>
                      <w:lang w:val="en-GB" w:eastAsia="en-GB"/>
                    </w:rPr>
                    <w:t xml:space="preserve"> </w:t>
                  </w:r>
                </w:p>
              </w:tc>
              <w:tc>
                <w:tcPr>
                  <w:tcW w:w="1790" w:type="dxa"/>
                  <w:tcBorders>
                    <w:top w:val="nil"/>
                    <w:left w:val="nil"/>
                    <w:bottom w:val="nil"/>
                    <w:right w:val="nil"/>
                  </w:tcBorders>
                  <w:shd w:val="clear" w:color="auto" w:fill="auto"/>
                  <w:vAlign w:val="center"/>
                  <w:hideMark/>
                </w:tcPr>
                <w:p w14:paraId="1D12C998" w14:textId="77777777" w:rsidR="00ED128D" w:rsidRPr="00ED128D" w:rsidRDefault="00ED128D" w:rsidP="00ED128D">
                  <w:pPr>
                    <w:jc w:val="center"/>
                    <w:rPr>
                      <w:rFonts w:eastAsia="Times New Roman" w:cs="Calibri"/>
                      <w:b/>
                      <w:bCs/>
                      <w:color w:val="000000"/>
                      <w:sz w:val="16"/>
                      <w:szCs w:val="16"/>
                      <w:lang w:val="en-GB" w:eastAsia="en-GB"/>
                    </w:rPr>
                  </w:pPr>
                  <w:r w:rsidRPr="00ED128D">
                    <w:rPr>
                      <w:rFonts w:eastAsia="Times New Roman" w:cs="Calibri"/>
                      <w:b/>
                      <w:bCs/>
                      <w:color w:val="000000"/>
                      <w:sz w:val="16"/>
                      <w:szCs w:val="16"/>
                      <w:lang w:val="en-GB" w:eastAsia="en-GB"/>
                    </w:rPr>
                    <w:t>31-Mar-21</w:t>
                  </w:r>
                </w:p>
              </w:tc>
            </w:tr>
            <w:tr w:rsidR="00ED128D" w:rsidRPr="00ED128D" w14:paraId="0A37DEDE" w14:textId="77777777" w:rsidTr="00E26C79">
              <w:trPr>
                <w:trHeight w:val="260"/>
              </w:trPr>
              <w:tc>
                <w:tcPr>
                  <w:tcW w:w="2111" w:type="dxa"/>
                  <w:tcBorders>
                    <w:top w:val="nil"/>
                    <w:left w:val="nil"/>
                    <w:bottom w:val="single" w:sz="8" w:space="0" w:color="000000"/>
                    <w:right w:val="nil"/>
                  </w:tcBorders>
                  <w:shd w:val="clear" w:color="auto" w:fill="auto"/>
                  <w:vAlign w:val="center"/>
                  <w:hideMark/>
                </w:tcPr>
                <w:p w14:paraId="64C45BE7" w14:textId="77777777" w:rsidR="00ED128D" w:rsidRPr="00ED128D" w:rsidRDefault="00ED128D" w:rsidP="00ED128D">
                  <w:pPr>
                    <w:jc w:val="right"/>
                    <w:rPr>
                      <w:rFonts w:eastAsia="Times New Roman" w:cs="Calibri"/>
                      <w:b/>
                      <w:bCs/>
                      <w:color w:val="000000"/>
                      <w:sz w:val="16"/>
                      <w:szCs w:val="16"/>
                      <w:lang w:val="en-GB" w:eastAsia="en-GB"/>
                    </w:rPr>
                  </w:pPr>
                  <w:r w:rsidRPr="00ED128D">
                    <w:rPr>
                      <w:rFonts w:eastAsia="Times New Roman" w:cs="Calibri"/>
                      <w:b/>
                      <w:bCs/>
                      <w:color w:val="000000"/>
                      <w:sz w:val="16"/>
                      <w:szCs w:val="16"/>
                      <w:lang w:val="en-GB" w:eastAsia="en-GB"/>
                    </w:rPr>
                    <w:t>£000</w:t>
                  </w:r>
                </w:p>
              </w:tc>
              <w:tc>
                <w:tcPr>
                  <w:tcW w:w="631" w:type="dxa"/>
                  <w:tcBorders>
                    <w:top w:val="nil"/>
                    <w:left w:val="nil"/>
                    <w:bottom w:val="single" w:sz="8" w:space="0" w:color="000000"/>
                    <w:right w:val="nil"/>
                  </w:tcBorders>
                  <w:shd w:val="clear" w:color="auto" w:fill="auto"/>
                  <w:vAlign w:val="center"/>
                  <w:hideMark/>
                </w:tcPr>
                <w:p w14:paraId="5C06990A" w14:textId="77777777" w:rsidR="00ED128D" w:rsidRPr="00ED128D" w:rsidRDefault="00ED128D" w:rsidP="00ED128D">
                  <w:pPr>
                    <w:jc w:val="right"/>
                    <w:rPr>
                      <w:rFonts w:eastAsia="Times New Roman" w:cs="Calibri"/>
                      <w:b/>
                      <w:bCs/>
                      <w:color w:val="000000"/>
                      <w:sz w:val="2"/>
                      <w:szCs w:val="2"/>
                      <w:lang w:val="en-GB" w:eastAsia="en-GB"/>
                    </w:rPr>
                  </w:pPr>
                  <w:r w:rsidRPr="00ED128D">
                    <w:rPr>
                      <w:rFonts w:eastAsia="Times New Roman" w:cs="Calibri"/>
                      <w:b/>
                      <w:bCs/>
                      <w:color w:val="000000"/>
                      <w:sz w:val="2"/>
                      <w:szCs w:val="2"/>
                      <w:lang w:val="en-GB" w:eastAsia="en-GB"/>
                    </w:rPr>
                    <w:t xml:space="preserve"> </w:t>
                  </w:r>
                </w:p>
              </w:tc>
              <w:tc>
                <w:tcPr>
                  <w:tcW w:w="9304" w:type="dxa"/>
                  <w:tcBorders>
                    <w:top w:val="nil"/>
                    <w:left w:val="nil"/>
                    <w:bottom w:val="single" w:sz="8" w:space="0" w:color="000000"/>
                    <w:right w:val="nil"/>
                  </w:tcBorders>
                  <w:shd w:val="clear" w:color="auto" w:fill="auto"/>
                  <w:vAlign w:val="center"/>
                  <w:hideMark/>
                </w:tcPr>
                <w:p w14:paraId="0429F299" w14:textId="77777777" w:rsidR="00ED128D" w:rsidRPr="00ED128D" w:rsidRDefault="00ED128D" w:rsidP="00ED128D">
                  <w:pPr>
                    <w:jc w:val="right"/>
                    <w:rPr>
                      <w:rFonts w:eastAsia="Times New Roman" w:cs="Calibri"/>
                      <w:b/>
                      <w:bCs/>
                      <w:color w:val="000000"/>
                      <w:sz w:val="2"/>
                      <w:szCs w:val="2"/>
                      <w:lang w:val="en-GB" w:eastAsia="en-GB"/>
                    </w:rPr>
                  </w:pPr>
                  <w:r w:rsidRPr="00ED128D">
                    <w:rPr>
                      <w:rFonts w:eastAsia="Times New Roman" w:cs="Calibri"/>
                      <w:b/>
                      <w:bCs/>
                      <w:color w:val="000000"/>
                      <w:sz w:val="2"/>
                      <w:szCs w:val="2"/>
                      <w:lang w:val="en-GB" w:eastAsia="en-GB"/>
                    </w:rPr>
                    <w:t xml:space="preserve"> </w:t>
                  </w:r>
                </w:p>
              </w:tc>
              <w:tc>
                <w:tcPr>
                  <w:tcW w:w="1790" w:type="dxa"/>
                  <w:tcBorders>
                    <w:top w:val="nil"/>
                    <w:left w:val="nil"/>
                    <w:bottom w:val="single" w:sz="8" w:space="0" w:color="000000"/>
                    <w:right w:val="nil"/>
                  </w:tcBorders>
                  <w:shd w:val="clear" w:color="auto" w:fill="auto"/>
                  <w:vAlign w:val="center"/>
                  <w:hideMark/>
                </w:tcPr>
                <w:p w14:paraId="584C8284" w14:textId="77777777" w:rsidR="00ED128D" w:rsidRPr="00ED128D" w:rsidRDefault="00ED128D" w:rsidP="00ED128D">
                  <w:pPr>
                    <w:jc w:val="right"/>
                    <w:rPr>
                      <w:rFonts w:eastAsia="Times New Roman" w:cs="Calibri"/>
                      <w:b/>
                      <w:bCs/>
                      <w:color w:val="000000"/>
                      <w:sz w:val="16"/>
                      <w:szCs w:val="16"/>
                      <w:lang w:val="en-GB" w:eastAsia="en-GB"/>
                    </w:rPr>
                  </w:pPr>
                  <w:r w:rsidRPr="00ED128D">
                    <w:rPr>
                      <w:rFonts w:eastAsia="Times New Roman" w:cs="Calibri"/>
                      <w:b/>
                      <w:bCs/>
                      <w:color w:val="000000"/>
                      <w:sz w:val="16"/>
                      <w:szCs w:val="16"/>
                      <w:lang w:val="en-GB" w:eastAsia="en-GB"/>
                    </w:rPr>
                    <w:t>£000</w:t>
                  </w:r>
                </w:p>
              </w:tc>
            </w:tr>
            <w:tr w:rsidR="00ED128D" w:rsidRPr="00ED128D" w14:paraId="5FD63B1A" w14:textId="77777777" w:rsidTr="00E26C79">
              <w:trPr>
                <w:trHeight w:val="260"/>
              </w:trPr>
              <w:tc>
                <w:tcPr>
                  <w:tcW w:w="2111" w:type="dxa"/>
                  <w:tcBorders>
                    <w:top w:val="nil"/>
                    <w:left w:val="nil"/>
                    <w:bottom w:val="nil"/>
                    <w:right w:val="nil"/>
                  </w:tcBorders>
                  <w:shd w:val="clear" w:color="auto" w:fill="auto"/>
                  <w:vAlign w:val="center"/>
                  <w:hideMark/>
                </w:tcPr>
                <w:p w14:paraId="1C6DA71E"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(62,630)</w:t>
                  </w:r>
                </w:p>
              </w:tc>
              <w:tc>
                <w:tcPr>
                  <w:tcW w:w="631" w:type="dxa"/>
                  <w:tcBorders>
                    <w:top w:val="nil"/>
                    <w:left w:val="nil"/>
                    <w:bottom w:val="nil"/>
                    <w:right w:val="nil"/>
                  </w:tcBorders>
                  <w:shd w:val="clear" w:color="auto" w:fill="auto"/>
                  <w:vAlign w:val="center"/>
                  <w:hideMark/>
                </w:tcPr>
                <w:p w14:paraId="35B0F3C7" w14:textId="77777777" w:rsidR="00ED128D" w:rsidRPr="00ED128D" w:rsidRDefault="00ED128D" w:rsidP="00ED128D">
                  <w:pPr>
                    <w:jc w:val="center"/>
                    <w:rPr>
                      <w:rFonts w:eastAsia="Times New Roman" w:cs="Calibri"/>
                      <w:color w:val="000000"/>
                      <w:sz w:val="2"/>
                      <w:szCs w:val="2"/>
                      <w:lang w:val="en-GB" w:eastAsia="en-GB"/>
                    </w:rPr>
                  </w:pPr>
                  <w:r w:rsidRPr="00ED128D">
                    <w:rPr>
                      <w:rFonts w:eastAsia="Times New Roman" w:cs="Calibri"/>
                      <w:color w:val="000000"/>
                      <w:sz w:val="2"/>
                      <w:szCs w:val="2"/>
                      <w:lang w:val="en-GB" w:eastAsia="en-GB"/>
                    </w:rPr>
                    <w:t xml:space="preserve"> </w:t>
                  </w:r>
                </w:p>
              </w:tc>
              <w:tc>
                <w:tcPr>
                  <w:tcW w:w="9304" w:type="dxa"/>
                  <w:tcBorders>
                    <w:top w:val="nil"/>
                    <w:left w:val="nil"/>
                    <w:bottom w:val="nil"/>
                    <w:right w:val="nil"/>
                  </w:tcBorders>
                  <w:shd w:val="clear" w:color="auto" w:fill="auto"/>
                  <w:vAlign w:val="center"/>
                  <w:hideMark/>
                </w:tcPr>
                <w:p w14:paraId="6084F6E0" w14:textId="77777777" w:rsidR="00ED128D" w:rsidRPr="00ED128D" w:rsidRDefault="00ED128D" w:rsidP="00ED128D">
                  <w:pPr>
                    <w:rPr>
                      <w:rFonts w:eastAsia="Times New Roman" w:cs="Calibri"/>
                      <w:color w:val="000000"/>
                      <w:sz w:val="16"/>
                      <w:szCs w:val="16"/>
                      <w:lang w:val="en-GB" w:eastAsia="en-GB"/>
                    </w:rPr>
                  </w:pPr>
                  <w:r w:rsidRPr="00ED128D">
                    <w:rPr>
                      <w:rFonts w:eastAsia="Times New Roman" w:cs="Calibri"/>
                      <w:color w:val="000000"/>
                      <w:sz w:val="16"/>
                      <w:szCs w:val="16"/>
                      <w:lang w:val="en-GB" w:eastAsia="en-GB"/>
                    </w:rPr>
                    <w:t>Home Office Police Grant</w:t>
                  </w:r>
                </w:p>
              </w:tc>
              <w:tc>
                <w:tcPr>
                  <w:tcW w:w="1790" w:type="dxa"/>
                  <w:tcBorders>
                    <w:top w:val="nil"/>
                    <w:left w:val="nil"/>
                    <w:bottom w:val="nil"/>
                    <w:right w:val="nil"/>
                  </w:tcBorders>
                  <w:shd w:val="clear" w:color="auto" w:fill="auto"/>
                  <w:vAlign w:val="center"/>
                  <w:hideMark/>
                </w:tcPr>
                <w:p w14:paraId="67FFEA8E"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(67,546)</w:t>
                  </w:r>
                </w:p>
              </w:tc>
            </w:tr>
            <w:tr w:rsidR="00ED128D" w:rsidRPr="00ED128D" w14:paraId="77EF6359" w14:textId="77777777" w:rsidTr="00E26C79">
              <w:trPr>
                <w:trHeight w:val="260"/>
              </w:trPr>
              <w:tc>
                <w:tcPr>
                  <w:tcW w:w="2111" w:type="dxa"/>
                  <w:tcBorders>
                    <w:top w:val="nil"/>
                    <w:left w:val="nil"/>
                    <w:bottom w:val="nil"/>
                    <w:right w:val="nil"/>
                  </w:tcBorders>
                  <w:shd w:val="clear" w:color="auto" w:fill="auto"/>
                  <w:vAlign w:val="center"/>
                  <w:hideMark/>
                </w:tcPr>
                <w:p w14:paraId="38A63567"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(29,368)</w:t>
                  </w:r>
                </w:p>
              </w:tc>
              <w:tc>
                <w:tcPr>
                  <w:tcW w:w="631" w:type="dxa"/>
                  <w:tcBorders>
                    <w:top w:val="nil"/>
                    <w:left w:val="nil"/>
                    <w:bottom w:val="nil"/>
                    <w:right w:val="nil"/>
                  </w:tcBorders>
                  <w:shd w:val="clear" w:color="auto" w:fill="auto"/>
                  <w:vAlign w:val="center"/>
                  <w:hideMark/>
                </w:tcPr>
                <w:p w14:paraId="5B5B8BE7" w14:textId="77777777" w:rsidR="00ED128D" w:rsidRPr="00ED128D" w:rsidRDefault="00ED128D" w:rsidP="00ED128D">
                  <w:pPr>
                    <w:jc w:val="center"/>
                    <w:rPr>
                      <w:rFonts w:eastAsia="Times New Roman" w:cs="Calibri"/>
                      <w:color w:val="000000"/>
                      <w:sz w:val="2"/>
                      <w:szCs w:val="2"/>
                      <w:lang w:val="en-GB" w:eastAsia="en-GB"/>
                    </w:rPr>
                  </w:pPr>
                  <w:r w:rsidRPr="00ED128D">
                    <w:rPr>
                      <w:rFonts w:eastAsia="Times New Roman" w:cs="Calibri"/>
                      <w:color w:val="000000"/>
                      <w:sz w:val="2"/>
                      <w:szCs w:val="2"/>
                      <w:lang w:val="en-GB" w:eastAsia="en-GB"/>
                    </w:rPr>
                    <w:t xml:space="preserve"> </w:t>
                  </w:r>
                </w:p>
              </w:tc>
              <w:tc>
                <w:tcPr>
                  <w:tcW w:w="9304" w:type="dxa"/>
                  <w:tcBorders>
                    <w:top w:val="nil"/>
                    <w:left w:val="nil"/>
                    <w:bottom w:val="nil"/>
                    <w:right w:val="nil"/>
                  </w:tcBorders>
                  <w:shd w:val="clear" w:color="auto" w:fill="auto"/>
                  <w:vAlign w:val="center"/>
                  <w:hideMark/>
                </w:tcPr>
                <w:p w14:paraId="621314CD" w14:textId="77777777" w:rsidR="00ED128D" w:rsidRPr="00ED128D" w:rsidRDefault="00ED128D" w:rsidP="00ED128D">
                  <w:pPr>
                    <w:rPr>
                      <w:rFonts w:eastAsia="Times New Roman" w:cs="Calibri"/>
                      <w:color w:val="000000"/>
                      <w:sz w:val="16"/>
                      <w:szCs w:val="16"/>
                      <w:lang w:val="en-GB" w:eastAsia="en-GB"/>
                    </w:rPr>
                  </w:pPr>
                  <w:r w:rsidRPr="00ED128D">
                    <w:rPr>
                      <w:rFonts w:eastAsia="Times New Roman" w:cs="Calibri"/>
                      <w:color w:val="000000"/>
                      <w:sz w:val="16"/>
                      <w:szCs w:val="16"/>
                      <w:lang w:val="en-GB" w:eastAsia="en-GB"/>
                    </w:rPr>
                    <w:t>DCLG Revenue Support Police Grant</w:t>
                  </w:r>
                </w:p>
              </w:tc>
              <w:tc>
                <w:tcPr>
                  <w:tcW w:w="1790" w:type="dxa"/>
                  <w:tcBorders>
                    <w:top w:val="nil"/>
                    <w:left w:val="nil"/>
                    <w:bottom w:val="nil"/>
                    <w:right w:val="nil"/>
                  </w:tcBorders>
                  <w:shd w:val="clear" w:color="auto" w:fill="auto"/>
                  <w:vAlign w:val="center"/>
                  <w:hideMark/>
                </w:tcPr>
                <w:p w14:paraId="1111EE4B"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(31,336)</w:t>
                  </w:r>
                </w:p>
              </w:tc>
            </w:tr>
            <w:tr w:rsidR="00ED128D" w:rsidRPr="00ED128D" w14:paraId="497E77C3" w14:textId="77777777" w:rsidTr="00E26C79">
              <w:trPr>
                <w:trHeight w:val="260"/>
              </w:trPr>
              <w:tc>
                <w:tcPr>
                  <w:tcW w:w="2111" w:type="dxa"/>
                  <w:tcBorders>
                    <w:top w:val="nil"/>
                    <w:left w:val="nil"/>
                    <w:bottom w:val="nil"/>
                    <w:right w:val="nil"/>
                  </w:tcBorders>
                  <w:shd w:val="clear" w:color="auto" w:fill="auto"/>
                  <w:vAlign w:val="center"/>
                  <w:hideMark/>
                </w:tcPr>
                <w:p w14:paraId="35C33EB3"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(6,759)</w:t>
                  </w:r>
                </w:p>
              </w:tc>
              <w:tc>
                <w:tcPr>
                  <w:tcW w:w="631" w:type="dxa"/>
                  <w:tcBorders>
                    <w:top w:val="nil"/>
                    <w:left w:val="nil"/>
                    <w:bottom w:val="nil"/>
                    <w:right w:val="nil"/>
                  </w:tcBorders>
                  <w:shd w:val="clear" w:color="auto" w:fill="auto"/>
                  <w:vAlign w:val="center"/>
                  <w:hideMark/>
                </w:tcPr>
                <w:p w14:paraId="1E492C20" w14:textId="77777777" w:rsidR="00ED128D" w:rsidRPr="00ED128D" w:rsidRDefault="00ED128D" w:rsidP="00ED128D">
                  <w:pPr>
                    <w:jc w:val="center"/>
                    <w:rPr>
                      <w:rFonts w:eastAsia="Times New Roman" w:cs="Calibri"/>
                      <w:color w:val="000000"/>
                      <w:sz w:val="2"/>
                      <w:szCs w:val="2"/>
                      <w:lang w:val="en-GB" w:eastAsia="en-GB"/>
                    </w:rPr>
                  </w:pPr>
                  <w:r w:rsidRPr="00ED128D">
                    <w:rPr>
                      <w:rFonts w:eastAsia="Times New Roman" w:cs="Calibri"/>
                      <w:color w:val="000000"/>
                      <w:sz w:val="2"/>
                      <w:szCs w:val="2"/>
                      <w:lang w:val="en-GB" w:eastAsia="en-GB"/>
                    </w:rPr>
                    <w:t xml:space="preserve"> </w:t>
                  </w:r>
                </w:p>
              </w:tc>
              <w:tc>
                <w:tcPr>
                  <w:tcW w:w="9304" w:type="dxa"/>
                  <w:tcBorders>
                    <w:top w:val="nil"/>
                    <w:left w:val="nil"/>
                    <w:bottom w:val="nil"/>
                    <w:right w:val="nil"/>
                  </w:tcBorders>
                  <w:shd w:val="clear" w:color="auto" w:fill="auto"/>
                  <w:vAlign w:val="center"/>
                  <w:hideMark/>
                </w:tcPr>
                <w:p w14:paraId="782E8BF5" w14:textId="77777777" w:rsidR="00ED128D" w:rsidRPr="00ED128D" w:rsidRDefault="00ED128D" w:rsidP="00ED128D">
                  <w:pPr>
                    <w:rPr>
                      <w:rFonts w:eastAsia="Times New Roman" w:cs="Calibri"/>
                      <w:color w:val="000000"/>
                      <w:sz w:val="16"/>
                      <w:szCs w:val="16"/>
                      <w:lang w:val="en-GB" w:eastAsia="en-GB"/>
                    </w:rPr>
                  </w:pPr>
                  <w:r w:rsidRPr="00ED128D">
                    <w:rPr>
                      <w:rFonts w:eastAsia="Times New Roman" w:cs="Calibri"/>
                      <w:color w:val="000000"/>
                      <w:sz w:val="16"/>
                      <w:szCs w:val="16"/>
                      <w:lang w:val="en-GB" w:eastAsia="en-GB"/>
                    </w:rPr>
                    <w:t>Council Tax Support Grant</w:t>
                  </w:r>
                </w:p>
              </w:tc>
              <w:tc>
                <w:tcPr>
                  <w:tcW w:w="1790" w:type="dxa"/>
                  <w:tcBorders>
                    <w:top w:val="nil"/>
                    <w:left w:val="nil"/>
                    <w:bottom w:val="nil"/>
                    <w:right w:val="nil"/>
                  </w:tcBorders>
                  <w:shd w:val="clear" w:color="auto" w:fill="auto"/>
                  <w:vAlign w:val="center"/>
                  <w:hideMark/>
                </w:tcPr>
                <w:p w14:paraId="2CBC2905"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(6,759)</w:t>
                  </w:r>
                </w:p>
              </w:tc>
            </w:tr>
            <w:tr w:rsidR="00ED128D" w:rsidRPr="00ED128D" w14:paraId="05EA8B26" w14:textId="77777777" w:rsidTr="00E26C79">
              <w:trPr>
                <w:trHeight w:val="260"/>
              </w:trPr>
              <w:tc>
                <w:tcPr>
                  <w:tcW w:w="2111" w:type="dxa"/>
                  <w:tcBorders>
                    <w:top w:val="nil"/>
                    <w:left w:val="nil"/>
                    <w:bottom w:val="nil"/>
                    <w:right w:val="nil"/>
                  </w:tcBorders>
                  <w:shd w:val="clear" w:color="auto" w:fill="auto"/>
                  <w:vAlign w:val="center"/>
                  <w:hideMark/>
                </w:tcPr>
                <w:p w14:paraId="13C5509B"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(2,461)</w:t>
                  </w:r>
                </w:p>
              </w:tc>
              <w:tc>
                <w:tcPr>
                  <w:tcW w:w="631" w:type="dxa"/>
                  <w:tcBorders>
                    <w:top w:val="nil"/>
                    <w:left w:val="nil"/>
                    <w:bottom w:val="nil"/>
                    <w:right w:val="nil"/>
                  </w:tcBorders>
                  <w:shd w:val="clear" w:color="auto" w:fill="auto"/>
                  <w:vAlign w:val="center"/>
                  <w:hideMark/>
                </w:tcPr>
                <w:p w14:paraId="13B1F8D8" w14:textId="77777777" w:rsidR="00ED128D" w:rsidRPr="00ED128D" w:rsidRDefault="00ED128D" w:rsidP="00ED128D">
                  <w:pPr>
                    <w:jc w:val="center"/>
                    <w:rPr>
                      <w:rFonts w:eastAsia="Times New Roman" w:cs="Calibri"/>
                      <w:color w:val="000000"/>
                      <w:sz w:val="2"/>
                      <w:szCs w:val="2"/>
                      <w:lang w:val="en-GB" w:eastAsia="en-GB"/>
                    </w:rPr>
                  </w:pPr>
                  <w:r w:rsidRPr="00ED128D">
                    <w:rPr>
                      <w:rFonts w:eastAsia="Times New Roman" w:cs="Calibri"/>
                      <w:color w:val="000000"/>
                      <w:sz w:val="2"/>
                      <w:szCs w:val="2"/>
                      <w:lang w:val="en-GB" w:eastAsia="en-GB"/>
                    </w:rPr>
                    <w:t xml:space="preserve"> </w:t>
                  </w:r>
                </w:p>
              </w:tc>
              <w:tc>
                <w:tcPr>
                  <w:tcW w:w="9304" w:type="dxa"/>
                  <w:tcBorders>
                    <w:top w:val="nil"/>
                    <w:left w:val="nil"/>
                    <w:bottom w:val="nil"/>
                    <w:right w:val="nil"/>
                  </w:tcBorders>
                  <w:shd w:val="clear" w:color="auto" w:fill="auto"/>
                  <w:vAlign w:val="center"/>
                  <w:hideMark/>
                </w:tcPr>
                <w:p w14:paraId="2DA4223A" w14:textId="77777777" w:rsidR="00ED128D" w:rsidRPr="00ED128D" w:rsidRDefault="00ED128D" w:rsidP="00ED128D">
                  <w:pPr>
                    <w:rPr>
                      <w:rFonts w:eastAsia="Times New Roman" w:cs="Calibri"/>
                      <w:color w:val="000000"/>
                      <w:sz w:val="16"/>
                      <w:szCs w:val="16"/>
                      <w:lang w:val="en-GB" w:eastAsia="en-GB"/>
                    </w:rPr>
                  </w:pPr>
                  <w:r w:rsidRPr="00ED128D">
                    <w:rPr>
                      <w:rFonts w:eastAsia="Times New Roman" w:cs="Calibri"/>
                      <w:color w:val="000000"/>
                      <w:sz w:val="16"/>
                      <w:szCs w:val="16"/>
                      <w:lang w:val="en-GB" w:eastAsia="en-GB"/>
                    </w:rPr>
                    <w:t>Council Tax Freeze Grant</w:t>
                  </w:r>
                </w:p>
              </w:tc>
              <w:tc>
                <w:tcPr>
                  <w:tcW w:w="1790" w:type="dxa"/>
                  <w:tcBorders>
                    <w:top w:val="nil"/>
                    <w:left w:val="nil"/>
                    <w:bottom w:val="nil"/>
                    <w:right w:val="nil"/>
                  </w:tcBorders>
                  <w:shd w:val="clear" w:color="auto" w:fill="auto"/>
                  <w:vAlign w:val="center"/>
                  <w:hideMark/>
                </w:tcPr>
                <w:p w14:paraId="0CC1E7E9"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(2,461)</w:t>
                  </w:r>
                </w:p>
              </w:tc>
            </w:tr>
            <w:tr w:rsidR="00ED128D" w:rsidRPr="00ED128D" w14:paraId="490AB92E" w14:textId="77777777" w:rsidTr="00E26C79">
              <w:trPr>
                <w:trHeight w:val="260"/>
              </w:trPr>
              <w:tc>
                <w:tcPr>
                  <w:tcW w:w="2111" w:type="dxa"/>
                  <w:tcBorders>
                    <w:top w:val="nil"/>
                    <w:left w:val="nil"/>
                    <w:bottom w:val="nil"/>
                    <w:right w:val="nil"/>
                  </w:tcBorders>
                  <w:shd w:val="clear" w:color="auto" w:fill="auto"/>
                  <w:vAlign w:val="center"/>
                  <w:hideMark/>
                </w:tcPr>
                <w:p w14:paraId="11E8D872"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(1,963)</w:t>
                  </w:r>
                </w:p>
              </w:tc>
              <w:tc>
                <w:tcPr>
                  <w:tcW w:w="631" w:type="dxa"/>
                  <w:tcBorders>
                    <w:top w:val="nil"/>
                    <w:left w:val="nil"/>
                    <w:bottom w:val="nil"/>
                    <w:right w:val="nil"/>
                  </w:tcBorders>
                  <w:shd w:val="clear" w:color="auto" w:fill="auto"/>
                  <w:vAlign w:val="center"/>
                  <w:hideMark/>
                </w:tcPr>
                <w:p w14:paraId="2CC44443" w14:textId="77777777" w:rsidR="00ED128D" w:rsidRPr="00ED128D" w:rsidRDefault="00ED128D" w:rsidP="00ED128D">
                  <w:pPr>
                    <w:jc w:val="center"/>
                    <w:rPr>
                      <w:rFonts w:eastAsia="Times New Roman" w:cs="Calibri"/>
                      <w:color w:val="000000"/>
                      <w:sz w:val="2"/>
                      <w:szCs w:val="2"/>
                      <w:lang w:val="en-GB" w:eastAsia="en-GB"/>
                    </w:rPr>
                  </w:pPr>
                  <w:r w:rsidRPr="00ED128D">
                    <w:rPr>
                      <w:rFonts w:eastAsia="Times New Roman" w:cs="Calibri"/>
                      <w:color w:val="000000"/>
                      <w:sz w:val="2"/>
                      <w:szCs w:val="2"/>
                      <w:lang w:val="en-GB" w:eastAsia="en-GB"/>
                    </w:rPr>
                    <w:t xml:space="preserve"> </w:t>
                  </w:r>
                </w:p>
              </w:tc>
              <w:tc>
                <w:tcPr>
                  <w:tcW w:w="9304" w:type="dxa"/>
                  <w:tcBorders>
                    <w:top w:val="nil"/>
                    <w:left w:val="nil"/>
                    <w:bottom w:val="nil"/>
                    <w:right w:val="nil"/>
                  </w:tcBorders>
                  <w:shd w:val="clear" w:color="auto" w:fill="auto"/>
                  <w:vAlign w:val="center"/>
                  <w:hideMark/>
                </w:tcPr>
                <w:p w14:paraId="007B96AF" w14:textId="77777777" w:rsidR="00ED128D" w:rsidRPr="00ED128D" w:rsidRDefault="00ED128D" w:rsidP="00ED128D">
                  <w:pPr>
                    <w:rPr>
                      <w:rFonts w:eastAsia="Times New Roman" w:cs="Calibri"/>
                      <w:color w:val="000000"/>
                      <w:sz w:val="16"/>
                      <w:szCs w:val="16"/>
                      <w:lang w:val="en-GB" w:eastAsia="en-GB"/>
                    </w:rPr>
                  </w:pPr>
                  <w:r w:rsidRPr="00ED128D">
                    <w:rPr>
                      <w:rFonts w:eastAsia="Times New Roman" w:cs="Calibri"/>
                      <w:color w:val="000000"/>
                      <w:sz w:val="16"/>
                      <w:szCs w:val="16"/>
                      <w:lang w:val="en-GB" w:eastAsia="en-GB"/>
                    </w:rPr>
                    <w:t>Police Officer Pension Grant</w:t>
                  </w:r>
                </w:p>
              </w:tc>
              <w:tc>
                <w:tcPr>
                  <w:tcW w:w="1790" w:type="dxa"/>
                  <w:tcBorders>
                    <w:top w:val="nil"/>
                    <w:left w:val="nil"/>
                    <w:bottom w:val="nil"/>
                    <w:right w:val="nil"/>
                  </w:tcBorders>
                  <w:shd w:val="clear" w:color="auto" w:fill="auto"/>
                  <w:vAlign w:val="center"/>
                  <w:hideMark/>
                </w:tcPr>
                <w:p w14:paraId="205070F9"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(1,964)</w:t>
                  </w:r>
                </w:p>
              </w:tc>
            </w:tr>
            <w:tr w:rsidR="00ED128D" w:rsidRPr="00ED128D" w14:paraId="579B53C1" w14:textId="77777777" w:rsidTr="00E26C79">
              <w:trPr>
                <w:trHeight w:val="260"/>
              </w:trPr>
              <w:tc>
                <w:tcPr>
                  <w:tcW w:w="2111" w:type="dxa"/>
                  <w:tcBorders>
                    <w:top w:val="nil"/>
                    <w:left w:val="nil"/>
                    <w:bottom w:val="nil"/>
                    <w:right w:val="nil"/>
                  </w:tcBorders>
                  <w:shd w:val="clear" w:color="auto" w:fill="auto"/>
                  <w:vAlign w:val="center"/>
                  <w:hideMark/>
                </w:tcPr>
                <w:p w14:paraId="3B6EEBF2"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0</w:t>
                  </w:r>
                </w:p>
              </w:tc>
              <w:tc>
                <w:tcPr>
                  <w:tcW w:w="631" w:type="dxa"/>
                  <w:tcBorders>
                    <w:top w:val="nil"/>
                    <w:left w:val="nil"/>
                    <w:bottom w:val="nil"/>
                    <w:right w:val="nil"/>
                  </w:tcBorders>
                  <w:shd w:val="clear" w:color="auto" w:fill="auto"/>
                  <w:vAlign w:val="center"/>
                  <w:hideMark/>
                </w:tcPr>
                <w:p w14:paraId="295E76FC" w14:textId="77777777" w:rsidR="00ED128D" w:rsidRPr="00ED128D" w:rsidRDefault="00ED128D" w:rsidP="00ED128D">
                  <w:pPr>
                    <w:jc w:val="right"/>
                    <w:rPr>
                      <w:rFonts w:eastAsia="Times New Roman" w:cs="Calibri"/>
                      <w:color w:val="000000"/>
                      <w:sz w:val="16"/>
                      <w:szCs w:val="16"/>
                      <w:lang w:val="en-GB" w:eastAsia="en-GB"/>
                    </w:rPr>
                  </w:pPr>
                </w:p>
              </w:tc>
              <w:tc>
                <w:tcPr>
                  <w:tcW w:w="9304" w:type="dxa"/>
                  <w:tcBorders>
                    <w:top w:val="nil"/>
                    <w:left w:val="nil"/>
                    <w:bottom w:val="nil"/>
                    <w:right w:val="nil"/>
                  </w:tcBorders>
                  <w:shd w:val="clear" w:color="auto" w:fill="auto"/>
                  <w:noWrap/>
                  <w:vAlign w:val="bottom"/>
                  <w:hideMark/>
                </w:tcPr>
                <w:p w14:paraId="280773BF" w14:textId="5DF409C4" w:rsidR="00ED128D" w:rsidRPr="00ED128D" w:rsidRDefault="007E5D29" w:rsidP="00ED128D">
                  <w:pPr>
                    <w:rPr>
                      <w:rFonts w:eastAsia="Times New Roman" w:cs="Calibri"/>
                      <w:color w:val="000000"/>
                      <w:sz w:val="16"/>
                      <w:szCs w:val="16"/>
                      <w:lang w:val="en-GB" w:eastAsia="en-GB"/>
                    </w:rPr>
                  </w:pPr>
                  <w:r>
                    <w:rPr>
                      <w:rFonts w:eastAsia="Times New Roman" w:cs="Calibri"/>
                      <w:color w:val="000000"/>
                      <w:sz w:val="16"/>
                      <w:szCs w:val="16"/>
                      <w:lang w:val="en-GB" w:eastAsia="en-GB"/>
                    </w:rPr>
                    <w:t>Covid</w:t>
                  </w:r>
                  <w:r w:rsidR="00A4534C">
                    <w:rPr>
                      <w:rFonts w:eastAsia="Times New Roman" w:cs="Calibri"/>
                      <w:color w:val="000000"/>
                      <w:sz w:val="16"/>
                      <w:szCs w:val="16"/>
                      <w:lang w:val="en-GB" w:eastAsia="en-GB"/>
                    </w:rPr>
                    <w:t>-19</w:t>
                  </w:r>
                  <w:r>
                    <w:rPr>
                      <w:rFonts w:eastAsia="Times New Roman" w:cs="Calibri"/>
                      <w:color w:val="000000"/>
                      <w:sz w:val="16"/>
                      <w:szCs w:val="16"/>
                      <w:lang w:val="en-GB" w:eastAsia="en-GB"/>
                    </w:rPr>
                    <w:t xml:space="preserve"> Police Enforcement Grant</w:t>
                  </w:r>
                </w:p>
              </w:tc>
              <w:tc>
                <w:tcPr>
                  <w:tcW w:w="1790" w:type="dxa"/>
                  <w:tcBorders>
                    <w:top w:val="nil"/>
                    <w:left w:val="nil"/>
                    <w:bottom w:val="nil"/>
                    <w:right w:val="nil"/>
                  </w:tcBorders>
                  <w:shd w:val="clear" w:color="auto" w:fill="auto"/>
                  <w:vAlign w:val="center"/>
                  <w:hideMark/>
                </w:tcPr>
                <w:p w14:paraId="40F023D4" w14:textId="77777777" w:rsidR="00ED128D" w:rsidRPr="00ED128D" w:rsidRDefault="00ED128D" w:rsidP="007E5D29">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w:t>
                  </w:r>
                  <w:r w:rsidR="007E5D29">
                    <w:rPr>
                      <w:rFonts w:eastAsia="Times New Roman" w:cs="Calibri"/>
                      <w:color w:val="000000"/>
                      <w:sz w:val="16"/>
                      <w:szCs w:val="16"/>
                      <w:lang w:val="en-GB" w:eastAsia="en-GB"/>
                    </w:rPr>
                    <w:t>751</w:t>
                  </w:r>
                  <w:r w:rsidRPr="00ED128D">
                    <w:rPr>
                      <w:rFonts w:eastAsia="Times New Roman" w:cs="Calibri"/>
                      <w:color w:val="000000"/>
                      <w:sz w:val="16"/>
                      <w:szCs w:val="16"/>
                      <w:lang w:val="en-GB" w:eastAsia="en-GB"/>
                    </w:rPr>
                    <w:t>)</w:t>
                  </w:r>
                </w:p>
              </w:tc>
            </w:tr>
            <w:tr w:rsidR="00ED128D" w:rsidRPr="00ED128D" w14:paraId="04285D44" w14:textId="77777777" w:rsidTr="00E26C79">
              <w:trPr>
                <w:trHeight w:val="354"/>
              </w:trPr>
              <w:tc>
                <w:tcPr>
                  <w:tcW w:w="2111" w:type="dxa"/>
                  <w:tcBorders>
                    <w:top w:val="nil"/>
                    <w:left w:val="nil"/>
                    <w:bottom w:val="nil"/>
                    <w:right w:val="nil"/>
                  </w:tcBorders>
                  <w:shd w:val="clear" w:color="auto" w:fill="auto"/>
                  <w:vAlign w:val="center"/>
                  <w:hideMark/>
                </w:tcPr>
                <w:p w14:paraId="7CE907D9"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(17,378)</w:t>
                  </w:r>
                </w:p>
              </w:tc>
              <w:tc>
                <w:tcPr>
                  <w:tcW w:w="631" w:type="dxa"/>
                  <w:tcBorders>
                    <w:top w:val="nil"/>
                    <w:left w:val="nil"/>
                    <w:bottom w:val="nil"/>
                    <w:right w:val="nil"/>
                  </w:tcBorders>
                  <w:shd w:val="clear" w:color="auto" w:fill="auto"/>
                  <w:vAlign w:val="center"/>
                  <w:hideMark/>
                </w:tcPr>
                <w:p w14:paraId="12DF0FE3" w14:textId="77777777" w:rsidR="00ED128D" w:rsidRPr="00ED128D" w:rsidRDefault="00ED128D" w:rsidP="00ED128D">
                  <w:pPr>
                    <w:jc w:val="right"/>
                    <w:rPr>
                      <w:rFonts w:eastAsia="Times New Roman" w:cs="Calibri"/>
                      <w:color w:val="000000"/>
                      <w:sz w:val="16"/>
                      <w:szCs w:val="16"/>
                      <w:lang w:val="en-GB" w:eastAsia="en-GB"/>
                    </w:rPr>
                  </w:pPr>
                </w:p>
              </w:tc>
              <w:tc>
                <w:tcPr>
                  <w:tcW w:w="9304" w:type="dxa"/>
                  <w:tcBorders>
                    <w:top w:val="nil"/>
                    <w:left w:val="nil"/>
                    <w:bottom w:val="nil"/>
                    <w:right w:val="nil"/>
                  </w:tcBorders>
                  <w:shd w:val="clear" w:color="auto" w:fill="auto"/>
                  <w:vAlign w:val="center"/>
                  <w:hideMark/>
                </w:tcPr>
                <w:p w14:paraId="12713B47" w14:textId="08A4FD3D" w:rsidR="00ED128D" w:rsidRPr="00ED128D" w:rsidRDefault="00ED128D" w:rsidP="009B1DC7">
                  <w:pPr>
                    <w:rPr>
                      <w:rFonts w:eastAsia="Times New Roman" w:cs="Calibri"/>
                      <w:color w:val="000000"/>
                      <w:sz w:val="16"/>
                      <w:szCs w:val="16"/>
                      <w:lang w:val="en-GB" w:eastAsia="en-GB"/>
                    </w:rPr>
                  </w:pPr>
                  <w:r w:rsidRPr="00ED128D">
                    <w:rPr>
                      <w:rFonts w:eastAsia="Times New Roman" w:cs="Calibri"/>
                      <w:color w:val="000000"/>
                      <w:sz w:val="16"/>
                      <w:szCs w:val="16"/>
                      <w:lang w:val="en-GB" w:eastAsia="en-GB"/>
                    </w:rPr>
                    <w:t>Home Office Grant Payable to cost of Retirement Benefits</w:t>
                  </w:r>
                </w:p>
              </w:tc>
              <w:tc>
                <w:tcPr>
                  <w:tcW w:w="1790" w:type="dxa"/>
                  <w:tcBorders>
                    <w:top w:val="nil"/>
                    <w:left w:val="nil"/>
                    <w:bottom w:val="nil"/>
                    <w:right w:val="nil"/>
                  </w:tcBorders>
                  <w:shd w:val="clear" w:color="auto" w:fill="auto"/>
                  <w:vAlign w:val="center"/>
                  <w:hideMark/>
                </w:tcPr>
                <w:p w14:paraId="1CFBD508"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(13,333)</w:t>
                  </w:r>
                </w:p>
              </w:tc>
            </w:tr>
            <w:tr w:rsidR="00ED128D" w:rsidRPr="00ED128D" w14:paraId="46525369" w14:textId="77777777" w:rsidTr="00E26C79">
              <w:trPr>
                <w:trHeight w:val="260"/>
              </w:trPr>
              <w:tc>
                <w:tcPr>
                  <w:tcW w:w="2111" w:type="dxa"/>
                  <w:tcBorders>
                    <w:top w:val="nil"/>
                    <w:left w:val="nil"/>
                    <w:bottom w:val="nil"/>
                    <w:right w:val="nil"/>
                  </w:tcBorders>
                  <w:shd w:val="clear" w:color="000000" w:fill="FFFFFF"/>
                  <w:vAlign w:val="center"/>
                  <w:hideMark/>
                </w:tcPr>
                <w:p w14:paraId="1B8EA683"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0</w:t>
                  </w:r>
                </w:p>
              </w:tc>
              <w:tc>
                <w:tcPr>
                  <w:tcW w:w="631" w:type="dxa"/>
                  <w:tcBorders>
                    <w:top w:val="nil"/>
                    <w:left w:val="nil"/>
                    <w:bottom w:val="nil"/>
                    <w:right w:val="nil"/>
                  </w:tcBorders>
                  <w:shd w:val="clear" w:color="000000" w:fill="FFFFFF"/>
                  <w:vAlign w:val="center"/>
                  <w:hideMark/>
                </w:tcPr>
                <w:p w14:paraId="4A96BAE4" w14:textId="77777777" w:rsidR="00ED128D" w:rsidRPr="00ED128D" w:rsidRDefault="00ED128D" w:rsidP="00ED128D">
                  <w:pPr>
                    <w:jc w:val="center"/>
                    <w:rPr>
                      <w:rFonts w:eastAsia="Times New Roman" w:cs="Calibri"/>
                      <w:color w:val="000000"/>
                      <w:sz w:val="2"/>
                      <w:szCs w:val="2"/>
                      <w:lang w:val="en-GB" w:eastAsia="en-GB"/>
                    </w:rPr>
                  </w:pPr>
                  <w:r w:rsidRPr="00ED128D">
                    <w:rPr>
                      <w:rFonts w:eastAsia="Times New Roman" w:cs="Calibri"/>
                      <w:color w:val="000000"/>
                      <w:sz w:val="2"/>
                      <w:szCs w:val="2"/>
                      <w:lang w:val="en-GB" w:eastAsia="en-GB"/>
                    </w:rPr>
                    <w:t xml:space="preserve"> </w:t>
                  </w:r>
                </w:p>
              </w:tc>
              <w:tc>
                <w:tcPr>
                  <w:tcW w:w="9304" w:type="dxa"/>
                  <w:tcBorders>
                    <w:top w:val="nil"/>
                    <w:left w:val="nil"/>
                    <w:bottom w:val="nil"/>
                    <w:right w:val="nil"/>
                  </w:tcBorders>
                  <w:shd w:val="clear" w:color="000000" w:fill="FFFFFF"/>
                  <w:vAlign w:val="center"/>
                  <w:hideMark/>
                </w:tcPr>
                <w:p w14:paraId="138CABBA" w14:textId="4FA34811" w:rsidR="00ED128D" w:rsidRPr="00ED128D" w:rsidRDefault="00ED128D" w:rsidP="00A4534C">
                  <w:pPr>
                    <w:rPr>
                      <w:rFonts w:eastAsia="Times New Roman" w:cs="Calibri"/>
                      <w:color w:val="000000"/>
                      <w:sz w:val="16"/>
                      <w:szCs w:val="16"/>
                      <w:lang w:val="en-GB" w:eastAsia="en-GB"/>
                    </w:rPr>
                  </w:pPr>
                  <w:r w:rsidRPr="00ED128D">
                    <w:rPr>
                      <w:rFonts w:eastAsia="Times New Roman" w:cs="Calibri"/>
                      <w:color w:val="000000"/>
                      <w:sz w:val="16"/>
                      <w:szCs w:val="16"/>
                      <w:lang w:val="en-GB" w:eastAsia="en-GB"/>
                    </w:rPr>
                    <w:t xml:space="preserve">Loss of Income </w:t>
                  </w:r>
                  <w:r w:rsidR="00A4534C">
                    <w:rPr>
                      <w:rFonts w:eastAsia="Times New Roman" w:cs="Calibri"/>
                      <w:color w:val="000000"/>
                      <w:sz w:val="16"/>
                      <w:szCs w:val="16"/>
                      <w:lang w:val="en-GB" w:eastAsia="en-GB"/>
                    </w:rPr>
                    <w:t>Covid-</w:t>
                  </w:r>
                  <w:r w:rsidRPr="00ED128D">
                    <w:rPr>
                      <w:rFonts w:eastAsia="Times New Roman" w:cs="Calibri"/>
                      <w:color w:val="000000"/>
                      <w:sz w:val="16"/>
                      <w:szCs w:val="16"/>
                      <w:lang w:val="en-GB" w:eastAsia="en-GB"/>
                    </w:rPr>
                    <w:t>19</w:t>
                  </w:r>
                </w:p>
              </w:tc>
              <w:tc>
                <w:tcPr>
                  <w:tcW w:w="1790" w:type="dxa"/>
                  <w:tcBorders>
                    <w:top w:val="nil"/>
                    <w:left w:val="nil"/>
                    <w:bottom w:val="nil"/>
                    <w:right w:val="nil"/>
                  </w:tcBorders>
                  <w:shd w:val="clear" w:color="auto" w:fill="auto"/>
                  <w:vAlign w:val="center"/>
                  <w:hideMark/>
                </w:tcPr>
                <w:p w14:paraId="16A4AB75"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(617)</w:t>
                  </w:r>
                </w:p>
              </w:tc>
            </w:tr>
            <w:tr w:rsidR="00ED128D" w:rsidRPr="00ED128D" w14:paraId="73AC1DD3" w14:textId="77777777" w:rsidTr="00E26C79">
              <w:trPr>
                <w:trHeight w:val="260"/>
              </w:trPr>
              <w:tc>
                <w:tcPr>
                  <w:tcW w:w="2111" w:type="dxa"/>
                  <w:tcBorders>
                    <w:top w:val="nil"/>
                    <w:left w:val="nil"/>
                    <w:bottom w:val="nil"/>
                    <w:right w:val="nil"/>
                  </w:tcBorders>
                  <w:shd w:val="clear" w:color="auto" w:fill="auto"/>
                  <w:vAlign w:val="center"/>
                  <w:hideMark/>
                </w:tcPr>
                <w:p w14:paraId="5F56CDEA"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(1,345)</w:t>
                  </w:r>
                </w:p>
              </w:tc>
              <w:tc>
                <w:tcPr>
                  <w:tcW w:w="631" w:type="dxa"/>
                  <w:tcBorders>
                    <w:top w:val="nil"/>
                    <w:left w:val="nil"/>
                    <w:bottom w:val="nil"/>
                    <w:right w:val="nil"/>
                  </w:tcBorders>
                  <w:shd w:val="clear" w:color="auto" w:fill="auto"/>
                  <w:vAlign w:val="center"/>
                  <w:hideMark/>
                </w:tcPr>
                <w:p w14:paraId="202683FE" w14:textId="77777777" w:rsidR="00ED128D" w:rsidRPr="00ED128D" w:rsidRDefault="00ED128D" w:rsidP="00ED128D">
                  <w:pPr>
                    <w:jc w:val="center"/>
                    <w:rPr>
                      <w:rFonts w:eastAsia="Times New Roman" w:cs="Calibri"/>
                      <w:color w:val="000000"/>
                      <w:sz w:val="2"/>
                      <w:szCs w:val="2"/>
                      <w:lang w:val="en-GB" w:eastAsia="en-GB"/>
                    </w:rPr>
                  </w:pPr>
                  <w:r w:rsidRPr="00ED128D">
                    <w:rPr>
                      <w:rFonts w:eastAsia="Times New Roman" w:cs="Calibri"/>
                      <w:color w:val="000000"/>
                      <w:sz w:val="2"/>
                      <w:szCs w:val="2"/>
                      <w:lang w:val="en-GB" w:eastAsia="en-GB"/>
                    </w:rPr>
                    <w:t xml:space="preserve"> </w:t>
                  </w:r>
                </w:p>
              </w:tc>
              <w:tc>
                <w:tcPr>
                  <w:tcW w:w="9304" w:type="dxa"/>
                  <w:tcBorders>
                    <w:top w:val="nil"/>
                    <w:left w:val="nil"/>
                    <w:bottom w:val="nil"/>
                    <w:right w:val="nil"/>
                  </w:tcBorders>
                  <w:shd w:val="clear" w:color="auto" w:fill="auto"/>
                  <w:vAlign w:val="center"/>
                  <w:hideMark/>
                </w:tcPr>
                <w:p w14:paraId="00A27607" w14:textId="77777777" w:rsidR="00ED128D" w:rsidRPr="00ED128D" w:rsidRDefault="00ED128D" w:rsidP="00ED128D">
                  <w:pPr>
                    <w:rPr>
                      <w:rFonts w:eastAsia="Times New Roman" w:cs="Calibri"/>
                      <w:color w:val="000000"/>
                      <w:sz w:val="16"/>
                      <w:szCs w:val="16"/>
                      <w:lang w:val="en-GB" w:eastAsia="en-GB"/>
                    </w:rPr>
                  </w:pPr>
                  <w:r w:rsidRPr="00ED128D">
                    <w:rPr>
                      <w:rFonts w:eastAsia="Times New Roman" w:cs="Calibri"/>
                      <w:color w:val="000000"/>
                      <w:sz w:val="16"/>
                      <w:szCs w:val="16"/>
                      <w:lang w:val="en-GB" w:eastAsia="en-GB"/>
                    </w:rPr>
                    <w:t>Capital Grants and Contributions</w:t>
                  </w:r>
                </w:p>
              </w:tc>
              <w:tc>
                <w:tcPr>
                  <w:tcW w:w="1790" w:type="dxa"/>
                  <w:tcBorders>
                    <w:top w:val="nil"/>
                    <w:left w:val="nil"/>
                    <w:bottom w:val="nil"/>
                    <w:right w:val="nil"/>
                  </w:tcBorders>
                  <w:shd w:val="clear" w:color="auto" w:fill="auto"/>
                  <w:vAlign w:val="center"/>
                  <w:hideMark/>
                </w:tcPr>
                <w:p w14:paraId="73969A58" w14:textId="04F2DCC8"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w:t>
                  </w:r>
                  <w:r w:rsidR="00D71044">
                    <w:rPr>
                      <w:rFonts w:eastAsia="Times New Roman" w:cs="Calibri"/>
                      <w:color w:val="000000"/>
                      <w:sz w:val="16"/>
                      <w:szCs w:val="16"/>
                      <w:lang w:val="en-GB" w:eastAsia="en-GB"/>
                    </w:rPr>
                    <w:t>297</w:t>
                  </w:r>
                  <w:r w:rsidRPr="00ED128D">
                    <w:rPr>
                      <w:rFonts w:eastAsia="Times New Roman" w:cs="Calibri"/>
                      <w:color w:val="000000"/>
                      <w:sz w:val="16"/>
                      <w:szCs w:val="16"/>
                      <w:lang w:val="en-GB" w:eastAsia="en-GB"/>
                    </w:rPr>
                    <w:t>)</w:t>
                  </w:r>
                </w:p>
              </w:tc>
            </w:tr>
            <w:tr w:rsidR="00ED128D" w:rsidRPr="00ED128D" w14:paraId="623B7590" w14:textId="77777777" w:rsidTr="00E26C79">
              <w:trPr>
                <w:trHeight w:val="260"/>
              </w:trPr>
              <w:tc>
                <w:tcPr>
                  <w:tcW w:w="2111" w:type="dxa"/>
                  <w:tcBorders>
                    <w:top w:val="single" w:sz="8" w:space="0" w:color="000000"/>
                    <w:left w:val="nil"/>
                    <w:bottom w:val="single" w:sz="12" w:space="0" w:color="000000"/>
                    <w:right w:val="nil"/>
                  </w:tcBorders>
                  <w:shd w:val="clear" w:color="auto" w:fill="auto"/>
                  <w:vAlign w:val="center"/>
                  <w:hideMark/>
                </w:tcPr>
                <w:p w14:paraId="2D0116C6" w14:textId="77777777" w:rsidR="00ED128D" w:rsidRPr="00ED128D" w:rsidRDefault="00ED128D" w:rsidP="00ED128D">
                  <w:pPr>
                    <w:jc w:val="right"/>
                    <w:rPr>
                      <w:rFonts w:eastAsia="Times New Roman" w:cs="Calibri"/>
                      <w:b/>
                      <w:bCs/>
                      <w:color w:val="000000"/>
                      <w:sz w:val="16"/>
                      <w:szCs w:val="16"/>
                      <w:lang w:val="en-GB" w:eastAsia="en-GB"/>
                    </w:rPr>
                  </w:pPr>
                  <w:r w:rsidRPr="00ED128D">
                    <w:rPr>
                      <w:rFonts w:eastAsia="Times New Roman" w:cs="Calibri"/>
                      <w:b/>
                      <w:bCs/>
                      <w:color w:val="000000"/>
                      <w:sz w:val="16"/>
                      <w:szCs w:val="16"/>
                      <w:lang w:val="en-GB" w:eastAsia="en-GB"/>
                    </w:rPr>
                    <w:t>(121,904)</w:t>
                  </w:r>
                </w:p>
              </w:tc>
              <w:tc>
                <w:tcPr>
                  <w:tcW w:w="631" w:type="dxa"/>
                  <w:tcBorders>
                    <w:top w:val="single" w:sz="8" w:space="0" w:color="000000"/>
                    <w:left w:val="nil"/>
                    <w:bottom w:val="single" w:sz="12" w:space="0" w:color="000000"/>
                    <w:right w:val="nil"/>
                  </w:tcBorders>
                  <w:shd w:val="clear" w:color="auto" w:fill="auto"/>
                  <w:vAlign w:val="center"/>
                  <w:hideMark/>
                </w:tcPr>
                <w:p w14:paraId="1DD36BCB" w14:textId="77777777" w:rsidR="00ED128D" w:rsidRPr="00ED128D" w:rsidRDefault="00ED128D" w:rsidP="00ED128D">
                  <w:pPr>
                    <w:jc w:val="center"/>
                    <w:rPr>
                      <w:rFonts w:eastAsia="Times New Roman" w:cs="Calibri"/>
                      <w:b/>
                      <w:bCs/>
                      <w:color w:val="000000"/>
                      <w:sz w:val="2"/>
                      <w:szCs w:val="2"/>
                      <w:lang w:val="en-GB" w:eastAsia="en-GB"/>
                    </w:rPr>
                  </w:pPr>
                  <w:r w:rsidRPr="00ED128D">
                    <w:rPr>
                      <w:rFonts w:eastAsia="Times New Roman" w:cs="Calibri"/>
                      <w:b/>
                      <w:bCs/>
                      <w:color w:val="000000"/>
                      <w:sz w:val="2"/>
                      <w:szCs w:val="2"/>
                      <w:lang w:val="en-GB" w:eastAsia="en-GB"/>
                    </w:rPr>
                    <w:t xml:space="preserve"> </w:t>
                  </w:r>
                </w:p>
              </w:tc>
              <w:tc>
                <w:tcPr>
                  <w:tcW w:w="9304" w:type="dxa"/>
                  <w:tcBorders>
                    <w:top w:val="single" w:sz="8" w:space="0" w:color="000000"/>
                    <w:left w:val="nil"/>
                    <w:bottom w:val="single" w:sz="12" w:space="0" w:color="000000"/>
                    <w:right w:val="nil"/>
                  </w:tcBorders>
                  <w:shd w:val="clear" w:color="auto" w:fill="auto"/>
                  <w:vAlign w:val="center"/>
                  <w:hideMark/>
                </w:tcPr>
                <w:p w14:paraId="52DB179F" w14:textId="77777777" w:rsidR="00ED128D" w:rsidRPr="00ED128D" w:rsidRDefault="00ED128D" w:rsidP="00ED128D">
                  <w:pPr>
                    <w:rPr>
                      <w:rFonts w:eastAsia="Times New Roman" w:cs="Calibri"/>
                      <w:b/>
                      <w:bCs/>
                      <w:color w:val="000000"/>
                      <w:sz w:val="16"/>
                      <w:szCs w:val="16"/>
                      <w:lang w:val="en-GB" w:eastAsia="en-GB"/>
                    </w:rPr>
                  </w:pPr>
                  <w:r w:rsidRPr="00ED128D">
                    <w:rPr>
                      <w:rFonts w:eastAsia="Times New Roman" w:cs="Calibri"/>
                      <w:b/>
                      <w:bCs/>
                      <w:color w:val="000000"/>
                      <w:sz w:val="16"/>
                      <w:szCs w:val="16"/>
                      <w:lang w:val="en-GB" w:eastAsia="en-GB"/>
                    </w:rPr>
                    <w:t>Total</w:t>
                  </w:r>
                </w:p>
              </w:tc>
              <w:tc>
                <w:tcPr>
                  <w:tcW w:w="1790" w:type="dxa"/>
                  <w:tcBorders>
                    <w:top w:val="single" w:sz="8" w:space="0" w:color="000000"/>
                    <w:left w:val="nil"/>
                    <w:bottom w:val="single" w:sz="12" w:space="0" w:color="000000"/>
                    <w:right w:val="nil"/>
                  </w:tcBorders>
                  <w:shd w:val="clear" w:color="auto" w:fill="auto"/>
                  <w:vAlign w:val="center"/>
                  <w:hideMark/>
                </w:tcPr>
                <w:p w14:paraId="3A26168A" w14:textId="284E8969" w:rsidR="00ED128D" w:rsidRPr="00ED128D" w:rsidRDefault="00ED128D" w:rsidP="00704791">
                  <w:pPr>
                    <w:jc w:val="right"/>
                    <w:rPr>
                      <w:rFonts w:eastAsia="Times New Roman" w:cs="Calibri"/>
                      <w:b/>
                      <w:bCs/>
                      <w:color w:val="000000"/>
                      <w:sz w:val="16"/>
                      <w:szCs w:val="16"/>
                      <w:lang w:val="en-GB" w:eastAsia="en-GB"/>
                    </w:rPr>
                  </w:pPr>
                  <w:r w:rsidRPr="00ED128D">
                    <w:rPr>
                      <w:rFonts w:eastAsia="Times New Roman" w:cs="Calibri"/>
                      <w:b/>
                      <w:bCs/>
                      <w:color w:val="000000"/>
                      <w:sz w:val="16"/>
                      <w:szCs w:val="16"/>
                      <w:lang w:val="en-GB" w:eastAsia="en-GB"/>
                    </w:rPr>
                    <w:t>(12</w:t>
                  </w:r>
                  <w:r w:rsidR="000917BF">
                    <w:rPr>
                      <w:rFonts w:eastAsia="Times New Roman" w:cs="Calibri"/>
                      <w:b/>
                      <w:bCs/>
                      <w:color w:val="000000"/>
                      <w:sz w:val="16"/>
                      <w:szCs w:val="16"/>
                      <w:lang w:val="en-GB" w:eastAsia="en-GB"/>
                    </w:rPr>
                    <w:t>5,064</w:t>
                  </w:r>
                  <w:r w:rsidRPr="00ED128D">
                    <w:rPr>
                      <w:rFonts w:eastAsia="Times New Roman" w:cs="Calibri"/>
                      <w:b/>
                      <w:bCs/>
                      <w:color w:val="000000"/>
                      <w:sz w:val="16"/>
                      <w:szCs w:val="16"/>
                      <w:lang w:val="en-GB" w:eastAsia="en-GB"/>
                    </w:rPr>
                    <w:t>)</w:t>
                  </w:r>
                </w:p>
              </w:tc>
            </w:tr>
            <w:tr w:rsidR="00ED128D" w:rsidRPr="00ED128D" w14:paraId="6DA1DDFF" w14:textId="77777777" w:rsidTr="00E26C79">
              <w:trPr>
                <w:trHeight w:val="260"/>
              </w:trPr>
              <w:tc>
                <w:tcPr>
                  <w:tcW w:w="13837" w:type="dxa"/>
                  <w:gridSpan w:val="4"/>
                  <w:tcBorders>
                    <w:top w:val="nil"/>
                    <w:left w:val="nil"/>
                    <w:bottom w:val="nil"/>
                    <w:right w:val="nil"/>
                  </w:tcBorders>
                  <w:shd w:val="clear" w:color="auto" w:fill="auto"/>
                  <w:vAlign w:val="center"/>
                  <w:hideMark/>
                </w:tcPr>
                <w:p w14:paraId="778B9DA0" w14:textId="77777777" w:rsidR="00A4534C" w:rsidRDefault="00A4534C" w:rsidP="00ED128D">
                  <w:pPr>
                    <w:rPr>
                      <w:rFonts w:eastAsia="Times New Roman" w:cs="Calibri"/>
                      <w:b/>
                      <w:bCs/>
                      <w:color w:val="000000"/>
                      <w:sz w:val="24"/>
                      <w:szCs w:val="24"/>
                      <w:lang w:val="en-GB" w:eastAsia="en-GB"/>
                    </w:rPr>
                  </w:pPr>
                </w:p>
                <w:p w14:paraId="503DCB02" w14:textId="77777777" w:rsidR="00ED128D" w:rsidRPr="00ED128D" w:rsidRDefault="00ED128D" w:rsidP="00ED128D">
                  <w:pPr>
                    <w:rPr>
                      <w:rFonts w:eastAsia="Times New Roman" w:cs="Calibri"/>
                      <w:b/>
                      <w:bCs/>
                      <w:color w:val="000000"/>
                      <w:sz w:val="24"/>
                      <w:szCs w:val="24"/>
                      <w:lang w:val="en-GB" w:eastAsia="en-GB"/>
                    </w:rPr>
                  </w:pPr>
                  <w:r w:rsidRPr="00ED128D">
                    <w:rPr>
                      <w:rFonts w:eastAsia="Times New Roman" w:cs="Calibri"/>
                      <w:b/>
                      <w:bCs/>
                      <w:color w:val="000000"/>
                      <w:sz w:val="24"/>
                      <w:szCs w:val="24"/>
                      <w:lang w:val="en-GB" w:eastAsia="en-GB"/>
                    </w:rPr>
                    <w:t xml:space="preserve">Credited to Services </w:t>
                  </w:r>
                </w:p>
              </w:tc>
            </w:tr>
            <w:tr w:rsidR="00ED128D" w:rsidRPr="00ED128D" w14:paraId="7B9C4CC8" w14:textId="77777777" w:rsidTr="00E26C79">
              <w:trPr>
                <w:trHeight w:val="64"/>
              </w:trPr>
              <w:tc>
                <w:tcPr>
                  <w:tcW w:w="2111" w:type="dxa"/>
                  <w:tcBorders>
                    <w:top w:val="nil"/>
                    <w:left w:val="nil"/>
                    <w:bottom w:val="nil"/>
                    <w:right w:val="nil"/>
                  </w:tcBorders>
                  <w:shd w:val="clear" w:color="auto" w:fill="auto"/>
                  <w:vAlign w:val="center"/>
                  <w:hideMark/>
                </w:tcPr>
                <w:p w14:paraId="75CE6A68" w14:textId="77777777" w:rsidR="00ED128D" w:rsidRPr="00ED128D" w:rsidRDefault="00ED128D" w:rsidP="00AE0A9C">
                  <w:pPr>
                    <w:jc w:val="center"/>
                    <w:rPr>
                      <w:rFonts w:eastAsia="Times New Roman" w:cs="Calibri"/>
                      <w:b/>
                      <w:bCs/>
                      <w:color w:val="000000"/>
                      <w:sz w:val="16"/>
                      <w:szCs w:val="16"/>
                      <w:lang w:val="en-GB" w:eastAsia="en-GB"/>
                    </w:rPr>
                  </w:pPr>
                  <w:r w:rsidRPr="00ED128D">
                    <w:rPr>
                      <w:rFonts w:eastAsia="Times New Roman" w:cs="Calibri"/>
                      <w:b/>
                      <w:bCs/>
                      <w:color w:val="000000"/>
                      <w:sz w:val="16"/>
                      <w:szCs w:val="16"/>
                      <w:lang w:val="en-GB" w:eastAsia="en-GB"/>
                    </w:rPr>
                    <w:t>31-Mar-</w:t>
                  </w:r>
                  <w:r w:rsidR="00AE0A9C">
                    <w:rPr>
                      <w:rFonts w:eastAsia="Times New Roman" w:cs="Calibri"/>
                      <w:b/>
                      <w:bCs/>
                      <w:color w:val="000000"/>
                      <w:sz w:val="16"/>
                      <w:szCs w:val="16"/>
                      <w:lang w:val="en-GB" w:eastAsia="en-GB"/>
                    </w:rPr>
                    <w:t>20</w:t>
                  </w:r>
                </w:p>
              </w:tc>
              <w:tc>
                <w:tcPr>
                  <w:tcW w:w="631" w:type="dxa"/>
                  <w:tcBorders>
                    <w:top w:val="nil"/>
                    <w:left w:val="nil"/>
                    <w:bottom w:val="nil"/>
                    <w:right w:val="nil"/>
                  </w:tcBorders>
                  <w:shd w:val="clear" w:color="auto" w:fill="auto"/>
                  <w:vAlign w:val="center"/>
                  <w:hideMark/>
                </w:tcPr>
                <w:p w14:paraId="0AD511D8" w14:textId="77777777" w:rsidR="00ED128D" w:rsidRPr="00ED128D" w:rsidRDefault="00ED128D" w:rsidP="00ED128D">
                  <w:pPr>
                    <w:rPr>
                      <w:rFonts w:eastAsia="Times New Roman" w:cs="Calibri"/>
                      <w:b/>
                      <w:bCs/>
                      <w:color w:val="000000"/>
                      <w:sz w:val="2"/>
                      <w:szCs w:val="2"/>
                      <w:lang w:val="en-GB" w:eastAsia="en-GB"/>
                    </w:rPr>
                  </w:pPr>
                  <w:r w:rsidRPr="00ED128D">
                    <w:rPr>
                      <w:rFonts w:eastAsia="Times New Roman" w:cs="Calibri"/>
                      <w:b/>
                      <w:bCs/>
                      <w:color w:val="000000"/>
                      <w:sz w:val="2"/>
                      <w:szCs w:val="2"/>
                      <w:lang w:val="en-GB" w:eastAsia="en-GB"/>
                    </w:rPr>
                    <w:t xml:space="preserve"> </w:t>
                  </w:r>
                </w:p>
              </w:tc>
              <w:tc>
                <w:tcPr>
                  <w:tcW w:w="9304" w:type="dxa"/>
                  <w:tcBorders>
                    <w:top w:val="nil"/>
                    <w:left w:val="nil"/>
                    <w:bottom w:val="nil"/>
                    <w:right w:val="nil"/>
                  </w:tcBorders>
                  <w:shd w:val="clear" w:color="auto" w:fill="auto"/>
                  <w:vAlign w:val="center"/>
                  <w:hideMark/>
                </w:tcPr>
                <w:p w14:paraId="2B1A3AE6" w14:textId="77777777" w:rsidR="00ED128D" w:rsidRPr="00ED128D" w:rsidRDefault="00ED128D" w:rsidP="00ED128D">
                  <w:pPr>
                    <w:rPr>
                      <w:rFonts w:eastAsia="Times New Roman" w:cs="Calibri"/>
                      <w:b/>
                      <w:bCs/>
                      <w:color w:val="000000"/>
                      <w:sz w:val="2"/>
                      <w:szCs w:val="2"/>
                      <w:lang w:val="en-GB" w:eastAsia="en-GB"/>
                    </w:rPr>
                  </w:pPr>
                  <w:r w:rsidRPr="00ED128D">
                    <w:rPr>
                      <w:rFonts w:eastAsia="Times New Roman" w:cs="Calibri"/>
                      <w:b/>
                      <w:bCs/>
                      <w:color w:val="000000"/>
                      <w:sz w:val="2"/>
                      <w:szCs w:val="2"/>
                      <w:lang w:val="en-GB" w:eastAsia="en-GB"/>
                    </w:rPr>
                    <w:t xml:space="preserve"> </w:t>
                  </w:r>
                </w:p>
              </w:tc>
              <w:tc>
                <w:tcPr>
                  <w:tcW w:w="1790" w:type="dxa"/>
                  <w:tcBorders>
                    <w:top w:val="nil"/>
                    <w:left w:val="nil"/>
                    <w:bottom w:val="nil"/>
                    <w:right w:val="nil"/>
                  </w:tcBorders>
                  <w:shd w:val="clear" w:color="auto" w:fill="auto"/>
                  <w:vAlign w:val="center"/>
                  <w:hideMark/>
                </w:tcPr>
                <w:p w14:paraId="28526292" w14:textId="77777777" w:rsidR="00ED128D" w:rsidRPr="00ED128D" w:rsidRDefault="00ED128D" w:rsidP="00ED128D">
                  <w:pPr>
                    <w:jc w:val="center"/>
                    <w:rPr>
                      <w:rFonts w:eastAsia="Times New Roman" w:cs="Calibri"/>
                      <w:b/>
                      <w:bCs/>
                      <w:color w:val="000000"/>
                      <w:sz w:val="16"/>
                      <w:szCs w:val="16"/>
                      <w:lang w:val="en-GB" w:eastAsia="en-GB"/>
                    </w:rPr>
                  </w:pPr>
                  <w:r w:rsidRPr="00ED128D">
                    <w:rPr>
                      <w:rFonts w:eastAsia="Times New Roman" w:cs="Calibri"/>
                      <w:b/>
                      <w:bCs/>
                      <w:color w:val="000000"/>
                      <w:sz w:val="16"/>
                      <w:szCs w:val="16"/>
                      <w:lang w:val="en-GB" w:eastAsia="en-GB"/>
                    </w:rPr>
                    <w:t>31-Mar-21</w:t>
                  </w:r>
                </w:p>
              </w:tc>
            </w:tr>
            <w:tr w:rsidR="00ED128D" w:rsidRPr="00ED128D" w14:paraId="68CE376D" w14:textId="77777777" w:rsidTr="00E26C79">
              <w:trPr>
                <w:trHeight w:val="260"/>
              </w:trPr>
              <w:tc>
                <w:tcPr>
                  <w:tcW w:w="2111" w:type="dxa"/>
                  <w:tcBorders>
                    <w:top w:val="nil"/>
                    <w:left w:val="nil"/>
                    <w:bottom w:val="single" w:sz="8" w:space="0" w:color="000000"/>
                    <w:right w:val="nil"/>
                  </w:tcBorders>
                  <w:shd w:val="clear" w:color="auto" w:fill="auto"/>
                  <w:vAlign w:val="center"/>
                  <w:hideMark/>
                </w:tcPr>
                <w:p w14:paraId="363A9B61" w14:textId="77777777" w:rsidR="00ED128D" w:rsidRPr="00ED128D" w:rsidRDefault="00ED128D" w:rsidP="00ED128D">
                  <w:pPr>
                    <w:jc w:val="right"/>
                    <w:rPr>
                      <w:rFonts w:eastAsia="Times New Roman" w:cs="Calibri"/>
                      <w:b/>
                      <w:bCs/>
                      <w:color w:val="000000"/>
                      <w:sz w:val="16"/>
                      <w:szCs w:val="16"/>
                      <w:lang w:val="en-GB" w:eastAsia="en-GB"/>
                    </w:rPr>
                  </w:pPr>
                  <w:r w:rsidRPr="00ED128D">
                    <w:rPr>
                      <w:rFonts w:eastAsia="Times New Roman" w:cs="Calibri"/>
                      <w:b/>
                      <w:bCs/>
                      <w:color w:val="000000"/>
                      <w:sz w:val="16"/>
                      <w:szCs w:val="16"/>
                      <w:lang w:val="en-GB" w:eastAsia="en-GB"/>
                    </w:rPr>
                    <w:t>£000</w:t>
                  </w:r>
                </w:p>
              </w:tc>
              <w:tc>
                <w:tcPr>
                  <w:tcW w:w="631" w:type="dxa"/>
                  <w:tcBorders>
                    <w:top w:val="nil"/>
                    <w:left w:val="nil"/>
                    <w:bottom w:val="single" w:sz="8" w:space="0" w:color="000000"/>
                    <w:right w:val="nil"/>
                  </w:tcBorders>
                  <w:shd w:val="clear" w:color="auto" w:fill="auto"/>
                  <w:vAlign w:val="center"/>
                  <w:hideMark/>
                </w:tcPr>
                <w:p w14:paraId="0167A27F" w14:textId="77777777" w:rsidR="00ED128D" w:rsidRPr="00ED128D" w:rsidRDefault="00ED128D" w:rsidP="00ED128D">
                  <w:pPr>
                    <w:jc w:val="right"/>
                    <w:rPr>
                      <w:rFonts w:eastAsia="Times New Roman" w:cs="Calibri"/>
                      <w:b/>
                      <w:bCs/>
                      <w:color w:val="000000"/>
                      <w:sz w:val="2"/>
                      <w:szCs w:val="2"/>
                      <w:lang w:val="en-GB" w:eastAsia="en-GB"/>
                    </w:rPr>
                  </w:pPr>
                  <w:r w:rsidRPr="00ED128D">
                    <w:rPr>
                      <w:rFonts w:eastAsia="Times New Roman" w:cs="Calibri"/>
                      <w:b/>
                      <w:bCs/>
                      <w:color w:val="000000"/>
                      <w:sz w:val="2"/>
                      <w:szCs w:val="2"/>
                      <w:lang w:val="en-GB" w:eastAsia="en-GB"/>
                    </w:rPr>
                    <w:t xml:space="preserve"> </w:t>
                  </w:r>
                </w:p>
              </w:tc>
              <w:tc>
                <w:tcPr>
                  <w:tcW w:w="9304" w:type="dxa"/>
                  <w:tcBorders>
                    <w:top w:val="nil"/>
                    <w:left w:val="nil"/>
                    <w:bottom w:val="single" w:sz="8" w:space="0" w:color="000000"/>
                    <w:right w:val="nil"/>
                  </w:tcBorders>
                  <w:shd w:val="clear" w:color="auto" w:fill="auto"/>
                  <w:vAlign w:val="center"/>
                  <w:hideMark/>
                </w:tcPr>
                <w:p w14:paraId="7FD195D5" w14:textId="77777777" w:rsidR="00ED128D" w:rsidRPr="00ED128D" w:rsidRDefault="00ED128D" w:rsidP="00ED128D">
                  <w:pPr>
                    <w:jc w:val="right"/>
                    <w:rPr>
                      <w:rFonts w:eastAsia="Times New Roman" w:cs="Calibri"/>
                      <w:b/>
                      <w:bCs/>
                      <w:color w:val="000000"/>
                      <w:sz w:val="2"/>
                      <w:szCs w:val="2"/>
                      <w:lang w:val="en-GB" w:eastAsia="en-GB"/>
                    </w:rPr>
                  </w:pPr>
                  <w:r w:rsidRPr="00ED128D">
                    <w:rPr>
                      <w:rFonts w:eastAsia="Times New Roman" w:cs="Calibri"/>
                      <w:b/>
                      <w:bCs/>
                      <w:color w:val="000000"/>
                      <w:sz w:val="2"/>
                      <w:szCs w:val="2"/>
                      <w:lang w:val="en-GB" w:eastAsia="en-GB"/>
                    </w:rPr>
                    <w:t xml:space="preserve"> </w:t>
                  </w:r>
                </w:p>
              </w:tc>
              <w:tc>
                <w:tcPr>
                  <w:tcW w:w="1790" w:type="dxa"/>
                  <w:tcBorders>
                    <w:top w:val="nil"/>
                    <w:left w:val="nil"/>
                    <w:bottom w:val="single" w:sz="8" w:space="0" w:color="000000"/>
                    <w:right w:val="nil"/>
                  </w:tcBorders>
                  <w:shd w:val="clear" w:color="auto" w:fill="auto"/>
                  <w:vAlign w:val="center"/>
                  <w:hideMark/>
                </w:tcPr>
                <w:p w14:paraId="266E1952" w14:textId="77777777" w:rsidR="00ED128D" w:rsidRPr="00ED128D" w:rsidRDefault="00ED128D" w:rsidP="00ED128D">
                  <w:pPr>
                    <w:jc w:val="right"/>
                    <w:rPr>
                      <w:rFonts w:eastAsia="Times New Roman" w:cs="Calibri"/>
                      <w:b/>
                      <w:bCs/>
                      <w:color w:val="000000"/>
                      <w:sz w:val="16"/>
                      <w:szCs w:val="16"/>
                      <w:lang w:val="en-GB" w:eastAsia="en-GB"/>
                    </w:rPr>
                  </w:pPr>
                  <w:r w:rsidRPr="00ED128D">
                    <w:rPr>
                      <w:rFonts w:eastAsia="Times New Roman" w:cs="Calibri"/>
                      <w:b/>
                      <w:bCs/>
                      <w:color w:val="000000"/>
                      <w:sz w:val="16"/>
                      <w:szCs w:val="16"/>
                      <w:lang w:val="en-GB" w:eastAsia="en-GB"/>
                    </w:rPr>
                    <w:t>£000</w:t>
                  </w:r>
                </w:p>
              </w:tc>
            </w:tr>
            <w:tr w:rsidR="00ED128D" w:rsidRPr="00ED128D" w14:paraId="2DE66F8E" w14:textId="77777777" w:rsidTr="00E26C79">
              <w:trPr>
                <w:trHeight w:val="260"/>
              </w:trPr>
              <w:tc>
                <w:tcPr>
                  <w:tcW w:w="2111" w:type="dxa"/>
                  <w:tcBorders>
                    <w:top w:val="nil"/>
                    <w:left w:val="nil"/>
                    <w:bottom w:val="nil"/>
                    <w:right w:val="nil"/>
                  </w:tcBorders>
                  <w:shd w:val="clear" w:color="auto" w:fill="auto"/>
                  <w:vAlign w:val="center"/>
                  <w:hideMark/>
                </w:tcPr>
                <w:p w14:paraId="4A314C3B"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(955)</w:t>
                  </w:r>
                </w:p>
              </w:tc>
              <w:tc>
                <w:tcPr>
                  <w:tcW w:w="631" w:type="dxa"/>
                  <w:tcBorders>
                    <w:top w:val="nil"/>
                    <w:left w:val="nil"/>
                    <w:bottom w:val="nil"/>
                    <w:right w:val="nil"/>
                  </w:tcBorders>
                  <w:shd w:val="clear" w:color="auto" w:fill="auto"/>
                  <w:vAlign w:val="center"/>
                  <w:hideMark/>
                </w:tcPr>
                <w:p w14:paraId="60464208" w14:textId="77777777" w:rsidR="00ED128D" w:rsidRPr="00ED128D" w:rsidRDefault="00ED128D" w:rsidP="00ED128D">
                  <w:pPr>
                    <w:jc w:val="center"/>
                    <w:rPr>
                      <w:rFonts w:eastAsia="Times New Roman" w:cs="Calibri"/>
                      <w:color w:val="000000"/>
                      <w:sz w:val="2"/>
                      <w:szCs w:val="2"/>
                      <w:lang w:val="en-GB" w:eastAsia="en-GB"/>
                    </w:rPr>
                  </w:pPr>
                  <w:r w:rsidRPr="00ED128D">
                    <w:rPr>
                      <w:rFonts w:eastAsia="Times New Roman" w:cs="Calibri"/>
                      <w:color w:val="000000"/>
                      <w:sz w:val="2"/>
                      <w:szCs w:val="2"/>
                      <w:lang w:val="en-GB" w:eastAsia="en-GB"/>
                    </w:rPr>
                    <w:t xml:space="preserve"> </w:t>
                  </w:r>
                </w:p>
              </w:tc>
              <w:tc>
                <w:tcPr>
                  <w:tcW w:w="9304" w:type="dxa"/>
                  <w:tcBorders>
                    <w:top w:val="nil"/>
                    <w:left w:val="nil"/>
                    <w:bottom w:val="nil"/>
                    <w:right w:val="nil"/>
                  </w:tcBorders>
                  <w:shd w:val="clear" w:color="auto" w:fill="auto"/>
                  <w:vAlign w:val="center"/>
                  <w:hideMark/>
                </w:tcPr>
                <w:p w14:paraId="02601B81" w14:textId="72EC6C3A" w:rsidR="00ED128D" w:rsidRPr="00ED128D" w:rsidRDefault="00A4534C" w:rsidP="00A4534C">
                  <w:pPr>
                    <w:rPr>
                      <w:rFonts w:eastAsia="Times New Roman" w:cs="Calibri"/>
                      <w:color w:val="000000"/>
                      <w:sz w:val="16"/>
                      <w:szCs w:val="16"/>
                      <w:lang w:val="en-GB" w:eastAsia="en-GB"/>
                    </w:rPr>
                  </w:pPr>
                  <w:r>
                    <w:rPr>
                      <w:rFonts w:eastAsia="Times New Roman" w:cs="Calibri"/>
                      <w:color w:val="000000"/>
                      <w:sz w:val="16"/>
                      <w:szCs w:val="16"/>
                      <w:lang w:val="en-GB" w:eastAsia="en-GB"/>
                    </w:rPr>
                    <w:t xml:space="preserve">  </w:t>
                  </w:r>
                  <w:r w:rsidR="00ED128D" w:rsidRPr="00ED128D">
                    <w:rPr>
                      <w:rFonts w:eastAsia="Times New Roman" w:cs="Calibri"/>
                      <w:color w:val="000000"/>
                      <w:sz w:val="16"/>
                      <w:szCs w:val="16"/>
                      <w:lang w:val="en-GB" w:eastAsia="en-GB"/>
                    </w:rPr>
                    <w:t>Counter Terrorism</w:t>
                  </w:r>
                </w:p>
              </w:tc>
              <w:tc>
                <w:tcPr>
                  <w:tcW w:w="1790" w:type="dxa"/>
                  <w:tcBorders>
                    <w:top w:val="nil"/>
                    <w:left w:val="nil"/>
                    <w:bottom w:val="nil"/>
                    <w:right w:val="nil"/>
                  </w:tcBorders>
                  <w:shd w:val="clear" w:color="auto" w:fill="auto"/>
                  <w:vAlign w:val="center"/>
                  <w:hideMark/>
                </w:tcPr>
                <w:p w14:paraId="3C0BDB3C"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(1,041)</w:t>
                  </w:r>
                </w:p>
              </w:tc>
            </w:tr>
            <w:tr w:rsidR="00ED128D" w:rsidRPr="00ED128D" w14:paraId="3D848EF3" w14:textId="77777777" w:rsidTr="00E26C79">
              <w:trPr>
                <w:trHeight w:val="64"/>
              </w:trPr>
              <w:tc>
                <w:tcPr>
                  <w:tcW w:w="2111" w:type="dxa"/>
                  <w:tcBorders>
                    <w:top w:val="nil"/>
                    <w:left w:val="nil"/>
                    <w:bottom w:val="nil"/>
                    <w:right w:val="nil"/>
                  </w:tcBorders>
                  <w:shd w:val="clear" w:color="auto" w:fill="auto"/>
                  <w:vAlign w:val="center"/>
                  <w:hideMark/>
                </w:tcPr>
                <w:p w14:paraId="7C52747F"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(1,775)</w:t>
                  </w:r>
                </w:p>
              </w:tc>
              <w:tc>
                <w:tcPr>
                  <w:tcW w:w="631" w:type="dxa"/>
                  <w:tcBorders>
                    <w:top w:val="nil"/>
                    <w:left w:val="nil"/>
                    <w:bottom w:val="nil"/>
                    <w:right w:val="nil"/>
                  </w:tcBorders>
                  <w:shd w:val="clear" w:color="auto" w:fill="auto"/>
                  <w:vAlign w:val="center"/>
                  <w:hideMark/>
                </w:tcPr>
                <w:p w14:paraId="024C2B25" w14:textId="77777777" w:rsidR="00ED128D" w:rsidRPr="00ED128D" w:rsidRDefault="00ED128D" w:rsidP="00ED128D">
                  <w:pPr>
                    <w:jc w:val="center"/>
                    <w:rPr>
                      <w:rFonts w:eastAsia="Times New Roman" w:cs="Calibri"/>
                      <w:color w:val="000000"/>
                      <w:sz w:val="2"/>
                      <w:szCs w:val="2"/>
                      <w:lang w:val="en-GB" w:eastAsia="en-GB"/>
                    </w:rPr>
                  </w:pPr>
                  <w:r w:rsidRPr="00ED128D">
                    <w:rPr>
                      <w:rFonts w:eastAsia="Times New Roman" w:cs="Calibri"/>
                      <w:color w:val="000000"/>
                      <w:sz w:val="2"/>
                      <w:szCs w:val="2"/>
                      <w:lang w:val="en-GB" w:eastAsia="en-GB"/>
                    </w:rPr>
                    <w:t xml:space="preserve"> </w:t>
                  </w:r>
                </w:p>
              </w:tc>
              <w:tc>
                <w:tcPr>
                  <w:tcW w:w="9304" w:type="dxa"/>
                  <w:tcBorders>
                    <w:top w:val="nil"/>
                    <w:left w:val="nil"/>
                    <w:bottom w:val="nil"/>
                    <w:right w:val="nil"/>
                  </w:tcBorders>
                  <w:shd w:val="clear" w:color="auto" w:fill="auto"/>
                  <w:vAlign w:val="center"/>
                  <w:hideMark/>
                </w:tcPr>
                <w:p w14:paraId="3F1FD96C" w14:textId="6E55F6DD" w:rsidR="00ED128D" w:rsidRPr="00ED128D" w:rsidRDefault="00A4534C" w:rsidP="00A4534C">
                  <w:pPr>
                    <w:rPr>
                      <w:rFonts w:eastAsia="Times New Roman" w:cs="Calibri"/>
                      <w:color w:val="000000"/>
                      <w:sz w:val="16"/>
                      <w:szCs w:val="16"/>
                      <w:lang w:val="en-GB" w:eastAsia="en-GB"/>
                    </w:rPr>
                  </w:pPr>
                  <w:r>
                    <w:rPr>
                      <w:rFonts w:eastAsia="Times New Roman" w:cs="Calibri"/>
                      <w:color w:val="000000"/>
                      <w:sz w:val="16"/>
                      <w:szCs w:val="16"/>
                      <w:lang w:val="en-GB" w:eastAsia="en-GB"/>
                    </w:rPr>
                    <w:t xml:space="preserve">  </w:t>
                  </w:r>
                  <w:r w:rsidR="00ED128D" w:rsidRPr="00ED128D">
                    <w:rPr>
                      <w:rFonts w:eastAsia="Times New Roman" w:cs="Calibri"/>
                      <w:color w:val="000000"/>
                      <w:sz w:val="16"/>
                      <w:szCs w:val="16"/>
                      <w:lang w:val="en-GB" w:eastAsia="en-GB"/>
                    </w:rPr>
                    <w:t>Victims Services Commissioning Grant - Victims</w:t>
                  </w:r>
                </w:p>
              </w:tc>
              <w:tc>
                <w:tcPr>
                  <w:tcW w:w="1790" w:type="dxa"/>
                  <w:tcBorders>
                    <w:top w:val="nil"/>
                    <w:left w:val="nil"/>
                    <w:bottom w:val="nil"/>
                    <w:right w:val="nil"/>
                  </w:tcBorders>
                  <w:shd w:val="clear" w:color="auto" w:fill="auto"/>
                  <w:vAlign w:val="center"/>
                  <w:hideMark/>
                </w:tcPr>
                <w:p w14:paraId="43E4D9CE"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(2,328)</w:t>
                  </w:r>
                </w:p>
              </w:tc>
            </w:tr>
            <w:tr w:rsidR="00ED128D" w:rsidRPr="00ED128D" w14:paraId="307E9B93" w14:textId="77777777" w:rsidTr="00E26C79">
              <w:trPr>
                <w:trHeight w:val="64"/>
              </w:trPr>
              <w:tc>
                <w:tcPr>
                  <w:tcW w:w="2111" w:type="dxa"/>
                  <w:tcBorders>
                    <w:top w:val="nil"/>
                    <w:left w:val="nil"/>
                    <w:right w:val="nil"/>
                  </w:tcBorders>
                  <w:shd w:val="clear" w:color="auto" w:fill="auto"/>
                  <w:vAlign w:val="center"/>
                  <w:hideMark/>
                </w:tcPr>
                <w:p w14:paraId="216CD553"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(210)</w:t>
                  </w:r>
                </w:p>
              </w:tc>
              <w:tc>
                <w:tcPr>
                  <w:tcW w:w="631" w:type="dxa"/>
                  <w:tcBorders>
                    <w:top w:val="nil"/>
                    <w:left w:val="nil"/>
                    <w:right w:val="nil"/>
                  </w:tcBorders>
                  <w:shd w:val="clear" w:color="auto" w:fill="auto"/>
                  <w:vAlign w:val="center"/>
                  <w:hideMark/>
                </w:tcPr>
                <w:p w14:paraId="67408AD8" w14:textId="77777777" w:rsidR="00ED128D" w:rsidRPr="00ED128D" w:rsidRDefault="00ED128D" w:rsidP="00ED128D">
                  <w:pPr>
                    <w:jc w:val="right"/>
                    <w:rPr>
                      <w:rFonts w:eastAsia="Times New Roman" w:cs="Calibri"/>
                      <w:color w:val="000000"/>
                      <w:sz w:val="16"/>
                      <w:szCs w:val="16"/>
                      <w:lang w:val="en-GB" w:eastAsia="en-GB"/>
                    </w:rPr>
                  </w:pPr>
                </w:p>
              </w:tc>
              <w:tc>
                <w:tcPr>
                  <w:tcW w:w="9304" w:type="dxa"/>
                  <w:tcBorders>
                    <w:top w:val="nil"/>
                    <w:left w:val="nil"/>
                    <w:right w:val="nil"/>
                  </w:tcBorders>
                  <w:shd w:val="clear" w:color="auto" w:fill="auto"/>
                  <w:vAlign w:val="center"/>
                  <w:hideMark/>
                </w:tcPr>
                <w:p w14:paraId="321B7B6D" w14:textId="457D2DE1" w:rsidR="00ED128D" w:rsidRPr="00ED128D" w:rsidRDefault="00A4534C" w:rsidP="00A4534C">
                  <w:pPr>
                    <w:rPr>
                      <w:rFonts w:eastAsia="Times New Roman" w:cs="Calibri"/>
                      <w:color w:val="000000"/>
                      <w:sz w:val="16"/>
                      <w:szCs w:val="16"/>
                      <w:lang w:val="en-GB" w:eastAsia="en-GB"/>
                    </w:rPr>
                  </w:pPr>
                  <w:r>
                    <w:rPr>
                      <w:rFonts w:eastAsia="Times New Roman" w:cs="Calibri"/>
                      <w:color w:val="000000"/>
                      <w:sz w:val="16"/>
                      <w:szCs w:val="16"/>
                      <w:lang w:val="en-GB" w:eastAsia="en-GB"/>
                    </w:rPr>
                    <w:t xml:space="preserve">  </w:t>
                  </w:r>
                  <w:r w:rsidR="00ED128D" w:rsidRPr="00ED128D">
                    <w:rPr>
                      <w:rFonts w:eastAsia="Times New Roman" w:cs="Calibri"/>
                      <w:color w:val="000000"/>
                      <w:sz w:val="16"/>
                      <w:szCs w:val="16"/>
                      <w:lang w:val="en-GB" w:eastAsia="en-GB"/>
                    </w:rPr>
                    <w:t>HO Police Uplift Programme</w:t>
                  </w:r>
                </w:p>
              </w:tc>
              <w:tc>
                <w:tcPr>
                  <w:tcW w:w="1790" w:type="dxa"/>
                  <w:tcBorders>
                    <w:top w:val="nil"/>
                    <w:left w:val="nil"/>
                    <w:right w:val="nil"/>
                  </w:tcBorders>
                  <w:shd w:val="clear" w:color="auto" w:fill="auto"/>
                  <w:vAlign w:val="center"/>
                  <w:hideMark/>
                </w:tcPr>
                <w:p w14:paraId="635AE135"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(2,174)</w:t>
                  </w:r>
                </w:p>
              </w:tc>
            </w:tr>
            <w:tr w:rsidR="00ED128D" w:rsidRPr="00ED128D" w14:paraId="4E9D86E6" w14:textId="77777777" w:rsidTr="00E26C79">
              <w:trPr>
                <w:trHeight w:val="260"/>
              </w:trPr>
              <w:tc>
                <w:tcPr>
                  <w:tcW w:w="2111" w:type="dxa"/>
                  <w:tcBorders>
                    <w:top w:val="nil"/>
                    <w:left w:val="nil"/>
                    <w:right w:val="nil"/>
                  </w:tcBorders>
                  <w:shd w:val="clear" w:color="auto" w:fill="auto"/>
                  <w:vAlign w:val="center"/>
                  <w:hideMark/>
                </w:tcPr>
                <w:p w14:paraId="042330C5" w14:textId="77777777" w:rsidR="00ED128D" w:rsidRPr="00ED128D" w:rsidRDefault="0000152D" w:rsidP="00ED128D">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w:t>
                  </w:r>
                  <w:r w:rsidR="00704791">
                    <w:rPr>
                      <w:rFonts w:eastAsia="Times New Roman" w:cs="Calibri"/>
                      <w:color w:val="000000"/>
                      <w:sz w:val="16"/>
                      <w:szCs w:val="16"/>
                      <w:lang w:val="en-GB" w:eastAsia="en-GB"/>
                    </w:rPr>
                    <w:t>6</w:t>
                  </w:r>
                  <w:r w:rsidR="00ED128D" w:rsidRPr="00ED128D">
                    <w:rPr>
                      <w:rFonts w:eastAsia="Times New Roman" w:cs="Calibri"/>
                      <w:color w:val="000000"/>
                      <w:sz w:val="16"/>
                      <w:szCs w:val="16"/>
                      <w:lang w:val="en-GB" w:eastAsia="en-GB"/>
                    </w:rPr>
                    <w:t>3)</w:t>
                  </w:r>
                </w:p>
              </w:tc>
              <w:tc>
                <w:tcPr>
                  <w:tcW w:w="631" w:type="dxa"/>
                  <w:tcBorders>
                    <w:top w:val="nil"/>
                    <w:left w:val="nil"/>
                    <w:right w:val="nil"/>
                  </w:tcBorders>
                  <w:shd w:val="clear" w:color="auto" w:fill="auto"/>
                  <w:vAlign w:val="center"/>
                  <w:hideMark/>
                </w:tcPr>
                <w:p w14:paraId="5512AB4A" w14:textId="77777777" w:rsidR="00ED128D" w:rsidRPr="00ED128D" w:rsidRDefault="00ED128D" w:rsidP="00ED128D">
                  <w:pPr>
                    <w:jc w:val="center"/>
                    <w:rPr>
                      <w:rFonts w:eastAsia="Times New Roman" w:cs="Calibri"/>
                      <w:color w:val="000000"/>
                      <w:sz w:val="2"/>
                      <w:szCs w:val="2"/>
                      <w:lang w:val="en-GB" w:eastAsia="en-GB"/>
                    </w:rPr>
                  </w:pPr>
                  <w:r w:rsidRPr="00ED128D">
                    <w:rPr>
                      <w:rFonts w:eastAsia="Times New Roman" w:cs="Calibri"/>
                      <w:color w:val="000000"/>
                      <w:sz w:val="2"/>
                      <w:szCs w:val="2"/>
                      <w:lang w:val="en-GB" w:eastAsia="en-GB"/>
                    </w:rPr>
                    <w:t xml:space="preserve"> </w:t>
                  </w:r>
                </w:p>
              </w:tc>
              <w:tc>
                <w:tcPr>
                  <w:tcW w:w="9304" w:type="dxa"/>
                  <w:tcBorders>
                    <w:top w:val="nil"/>
                    <w:left w:val="nil"/>
                    <w:right w:val="nil"/>
                  </w:tcBorders>
                  <w:shd w:val="clear" w:color="auto" w:fill="auto"/>
                  <w:vAlign w:val="center"/>
                  <w:hideMark/>
                </w:tcPr>
                <w:p w14:paraId="484218CA" w14:textId="3090FE6B" w:rsidR="00E919C6" w:rsidRPr="00ED128D" w:rsidRDefault="00A4534C" w:rsidP="00E919C6">
                  <w:pPr>
                    <w:rPr>
                      <w:rFonts w:eastAsia="Times New Roman" w:cs="Calibri"/>
                      <w:color w:val="000000"/>
                      <w:sz w:val="16"/>
                      <w:szCs w:val="16"/>
                      <w:lang w:val="en-GB" w:eastAsia="en-GB"/>
                    </w:rPr>
                  </w:pPr>
                  <w:r>
                    <w:rPr>
                      <w:rFonts w:eastAsia="Times New Roman" w:cs="Calibri"/>
                      <w:color w:val="000000"/>
                      <w:sz w:val="16"/>
                      <w:szCs w:val="16"/>
                      <w:lang w:val="en-GB" w:eastAsia="en-GB"/>
                    </w:rPr>
                    <w:t xml:space="preserve">  </w:t>
                  </w:r>
                  <w:r w:rsidR="00ED128D" w:rsidRPr="00ED128D">
                    <w:rPr>
                      <w:rFonts w:eastAsia="Times New Roman" w:cs="Calibri"/>
                      <w:color w:val="000000"/>
                      <w:sz w:val="16"/>
                      <w:szCs w:val="16"/>
                      <w:lang w:val="en-GB" w:eastAsia="en-GB"/>
                    </w:rPr>
                    <w:t>Collaboration with other Forces</w:t>
                  </w:r>
                </w:p>
              </w:tc>
              <w:tc>
                <w:tcPr>
                  <w:tcW w:w="1790" w:type="dxa"/>
                  <w:tcBorders>
                    <w:top w:val="nil"/>
                    <w:left w:val="nil"/>
                    <w:right w:val="nil"/>
                  </w:tcBorders>
                  <w:shd w:val="clear" w:color="auto" w:fill="auto"/>
                  <w:vAlign w:val="center"/>
                  <w:hideMark/>
                </w:tcPr>
                <w:p w14:paraId="2ABDCE3B"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(67)</w:t>
                  </w:r>
                </w:p>
              </w:tc>
            </w:tr>
            <w:tr w:rsidR="00E919C6" w:rsidRPr="00ED128D" w14:paraId="5F5472FE" w14:textId="77777777" w:rsidTr="00E26C79">
              <w:trPr>
                <w:trHeight w:val="260"/>
              </w:trPr>
              <w:tc>
                <w:tcPr>
                  <w:tcW w:w="2111" w:type="dxa"/>
                  <w:shd w:val="clear" w:color="auto" w:fill="auto"/>
                  <w:vAlign w:val="center"/>
                </w:tcPr>
                <w:p w14:paraId="0C4CFAC0" w14:textId="77777777" w:rsidR="00E919C6" w:rsidRDefault="00E919C6" w:rsidP="00ED128D">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0</w:t>
                  </w:r>
                </w:p>
                <w:p w14:paraId="003C5F63" w14:textId="77777777" w:rsidR="002D5079" w:rsidRPr="00ED128D" w:rsidRDefault="008E28A8" w:rsidP="00ED128D">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0</w:t>
                  </w:r>
                </w:p>
              </w:tc>
              <w:tc>
                <w:tcPr>
                  <w:tcW w:w="631" w:type="dxa"/>
                  <w:shd w:val="clear" w:color="auto" w:fill="auto"/>
                  <w:vAlign w:val="center"/>
                </w:tcPr>
                <w:p w14:paraId="2723FEF5" w14:textId="77777777" w:rsidR="00E919C6" w:rsidRPr="00ED128D" w:rsidRDefault="00E919C6" w:rsidP="00ED128D">
                  <w:pPr>
                    <w:jc w:val="center"/>
                    <w:rPr>
                      <w:rFonts w:eastAsia="Times New Roman" w:cs="Calibri"/>
                      <w:color w:val="000000"/>
                      <w:sz w:val="2"/>
                      <w:szCs w:val="2"/>
                      <w:lang w:val="en-GB" w:eastAsia="en-GB"/>
                    </w:rPr>
                  </w:pPr>
                </w:p>
              </w:tc>
              <w:tc>
                <w:tcPr>
                  <w:tcW w:w="9304" w:type="dxa"/>
                  <w:shd w:val="clear" w:color="auto" w:fill="auto"/>
                  <w:vAlign w:val="center"/>
                </w:tcPr>
                <w:tbl>
                  <w:tblPr>
                    <w:tblW w:w="9087" w:type="dxa"/>
                    <w:tblInd w:w="1" w:type="dxa"/>
                    <w:tblLook w:val="04A0" w:firstRow="1" w:lastRow="0" w:firstColumn="1" w:lastColumn="0" w:noHBand="0" w:noVBand="1"/>
                  </w:tblPr>
                  <w:tblGrid>
                    <w:gridCol w:w="6380"/>
                    <w:gridCol w:w="2707"/>
                  </w:tblGrid>
                  <w:tr w:rsidR="00E919C6" w:rsidRPr="0000152D" w14:paraId="4A019164" w14:textId="77777777" w:rsidTr="00E26C79">
                    <w:trPr>
                      <w:trHeight w:val="260"/>
                    </w:trPr>
                    <w:tc>
                      <w:tcPr>
                        <w:tcW w:w="6380" w:type="dxa"/>
                        <w:tcBorders>
                          <w:top w:val="nil"/>
                          <w:left w:val="nil"/>
                          <w:bottom w:val="nil"/>
                          <w:right w:val="nil"/>
                        </w:tcBorders>
                        <w:shd w:val="clear" w:color="auto" w:fill="auto"/>
                        <w:vAlign w:val="center"/>
                        <w:hideMark/>
                      </w:tcPr>
                      <w:p w14:paraId="2AF8B401" w14:textId="77777777" w:rsidR="00E919C6" w:rsidRDefault="00E919C6" w:rsidP="00E919C6">
                        <w:pPr>
                          <w:rPr>
                            <w:rFonts w:eastAsia="Times New Roman" w:cs="Calibri"/>
                            <w:color w:val="000000"/>
                            <w:sz w:val="16"/>
                            <w:szCs w:val="16"/>
                            <w:lang w:val="en-GB" w:eastAsia="en-GB"/>
                          </w:rPr>
                        </w:pPr>
                        <w:r w:rsidRPr="00ED128D">
                          <w:rPr>
                            <w:rFonts w:eastAsia="Times New Roman" w:cs="Calibri"/>
                            <w:color w:val="000000"/>
                            <w:sz w:val="16"/>
                            <w:szCs w:val="16"/>
                            <w:lang w:val="en-GB" w:eastAsia="en-GB"/>
                          </w:rPr>
                          <w:t>PPE Shortfall Element</w:t>
                        </w:r>
                      </w:p>
                      <w:p w14:paraId="221E58AA" w14:textId="02039191" w:rsidR="002D5079" w:rsidRPr="00ED128D" w:rsidRDefault="008E28A8" w:rsidP="00E919C6">
                        <w:pPr>
                          <w:rPr>
                            <w:rFonts w:eastAsia="Times New Roman" w:cs="Calibri"/>
                            <w:color w:val="000000"/>
                            <w:sz w:val="16"/>
                            <w:szCs w:val="16"/>
                            <w:lang w:val="en-GB" w:eastAsia="en-GB"/>
                          </w:rPr>
                        </w:pPr>
                        <w:r w:rsidRPr="00704791">
                          <w:rPr>
                            <w:rFonts w:eastAsia="Times New Roman" w:cs="Calibri"/>
                            <w:color w:val="000000"/>
                            <w:sz w:val="16"/>
                            <w:szCs w:val="16"/>
                            <w:lang w:val="en-GB" w:eastAsia="en-GB"/>
                          </w:rPr>
                          <w:t>Covid</w:t>
                        </w:r>
                        <w:r w:rsidR="00A4534C">
                          <w:rPr>
                            <w:rFonts w:eastAsia="Times New Roman" w:cs="Calibri"/>
                            <w:color w:val="000000"/>
                            <w:sz w:val="16"/>
                            <w:szCs w:val="16"/>
                            <w:lang w:val="en-GB" w:eastAsia="en-GB"/>
                          </w:rPr>
                          <w:t>-19</w:t>
                        </w:r>
                        <w:r w:rsidRPr="00704791">
                          <w:rPr>
                            <w:rFonts w:eastAsia="Times New Roman" w:cs="Calibri"/>
                            <w:color w:val="000000"/>
                            <w:sz w:val="16"/>
                            <w:szCs w:val="16"/>
                            <w:lang w:val="en-GB" w:eastAsia="en-GB"/>
                          </w:rPr>
                          <w:t xml:space="preserve"> Surge Enforcement Grant</w:t>
                        </w:r>
                      </w:p>
                    </w:tc>
                    <w:tc>
                      <w:tcPr>
                        <w:tcW w:w="2707" w:type="dxa"/>
                        <w:tcBorders>
                          <w:top w:val="nil"/>
                          <w:left w:val="nil"/>
                          <w:bottom w:val="nil"/>
                          <w:right w:val="nil"/>
                        </w:tcBorders>
                        <w:shd w:val="clear" w:color="auto" w:fill="auto"/>
                        <w:vAlign w:val="center"/>
                        <w:hideMark/>
                      </w:tcPr>
                      <w:p w14:paraId="013C447C" w14:textId="77777777" w:rsidR="00E919C6" w:rsidRDefault="00E919C6" w:rsidP="00E919C6">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 xml:space="preserve">     </w:t>
                        </w:r>
                      </w:p>
                      <w:p w14:paraId="001BEA8B" w14:textId="77777777" w:rsidR="00E919C6" w:rsidRPr="00ED128D" w:rsidRDefault="00E919C6" w:rsidP="00E919C6">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 xml:space="preserve">                </w:t>
                        </w:r>
                      </w:p>
                    </w:tc>
                  </w:tr>
                </w:tbl>
                <w:p w14:paraId="393385D3" w14:textId="77777777" w:rsidR="00E919C6" w:rsidRPr="00ED128D" w:rsidRDefault="00E919C6" w:rsidP="00ED128D">
                  <w:pPr>
                    <w:rPr>
                      <w:rFonts w:eastAsia="Times New Roman" w:cs="Calibri"/>
                      <w:color w:val="000000"/>
                      <w:sz w:val="16"/>
                      <w:szCs w:val="16"/>
                      <w:lang w:val="en-GB" w:eastAsia="en-GB"/>
                    </w:rPr>
                  </w:pPr>
                </w:p>
              </w:tc>
              <w:tc>
                <w:tcPr>
                  <w:tcW w:w="1790" w:type="dxa"/>
                  <w:shd w:val="clear" w:color="auto" w:fill="auto"/>
                  <w:vAlign w:val="center"/>
                </w:tcPr>
                <w:p w14:paraId="08A1D196" w14:textId="77777777" w:rsidR="00E919C6" w:rsidRDefault="00E919C6" w:rsidP="00ED128D">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(656)</w:t>
                  </w:r>
                </w:p>
                <w:p w14:paraId="42F22A7A" w14:textId="77777777" w:rsidR="002D5079" w:rsidRPr="00ED128D" w:rsidRDefault="008E28A8" w:rsidP="00ED128D">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(388)</w:t>
                  </w:r>
                </w:p>
              </w:tc>
            </w:tr>
            <w:tr w:rsidR="00ED128D" w:rsidRPr="00ED128D" w14:paraId="0A67CB39" w14:textId="77777777" w:rsidTr="00E26C79">
              <w:trPr>
                <w:trHeight w:val="260"/>
              </w:trPr>
              <w:tc>
                <w:tcPr>
                  <w:tcW w:w="2111" w:type="dxa"/>
                  <w:shd w:val="clear" w:color="auto" w:fill="auto"/>
                  <w:vAlign w:val="center"/>
                  <w:hideMark/>
                </w:tcPr>
                <w:p w14:paraId="45CC70F6" w14:textId="77777777"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(321)</w:t>
                  </w:r>
                </w:p>
              </w:tc>
              <w:tc>
                <w:tcPr>
                  <w:tcW w:w="631" w:type="dxa"/>
                  <w:shd w:val="clear" w:color="auto" w:fill="auto"/>
                  <w:vAlign w:val="center"/>
                  <w:hideMark/>
                </w:tcPr>
                <w:p w14:paraId="4F165C6A" w14:textId="77777777" w:rsidR="00ED128D" w:rsidRDefault="00ED128D" w:rsidP="00ED128D">
                  <w:pPr>
                    <w:jc w:val="center"/>
                    <w:rPr>
                      <w:rFonts w:eastAsia="Times New Roman" w:cs="Calibri"/>
                      <w:color w:val="000000"/>
                      <w:sz w:val="2"/>
                      <w:szCs w:val="2"/>
                      <w:lang w:val="en-GB" w:eastAsia="en-GB"/>
                    </w:rPr>
                  </w:pPr>
                </w:p>
                <w:p w14:paraId="27E4408D" w14:textId="77777777" w:rsidR="000D187F" w:rsidRPr="00ED128D" w:rsidRDefault="000D187F" w:rsidP="00ED128D">
                  <w:pPr>
                    <w:jc w:val="center"/>
                    <w:rPr>
                      <w:rFonts w:eastAsia="Times New Roman" w:cs="Calibri"/>
                      <w:color w:val="000000"/>
                      <w:sz w:val="2"/>
                      <w:szCs w:val="2"/>
                      <w:lang w:val="en-GB" w:eastAsia="en-GB"/>
                    </w:rPr>
                  </w:pPr>
                </w:p>
              </w:tc>
              <w:tc>
                <w:tcPr>
                  <w:tcW w:w="9304" w:type="dxa"/>
                  <w:shd w:val="clear" w:color="auto" w:fill="auto"/>
                  <w:vAlign w:val="center"/>
                  <w:hideMark/>
                </w:tcPr>
                <w:p w14:paraId="509D0616" w14:textId="47C2E55B" w:rsidR="00ED2C26" w:rsidRPr="00ED128D" w:rsidRDefault="00A4534C" w:rsidP="00ED2C26">
                  <w:pPr>
                    <w:rPr>
                      <w:rFonts w:eastAsia="Times New Roman" w:cs="Calibri"/>
                      <w:color w:val="000000"/>
                      <w:sz w:val="16"/>
                      <w:szCs w:val="16"/>
                      <w:lang w:val="en-GB" w:eastAsia="en-GB"/>
                    </w:rPr>
                  </w:pPr>
                  <w:r>
                    <w:rPr>
                      <w:rFonts w:eastAsia="Times New Roman" w:cs="Calibri"/>
                      <w:color w:val="000000"/>
                      <w:sz w:val="16"/>
                      <w:szCs w:val="16"/>
                      <w:lang w:val="en-GB" w:eastAsia="en-GB"/>
                    </w:rPr>
                    <w:t xml:space="preserve">  </w:t>
                  </w:r>
                  <w:r w:rsidR="00ED128D" w:rsidRPr="00ED128D">
                    <w:rPr>
                      <w:rFonts w:eastAsia="Times New Roman" w:cs="Calibri"/>
                      <w:color w:val="000000"/>
                      <w:sz w:val="16"/>
                      <w:szCs w:val="16"/>
                      <w:lang w:val="en-GB" w:eastAsia="en-GB"/>
                    </w:rPr>
                    <w:t>Other Grants and Contributions</w:t>
                  </w:r>
                  <w:r w:rsidR="00ED2C26">
                    <w:rPr>
                      <w:rFonts w:eastAsia="Times New Roman" w:cs="Calibri"/>
                      <w:color w:val="000000"/>
                      <w:sz w:val="16"/>
                      <w:szCs w:val="16"/>
                      <w:lang w:val="en-GB" w:eastAsia="en-GB"/>
                    </w:rPr>
                    <w:t xml:space="preserve">                                                                                    </w:t>
                  </w:r>
                </w:p>
              </w:tc>
              <w:tc>
                <w:tcPr>
                  <w:tcW w:w="1790" w:type="dxa"/>
                  <w:shd w:val="clear" w:color="auto" w:fill="auto"/>
                  <w:vAlign w:val="center"/>
                  <w:hideMark/>
                </w:tcPr>
                <w:p w14:paraId="32FF6238" w14:textId="67FA536A" w:rsidR="00ED128D" w:rsidRPr="00ED128D" w:rsidRDefault="00ED128D" w:rsidP="00ED128D">
                  <w:pPr>
                    <w:jc w:val="right"/>
                    <w:rPr>
                      <w:rFonts w:eastAsia="Times New Roman" w:cs="Calibri"/>
                      <w:color w:val="000000"/>
                      <w:sz w:val="16"/>
                      <w:szCs w:val="16"/>
                      <w:lang w:val="en-GB" w:eastAsia="en-GB"/>
                    </w:rPr>
                  </w:pPr>
                  <w:r w:rsidRPr="00ED128D">
                    <w:rPr>
                      <w:rFonts w:eastAsia="Times New Roman" w:cs="Calibri"/>
                      <w:color w:val="000000"/>
                      <w:sz w:val="16"/>
                      <w:szCs w:val="16"/>
                      <w:lang w:val="en-GB" w:eastAsia="en-GB"/>
                    </w:rPr>
                    <w:t>(</w:t>
                  </w:r>
                  <w:r w:rsidR="000917BF">
                    <w:rPr>
                      <w:rFonts w:eastAsia="Times New Roman" w:cs="Calibri"/>
                      <w:color w:val="000000"/>
                      <w:sz w:val="16"/>
                      <w:szCs w:val="16"/>
                      <w:lang w:val="en-GB" w:eastAsia="en-GB"/>
                    </w:rPr>
                    <w:t>919</w:t>
                  </w:r>
                  <w:r w:rsidRPr="00ED128D">
                    <w:rPr>
                      <w:rFonts w:eastAsia="Times New Roman" w:cs="Calibri"/>
                      <w:color w:val="000000"/>
                      <w:sz w:val="16"/>
                      <w:szCs w:val="16"/>
                      <w:lang w:val="en-GB" w:eastAsia="en-GB"/>
                    </w:rPr>
                    <w:t>)</w:t>
                  </w:r>
                </w:p>
              </w:tc>
            </w:tr>
            <w:tr w:rsidR="00ED128D" w:rsidRPr="00ED128D" w14:paraId="3145446C" w14:textId="77777777" w:rsidTr="00E26C79">
              <w:trPr>
                <w:trHeight w:val="46"/>
              </w:trPr>
              <w:tc>
                <w:tcPr>
                  <w:tcW w:w="2111" w:type="dxa"/>
                  <w:tcBorders>
                    <w:top w:val="single" w:sz="8" w:space="0" w:color="000000"/>
                    <w:left w:val="nil"/>
                    <w:bottom w:val="single" w:sz="12" w:space="0" w:color="000000"/>
                    <w:right w:val="nil"/>
                  </w:tcBorders>
                  <w:shd w:val="clear" w:color="auto" w:fill="auto"/>
                  <w:vAlign w:val="center"/>
                  <w:hideMark/>
                </w:tcPr>
                <w:p w14:paraId="27027A31" w14:textId="77777777" w:rsidR="00ED128D" w:rsidRPr="00ED128D" w:rsidRDefault="00ED128D" w:rsidP="00ED128D">
                  <w:pPr>
                    <w:jc w:val="right"/>
                    <w:rPr>
                      <w:rFonts w:eastAsia="Times New Roman" w:cs="Calibri"/>
                      <w:b/>
                      <w:bCs/>
                      <w:color w:val="000000"/>
                      <w:sz w:val="16"/>
                      <w:szCs w:val="16"/>
                      <w:lang w:val="en-GB" w:eastAsia="en-GB"/>
                    </w:rPr>
                  </w:pPr>
                  <w:r w:rsidRPr="00ED128D">
                    <w:rPr>
                      <w:rFonts w:eastAsia="Times New Roman" w:cs="Calibri"/>
                      <w:b/>
                      <w:bCs/>
                      <w:color w:val="000000"/>
                      <w:sz w:val="16"/>
                      <w:szCs w:val="16"/>
                      <w:lang w:val="en-GB" w:eastAsia="en-GB"/>
                    </w:rPr>
                    <w:t>(3,324)</w:t>
                  </w:r>
                </w:p>
              </w:tc>
              <w:tc>
                <w:tcPr>
                  <w:tcW w:w="631" w:type="dxa"/>
                  <w:tcBorders>
                    <w:top w:val="single" w:sz="8" w:space="0" w:color="000000"/>
                    <w:left w:val="nil"/>
                    <w:bottom w:val="single" w:sz="12" w:space="0" w:color="000000"/>
                    <w:right w:val="nil"/>
                  </w:tcBorders>
                  <w:shd w:val="clear" w:color="auto" w:fill="auto"/>
                  <w:vAlign w:val="center"/>
                  <w:hideMark/>
                </w:tcPr>
                <w:p w14:paraId="25166E70" w14:textId="77777777" w:rsidR="00ED128D" w:rsidRPr="00ED128D" w:rsidRDefault="00ED128D" w:rsidP="00ED128D">
                  <w:pPr>
                    <w:jc w:val="center"/>
                    <w:rPr>
                      <w:rFonts w:eastAsia="Times New Roman" w:cs="Calibri"/>
                      <w:b/>
                      <w:bCs/>
                      <w:color w:val="000000"/>
                      <w:sz w:val="2"/>
                      <w:szCs w:val="2"/>
                      <w:lang w:val="en-GB" w:eastAsia="en-GB"/>
                    </w:rPr>
                  </w:pPr>
                  <w:r w:rsidRPr="00ED128D">
                    <w:rPr>
                      <w:rFonts w:eastAsia="Times New Roman" w:cs="Calibri"/>
                      <w:b/>
                      <w:bCs/>
                      <w:color w:val="000000"/>
                      <w:sz w:val="2"/>
                      <w:szCs w:val="2"/>
                      <w:lang w:val="en-GB" w:eastAsia="en-GB"/>
                    </w:rPr>
                    <w:t xml:space="preserve"> </w:t>
                  </w:r>
                </w:p>
              </w:tc>
              <w:tc>
                <w:tcPr>
                  <w:tcW w:w="9304" w:type="dxa"/>
                  <w:tcBorders>
                    <w:top w:val="single" w:sz="8" w:space="0" w:color="000000"/>
                    <w:left w:val="nil"/>
                    <w:bottom w:val="single" w:sz="12" w:space="0" w:color="000000"/>
                    <w:right w:val="nil"/>
                  </w:tcBorders>
                  <w:shd w:val="clear" w:color="auto" w:fill="auto"/>
                  <w:vAlign w:val="center"/>
                  <w:hideMark/>
                </w:tcPr>
                <w:p w14:paraId="689780D9" w14:textId="77777777" w:rsidR="00ED128D" w:rsidRPr="00ED128D" w:rsidRDefault="00ED128D" w:rsidP="00ED128D">
                  <w:pPr>
                    <w:rPr>
                      <w:rFonts w:eastAsia="Times New Roman" w:cs="Calibri"/>
                      <w:b/>
                      <w:bCs/>
                      <w:color w:val="000000"/>
                      <w:sz w:val="16"/>
                      <w:szCs w:val="16"/>
                      <w:lang w:val="en-GB" w:eastAsia="en-GB"/>
                    </w:rPr>
                  </w:pPr>
                  <w:r w:rsidRPr="00ED128D">
                    <w:rPr>
                      <w:rFonts w:eastAsia="Times New Roman" w:cs="Calibri"/>
                      <w:b/>
                      <w:bCs/>
                      <w:color w:val="000000"/>
                      <w:sz w:val="16"/>
                      <w:szCs w:val="16"/>
                      <w:lang w:val="en-GB" w:eastAsia="en-GB"/>
                    </w:rPr>
                    <w:t>Total</w:t>
                  </w:r>
                </w:p>
              </w:tc>
              <w:tc>
                <w:tcPr>
                  <w:tcW w:w="1790" w:type="dxa"/>
                  <w:tcBorders>
                    <w:top w:val="single" w:sz="8" w:space="0" w:color="000000"/>
                    <w:left w:val="nil"/>
                    <w:bottom w:val="single" w:sz="12" w:space="0" w:color="000000"/>
                    <w:right w:val="nil"/>
                  </w:tcBorders>
                  <w:shd w:val="clear" w:color="auto" w:fill="auto"/>
                  <w:vAlign w:val="center"/>
                  <w:hideMark/>
                </w:tcPr>
                <w:p w14:paraId="1736ED96" w14:textId="095EF449" w:rsidR="00ED128D" w:rsidRPr="00ED128D" w:rsidRDefault="00ED128D" w:rsidP="008E28A8">
                  <w:pPr>
                    <w:jc w:val="right"/>
                    <w:rPr>
                      <w:rFonts w:eastAsia="Times New Roman" w:cs="Calibri"/>
                      <w:b/>
                      <w:bCs/>
                      <w:color w:val="000000"/>
                      <w:sz w:val="16"/>
                      <w:szCs w:val="16"/>
                      <w:lang w:val="en-GB" w:eastAsia="en-GB"/>
                    </w:rPr>
                  </w:pPr>
                  <w:r w:rsidRPr="00ED128D">
                    <w:rPr>
                      <w:rFonts w:eastAsia="Times New Roman" w:cs="Calibri"/>
                      <w:b/>
                      <w:bCs/>
                      <w:color w:val="000000"/>
                      <w:sz w:val="16"/>
                      <w:szCs w:val="16"/>
                      <w:lang w:val="en-GB" w:eastAsia="en-GB"/>
                    </w:rPr>
                    <w:t>(</w:t>
                  </w:r>
                  <w:r w:rsidR="00704791">
                    <w:rPr>
                      <w:rFonts w:eastAsia="Times New Roman" w:cs="Calibri"/>
                      <w:b/>
                      <w:bCs/>
                      <w:color w:val="000000"/>
                      <w:sz w:val="16"/>
                      <w:szCs w:val="16"/>
                      <w:lang w:val="en-GB" w:eastAsia="en-GB"/>
                    </w:rPr>
                    <w:t>7,</w:t>
                  </w:r>
                  <w:r w:rsidR="008E28A8">
                    <w:rPr>
                      <w:rFonts w:eastAsia="Times New Roman" w:cs="Calibri"/>
                      <w:b/>
                      <w:bCs/>
                      <w:color w:val="000000"/>
                      <w:sz w:val="16"/>
                      <w:szCs w:val="16"/>
                      <w:lang w:val="en-GB" w:eastAsia="en-GB"/>
                    </w:rPr>
                    <w:t>5</w:t>
                  </w:r>
                  <w:r w:rsidR="000917BF">
                    <w:rPr>
                      <w:rFonts w:eastAsia="Times New Roman" w:cs="Calibri"/>
                      <w:b/>
                      <w:bCs/>
                      <w:color w:val="000000"/>
                      <w:sz w:val="16"/>
                      <w:szCs w:val="16"/>
                      <w:lang w:val="en-GB" w:eastAsia="en-GB"/>
                    </w:rPr>
                    <w:t>74</w:t>
                  </w:r>
                  <w:r w:rsidRPr="00ED128D">
                    <w:rPr>
                      <w:rFonts w:eastAsia="Times New Roman" w:cs="Calibri"/>
                      <w:b/>
                      <w:bCs/>
                      <w:color w:val="000000"/>
                      <w:sz w:val="16"/>
                      <w:szCs w:val="16"/>
                      <w:lang w:val="en-GB" w:eastAsia="en-GB"/>
                    </w:rPr>
                    <w:t>)</w:t>
                  </w:r>
                </w:p>
              </w:tc>
            </w:tr>
          </w:tbl>
          <w:p w14:paraId="333F0EE9" w14:textId="77777777" w:rsidR="00097F97" w:rsidRPr="00097F97" w:rsidRDefault="00097F97" w:rsidP="00097F97">
            <w:pPr>
              <w:rPr>
                <w:rFonts w:eastAsia="Times New Roman" w:cs="Calibri"/>
                <w:b/>
                <w:bCs/>
                <w:color w:val="000000"/>
                <w:sz w:val="24"/>
                <w:szCs w:val="24"/>
                <w:lang w:val="en-GB" w:eastAsia="en-GB"/>
              </w:rPr>
            </w:pPr>
          </w:p>
        </w:tc>
      </w:tr>
    </w:tbl>
    <w:bookmarkEnd w:id="24"/>
    <w:p w14:paraId="0CC7150A" w14:textId="77777777" w:rsidR="00E26C79" w:rsidRDefault="00E26C79" w:rsidP="00E26C79">
      <w:pPr>
        <w:rPr>
          <w:rFonts w:eastAsia="Times New Roman" w:cs="Calibri"/>
          <w:color w:val="000000"/>
          <w:lang w:val="en-GB" w:eastAsia="en-GB"/>
        </w:rPr>
      </w:pPr>
      <w:r w:rsidRPr="00ED128D">
        <w:rPr>
          <w:rFonts w:eastAsia="Times New Roman" w:cs="Calibri"/>
          <w:color w:val="000000"/>
          <w:lang w:val="en-GB" w:eastAsia="en-GB"/>
        </w:rPr>
        <w:t>The Police and Crime Commissioner has received a number of grants, contributions and donations that have yet to be recognised as income as they have conditions attached to them that will require the monies or property to be returned if not spent. The balances at the year-end are as follows:</w:t>
      </w:r>
    </w:p>
    <w:p w14:paraId="4C7ECF2A" w14:textId="77777777" w:rsidR="00E26C79" w:rsidRDefault="00E26C79" w:rsidP="00E26C79">
      <w:pPr>
        <w:rPr>
          <w:rFonts w:eastAsia="Times New Roman" w:cs="Calibri"/>
          <w:color w:val="000000"/>
          <w:lang w:val="en-GB" w:eastAsia="en-GB"/>
        </w:rPr>
      </w:pPr>
    </w:p>
    <w:p w14:paraId="7D2CD4D8" w14:textId="73C1A2DA" w:rsidR="00E26C79" w:rsidRDefault="00E26C79" w:rsidP="00E26C79">
      <w:pPr>
        <w:pStyle w:val="Normal0"/>
        <w:spacing w:after="160" w:line="259" w:lineRule="auto"/>
        <w:rPr>
          <w:rFonts w:ascii="Verdana" w:eastAsia="Times New Roman" w:hAnsi="Verdana" w:cs="Calibri"/>
          <w:color w:val="000000"/>
          <w:sz w:val="22"/>
          <w:szCs w:val="22"/>
          <w:lang w:val="en-GB" w:eastAsia="en-GB"/>
        </w:rPr>
      </w:pPr>
      <w:r w:rsidRPr="00E26C79">
        <w:rPr>
          <w:rFonts w:ascii="Verdana" w:eastAsia="Times New Roman" w:hAnsi="Verdana" w:cs="Calibri"/>
          <w:color w:val="000000"/>
          <w:sz w:val="22"/>
          <w:szCs w:val="22"/>
          <w:lang w:val="en-GB" w:eastAsia="en-GB"/>
        </w:rPr>
        <w:t>Grants, contributions and donations received by the Police and Crime Commissioner that are yet to be recognised as income because they have conditions attached to them that will require the monies to property to be returned if not spent, are noted in the accounts as Grant Receipts in</w:t>
      </w:r>
      <w:r>
        <w:rPr>
          <w:rFonts w:ascii="Verdana" w:eastAsia="Times New Roman" w:hAnsi="Verdana" w:cs="Calibri"/>
          <w:color w:val="000000"/>
          <w:sz w:val="22"/>
          <w:szCs w:val="22"/>
          <w:lang w:val="en-GB" w:eastAsia="en-GB"/>
        </w:rPr>
        <w:t xml:space="preserve"> Advance.</w:t>
      </w:r>
    </w:p>
    <w:p w14:paraId="66916B52" w14:textId="082BA77A" w:rsidR="00E26C79" w:rsidRPr="00E26C79" w:rsidRDefault="00E26C79" w:rsidP="00E26C79">
      <w:pPr>
        <w:pStyle w:val="Normal0"/>
        <w:spacing w:after="160" w:line="259" w:lineRule="auto"/>
        <w:rPr>
          <w:rFonts w:ascii="Verdana" w:eastAsia="Times New Roman" w:hAnsi="Verdana" w:cs="Calibri"/>
          <w:color w:val="000000"/>
          <w:sz w:val="22"/>
          <w:szCs w:val="22"/>
          <w:lang w:val="en-GB" w:eastAsia="en-GB"/>
        </w:rPr>
      </w:pPr>
      <w:r>
        <w:rPr>
          <w:rFonts w:ascii="Verdana" w:eastAsia="Times New Roman" w:hAnsi="Verdana" w:cs="Calibri"/>
          <w:color w:val="000000"/>
          <w:sz w:val="22"/>
          <w:szCs w:val="22"/>
          <w:lang w:val="en-GB" w:eastAsia="en-GB"/>
        </w:rPr>
        <w:t>The Police and Crime Commissioner does not currently hold any Grants Receipts in Advance or donated assets with conditions.</w:t>
      </w:r>
    </w:p>
    <w:p w14:paraId="68299EAF" w14:textId="77777777" w:rsidR="00CA6653" w:rsidRPr="00C12737" w:rsidRDefault="00CA6653">
      <w:pPr>
        <w:pStyle w:val="Normal0"/>
        <w:spacing w:after="160" w:line="259" w:lineRule="auto"/>
        <w:rPr>
          <w:rFonts w:ascii="Verdana" w:eastAsia="Verdana" w:hAnsi="Verdana" w:cs="Verdana"/>
          <w:b/>
          <w:sz w:val="22"/>
          <w:szCs w:val="22"/>
          <w:lang w:val="en-GB"/>
        </w:rPr>
      </w:pPr>
      <w:r w:rsidRPr="00C12737">
        <w:rPr>
          <w:rFonts w:ascii="Verdana" w:eastAsia="Verdana" w:hAnsi="Verdana" w:cs="Verdana"/>
          <w:b/>
          <w:sz w:val="22"/>
          <w:szCs w:val="22"/>
          <w:lang w:val="en-GB"/>
        </w:rPr>
        <w:t>Counter Terrorism</w:t>
      </w:r>
    </w:p>
    <w:p w14:paraId="1FB998CF" w14:textId="77777777" w:rsidR="00CA6653" w:rsidRPr="00C12737" w:rsidRDefault="00CA6653">
      <w:pPr>
        <w:pStyle w:val="Normal0"/>
        <w:spacing w:after="160" w:line="259" w:lineRule="auto"/>
        <w:rPr>
          <w:rFonts w:ascii="Verdana" w:eastAsia="Verdana" w:hAnsi="Verdana" w:cs="Verdana"/>
          <w:sz w:val="22"/>
          <w:szCs w:val="22"/>
          <w:lang w:val="en-GB"/>
        </w:rPr>
      </w:pPr>
      <w:r w:rsidRPr="00C12737">
        <w:rPr>
          <w:rFonts w:ascii="Verdana" w:eastAsia="Verdana" w:hAnsi="Verdana" w:cs="Verdana"/>
          <w:sz w:val="22"/>
          <w:szCs w:val="22"/>
          <w:lang w:val="en-GB"/>
        </w:rPr>
        <w:t>A Home Office grant to cover the costs of specific counter terrorist and royalty protection posts.</w:t>
      </w:r>
    </w:p>
    <w:p w14:paraId="2E2812FE" w14:textId="77777777" w:rsidR="00CA6653" w:rsidRPr="00C12737" w:rsidRDefault="00CA6653">
      <w:pPr>
        <w:pStyle w:val="Normal0"/>
        <w:spacing w:after="160" w:line="259" w:lineRule="auto"/>
        <w:rPr>
          <w:rFonts w:ascii="Verdana" w:eastAsia="Verdana" w:hAnsi="Verdana" w:cs="Verdana"/>
          <w:b/>
          <w:sz w:val="22"/>
          <w:szCs w:val="22"/>
          <w:lang w:val="en-GB"/>
        </w:rPr>
      </w:pPr>
      <w:r w:rsidRPr="00C12737">
        <w:rPr>
          <w:rFonts w:ascii="Verdana" w:eastAsia="Verdana" w:hAnsi="Verdana" w:cs="Verdana"/>
          <w:b/>
          <w:sz w:val="22"/>
          <w:szCs w:val="22"/>
          <w:lang w:val="en-GB"/>
        </w:rPr>
        <w:t>Victim Support Grant</w:t>
      </w:r>
    </w:p>
    <w:p w14:paraId="526D734A" w14:textId="77777777" w:rsidR="00CA6653" w:rsidRPr="00C12737" w:rsidRDefault="00CA6653">
      <w:pPr>
        <w:pStyle w:val="Normal0"/>
        <w:spacing w:after="160" w:line="259" w:lineRule="auto"/>
        <w:rPr>
          <w:rFonts w:ascii="Verdana" w:eastAsia="Verdana" w:hAnsi="Verdana" w:cs="Verdana"/>
          <w:sz w:val="22"/>
          <w:szCs w:val="22"/>
          <w:lang w:val="en-GB"/>
        </w:rPr>
      </w:pPr>
      <w:r w:rsidRPr="00C12737">
        <w:rPr>
          <w:rFonts w:ascii="Verdana" w:eastAsia="Verdana" w:hAnsi="Verdana" w:cs="Verdana"/>
          <w:sz w:val="22"/>
          <w:szCs w:val="22"/>
          <w:lang w:val="en-GB"/>
        </w:rPr>
        <w:t>A grant provided by the Ministry of Justice to provide funding for organisations and charities who are supporting victims of crime.</w:t>
      </w:r>
    </w:p>
    <w:p w14:paraId="4BECAFA1" w14:textId="77777777" w:rsidR="00CA6653" w:rsidRPr="00C12737" w:rsidRDefault="00CA6653">
      <w:pPr>
        <w:pStyle w:val="Normal0"/>
        <w:spacing w:after="160" w:line="259" w:lineRule="auto"/>
        <w:rPr>
          <w:rFonts w:ascii="Verdana" w:eastAsia="Verdana" w:hAnsi="Verdana" w:cs="Verdana"/>
          <w:b/>
          <w:sz w:val="22"/>
          <w:szCs w:val="22"/>
          <w:lang w:val="en-GB"/>
        </w:rPr>
      </w:pPr>
      <w:r w:rsidRPr="00C12737">
        <w:rPr>
          <w:rFonts w:ascii="Verdana" w:eastAsia="Verdana" w:hAnsi="Verdana" w:cs="Verdana"/>
          <w:b/>
          <w:sz w:val="22"/>
          <w:szCs w:val="22"/>
          <w:lang w:val="en-GB"/>
        </w:rPr>
        <w:t xml:space="preserve">Home Office grant payable to the cost of retirement benefits </w:t>
      </w:r>
    </w:p>
    <w:p w14:paraId="521A93D8" w14:textId="77777777" w:rsidR="00CA6653" w:rsidRPr="00C12737" w:rsidRDefault="00CA6653">
      <w:pPr>
        <w:pStyle w:val="Normal0"/>
        <w:spacing w:after="160" w:line="259" w:lineRule="auto"/>
        <w:rPr>
          <w:rFonts w:ascii="Verdana" w:eastAsia="Verdana" w:hAnsi="Verdana" w:cs="Verdana"/>
          <w:sz w:val="22"/>
          <w:szCs w:val="22"/>
          <w:lang w:val="en-GB"/>
        </w:rPr>
      </w:pPr>
      <w:r w:rsidRPr="00C12737">
        <w:rPr>
          <w:rFonts w:ascii="Verdana" w:eastAsia="Verdana" w:hAnsi="Verdana" w:cs="Verdana"/>
          <w:sz w:val="22"/>
          <w:szCs w:val="22"/>
          <w:lang w:val="en-GB"/>
        </w:rPr>
        <w:t>A Home Office grant to cover the projected shortfall on the cost of police pensions under the new pensions financing arrangements which came into effect on 1st April 2006.</w:t>
      </w:r>
    </w:p>
    <w:p w14:paraId="60A6B5EF" w14:textId="77777777" w:rsidR="00CA6653" w:rsidRPr="00C12737" w:rsidRDefault="00CA6653">
      <w:pPr>
        <w:pStyle w:val="Normal0"/>
        <w:spacing w:after="160" w:line="259" w:lineRule="auto"/>
        <w:rPr>
          <w:rFonts w:ascii="Verdana" w:eastAsia="Verdana" w:hAnsi="Verdana" w:cs="Verdana"/>
          <w:b/>
          <w:sz w:val="22"/>
          <w:szCs w:val="22"/>
          <w:lang w:val="en-GB"/>
        </w:rPr>
      </w:pPr>
      <w:r w:rsidRPr="00C12737">
        <w:rPr>
          <w:rFonts w:ascii="Verdana" w:eastAsia="Verdana" w:hAnsi="Verdana" w:cs="Verdana"/>
          <w:b/>
          <w:sz w:val="22"/>
          <w:szCs w:val="22"/>
          <w:lang w:val="en-GB"/>
        </w:rPr>
        <w:t>Council Tax Freeze Grant</w:t>
      </w:r>
    </w:p>
    <w:p w14:paraId="769E8450" w14:textId="77777777" w:rsidR="00CA6653" w:rsidRPr="00C12737" w:rsidRDefault="00CA6653">
      <w:pPr>
        <w:pStyle w:val="Normal0"/>
        <w:spacing w:after="160" w:line="259" w:lineRule="auto"/>
        <w:rPr>
          <w:rFonts w:ascii="Verdana" w:eastAsia="Verdana" w:hAnsi="Verdana" w:cs="Verdana"/>
          <w:sz w:val="22"/>
          <w:szCs w:val="22"/>
          <w:lang w:val="en-GB"/>
        </w:rPr>
      </w:pPr>
      <w:r w:rsidRPr="00C12737">
        <w:rPr>
          <w:rFonts w:ascii="Verdana" w:eastAsia="Verdana" w:hAnsi="Verdana" w:cs="Verdana"/>
          <w:sz w:val="22"/>
          <w:szCs w:val="22"/>
          <w:lang w:val="en-GB"/>
        </w:rPr>
        <w:t>Government funding to compensate for reduced Council Tax Revenue.</w:t>
      </w:r>
    </w:p>
    <w:p w14:paraId="3A46DFE2" w14:textId="77777777" w:rsidR="00900264" w:rsidRPr="00C12737" w:rsidRDefault="00900264">
      <w:pPr>
        <w:pStyle w:val="Normal0"/>
        <w:spacing w:after="160" w:line="259" w:lineRule="auto"/>
        <w:rPr>
          <w:rFonts w:ascii="Verdana" w:eastAsia="Verdana" w:hAnsi="Verdana" w:cs="Verdana"/>
          <w:sz w:val="22"/>
          <w:szCs w:val="22"/>
          <w:lang w:val="en-GB"/>
        </w:rPr>
      </w:pPr>
    </w:p>
    <w:p w14:paraId="57678849" w14:textId="77777777" w:rsidR="00E26C79" w:rsidRDefault="00E26C79">
      <w:pPr>
        <w:rPr>
          <w:rFonts w:asciiTheme="majorHAnsi" w:eastAsiaTheme="majorEastAsia" w:hAnsiTheme="majorHAnsi" w:cstheme="majorBidi"/>
          <w:color w:val="2E74B5" w:themeColor="accent1" w:themeShade="BF"/>
          <w:sz w:val="32"/>
          <w:szCs w:val="32"/>
          <w:lang w:val="pt-BR"/>
        </w:rPr>
      </w:pPr>
      <w:r>
        <w:br w:type="page"/>
      </w:r>
    </w:p>
    <w:p w14:paraId="4C07AD74" w14:textId="0B870F6D" w:rsidR="00CA6653" w:rsidRPr="00994267" w:rsidRDefault="00CA6653" w:rsidP="00A31A9E">
      <w:pPr>
        <w:pStyle w:val="Heading1"/>
      </w:pPr>
      <w:bookmarkStart w:id="25" w:name="_Toc75122778"/>
      <w:r w:rsidRPr="00994267">
        <w:t>Note 10 - Capital Expenditure and Capital Financing</w:t>
      </w:r>
      <w:bookmarkEnd w:id="25"/>
      <w:r w:rsidRPr="00994267">
        <w:t xml:space="preserve"> </w:t>
      </w:r>
    </w:p>
    <w:p w14:paraId="5D961880" w14:textId="77777777" w:rsidR="00CA6653" w:rsidRPr="00994267" w:rsidRDefault="00CA6653" w:rsidP="00A31A9E">
      <w:pPr>
        <w:pStyle w:val="Normal0"/>
        <w:spacing w:after="160"/>
        <w:jc w:val="both"/>
        <w:rPr>
          <w:rFonts w:ascii="Verdana" w:eastAsia="Verdana" w:hAnsi="Verdana" w:cs="Verdana"/>
          <w:sz w:val="22"/>
          <w:szCs w:val="22"/>
          <w:lang w:val="en-GB"/>
        </w:rPr>
      </w:pPr>
      <w:r w:rsidRPr="00994267">
        <w:rPr>
          <w:rFonts w:ascii="Verdana" w:eastAsia="Verdana" w:hAnsi="Verdana" w:cs="Verdana"/>
          <w:sz w:val="22"/>
          <w:szCs w:val="22"/>
          <w:lang w:val="en-GB"/>
        </w:rPr>
        <w:t xml:space="preserve">This table shows details of expenditure on capital items as defined within the Accounting Policies, together with the resources that have been used to finance it. Capital expenditure increases the asset worth of the Group, as shown in the Balance Sheet and associated </w:t>
      </w:r>
      <w:r w:rsidR="00A31A9E" w:rsidRPr="00994267">
        <w:rPr>
          <w:rFonts w:ascii="Verdana" w:eastAsia="Verdana" w:hAnsi="Verdana" w:cs="Verdana"/>
          <w:sz w:val="22"/>
          <w:szCs w:val="22"/>
          <w:lang w:val="en-GB"/>
        </w:rPr>
        <w:t>Property, Plant and Equipment (N</w:t>
      </w:r>
      <w:r w:rsidRPr="00994267">
        <w:rPr>
          <w:rFonts w:ascii="Verdana" w:eastAsia="Verdana" w:hAnsi="Verdana" w:cs="Verdana"/>
          <w:sz w:val="22"/>
          <w:szCs w:val="22"/>
          <w:lang w:val="en-GB"/>
        </w:rPr>
        <w:t>ote 11).</w:t>
      </w:r>
    </w:p>
    <w:p w14:paraId="6236CCC6" w14:textId="77777777" w:rsidR="00CA6653" w:rsidRPr="00994267" w:rsidRDefault="00CA6653" w:rsidP="00A31A9E">
      <w:pPr>
        <w:pStyle w:val="Normal0"/>
        <w:spacing w:after="160"/>
        <w:jc w:val="both"/>
        <w:rPr>
          <w:rFonts w:ascii="Verdana" w:eastAsia="Verdana" w:hAnsi="Verdana" w:cs="Verdana"/>
          <w:sz w:val="22"/>
          <w:szCs w:val="22"/>
          <w:lang w:val="en-GB"/>
        </w:rPr>
      </w:pPr>
      <w:r w:rsidRPr="00994267">
        <w:rPr>
          <w:rFonts w:ascii="Verdana" w:eastAsia="Verdana" w:hAnsi="Verdana" w:cs="Verdana"/>
          <w:sz w:val="22"/>
          <w:szCs w:val="22"/>
          <w:lang w:val="en-GB"/>
        </w:rPr>
        <w:t xml:space="preserve">Where capital expenditure is to be financed in future years by charges to revenue as assets are used by the Group, this results in an increase in the Capital Financing Requirement, a measure of capital expenditure incurred historically by the Group that has yet to be financed. </w:t>
      </w:r>
    </w:p>
    <w:tbl>
      <w:tblPr>
        <w:tblW w:w="7900" w:type="dxa"/>
        <w:jc w:val="center"/>
        <w:tblLook w:val="04A0" w:firstRow="1" w:lastRow="0" w:firstColumn="1" w:lastColumn="0" w:noHBand="0" w:noVBand="1"/>
      </w:tblPr>
      <w:tblGrid>
        <w:gridCol w:w="1468"/>
        <w:gridCol w:w="271"/>
        <w:gridCol w:w="4751"/>
        <w:gridCol w:w="1410"/>
      </w:tblGrid>
      <w:tr w:rsidR="00994267" w:rsidRPr="00994267" w14:paraId="46B3F709" w14:textId="77777777" w:rsidTr="00994267">
        <w:trPr>
          <w:trHeight w:val="255"/>
          <w:jc w:val="center"/>
        </w:trPr>
        <w:tc>
          <w:tcPr>
            <w:tcW w:w="7900" w:type="dxa"/>
            <w:gridSpan w:val="4"/>
            <w:tcBorders>
              <w:top w:val="nil"/>
              <w:left w:val="nil"/>
              <w:bottom w:val="nil"/>
              <w:right w:val="nil"/>
            </w:tcBorders>
            <w:shd w:val="clear" w:color="auto" w:fill="auto"/>
            <w:vAlign w:val="center"/>
            <w:hideMark/>
          </w:tcPr>
          <w:p w14:paraId="14637609" w14:textId="77777777" w:rsidR="00994267" w:rsidRPr="00994267" w:rsidRDefault="00994267" w:rsidP="00994267">
            <w:pPr>
              <w:rPr>
                <w:rFonts w:eastAsia="Times New Roman" w:cs="Arial"/>
                <w:b/>
                <w:bCs/>
                <w:color w:val="000000"/>
                <w:sz w:val="20"/>
                <w:szCs w:val="20"/>
                <w:lang w:val="en-GB" w:eastAsia="en-GB"/>
              </w:rPr>
            </w:pPr>
            <w:r w:rsidRPr="00994267">
              <w:rPr>
                <w:rFonts w:eastAsia="Times New Roman" w:cs="Arial"/>
                <w:b/>
                <w:bCs/>
                <w:color w:val="000000"/>
                <w:sz w:val="20"/>
                <w:szCs w:val="20"/>
                <w:lang w:val="en-GB" w:eastAsia="en-GB"/>
              </w:rPr>
              <w:t xml:space="preserve">Capital Expenditure and Capital Financing </w:t>
            </w:r>
          </w:p>
        </w:tc>
      </w:tr>
      <w:tr w:rsidR="00994267" w:rsidRPr="00994267" w14:paraId="625EA4AB" w14:textId="77777777" w:rsidTr="00E26C79">
        <w:trPr>
          <w:trHeight w:val="255"/>
          <w:jc w:val="center"/>
        </w:trPr>
        <w:tc>
          <w:tcPr>
            <w:tcW w:w="1468" w:type="dxa"/>
            <w:tcBorders>
              <w:top w:val="nil"/>
              <w:left w:val="nil"/>
              <w:bottom w:val="nil"/>
              <w:right w:val="nil"/>
            </w:tcBorders>
            <w:shd w:val="clear" w:color="auto" w:fill="auto"/>
            <w:vAlign w:val="center"/>
            <w:hideMark/>
          </w:tcPr>
          <w:p w14:paraId="0118DDDA" w14:textId="77777777" w:rsidR="00994267" w:rsidRPr="00994267" w:rsidRDefault="00994267" w:rsidP="00994267">
            <w:pPr>
              <w:jc w:val="center"/>
              <w:rPr>
                <w:rFonts w:eastAsia="Times New Roman" w:cs="Arial"/>
                <w:color w:val="000000"/>
                <w:sz w:val="2"/>
                <w:szCs w:val="2"/>
                <w:lang w:val="en-GB" w:eastAsia="en-GB"/>
              </w:rPr>
            </w:pPr>
            <w:r w:rsidRPr="00994267">
              <w:rPr>
                <w:rFonts w:eastAsia="Times New Roman" w:cs="Arial"/>
                <w:color w:val="000000"/>
                <w:sz w:val="2"/>
                <w:szCs w:val="2"/>
                <w:lang w:val="en-GB" w:eastAsia="en-GB"/>
              </w:rPr>
              <w:t xml:space="preserve"> </w:t>
            </w:r>
          </w:p>
        </w:tc>
        <w:tc>
          <w:tcPr>
            <w:tcW w:w="271" w:type="dxa"/>
            <w:tcBorders>
              <w:top w:val="nil"/>
              <w:left w:val="nil"/>
              <w:bottom w:val="nil"/>
              <w:right w:val="nil"/>
            </w:tcBorders>
            <w:shd w:val="clear" w:color="auto" w:fill="auto"/>
            <w:vAlign w:val="center"/>
            <w:hideMark/>
          </w:tcPr>
          <w:p w14:paraId="3203B5E9" w14:textId="77777777" w:rsidR="00994267" w:rsidRPr="00994267" w:rsidRDefault="00994267" w:rsidP="00994267">
            <w:pPr>
              <w:jc w:val="center"/>
              <w:rPr>
                <w:rFonts w:eastAsia="Times New Roman" w:cs="Arial"/>
                <w:color w:val="000000"/>
                <w:sz w:val="2"/>
                <w:szCs w:val="2"/>
                <w:lang w:val="en-GB" w:eastAsia="en-GB"/>
              </w:rPr>
            </w:pPr>
            <w:r w:rsidRPr="00994267">
              <w:rPr>
                <w:rFonts w:eastAsia="Times New Roman" w:cs="Arial"/>
                <w:color w:val="000000"/>
                <w:sz w:val="2"/>
                <w:szCs w:val="2"/>
                <w:lang w:val="en-GB" w:eastAsia="en-GB"/>
              </w:rPr>
              <w:t xml:space="preserve"> </w:t>
            </w:r>
          </w:p>
        </w:tc>
        <w:tc>
          <w:tcPr>
            <w:tcW w:w="4751" w:type="dxa"/>
            <w:tcBorders>
              <w:top w:val="nil"/>
              <w:left w:val="nil"/>
              <w:bottom w:val="nil"/>
              <w:right w:val="nil"/>
            </w:tcBorders>
            <w:shd w:val="clear" w:color="auto" w:fill="auto"/>
            <w:vAlign w:val="center"/>
            <w:hideMark/>
          </w:tcPr>
          <w:p w14:paraId="53666A96" w14:textId="77777777" w:rsidR="00994267" w:rsidRPr="00994267" w:rsidRDefault="00994267" w:rsidP="00994267">
            <w:pPr>
              <w:jc w:val="center"/>
              <w:rPr>
                <w:rFonts w:eastAsia="Times New Roman" w:cs="Arial"/>
                <w:color w:val="000000"/>
                <w:sz w:val="2"/>
                <w:szCs w:val="2"/>
                <w:lang w:val="en-GB" w:eastAsia="en-GB"/>
              </w:rPr>
            </w:pPr>
            <w:r w:rsidRPr="00994267">
              <w:rPr>
                <w:rFonts w:eastAsia="Times New Roman" w:cs="Arial"/>
                <w:color w:val="000000"/>
                <w:sz w:val="2"/>
                <w:szCs w:val="2"/>
                <w:lang w:val="en-GB" w:eastAsia="en-GB"/>
              </w:rPr>
              <w:t xml:space="preserve"> </w:t>
            </w:r>
          </w:p>
        </w:tc>
        <w:tc>
          <w:tcPr>
            <w:tcW w:w="1410" w:type="dxa"/>
            <w:tcBorders>
              <w:top w:val="nil"/>
              <w:left w:val="nil"/>
              <w:bottom w:val="nil"/>
              <w:right w:val="nil"/>
            </w:tcBorders>
            <w:shd w:val="clear" w:color="auto" w:fill="auto"/>
            <w:vAlign w:val="center"/>
            <w:hideMark/>
          </w:tcPr>
          <w:p w14:paraId="1B13D1A7" w14:textId="77777777" w:rsidR="00994267" w:rsidRPr="00994267" w:rsidRDefault="00994267" w:rsidP="00994267">
            <w:pPr>
              <w:jc w:val="center"/>
              <w:rPr>
                <w:rFonts w:eastAsia="Times New Roman" w:cs="Arial"/>
                <w:color w:val="000000"/>
                <w:sz w:val="2"/>
                <w:szCs w:val="2"/>
                <w:lang w:val="en-GB" w:eastAsia="en-GB"/>
              </w:rPr>
            </w:pPr>
            <w:r w:rsidRPr="00994267">
              <w:rPr>
                <w:rFonts w:eastAsia="Times New Roman" w:cs="Arial"/>
                <w:color w:val="000000"/>
                <w:sz w:val="2"/>
                <w:szCs w:val="2"/>
                <w:lang w:val="en-GB" w:eastAsia="en-GB"/>
              </w:rPr>
              <w:t xml:space="preserve"> </w:t>
            </w:r>
          </w:p>
        </w:tc>
      </w:tr>
      <w:tr w:rsidR="00994267" w:rsidRPr="00994267" w14:paraId="1CB33E59" w14:textId="77777777" w:rsidTr="00E26C79">
        <w:trPr>
          <w:trHeight w:val="255"/>
          <w:jc w:val="center"/>
        </w:trPr>
        <w:tc>
          <w:tcPr>
            <w:tcW w:w="1468" w:type="dxa"/>
            <w:tcBorders>
              <w:top w:val="nil"/>
              <w:left w:val="nil"/>
              <w:bottom w:val="nil"/>
              <w:right w:val="nil"/>
            </w:tcBorders>
            <w:shd w:val="clear" w:color="auto" w:fill="auto"/>
            <w:vAlign w:val="center"/>
            <w:hideMark/>
          </w:tcPr>
          <w:p w14:paraId="63E02C61" w14:textId="77777777" w:rsidR="00994267" w:rsidRPr="00994267" w:rsidRDefault="00994267" w:rsidP="00994267">
            <w:pPr>
              <w:jc w:val="center"/>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31 Mar 2020</w:t>
            </w:r>
          </w:p>
        </w:tc>
        <w:tc>
          <w:tcPr>
            <w:tcW w:w="271" w:type="dxa"/>
            <w:tcBorders>
              <w:top w:val="nil"/>
              <w:left w:val="nil"/>
              <w:bottom w:val="nil"/>
              <w:right w:val="nil"/>
            </w:tcBorders>
            <w:shd w:val="clear" w:color="auto" w:fill="auto"/>
            <w:vAlign w:val="center"/>
            <w:hideMark/>
          </w:tcPr>
          <w:p w14:paraId="2A137389" w14:textId="77777777" w:rsidR="00994267" w:rsidRPr="00994267" w:rsidRDefault="00994267" w:rsidP="00994267">
            <w:pPr>
              <w:jc w:val="center"/>
              <w:rPr>
                <w:rFonts w:eastAsia="Times New Roman" w:cs="Arial"/>
                <w:b/>
                <w:bCs/>
                <w:color w:val="000000"/>
                <w:sz w:val="2"/>
                <w:szCs w:val="2"/>
                <w:lang w:val="en-GB" w:eastAsia="en-GB"/>
              </w:rPr>
            </w:pPr>
            <w:r w:rsidRPr="00994267">
              <w:rPr>
                <w:rFonts w:eastAsia="Times New Roman" w:cs="Arial"/>
                <w:b/>
                <w:bCs/>
                <w:color w:val="000000"/>
                <w:sz w:val="2"/>
                <w:szCs w:val="2"/>
                <w:lang w:val="en-GB" w:eastAsia="en-GB"/>
              </w:rPr>
              <w:t xml:space="preserve"> </w:t>
            </w:r>
          </w:p>
        </w:tc>
        <w:tc>
          <w:tcPr>
            <w:tcW w:w="4751" w:type="dxa"/>
            <w:tcBorders>
              <w:top w:val="nil"/>
              <w:left w:val="nil"/>
              <w:bottom w:val="nil"/>
              <w:right w:val="nil"/>
            </w:tcBorders>
            <w:shd w:val="clear" w:color="auto" w:fill="auto"/>
            <w:vAlign w:val="center"/>
            <w:hideMark/>
          </w:tcPr>
          <w:p w14:paraId="474410A2" w14:textId="77777777" w:rsidR="00994267" w:rsidRPr="00994267" w:rsidRDefault="00994267" w:rsidP="00994267">
            <w:pPr>
              <w:jc w:val="center"/>
              <w:rPr>
                <w:rFonts w:eastAsia="Times New Roman" w:cs="Arial"/>
                <w:b/>
                <w:bCs/>
                <w:color w:val="000000"/>
                <w:sz w:val="2"/>
                <w:szCs w:val="2"/>
                <w:lang w:val="en-GB" w:eastAsia="en-GB"/>
              </w:rPr>
            </w:pPr>
            <w:r w:rsidRPr="00994267">
              <w:rPr>
                <w:rFonts w:eastAsia="Times New Roman" w:cs="Arial"/>
                <w:b/>
                <w:bCs/>
                <w:color w:val="000000"/>
                <w:sz w:val="2"/>
                <w:szCs w:val="2"/>
                <w:lang w:val="en-GB" w:eastAsia="en-GB"/>
              </w:rPr>
              <w:t xml:space="preserve"> </w:t>
            </w:r>
          </w:p>
        </w:tc>
        <w:tc>
          <w:tcPr>
            <w:tcW w:w="1410" w:type="dxa"/>
            <w:tcBorders>
              <w:top w:val="nil"/>
              <w:left w:val="nil"/>
              <w:bottom w:val="nil"/>
              <w:right w:val="nil"/>
            </w:tcBorders>
            <w:shd w:val="clear" w:color="auto" w:fill="auto"/>
            <w:vAlign w:val="center"/>
            <w:hideMark/>
          </w:tcPr>
          <w:p w14:paraId="193EE3BB" w14:textId="77777777" w:rsidR="00994267" w:rsidRPr="00994267" w:rsidRDefault="00994267" w:rsidP="00994267">
            <w:pPr>
              <w:jc w:val="center"/>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31 Mar 2021</w:t>
            </w:r>
          </w:p>
        </w:tc>
      </w:tr>
      <w:tr w:rsidR="00994267" w:rsidRPr="00994267" w14:paraId="317D3E8D" w14:textId="77777777" w:rsidTr="00E26C79">
        <w:trPr>
          <w:trHeight w:val="270"/>
          <w:jc w:val="center"/>
        </w:trPr>
        <w:tc>
          <w:tcPr>
            <w:tcW w:w="1468" w:type="dxa"/>
            <w:tcBorders>
              <w:top w:val="nil"/>
              <w:left w:val="nil"/>
              <w:bottom w:val="single" w:sz="8" w:space="0" w:color="000000"/>
              <w:right w:val="nil"/>
            </w:tcBorders>
            <w:shd w:val="clear" w:color="auto" w:fill="auto"/>
            <w:vAlign w:val="center"/>
            <w:hideMark/>
          </w:tcPr>
          <w:p w14:paraId="236BA5C4" w14:textId="77777777" w:rsidR="00994267" w:rsidRPr="00994267" w:rsidRDefault="00994267" w:rsidP="00994267">
            <w:pPr>
              <w:jc w:val="right"/>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£000</w:t>
            </w:r>
          </w:p>
        </w:tc>
        <w:tc>
          <w:tcPr>
            <w:tcW w:w="271" w:type="dxa"/>
            <w:tcBorders>
              <w:top w:val="nil"/>
              <w:left w:val="nil"/>
              <w:bottom w:val="single" w:sz="8" w:space="0" w:color="000000"/>
              <w:right w:val="nil"/>
            </w:tcBorders>
            <w:shd w:val="clear" w:color="auto" w:fill="auto"/>
            <w:vAlign w:val="center"/>
            <w:hideMark/>
          </w:tcPr>
          <w:p w14:paraId="73C303FA" w14:textId="77777777" w:rsidR="00994267" w:rsidRPr="00994267" w:rsidRDefault="00994267" w:rsidP="00994267">
            <w:pPr>
              <w:jc w:val="right"/>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 xml:space="preserve"> </w:t>
            </w:r>
          </w:p>
        </w:tc>
        <w:tc>
          <w:tcPr>
            <w:tcW w:w="4751" w:type="dxa"/>
            <w:tcBorders>
              <w:top w:val="nil"/>
              <w:left w:val="nil"/>
              <w:bottom w:val="single" w:sz="8" w:space="0" w:color="000000"/>
              <w:right w:val="nil"/>
            </w:tcBorders>
            <w:shd w:val="clear" w:color="auto" w:fill="auto"/>
            <w:vAlign w:val="center"/>
            <w:hideMark/>
          </w:tcPr>
          <w:p w14:paraId="1B7C7B5E" w14:textId="77777777" w:rsidR="00994267" w:rsidRPr="00994267" w:rsidRDefault="00994267" w:rsidP="00994267">
            <w:pPr>
              <w:jc w:val="right"/>
              <w:rPr>
                <w:rFonts w:eastAsia="Times New Roman" w:cs="Arial"/>
                <w:b/>
                <w:bCs/>
                <w:color w:val="000000"/>
                <w:sz w:val="2"/>
                <w:szCs w:val="2"/>
                <w:lang w:val="en-GB" w:eastAsia="en-GB"/>
              </w:rPr>
            </w:pPr>
            <w:r w:rsidRPr="00994267">
              <w:rPr>
                <w:rFonts w:eastAsia="Times New Roman" w:cs="Arial"/>
                <w:b/>
                <w:bCs/>
                <w:color w:val="000000"/>
                <w:sz w:val="2"/>
                <w:szCs w:val="2"/>
                <w:lang w:val="en-GB" w:eastAsia="en-GB"/>
              </w:rPr>
              <w:t xml:space="preserve"> </w:t>
            </w:r>
          </w:p>
        </w:tc>
        <w:tc>
          <w:tcPr>
            <w:tcW w:w="1410" w:type="dxa"/>
            <w:tcBorders>
              <w:top w:val="nil"/>
              <w:left w:val="nil"/>
              <w:bottom w:val="single" w:sz="8" w:space="0" w:color="000000"/>
              <w:right w:val="nil"/>
            </w:tcBorders>
            <w:shd w:val="clear" w:color="auto" w:fill="auto"/>
            <w:vAlign w:val="center"/>
            <w:hideMark/>
          </w:tcPr>
          <w:p w14:paraId="11958E35" w14:textId="77777777" w:rsidR="00994267" w:rsidRPr="00994267" w:rsidRDefault="00994267" w:rsidP="00994267">
            <w:pPr>
              <w:jc w:val="right"/>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£000</w:t>
            </w:r>
          </w:p>
        </w:tc>
      </w:tr>
      <w:tr w:rsidR="00994267" w:rsidRPr="00994267" w14:paraId="77E5FC80" w14:textId="77777777" w:rsidTr="00E26C79">
        <w:trPr>
          <w:trHeight w:val="255"/>
          <w:jc w:val="center"/>
        </w:trPr>
        <w:tc>
          <w:tcPr>
            <w:tcW w:w="1468" w:type="dxa"/>
            <w:tcBorders>
              <w:top w:val="nil"/>
              <w:left w:val="nil"/>
              <w:bottom w:val="nil"/>
              <w:right w:val="nil"/>
            </w:tcBorders>
            <w:shd w:val="clear" w:color="auto" w:fill="auto"/>
            <w:vAlign w:val="center"/>
            <w:hideMark/>
          </w:tcPr>
          <w:p w14:paraId="2CD58303" w14:textId="77777777" w:rsidR="00994267" w:rsidRPr="00994267" w:rsidRDefault="00994267" w:rsidP="00994267">
            <w:pPr>
              <w:jc w:val="right"/>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 xml:space="preserve"> 28,245 </w:t>
            </w:r>
          </w:p>
        </w:tc>
        <w:tc>
          <w:tcPr>
            <w:tcW w:w="271" w:type="dxa"/>
            <w:tcBorders>
              <w:top w:val="nil"/>
              <w:left w:val="nil"/>
              <w:bottom w:val="nil"/>
              <w:right w:val="nil"/>
            </w:tcBorders>
            <w:shd w:val="clear" w:color="auto" w:fill="auto"/>
            <w:vAlign w:val="center"/>
            <w:hideMark/>
          </w:tcPr>
          <w:p w14:paraId="160FD120" w14:textId="77777777" w:rsidR="00994267" w:rsidRPr="00994267" w:rsidRDefault="00994267" w:rsidP="00994267">
            <w:pPr>
              <w:jc w:val="right"/>
              <w:rPr>
                <w:rFonts w:eastAsia="Times New Roman" w:cs="Arial"/>
                <w:b/>
                <w:bCs/>
                <w:color w:val="000000"/>
                <w:sz w:val="16"/>
                <w:szCs w:val="16"/>
                <w:lang w:val="en-GB" w:eastAsia="en-GB"/>
              </w:rPr>
            </w:pPr>
          </w:p>
        </w:tc>
        <w:tc>
          <w:tcPr>
            <w:tcW w:w="4751" w:type="dxa"/>
            <w:tcBorders>
              <w:top w:val="nil"/>
              <w:left w:val="nil"/>
              <w:bottom w:val="nil"/>
              <w:right w:val="nil"/>
            </w:tcBorders>
            <w:shd w:val="clear" w:color="auto" w:fill="auto"/>
            <w:vAlign w:val="center"/>
            <w:hideMark/>
          </w:tcPr>
          <w:p w14:paraId="77D67397" w14:textId="77777777" w:rsidR="00994267" w:rsidRPr="00994267" w:rsidRDefault="00994267" w:rsidP="00994267">
            <w:pPr>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Opening Capital Financing Requirement</w:t>
            </w:r>
          </w:p>
        </w:tc>
        <w:tc>
          <w:tcPr>
            <w:tcW w:w="1410" w:type="dxa"/>
            <w:tcBorders>
              <w:top w:val="nil"/>
              <w:left w:val="nil"/>
              <w:bottom w:val="nil"/>
              <w:right w:val="nil"/>
            </w:tcBorders>
            <w:shd w:val="clear" w:color="auto" w:fill="auto"/>
            <w:vAlign w:val="center"/>
            <w:hideMark/>
          </w:tcPr>
          <w:p w14:paraId="791D662E" w14:textId="77777777" w:rsidR="00994267" w:rsidRPr="00994267" w:rsidRDefault="00994267" w:rsidP="00994267">
            <w:pPr>
              <w:jc w:val="right"/>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 xml:space="preserve"> 26,878 </w:t>
            </w:r>
          </w:p>
        </w:tc>
      </w:tr>
      <w:tr w:rsidR="00994267" w:rsidRPr="00994267" w14:paraId="7DBC4B3B" w14:textId="77777777" w:rsidTr="002C7CD8">
        <w:trPr>
          <w:trHeight w:val="74"/>
          <w:jc w:val="center"/>
        </w:trPr>
        <w:tc>
          <w:tcPr>
            <w:tcW w:w="1468" w:type="dxa"/>
            <w:tcBorders>
              <w:top w:val="nil"/>
              <w:left w:val="nil"/>
              <w:bottom w:val="nil"/>
              <w:right w:val="nil"/>
            </w:tcBorders>
            <w:shd w:val="clear" w:color="auto" w:fill="auto"/>
            <w:vAlign w:val="center"/>
            <w:hideMark/>
          </w:tcPr>
          <w:p w14:paraId="4D14BC33" w14:textId="77777777" w:rsidR="00994267" w:rsidRPr="00994267" w:rsidRDefault="00994267" w:rsidP="00994267">
            <w:pPr>
              <w:jc w:val="center"/>
              <w:rPr>
                <w:rFonts w:eastAsia="Times New Roman" w:cs="Arial"/>
                <w:color w:val="000000"/>
                <w:sz w:val="2"/>
                <w:szCs w:val="2"/>
                <w:lang w:val="en-GB" w:eastAsia="en-GB"/>
              </w:rPr>
            </w:pPr>
            <w:r w:rsidRPr="00994267">
              <w:rPr>
                <w:rFonts w:eastAsia="Times New Roman" w:cs="Arial"/>
                <w:color w:val="000000"/>
                <w:sz w:val="2"/>
                <w:szCs w:val="2"/>
                <w:lang w:val="en-GB" w:eastAsia="en-GB"/>
              </w:rPr>
              <w:t xml:space="preserve"> </w:t>
            </w:r>
          </w:p>
        </w:tc>
        <w:tc>
          <w:tcPr>
            <w:tcW w:w="271" w:type="dxa"/>
            <w:tcBorders>
              <w:top w:val="nil"/>
              <w:left w:val="nil"/>
              <w:bottom w:val="nil"/>
              <w:right w:val="nil"/>
            </w:tcBorders>
            <w:shd w:val="clear" w:color="auto" w:fill="auto"/>
            <w:vAlign w:val="center"/>
            <w:hideMark/>
          </w:tcPr>
          <w:p w14:paraId="2F84DA8D" w14:textId="77777777" w:rsidR="00994267" w:rsidRPr="00994267" w:rsidRDefault="00994267" w:rsidP="00994267">
            <w:pPr>
              <w:jc w:val="center"/>
              <w:rPr>
                <w:rFonts w:eastAsia="Times New Roman" w:cs="Arial"/>
                <w:color w:val="000000"/>
                <w:sz w:val="2"/>
                <w:szCs w:val="2"/>
                <w:lang w:val="en-GB" w:eastAsia="en-GB"/>
              </w:rPr>
            </w:pPr>
          </w:p>
        </w:tc>
        <w:tc>
          <w:tcPr>
            <w:tcW w:w="4751" w:type="dxa"/>
            <w:tcBorders>
              <w:top w:val="nil"/>
              <w:left w:val="nil"/>
              <w:bottom w:val="nil"/>
              <w:right w:val="nil"/>
            </w:tcBorders>
            <w:shd w:val="clear" w:color="auto" w:fill="auto"/>
            <w:vAlign w:val="center"/>
            <w:hideMark/>
          </w:tcPr>
          <w:p w14:paraId="16C12DE4" w14:textId="77777777" w:rsidR="00994267" w:rsidRPr="00994267" w:rsidRDefault="00994267" w:rsidP="00994267">
            <w:pPr>
              <w:jc w:val="center"/>
              <w:rPr>
                <w:rFonts w:eastAsia="Times New Roman" w:cs="Arial"/>
                <w:color w:val="000000"/>
                <w:sz w:val="2"/>
                <w:szCs w:val="2"/>
                <w:lang w:val="en-GB" w:eastAsia="en-GB"/>
              </w:rPr>
            </w:pPr>
            <w:r w:rsidRPr="00994267">
              <w:rPr>
                <w:rFonts w:eastAsia="Times New Roman" w:cs="Arial"/>
                <w:color w:val="000000"/>
                <w:sz w:val="2"/>
                <w:szCs w:val="2"/>
                <w:lang w:val="en-GB" w:eastAsia="en-GB"/>
              </w:rPr>
              <w:t xml:space="preserve"> </w:t>
            </w:r>
          </w:p>
        </w:tc>
        <w:tc>
          <w:tcPr>
            <w:tcW w:w="1410" w:type="dxa"/>
            <w:tcBorders>
              <w:top w:val="nil"/>
              <w:left w:val="nil"/>
              <w:bottom w:val="nil"/>
              <w:right w:val="nil"/>
            </w:tcBorders>
            <w:shd w:val="clear" w:color="auto" w:fill="auto"/>
            <w:vAlign w:val="center"/>
            <w:hideMark/>
          </w:tcPr>
          <w:p w14:paraId="0C0A2F11" w14:textId="77777777" w:rsidR="00994267" w:rsidRPr="00994267" w:rsidRDefault="00994267" w:rsidP="00994267">
            <w:pPr>
              <w:jc w:val="center"/>
              <w:rPr>
                <w:rFonts w:eastAsia="Times New Roman" w:cs="Arial"/>
                <w:color w:val="000000"/>
                <w:sz w:val="2"/>
                <w:szCs w:val="2"/>
                <w:lang w:val="en-GB" w:eastAsia="en-GB"/>
              </w:rPr>
            </w:pPr>
            <w:r w:rsidRPr="00994267">
              <w:rPr>
                <w:rFonts w:eastAsia="Times New Roman" w:cs="Arial"/>
                <w:color w:val="000000"/>
                <w:sz w:val="2"/>
                <w:szCs w:val="2"/>
                <w:lang w:val="en-GB" w:eastAsia="en-GB"/>
              </w:rPr>
              <w:t xml:space="preserve"> </w:t>
            </w:r>
          </w:p>
        </w:tc>
      </w:tr>
      <w:tr w:rsidR="00994267" w:rsidRPr="00994267" w14:paraId="29A98E14" w14:textId="77777777" w:rsidTr="00E26C79">
        <w:trPr>
          <w:trHeight w:val="255"/>
          <w:jc w:val="center"/>
        </w:trPr>
        <w:tc>
          <w:tcPr>
            <w:tcW w:w="1468" w:type="dxa"/>
            <w:tcBorders>
              <w:top w:val="nil"/>
              <w:left w:val="nil"/>
              <w:bottom w:val="nil"/>
              <w:right w:val="nil"/>
            </w:tcBorders>
            <w:shd w:val="clear" w:color="auto" w:fill="auto"/>
            <w:vAlign w:val="center"/>
            <w:hideMark/>
          </w:tcPr>
          <w:p w14:paraId="3B9F0F25" w14:textId="77777777" w:rsidR="00994267" w:rsidRPr="00994267" w:rsidRDefault="00994267" w:rsidP="00994267">
            <w:pPr>
              <w:jc w:val="center"/>
              <w:rPr>
                <w:rFonts w:eastAsia="Times New Roman" w:cs="Arial"/>
                <w:color w:val="000000"/>
                <w:sz w:val="2"/>
                <w:szCs w:val="2"/>
                <w:lang w:val="en-GB" w:eastAsia="en-GB"/>
              </w:rPr>
            </w:pPr>
            <w:r w:rsidRPr="00994267">
              <w:rPr>
                <w:rFonts w:eastAsia="Times New Roman" w:cs="Arial"/>
                <w:color w:val="000000"/>
                <w:sz w:val="2"/>
                <w:szCs w:val="2"/>
                <w:lang w:val="en-GB" w:eastAsia="en-GB"/>
              </w:rPr>
              <w:t xml:space="preserve"> </w:t>
            </w:r>
          </w:p>
        </w:tc>
        <w:tc>
          <w:tcPr>
            <w:tcW w:w="271" w:type="dxa"/>
            <w:tcBorders>
              <w:top w:val="nil"/>
              <w:left w:val="nil"/>
              <w:bottom w:val="nil"/>
              <w:right w:val="nil"/>
            </w:tcBorders>
            <w:shd w:val="clear" w:color="auto" w:fill="auto"/>
            <w:vAlign w:val="center"/>
            <w:hideMark/>
          </w:tcPr>
          <w:p w14:paraId="6014C9E4" w14:textId="77777777" w:rsidR="00994267" w:rsidRPr="00994267" w:rsidRDefault="00994267" w:rsidP="00994267">
            <w:pPr>
              <w:jc w:val="center"/>
              <w:rPr>
                <w:rFonts w:eastAsia="Times New Roman" w:cs="Arial"/>
                <w:color w:val="000000"/>
                <w:sz w:val="2"/>
                <w:szCs w:val="2"/>
                <w:lang w:val="en-GB" w:eastAsia="en-GB"/>
              </w:rPr>
            </w:pPr>
          </w:p>
        </w:tc>
        <w:tc>
          <w:tcPr>
            <w:tcW w:w="4751" w:type="dxa"/>
            <w:tcBorders>
              <w:top w:val="nil"/>
              <w:left w:val="nil"/>
              <w:bottom w:val="nil"/>
              <w:right w:val="nil"/>
            </w:tcBorders>
            <w:shd w:val="clear" w:color="auto" w:fill="auto"/>
            <w:vAlign w:val="center"/>
            <w:hideMark/>
          </w:tcPr>
          <w:p w14:paraId="18922CA9" w14:textId="77777777" w:rsidR="00994267" w:rsidRPr="00994267" w:rsidRDefault="00994267" w:rsidP="00994267">
            <w:pPr>
              <w:rPr>
                <w:rFonts w:eastAsia="Times New Roman" w:cs="Arial"/>
                <w:color w:val="000000"/>
                <w:sz w:val="16"/>
                <w:szCs w:val="16"/>
                <w:lang w:val="en-GB" w:eastAsia="en-GB"/>
              </w:rPr>
            </w:pPr>
            <w:r w:rsidRPr="00994267">
              <w:rPr>
                <w:rFonts w:eastAsia="Times New Roman" w:cs="Arial"/>
                <w:color w:val="000000"/>
                <w:sz w:val="16"/>
                <w:szCs w:val="16"/>
                <w:lang w:val="en-GB" w:eastAsia="en-GB"/>
              </w:rPr>
              <w:t>Capital Investment:</w:t>
            </w:r>
          </w:p>
        </w:tc>
        <w:tc>
          <w:tcPr>
            <w:tcW w:w="1410" w:type="dxa"/>
            <w:tcBorders>
              <w:top w:val="nil"/>
              <w:left w:val="nil"/>
              <w:bottom w:val="nil"/>
              <w:right w:val="nil"/>
            </w:tcBorders>
            <w:shd w:val="clear" w:color="auto" w:fill="auto"/>
            <w:vAlign w:val="center"/>
            <w:hideMark/>
          </w:tcPr>
          <w:p w14:paraId="3AC81A66" w14:textId="77777777" w:rsidR="00994267" w:rsidRPr="00994267" w:rsidRDefault="00994267" w:rsidP="00994267">
            <w:pPr>
              <w:jc w:val="center"/>
              <w:rPr>
                <w:rFonts w:eastAsia="Times New Roman" w:cs="Arial"/>
                <w:color w:val="000000"/>
                <w:sz w:val="2"/>
                <w:szCs w:val="2"/>
                <w:lang w:val="en-GB" w:eastAsia="en-GB"/>
              </w:rPr>
            </w:pPr>
            <w:r w:rsidRPr="00994267">
              <w:rPr>
                <w:rFonts w:eastAsia="Times New Roman" w:cs="Arial"/>
                <w:color w:val="000000"/>
                <w:sz w:val="2"/>
                <w:szCs w:val="2"/>
                <w:lang w:val="en-GB" w:eastAsia="en-GB"/>
              </w:rPr>
              <w:t xml:space="preserve"> </w:t>
            </w:r>
          </w:p>
        </w:tc>
      </w:tr>
      <w:tr w:rsidR="00994267" w:rsidRPr="00994267" w14:paraId="14FF3086" w14:textId="77777777" w:rsidTr="00E26C79">
        <w:trPr>
          <w:trHeight w:val="255"/>
          <w:jc w:val="center"/>
        </w:trPr>
        <w:tc>
          <w:tcPr>
            <w:tcW w:w="1468" w:type="dxa"/>
            <w:tcBorders>
              <w:top w:val="nil"/>
              <w:left w:val="nil"/>
              <w:bottom w:val="nil"/>
              <w:right w:val="nil"/>
            </w:tcBorders>
            <w:shd w:val="clear" w:color="auto" w:fill="auto"/>
            <w:vAlign w:val="center"/>
            <w:hideMark/>
          </w:tcPr>
          <w:p w14:paraId="68BC52A1" w14:textId="77777777" w:rsidR="00994267" w:rsidRPr="00994267" w:rsidRDefault="00994267" w:rsidP="00994267">
            <w:pPr>
              <w:jc w:val="right"/>
              <w:rPr>
                <w:rFonts w:eastAsia="Times New Roman" w:cs="Arial"/>
                <w:color w:val="000000"/>
                <w:sz w:val="16"/>
                <w:szCs w:val="16"/>
                <w:lang w:val="en-GB" w:eastAsia="en-GB"/>
              </w:rPr>
            </w:pPr>
            <w:r w:rsidRPr="00994267">
              <w:rPr>
                <w:rFonts w:eastAsia="Times New Roman" w:cs="Arial"/>
                <w:color w:val="000000"/>
                <w:sz w:val="16"/>
                <w:szCs w:val="16"/>
                <w:lang w:val="en-GB" w:eastAsia="en-GB"/>
              </w:rPr>
              <w:t xml:space="preserve"> 7,561 </w:t>
            </w:r>
          </w:p>
        </w:tc>
        <w:tc>
          <w:tcPr>
            <w:tcW w:w="271" w:type="dxa"/>
            <w:tcBorders>
              <w:top w:val="nil"/>
              <w:left w:val="nil"/>
              <w:bottom w:val="nil"/>
              <w:right w:val="nil"/>
            </w:tcBorders>
            <w:shd w:val="clear" w:color="auto" w:fill="auto"/>
            <w:vAlign w:val="center"/>
            <w:hideMark/>
          </w:tcPr>
          <w:p w14:paraId="1BBAE1A0" w14:textId="77777777" w:rsidR="00994267" w:rsidRPr="00994267" w:rsidRDefault="00994267" w:rsidP="00994267">
            <w:pPr>
              <w:jc w:val="right"/>
              <w:rPr>
                <w:rFonts w:eastAsia="Times New Roman" w:cs="Arial"/>
                <w:color w:val="000000"/>
                <w:sz w:val="16"/>
                <w:szCs w:val="16"/>
                <w:lang w:val="en-GB" w:eastAsia="en-GB"/>
              </w:rPr>
            </w:pPr>
          </w:p>
        </w:tc>
        <w:tc>
          <w:tcPr>
            <w:tcW w:w="4751" w:type="dxa"/>
            <w:tcBorders>
              <w:top w:val="nil"/>
              <w:left w:val="nil"/>
              <w:bottom w:val="nil"/>
              <w:right w:val="nil"/>
            </w:tcBorders>
            <w:shd w:val="clear" w:color="auto" w:fill="auto"/>
            <w:vAlign w:val="center"/>
            <w:hideMark/>
          </w:tcPr>
          <w:p w14:paraId="6B6E899E" w14:textId="77777777" w:rsidR="00994267" w:rsidRPr="00994267" w:rsidRDefault="00994267" w:rsidP="00994267">
            <w:pPr>
              <w:rPr>
                <w:rFonts w:eastAsia="Times New Roman" w:cs="Arial"/>
                <w:color w:val="000000"/>
                <w:sz w:val="16"/>
                <w:szCs w:val="16"/>
                <w:lang w:val="en-GB" w:eastAsia="en-GB"/>
              </w:rPr>
            </w:pPr>
            <w:r w:rsidRPr="00994267">
              <w:rPr>
                <w:rFonts w:eastAsia="Times New Roman" w:cs="Arial"/>
                <w:color w:val="000000"/>
                <w:sz w:val="16"/>
                <w:szCs w:val="16"/>
                <w:lang w:val="en-GB" w:eastAsia="en-GB"/>
              </w:rPr>
              <w:t>Property Plant and Equipment</w:t>
            </w:r>
          </w:p>
        </w:tc>
        <w:tc>
          <w:tcPr>
            <w:tcW w:w="1410" w:type="dxa"/>
            <w:tcBorders>
              <w:top w:val="nil"/>
              <w:left w:val="nil"/>
              <w:bottom w:val="nil"/>
              <w:right w:val="nil"/>
            </w:tcBorders>
            <w:shd w:val="clear" w:color="auto" w:fill="auto"/>
            <w:vAlign w:val="center"/>
            <w:hideMark/>
          </w:tcPr>
          <w:p w14:paraId="0AA27214" w14:textId="77777777" w:rsidR="00994267" w:rsidRPr="00994267" w:rsidRDefault="00994267" w:rsidP="00994267">
            <w:pPr>
              <w:jc w:val="right"/>
              <w:rPr>
                <w:rFonts w:eastAsia="Times New Roman" w:cs="Arial"/>
                <w:color w:val="000000"/>
                <w:sz w:val="16"/>
                <w:szCs w:val="16"/>
                <w:lang w:val="en-GB" w:eastAsia="en-GB"/>
              </w:rPr>
            </w:pPr>
            <w:r w:rsidRPr="00994267">
              <w:rPr>
                <w:rFonts w:eastAsia="Times New Roman" w:cs="Arial"/>
                <w:color w:val="000000"/>
                <w:sz w:val="16"/>
                <w:szCs w:val="16"/>
                <w:lang w:val="en-GB" w:eastAsia="en-GB"/>
              </w:rPr>
              <w:t xml:space="preserve"> 10,674 </w:t>
            </w:r>
          </w:p>
        </w:tc>
      </w:tr>
      <w:tr w:rsidR="00994267" w:rsidRPr="00994267" w14:paraId="173E1835" w14:textId="77777777" w:rsidTr="00E26C79">
        <w:trPr>
          <w:trHeight w:val="270"/>
          <w:jc w:val="center"/>
        </w:trPr>
        <w:tc>
          <w:tcPr>
            <w:tcW w:w="1468" w:type="dxa"/>
            <w:tcBorders>
              <w:top w:val="nil"/>
              <w:left w:val="nil"/>
              <w:bottom w:val="nil"/>
              <w:right w:val="nil"/>
            </w:tcBorders>
            <w:shd w:val="clear" w:color="auto" w:fill="auto"/>
            <w:vAlign w:val="center"/>
            <w:hideMark/>
          </w:tcPr>
          <w:p w14:paraId="1CF5548E" w14:textId="77777777" w:rsidR="00994267" w:rsidRPr="00994267" w:rsidRDefault="00994267" w:rsidP="00994267">
            <w:pPr>
              <w:jc w:val="right"/>
              <w:rPr>
                <w:rFonts w:eastAsia="Times New Roman" w:cs="Arial"/>
                <w:color w:val="000000"/>
                <w:sz w:val="16"/>
                <w:szCs w:val="16"/>
                <w:lang w:val="en-GB" w:eastAsia="en-GB"/>
              </w:rPr>
            </w:pPr>
            <w:r w:rsidRPr="00994267">
              <w:rPr>
                <w:rFonts w:eastAsia="Times New Roman" w:cs="Arial"/>
                <w:color w:val="000000"/>
                <w:sz w:val="16"/>
                <w:szCs w:val="16"/>
                <w:lang w:val="en-GB" w:eastAsia="en-GB"/>
              </w:rPr>
              <w:t xml:space="preserve"> 1,846 </w:t>
            </w:r>
          </w:p>
        </w:tc>
        <w:tc>
          <w:tcPr>
            <w:tcW w:w="271" w:type="dxa"/>
            <w:tcBorders>
              <w:top w:val="nil"/>
              <w:left w:val="nil"/>
              <w:bottom w:val="nil"/>
              <w:right w:val="nil"/>
            </w:tcBorders>
            <w:shd w:val="clear" w:color="auto" w:fill="auto"/>
            <w:vAlign w:val="center"/>
            <w:hideMark/>
          </w:tcPr>
          <w:p w14:paraId="0AB99731" w14:textId="77777777" w:rsidR="00994267" w:rsidRPr="00994267" w:rsidRDefault="00994267" w:rsidP="00994267">
            <w:pPr>
              <w:jc w:val="right"/>
              <w:rPr>
                <w:rFonts w:eastAsia="Times New Roman" w:cs="Arial"/>
                <w:color w:val="000000"/>
                <w:sz w:val="16"/>
                <w:szCs w:val="16"/>
                <w:lang w:val="en-GB" w:eastAsia="en-GB"/>
              </w:rPr>
            </w:pPr>
          </w:p>
        </w:tc>
        <w:tc>
          <w:tcPr>
            <w:tcW w:w="4751" w:type="dxa"/>
            <w:tcBorders>
              <w:top w:val="nil"/>
              <w:left w:val="nil"/>
              <w:bottom w:val="nil"/>
              <w:right w:val="nil"/>
            </w:tcBorders>
            <w:shd w:val="clear" w:color="auto" w:fill="auto"/>
            <w:vAlign w:val="center"/>
            <w:hideMark/>
          </w:tcPr>
          <w:p w14:paraId="0CE9F0D8" w14:textId="77777777" w:rsidR="00994267" w:rsidRPr="00994267" w:rsidRDefault="00994267" w:rsidP="00994267">
            <w:pPr>
              <w:rPr>
                <w:rFonts w:eastAsia="Times New Roman" w:cs="Arial"/>
                <w:color w:val="000000"/>
                <w:sz w:val="16"/>
                <w:szCs w:val="16"/>
                <w:lang w:val="en-GB" w:eastAsia="en-GB"/>
              </w:rPr>
            </w:pPr>
            <w:r w:rsidRPr="00994267">
              <w:rPr>
                <w:rFonts w:eastAsia="Times New Roman" w:cs="Arial"/>
                <w:color w:val="000000"/>
                <w:sz w:val="16"/>
                <w:szCs w:val="16"/>
                <w:lang w:val="en-GB" w:eastAsia="en-GB"/>
              </w:rPr>
              <w:t>Intangible Assets</w:t>
            </w:r>
          </w:p>
        </w:tc>
        <w:tc>
          <w:tcPr>
            <w:tcW w:w="1410" w:type="dxa"/>
            <w:tcBorders>
              <w:top w:val="nil"/>
              <w:left w:val="nil"/>
              <w:bottom w:val="nil"/>
              <w:right w:val="nil"/>
            </w:tcBorders>
            <w:shd w:val="clear" w:color="auto" w:fill="auto"/>
            <w:vAlign w:val="center"/>
            <w:hideMark/>
          </w:tcPr>
          <w:p w14:paraId="05C9513C" w14:textId="77777777" w:rsidR="00994267" w:rsidRPr="00994267" w:rsidRDefault="00994267" w:rsidP="00994267">
            <w:pPr>
              <w:jc w:val="right"/>
              <w:rPr>
                <w:rFonts w:eastAsia="Times New Roman" w:cs="Arial"/>
                <w:color w:val="000000"/>
                <w:sz w:val="16"/>
                <w:szCs w:val="16"/>
                <w:lang w:val="en-GB" w:eastAsia="en-GB"/>
              </w:rPr>
            </w:pPr>
            <w:r w:rsidRPr="00994267">
              <w:rPr>
                <w:rFonts w:eastAsia="Times New Roman" w:cs="Arial"/>
                <w:color w:val="000000"/>
                <w:sz w:val="16"/>
                <w:szCs w:val="16"/>
                <w:lang w:val="en-GB" w:eastAsia="en-GB"/>
              </w:rPr>
              <w:t xml:space="preserve"> 2,651 </w:t>
            </w:r>
          </w:p>
        </w:tc>
      </w:tr>
      <w:tr w:rsidR="00994267" w:rsidRPr="00994267" w14:paraId="71524F62" w14:textId="77777777" w:rsidTr="00E26C79">
        <w:trPr>
          <w:trHeight w:val="255"/>
          <w:jc w:val="center"/>
        </w:trPr>
        <w:tc>
          <w:tcPr>
            <w:tcW w:w="1468" w:type="dxa"/>
            <w:tcBorders>
              <w:top w:val="single" w:sz="8" w:space="0" w:color="000000"/>
              <w:left w:val="nil"/>
              <w:bottom w:val="nil"/>
              <w:right w:val="nil"/>
            </w:tcBorders>
            <w:shd w:val="clear" w:color="auto" w:fill="auto"/>
            <w:vAlign w:val="center"/>
            <w:hideMark/>
          </w:tcPr>
          <w:p w14:paraId="44335F94" w14:textId="77777777" w:rsidR="00994267" w:rsidRPr="00994267" w:rsidRDefault="00994267" w:rsidP="00994267">
            <w:pPr>
              <w:jc w:val="right"/>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 xml:space="preserve"> 9,407 </w:t>
            </w:r>
          </w:p>
        </w:tc>
        <w:tc>
          <w:tcPr>
            <w:tcW w:w="271" w:type="dxa"/>
            <w:tcBorders>
              <w:top w:val="single" w:sz="8" w:space="0" w:color="000000"/>
              <w:left w:val="nil"/>
              <w:bottom w:val="nil"/>
              <w:right w:val="nil"/>
            </w:tcBorders>
            <w:shd w:val="clear" w:color="auto" w:fill="auto"/>
            <w:vAlign w:val="center"/>
            <w:hideMark/>
          </w:tcPr>
          <w:p w14:paraId="01E67EB2" w14:textId="77777777" w:rsidR="00994267" w:rsidRPr="00994267" w:rsidRDefault="00994267" w:rsidP="00994267">
            <w:pPr>
              <w:jc w:val="right"/>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 </w:t>
            </w:r>
          </w:p>
        </w:tc>
        <w:tc>
          <w:tcPr>
            <w:tcW w:w="4751" w:type="dxa"/>
            <w:tcBorders>
              <w:top w:val="single" w:sz="8" w:space="0" w:color="000000"/>
              <w:left w:val="nil"/>
              <w:bottom w:val="nil"/>
              <w:right w:val="nil"/>
            </w:tcBorders>
            <w:shd w:val="clear" w:color="auto" w:fill="auto"/>
            <w:vAlign w:val="center"/>
            <w:hideMark/>
          </w:tcPr>
          <w:p w14:paraId="0297228C" w14:textId="77777777" w:rsidR="00994267" w:rsidRPr="00994267" w:rsidRDefault="00994267" w:rsidP="00994267">
            <w:pPr>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Total Capital Spending</w:t>
            </w:r>
          </w:p>
        </w:tc>
        <w:tc>
          <w:tcPr>
            <w:tcW w:w="1410" w:type="dxa"/>
            <w:tcBorders>
              <w:top w:val="single" w:sz="8" w:space="0" w:color="000000"/>
              <w:left w:val="nil"/>
              <w:bottom w:val="nil"/>
              <w:right w:val="nil"/>
            </w:tcBorders>
            <w:shd w:val="clear" w:color="auto" w:fill="auto"/>
            <w:vAlign w:val="center"/>
            <w:hideMark/>
          </w:tcPr>
          <w:p w14:paraId="7B150AF5" w14:textId="77777777" w:rsidR="00994267" w:rsidRPr="00994267" w:rsidRDefault="00994267" w:rsidP="00994267">
            <w:pPr>
              <w:jc w:val="right"/>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 xml:space="preserve"> 13,325 </w:t>
            </w:r>
          </w:p>
        </w:tc>
      </w:tr>
      <w:tr w:rsidR="00994267" w:rsidRPr="00994267" w14:paraId="63DD1698" w14:textId="77777777" w:rsidTr="002C7CD8">
        <w:trPr>
          <w:trHeight w:val="74"/>
          <w:jc w:val="center"/>
        </w:trPr>
        <w:tc>
          <w:tcPr>
            <w:tcW w:w="1468" w:type="dxa"/>
            <w:tcBorders>
              <w:top w:val="nil"/>
              <w:left w:val="nil"/>
              <w:bottom w:val="nil"/>
              <w:right w:val="nil"/>
            </w:tcBorders>
            <w:shd w:val="clear" w:color="auto" w:fill="auto"/>
            <w:vAlign w:val="center"/>
            <w:hideMark/>
          </w:tcPr>
          <w:p w14:paraId="7DBC5B02" w14:textId="77777777" w:rsidR="00994267" w:rsidRPr="00994267" w:rsidRDefault="00994267" w:rsidP="00994267">
            <w:pPr>
              <w:jc w:val="center"/>
              <w:rPr>
                <w:rFonts w:eastAsia="Times New Roman" w:cs="Arial"/>
                <w:color w:val="000000"/>
                <w:sz w:val="2"/>
                <w:szCs w:val="2"/>
                <w:lang w:val="en-GB" w:eastAsia="en-GB"/>
              </w:rPr>
            </w:pPr>
            <w:r w:rsidRPr="00994267">
              <w:rPr>
                <w:rFonts w:eastAsia="Times New Roman" w:cs="Arial"/>
                <w:color w:val="000000"/>
                <w:sz w:val="2"/>
                <w:szCs w:val="2"/>
                <w:lang w:val="en-GB" w:eastAsia="en-GB"/>
              </w:rPr>
              <w:t xml:space="preserve"> </w:t>
            </w:r>
          </w:p>
        </w:tc>
        <w:tc>
          <w:tcPr>
            <w:tcW w:w="271" w:type="dxa"/>
            <w:tcBorders>
              <w:top w:val="nil"/>
              <w:left w:val="nil"/>
              <w:bottom w:val="nil"/>
              <w:right w:val="nil"/>
            </w:tcBorders>
            <w:shd w:val="clear" w:color="auto" w:fill="auto"/>
            <w:vAlign w:val="center"/>
            <w:hideMark/>
          </w:tcPr>
          <w:p w14:paraId="3DFC5808" w14:textId="77777777" w:rsidR="00994267" w:rsidRPr="00994267" w:rsidRDefault="00994267" w:rsidP="00994267">
            <w:pPr>
              <w:jc w:val="center"/>
              <w:rPr>
                <w:rFonts w:eastAsia="Times New Roman" w:cs="Arial"/>
                <w:color w:val="000000"/>
                <w:sz w:val="2"/>
                <w:szCs w:val="2"/>
                <w:lang w:val="en-GB" w:eastAsia="en-GB"/>
              </w:rPr>
            </w:pPr>
          </w:p>
        </w:tc>
        <w:tc>
          <w:tcPr>
            <w:tcW w:w="4751" w:type="dxa"/>
            <w:tcBorders>
              <w:top w:val="nil"/>
              <w:left w:val="nil"/>
              <w:bottom w:val="nil"/>
              <w:right w:val="nil"/>
            </w:tcBorders>
            <w:shd w:val="clear" w:color="auto" w:fill="auto"/>
            <w:vAlign w:val="center"/>
            <w:hideMark/>
          </w:tcPr>
          <w:p w14:paraId="14CA11F0" w14:textId="77777777" w:rsidR="00994267" w:rsidRPr="00994267" w:rsidRDefault="00994267" w:rsidP="00994267">
            <w:pPr>
              <w:jc w:val="center"/>
              <w:rPr>
                <w:rFonts w:eastAsia="Times New Roman" w:cs="Arial"/>
                <w:b/>
                <w:bCs/>
                <w:color w:val="000000"/>
                <w:sz w:val="2"/>
                <w:szCs w:val="2"/>
                <w:lang w:val="en-GB" w:eastAsia="en-GB"/>
              </w:rPr>
            </w:pPr>
            <w:r w:rsidRPr="00994267">
              <w:rPr>
                <w:rFonts w:eastAsia="Times New Roman" w:cs="Arial"/>
                <w:b/>
                <w:bCs/>
                <w:color w:val="000000"/>
                <w:sz w:val="2"/>
                <w:szCs w:val="2"/>
                <w:lang w:val="en-GB" w:eastAsia="en-GB"/>
              </w:rPr>
              <w:t xml:space="preserve"> </w:t>
            </w:r>
          </w:p>
        </w:tc>
        <w:tc>
          <w:tcPr>
            <w:tcW w:w="1410" w:type="dxa"/>
            <w:tcBorders>
              <w:top w:val="nil"/>
              <w:left w:val="nil"/>
              <w:bottom w:val="nil"/>
              <w:right w:val="nil"/>
            </w:tcBorders>
            <w:shd w:val="clear" w:color="auto" w:fill="auto"/>
            <w:vAlign w:val="center"/>
            <w:hideMark/>
          </w:tcPr>
          <w:p w14:paraId="271ECE4D" w14:textId="77777777" w:rsidR="00994267" w:rsidRPr="00994267" w:rsidRDefault="00994267" w:rsidP="00994267">
            <w:pPr>
              <w:jc w:val="center"/>
              <w:rPr>
                <w:rFonts w:eastAsia="Times New Roman" w:cs="Arial"/>
                <w:color w:val="000000"/>
                <w:sz w:val="2"/>
                <w:szCs w:val="2"/>
                <w:lang w:val="en-GB" w:eastAsia="en-GB"/>
              </w:rPr>
            </w:pPr>
            <w:r w:rsidRPr="00994267">
              <w:rPr>
                <w:rFonts w:eastAsia="Times New Roman" w:cs="Arial"/>
                <w:color w:val="000000"/>
                <w:sz w:val="2"/>
                <w:szCs w:val="2"/>
                <w:lang w:val="en-GB" w:eastAsia="en-GB"/>
              </w:rPr>
              <w:t xml:space="preserve"> </w:t>
            </w:r>
          </w:p>
        </w:tc>
      </w:tr>
      <w:tr w:rsidR="00994267" w:rsidRPr="00994267" w14:paraId="7740649D" w14:textId="77777777" w:rsidTr="00E26C79">
        <w:trPr>
          <w:trHeight w:val="255"/>
          <w:jc w:val="center"/>
        </w:trPr>
        <w:tc>
          <w:tcPr>
            <w:tcW w:w="1468" w:type="dxa"/>
            <w:tcBorders>
              <w:top w:val="nil"/>
              <w:left w:val="nil"/>
              <w:bottom w:val="nil"/>
              <w:right w:val="nil"/>
            </w:tcBorders>
            <w:shd w:val="clear" w:color="auto" w:fill="auto"/>
            <w:vAlign w:val="center"/>
            <w:hideMark/>
          </w:tcPr>
          <w:p w14:paraId="33B8AF05" w14:textId="77777777" w:rsidR="00994267" w:rsidRPr="00994267" w:rsidRDefault="00994267" w:rsidP="00994267">
            <w:pPr>
              <w:jc w:val="center"/>
              <w:rPr>
                <w:rFonts w:eastAsia="Times New Roman" w:cs="Arial"/>
                <w:color w:val="000000"/>
                <w:sz w:val="2"/>
                <w:szCs w:val="2"/>
                <w:lang w:val="en-GB" w:eastAsia="en-GB"/>
              </w:rPr>
            </w:pPr>
            <w:r w:rsidRPr="00994267">
              <w:rPr>
                <w:rFonts w:eastAsia="Times New Roman" w:cs="Arial"/>
                <w:color w:val="000000"/>
                <w:sz w:val="2"/>
                <w:szCs w:val="2"/>
                <w:lang w:val="en-GB" w:eastAsia="en-GB"/>
              </w:rPr>
              <w:t xml:space="preserve"> </w:t>
            </w:r>
          </w:p>
        </w:tc>
        <w:tc>
          <w:tcPr>
            <w:tcW w:w="271" w:type="dxa"/>
            <w:tcBorders>
              <w:top w:val="nil"/>
              <w:left w:val="nil"/>
              <w:bottom w:val="nil"/>
              <w:right w:val="nil"/>
            </w:tcBorders>
            <w:shd w:val="clear" w:color="auto" w:fill="auto"/>
            <w:vAlign w:val="center"/>
            <w:hideMark/>
          </w:tcPr>
          <w:p w14:paraId="4F1F1893" w14:textId="77777777" w:rsidR="00994267" w:rsidRPr="00994267" w:rsidRDefault="00994267" w:rsidP="00994267">
            <w:pPr>
              <w:jc w:val="center"/>
              <w:rPr>
                <w:rFonts w:eastAsia="Times New Roman" w:cs="Arial"/>
                <w:color w:val="000000"/>
                <w:sz w:val="2"/>
                <w:szCs w:val="2"/>
                <w:lang w:val="en-GB" w:eastAsia="en-GB"/>
              </w:rPr>
            </w:pPr>
          </w:p>
        </w:tc>
        <w:tc>
          <w:tcPr>
            <w:tcW w:w="4751" w:type="dxa"/>
            <w:tcBorders>
              <w:top w:val="nil"/>
              <w:left w:val="nil"/>
              <w:bottom w:val="nil"/>
              <w:right w:val="nil"/>
            </w:tcBorders>
            <w:shd w:val="clear" w:color="auto" w:fill="auto"/>
            <w:vAlign w:val="center"/>
            <w:hideMark/>
          </w:tcPr>
          <w:p w14:paraId="76FE9D5C" w14:textId="77777777" w:rsidR="00994267" w:rsidRPr="00994267" w:rsidRDefault="00994267" w:rsidP="00994267">
            <w:pPr>
              <w:rPr>
                <w:rFonts w:eastAsia="Times New Roman" w:cs="Arial"/>
                <w:color w:val="000000"/>
                <w:sz w:val="16"/>
                <w:szCs w:val="16"/>
                <w:lang w:val="en-GB" w:eastAsia="en-GB"/>
              </w:rPr>
            </w:pPr>
            <w:r w:rsidRPr="00994267">
              <w:rPr>
                <w:rFonts w:eastAsia="Times New Roman" w:cs="Arial"/>
                <w:color w:val="000000"/>
                <w:sz w:val="16"/>
                <w:szCs w:val="16"/>
                <w:lang w:val="en-GB" w:eastAsia="en-GB"/>
              </w:rPr>
              <w:t>Sources of Finance:</w:t>
            </w:r>
          </w:p>
        </w:tc>
        <w:tc>
          <w:tcPr>
            <w:tcW w:w="1410" w:type="dxa"/>
            <w:tcBorders>
              <w:top w:val="nil"/>
              <w:left w:val="nil"/>
              <w:bottom w:val="nil"/>
              <w:right w:val="nil"/>
            </w:tcBorders>
            <w:shd w:val="clear" w:color="auto" w:fill="auto"/>
            <w:vAlign w:val="center"/>
            <w:hideMark/>
          </w:tcPr>
          <w:p w14:paraId="20E7CA16" w14:textId="77777777" w:rsidR="00994267" w:rsidRPr="00994267" w:rsidRDefault="00994267" w:rsidP="00994267">
            <w:pPr>
              <w:jc w:val="center"/>
              <w:rPr>
                <w:rFonts w:eastAsia="Times New Roman" w:cs="Arial"/>
                <w:color w:val="000000"/>
                <w:sz w:val="2"/>
                <w:szCs w:val="2"/>
                <w:lang w:val="en-GB" w:eastAsia="en-GB"/>
              </w:rPr>
            </w:pPr>
            <w:r w:rsidRPr="00994267">
              <w:rPr>
                <w:rFonts w:eastAsia="Times New Roman" w:cs="Arial"/>
                <w:color w:val="000000"/>
                <w:sz w:val="2"/>
                <w:szCs w:val="2"/>
                <w:lang w:val="en-GB" w:eastAsia="en-GB"/>
              </w:rPr>
              <w:t xml:space="preserve"> </w:t>
            </w:r>
          </w:p>
        </w:tc>
      </w:tr>
      <w:tr w:rsidR="00994267" w:rsidRPr="00994267" w14:paraId="1227B536" w14:textId="77777777" w:rsidTr="00E26C79">
        <w:trPr>
          <w:trHeight w:val="255"/>
          <w:jc w:val="center"/>
        </w:trPr>
        <w:tc>
          <w:tcPr>
            <w:tcW w:w="1468" w:type="dxa"/>
            <w:tcBorders>
              <w:top w:val="nil"/>
              <w:left w:val="nil"/>
              <w:bottom w:val="nil"/>
              <w:right w:val="nil"/>
            </w:tcBorders>
            <w:shd w:val="clear" w:color="auto" w:fill="auto"/>
            <w:vAlign w:val="center"/>
            <w:hideMark/>
          </w:tcPr>
          <w:p w14:paraId="7C60C4D5" w14:textId="77777777" w:rsidR="00994267" w:rsidRPr="00994267" w:rsidRDefault="00994267" w:rsidP="00994267">
            <w:pPr>
              <w:jc w:val="right"/>
              <w:rPr>
                <w:rFonts w:eastAsia="Times New Roman" w:cs="Arial"/>
                <w:color w:val="000000"/>
                <w:sz w:val="16"/>
                <w:szCs w:val="16"/>
                <w:lang w:val="en-GB" w:eastAsia="en-GB"/>
              </w:rPr>
            </w:pPr>
            <w:r w:rsidRPr="00994267">
              <w:rPr>
                <w:rFonts w:eastAsia="Times New Roman" w:cs="Arial"/>
                <w:color w:val="000000"/>
                <w:sz w:val="16"/>
                <w:szCs w:val="16"/>
                <w:lang w:val="en-GB" w:eastAsia="en-GB"/>
              </w:rPr>
              <w:t>(4,266)</w:t>
            </w:r>
          </w:p>
        </w:tc>
        <w:tc>
          <w:tcPr>
            <w:tcW w:w="271" w:type="dxa"/>
            <w:tcBorders>
              <w:top w:val="nil"/>
              <w:left w:val="nil"/>
              <w:bottom w:val="nil"/>
              <w:right w:val="nil"/>
            </w:tcBorders>
            <w:shd w:val="clear" w:color="auto" w:fill="auto"/>
            <w:vAlign w:val="center"/>
            <w:hideMark/>
          </w:tcPr>
          <w:p w14:paraId="276C0B81" w14:textId="77777777" w:rsidR="00994267" w:rsidRPr="00994267" w:rsidRDefault="00994267" w:rsidP="00994267">
            <w:pPr>
              <w:jc w:val="right"/>
              <w:rPr>
                <w:rFonts w:eastAsia="Times New Roman" w:cs="Arial"/>
                <w:color w:val="000000"/>
                <w:sz w:val="16"/>
                <w:szCs w:val="16"/>
                <w:lang w:val="en-GB" w:eastAsia="en-GB"/>
              </w:rPr>
            </w:pPr>
          </w:p>
        </w:tc>
        <w:tc>
          <w:tcPr>
            <w:tcW w:w="4751" w:type="dxa"/>
            <w:tcBorders>
              <w:top w:val="nil"/>
              <w:left w:val="nil"/>
              <w:bottom w:val="nil"/>
              <w:right w:val="nil"/>
            </w:tcBorders>
            <w:shd w:val="clear" w:color="auto" w:fill="auto"/>
            <w:vAlign w:val="center"/>
            <w:hideMark/>
          </w:tcPr>
          <w:p w14:paraId="77020B88" w14:textId="77777777" w:rsidR="00994267" w:rsidRPr="00994267" w:rsidRDefault="00994267" w:rsidP="00994267">
            <w:pPr>
              <w:rPr>
                <w:rFonts w:eastAsia="Times New Roman" w:cs="Arial"/>
                <w:color w:val="000000"/>
                <w:sz w:val="16"/>
                <w:szCs w:val="16"/>
                <w:lang w:val="en-GB" w:eastAsia="en-GB"/>
              </w:rPr>
            </w:pPr>
            <w:r w:rsidRPr="00994267">
              <w:rPr>
                <w:rFonts w:eastAsia="Times New Roman" w:cs="Arial"/>
                <w:color w:val="000000"/>
                <w:sz w:val="16"/>
                <w:szCs w:val="16"/>
                <w:lang w:val="en-GB" w:eastAsia="en-GB"/>
              </w:rPr>
              <w:t>Capital receipts</w:t>
            </w:r>
          </w:p>
        </w:tc>
        <w:tc>
          <w:tcPr>
            <w:tcW w:w="1410" w:type="dxa"/>
            <w:tcBorders>
              <w:top w:val="nil"/>
              <w:left w:val="nil"/>
              <w:bottom w:val="nil"/>
              <w:right w:val="nil"/>
            </w:tcBorders>
            <w:shd w:val="clear" w:color="auto" w:fill="auto"/>
            <w:vAlign w:val="center"/>
            <w:hideMark/>
          </w:tcPr>
          <w:p w14:paraId="24815F09" w14:textId="77777777" w:rsidR="00994267" w:rsidRPr="00994267" w:rsidRDefault="00994267" w:rsidP="00994267">
            <w:pPr>
              <w:jc w:val="right"/>
              <w:rPr>
                <w:rFonts w:eastAsia="Times New Roman" w:cs="Arial"/>
                <w:color w:val="000000"/>
                <w:sz w:val="16"/>
                <w:szCs w:val="16"/>
                <w:lang w:val="en-GB" w:eastAsia="en-GB"/>
              </w:rPr>
            </w:pPr>
            <w:r w:rsidRPr="00994267">
              <w:rPr>
                <w:rFonts w:eastAsia="Times New Roman" w:cs="Arial"/>
                <w:color w:val="000000"/>
                <w:sz w:val="16"/>
                <w:szCs w:val="16"/>
                <w:lang w:val="en-GB" w:eastAsia="en-GB"/>
              </w:rPr>
              <w:t>(3,575)</w:t>
            </w:r>
          </w:p>
        </w:tc>
      </w:tr>
      <w:tr w:rsidR="00994267" w:rsidRPr="00994267" w14:paraId="5418FA20" w14:textId="77777777" w:rsidTr="00E26C79">
        <w:trPr>
          <w:trHeight w:val="255"/>
          <w:jc w:val="center"/>
        </w:trPr>
        <w:tc>
          <w:tcPr>
            <w:tcW w:w="1468" w:type="dxa"/>
            <w:tcBorders>
              <w:top w:val="nil"/>
              <w:left w:val="nil"/>
              <w:bottom w:val="nil"/>
              <w:right w:val="nil"/>
            </w:tcBorders>
            <w:shd w:val="clear" w:color="auto" w:fill="auto"/>
            <w:vAlign w:val="center"/>
            <w:hideMark/>
          </w:tcPr>
          <w:p w14:paraId="185FA366" w14:textId="77777777" w:rsidR="00994267" w:rsidRPr="00994267" w:rsidRDefault="00994267" w:rsidP="00994267">
            <w:pPr>
              <w:jc w:val="right"/>
              <w:rPr>
                <w:rFonts w:eastAsia="Times New Roman" w:cs="Arial"/>
                <w:color w:val="000000"/>
                <w:sz w:val="16"/>
                <w:szCs w:val="16"/>
                <w:lang w:val="en-GB" w:eastAsia="en-GB"/>
              </w:rPr>
            </w:pPr>
            <w:r w:rsidRPr="00994267">
              <w:rPr>
                <w:rFonts w:eastAsia="Times New Roman" w:cs="Arial"/>
                <w:color w:val="000000"/>
                <w:sz w:val="16"/>
                <w:szCs w:val="16"/>
                <w:lang w:val="en-GB" w:eastAsia="en-GB"/>
              </w:rPr>
              <w:t>(645)</w:t>
            </w:r>
          </w:p>
        </w:tc>
        <w:tc>
          <w:tcPr>
            <w:tcW w:w="271" w:type="dxa"/>
            <w:tcBorders>
              <w:top w:val="nil"/>
              <w:left w:val="nil"/>
              <w:bottom w:val="nil"/>
              <w:right w:val="nil"/>
            </w:tcBorders>
            <w:shd w:val="clear" w:color="auto" w:fill="auto"/>
            <w:vAlign w:val="center"/>
            <w:hideMark/>
          </w:tcPr>
          <w:p w14:paraId="280C3E2C" w14:textId="77777777" w:rsidR="00994267" w:rsidRPr="00994267" w:rsidRDefault="00994267" w:rsidP="00994267">
            <w:pPr>
              <w:jc w:val="right"/>
              <w:rPr>
                <w:rFonts w:eastAsia="Times New Roman" w:cs="Arial"/>
                <w:color w:val="000000"/>
                <w:sz w:val="16"/>
                <w:szCs w:val="16"/>
                <w:lang w:val="en-GB" w:eastAsia="en-GB"/>
              </w:rPr>
            </w:pPr>
          </w:p>
        </w:tc>
        <w:tc>
          <w:tcPr>
            <w:tcW w:w="4751" w:type="dxa"/>
            <w:tcBorders>
              <w:top w:val="nil"/>
              <w:left w:val="nil"/>
              <w:bottom w:val="nil"/>
              <w:right w:val="nil"/>
            </w:tcBorders>
            <w:shd w:val="clear" w:color="auto" w:fill="auto"/>
            <w:vAlign w:val="center"/>
            <w:hideMark/>
          </w:tcPr>
          <w:p w14:paraId="78B9E7B6" w14:textId="77777777" w:rsidR="00994267" w:rsidRPr="00994267" w:rsidRDefault="00994267" w:rsidP="00994267">
            <w:pPr>
              <w:rPr>
                <w:rFonts w:eastAsia="Times New Roman" w:cs="Arial"/>
                <w:color w:val="000000"/>
                <w:sz w:val="16"/>
                <w:szCs w:val="16"/>
                <w:lang w:val="en-GB" w:eastAsia="en-GB"/>
              </w:rPr>
            </w:pPr>
            <w:r w:rsidRPr="00994267">
              <w:rPr>
                <w:rFonts w:eastAsia="Times New Roman" w:cs="Arial"/>
                <w:color w:val="000000"/>
                <w:sz w:val="16"/>
                <w:szCs w:val="16"/>
                <w:lang w:val="en-GB" w:eastAsia="en-GB"/>
              </w:rPr>
              <w:t>Government Grants and other contributions</w:t>
            </w:r>
          </w:p>
        </w:tc>
        <w:tc>
          <w:tcPr>
            <w:tcW w:w="1410" w:type="dxa"/>
            <w:tcBorders>
              <w:top w:val="nil"/>
              <w:left w:val="nil"/>
              <w:bottom w:val="nil"/>
              <w:right w:val="nil"/>
            </w:tcBorders>
            <w:shd w:val="clear" w:color="auto" w:fill="auto"/>
            <w:vAlign w:val="center"/>
            <w:hideMark/>
          </w:tcPr>
          <w:p w14:paraId="0EFB2722" w14:textId="568A0931" w:rsidR="00994267" w:rsidRPr="00994267" w:rsidRDefault="00994267" w:rsidP="00994267">
            <w:pPr>
              <w:jc w:val="right"/>
              <w:rPr>
                <w:rFonts w:eastAsia="Times New Roman" w:cs="Arial"/>
                <w:color w:val="000000"/>
                <w:sz w:val="16"/>
                <w:szCs w:val="16"/>
                <w:lang w:val="en-GB" w:eastAsia="en-GB"/>
              </w:rPr>
            </w:pPr>
            <w:r w:rsidRPr="00994267">
              <w:rPr>
                <w:rFonts w:eastAsia="Times New Roman" w:cs="Arial"/>
                <w:color w:val="000000"/>
                <w:sz w:val="16"/>
                <w:szCs w:val="16"/>
                <w:lang w:val="en-GB" w:eastAsia="en-GB"/>
              </w:rPr>
              <w:t>(</w:t>
            </w:r>
            <w:r w:rsidR="00D92091">
              <w:rPr>
                <w:rFonts w:eastAsia="Times New Roman" w:cs="Arial"/>
                <w:color w:val="000000"/>
                <w:sz w:val="16"/>
                <w:szCs w:val="16"/>
                <w:lang w:val="en-GB" w:eastAsia="en-GB"/>
              </w:rPr>
              <w:t>297</w:t>
            </w:r>
            <w:r w:rsidRPr="00994267">
              <w:rPr>
                <w:rFonts w:eastAsia="Times New Roman" w:cs="Arial"/>
                <w:color w:val="000000"/>
                <w:sz w:val="16"/>
                <w:szCs w:val="16"/>
                <w:lang w:val="en-GB" w:eastAsia="en-GB"/>
              </w:rPr>
              <w:t>)</w:t>
            </w:r>
          </w:p>
        </w:tc>
      </w:tr>
      <w:tr w:rsidR="00994267" w:rsidRPr="00994267" w14:paraId="1767A73B" w14:textId="77777777" w:rsidTr="00E26C79">
        <w:trPr>
          <w:trHeight w:val="255"/>
          <w:jc w:val="center"/>
        </w:trPr>
        <w:tc>
          <w:tcPr>
            <w:tcW w:w="1468" w:type="dxa"/>
            <w:tcBorders>
              <w:top w:val="nil"/>
              <w:left w:val="nil"/>
              <w:bottom w:val="nil"/>
              <w:right w:val="nil"/>
            </w:tcBorders>
            <w:shd w:val="clear" w:color="auto" w:fill="auto"/>
            <w:vAlign w:val="center"/>
            <w:hideMark/>
          </w:tcPr>
          <w:p w14:paraId="5D406EFF" w14:textId="77777777" w:rsidR="00994267" w:rsidRPr="00994267" w:rsidRDefault="00994267" w:rsidP="00994267">
            <w:pPr>
              <w:jc w:val="center"/>
              <w:rPr>
                <w:rFonts w:eastAsia="Times New Roman" w:cs="Arial"/>
                <w:color w:val="000000"/>
                <w:sz w:val="2"/>
                <w:szCs w:val="2"/>
                <w:lang w:val="en-GB" w:eastAsia="en-GB"/>
              </w:rPr>
            </w:pPr>
            <w:r w:rsidRPr="00994267">
              <w:rPr>
                <w:rFonts w:eastAsia="Times New Roman" w:cs="Arial"/>
                <w:color w:val="000000"/>
                <w:sz w:val="2"/>
                <w:szCs w:val="2"/>
                <w:lang w:val="en-GB" w:eastAsia="en-GB"/>
              </w:rPr>
              <w:t xml:space="preserve"> </w:t>
            </w:r>
          </w:p>
        </w:tc>
        <w:tc>
          <w:tcPr>
            <w:tcW w:w="271" w:type="dxa"/>
            <w:tcBorders>
              <w:top w:val="nil"/>
              <w:left w:val="nil"/>
              <w:bottom w:val="nil"/>
              <w:right w:val="nil"/>
            </w:tcBorders>
            <w:shd w:val="clear" w:color="auto" w:fill="auto"/>
            <w:vAlign w:val="center"/>
            <w:hideMark/>
          </w:tcPr>
          <w:p w14:paraId="0BEF1085" w14:textId="77777777" w:rsidR="00994267" w:rsidRPr="00994267" w:rsidRDefault="00994267" w:rsidP="00994267">
            <w:pPr>
              <w:jc w:val="center"/>
              <w:rPr>
                <w:rFonts w:eastAsia="Times New Roman" w:cs="Arial"/>
                <w:color w:val="000000"/>
                <w:sz w:val="2"/>
                <w:szCs w:val="2"/>
                <w:lang w:val="en-GB" w:eastAsia="en-GB"/>
              </w:rPr>
            </w:pPr>
          </w:p>
        </w:tc>
        <w:tc>
          <w:tcPr>
            <w:tcW w:w="4751" w:type="dxa"/>
            <w:tcBorders>
              <w:top w:val="nil"/>
              <w:left w:val="nil"/>
              <w:bottom w:val="nil"/>
              <w:right w:val="nil"/>
            </w:tcBorders>
            <w:shd w:val="clear" w:color="auto" w:fill="auto"/>
            <w:vAlign w:val="center"/>
            <w:hideMark/>
          </w:tcPr>
          <w:p w14:paraId="6D5976A9" w14:textId="77777777" w:rsidR="00994267" w:rsidRPr="00994267" w:rsidRDefault="00994267" w:rsidP="00994267">
            <w:pPr>
              <w:rPr>
                <w:rFonts w:eastAsia="Times New Roman" w:cs="Arial"/>
                <w:color w:val="000000"/>
                <w:sz w:val="16"/>
                <w:szCs w:val="16"/>
                <w:lang w:val="en-GB" w:eastAsia="en-GB"/>
              </w:rPr>
            </w:pPr>
            <w:r w:rsidRPr="00994267">
              <w:rPr>
                <w:rFonts w:eastAsia="Times New Roman" w:cs="Arial"/>
                <w:color w:val="000000"/>
                <w:sz w:val="16"/>
                <w:szCs w:val="16"/>
                <w:lang w:val="en-GB" w:eastAsia="en-GB"/>
              </w:rPr>
              <w:t>Sums set aside from revenue:</w:t>
            </w:r>
          </w:p>
        </w:tc>
        <w:tc>
          <w:tcPr>
            <w:tcW w:w="1410" w:type="dxa"/>
            <w:tcBorders>
              <w:top w:val="nil"/>
              <w:left w:val="nil"/>
              <w:bottom w:val="nil"/>
              <w:right w:val="nil"/>
            </w:tcBorders>
            <w:shd w:val="clear" w:color="auto" w:fill="auto"/>
            <w:vAlign w:val="center"/>
            <w:hideMark/>
          </w:tcPr>
          <w:p w14:paraId="1C2A2204" w14:textId="77777777" w:rsidR="00994267" w:rsidRPr="00994267" w:rsidRDefault="00994267" w:rsidP="00994267">
            <w:pPr>
              <w:rPr>
                <w:rFonts w:eastAsia="Times New Roman" w:cs="Arial"/>
                <w:color w:val="000000"/>
                <w:sz w:val="16"/>
                <w:szCs w:val="16"/>
                <w:lang w:val="en-GB" w:eastAsia="en-GB"/>
              </w:rPr>
            </w:pPr>
          </w:p>
        </w:tc>
      </w:tr>
      <w:tr w:rsidR="00994267" w:rsidRPr="00994267" w14:paraId="1A8BBCDC" w14:textId="77777777" w:rsidTr="00E26C79">
        <w:trPr>
          <w:trHeight w:val="255"/>
          <w:jc w:val="center"/>
        </w:trPr>
        <w:tc>
          <w:tcPr>
            <w:tcW w:w="1468" w:type="dxa"/>
            <w:tcBorders>
              <w:top w:val="nil"/>
              <w:left w:val="nil"/>
              <w:bottom w:val="nil"/>
              <w:right w:val="nil"/>
            </w:tcBorders>
            <w:shd w:val="clear" w:color="auto" w:fill="auto"/>
            <w:vAlign w:val="center"/>
            <w:hideMark/>
          </w:tcPr>
          <w:p w14:paraId="7E87499D" w14:textId="77777777" w:rsidR="00994267" w:rsidRPr="00994267" w:rsidRDefault="00994267" w:rsidP="00994267">
            <w:pPr>
              <w:jc w:val="right"/>
              <w:rPr>
                <w:rFonts w:eastAsia="Times New Roman" w:cs="Arial"/>
                <w:color w:val="000000"/>
                <w:sz w:val="16"/>
                <w:szCs w:val="16"/>
                <w:lang w:val="en-GB" w:eastAsia="en-GB"/>
              </w:rPr>
            </w:pPr>
            <w:r w:rsidRPr="00994267">
              <w:rPr>
                <w:rFonts w:eastAsia="Times New Roman" w:cs="Arial"/>
                <w:color w:val="000000"/>
                <w:sz w:val="16"/>
                <w:szCs w:val="16"/>
                <w:lang w:val="en-GB" w:eastAsia="en-GB"/>
              </w:rPr>
              <w:t>(4,496)</w:t>
            </w:r>
          </w:p>
        </w:tc>
        <w:tc>
          <w:tcPr>
            <w:tcW w:w="271" w:type="dxa"/>
            <w:tcBorders>
              <w:top w:val="nil"/>
              <w:left w:val="nil"/>
              <w:bottom w:val="nil"/>
              <w:right w:val="nil"/>
            </w:tcBorders>
            <w:shd w:val="clear" w:color="auto" w:fill="auto"/>
            <w:vAlign w:val="center"/>
            <w:hideMark/>
          </w:tcPr>
          <w:p w14:paraId="271FFB4E" w14:textId="77777777" w:rsidR="00994267" w:rsidRPr="00994267" w:rsidRDefault="00994267" w:rsidP="00994267">
            <w:pPr>
              <w:jc w:val="right"/>
              <w:rPr>
                <w:rFonts w:eastAsia="Times New Roman" w:cs="Arial"/>
                <w:color w:val="000000"/>
                <w:sz w:val="16"/>
                <w:szCs w:val="16"/>
                <w:lang w:val="en-GB" w:eastAsia="en-GB"/>
              </w:rPr>
            </w:pPr>
          </w:p>
        </w:tc>
        <w:tc>
          <w:tcPr>
            <w:tcW w:w="4751" w:type="dxa"/>
            <w:tcBorders>
              <w:top w:val="nil"/>
              <w:left w:val="nil"/>
              <w:bottom w:val="nil"/>
              <w:right w:val="nil"/>
            </w:tcBorders>
            <w:shd w:val="clear" w:color="auto" w:fill="auto"/>
            <w:vAlign w:val="center"/>
            <w:hideMark/>
          </w:tcPr>
          <w:p w14:paraId="10F8AF23" w14:textId="77777777" w:rsidR="00994267" w:rsidRPr="00994267" w:rsidRDefault="00994267" w:rsidP="00994267">
            <w:pPr>
              <w:rPr>
                <w:rFonts w:eastAsia="Times New Roman" w:cs="Arial"/>
                <w:color w:val="000000"/>
                <w:sz w:val="16"/>
                <w:szCs w:val="16"/>
                <w:lang w:val="en-GB" w:eastAsia="en-GB"/>
              </w:rPr>
            </w:pPr>
            <w:r w:rsidRPr="00994267">
              <w:rPr>
                <w:rFonts w:eastAsia="Times New Roman" w:cs="Arial"/>
                <w:color w:val="000000"/>
                <w:sz w:val="16"/>
                <w:szCs w:val="16"/>
                <w:lang w:val="en-GB" w:eastAsia="en-GB"/>
              </w:rPr>
              <w:t>- Direct revenue contributions</w:t>
            </w:r>
          </w:p>
        </w:tc>
        <w:tc>
          <w:tcPr>
            <w:tcW w:w="1410" w:type="dxa"/>
            <w:tcBorders>
              <w:top w:val="nil"/>
              <w:left w:val="nil"/>
              <w:bottom w:val="nil"/>
              <w:right w:val="nil"/>
            </w:tcBorders>
            <w:shd w:val="clear" w:color="auto" w:fill="auto"/>
            <w:vAlign w:val="center"/>
            <w:hideMark/>
          </w:tcPr>
          <w:p w14:paraId="2F63965A" w14:textId="088F84F5" w:rsidR="00994267" w:rsidRPr="00994267" w:rsidRDefault="00994267" w:rsidP="00994267">
            <w:pPr>
              <w:jc w:val="right"/>
              <w:rPr>
                <w:rFonts w:eastAsia="Times New Roman" w:cs="Arial"/>
                <w:color w:val="000000"/>
                <w:sz w:val="16"/>
                <w:szCs w:val="16"/>
                <w:lang w:val="en-GB" w:eastAsia="en-GB"/>
              </w:rPr>
            </w:pPr>
            <w:r w:rsidRPr="00994267">
              <w:rPr>
                <w:rFonts w:eastAsia="Times New Roman" w:cs="Arial"/>
                <w:color w:val="000000"/>
                <w:sz w:val="16"/>
                <w:szCs w:val="16"/>
                <w:lang w:val="en-GB" w:eastAsia="en-GB"/>
              </w:rPr>
              <w:t>(8,</w:t>
            </w:r>
            <w:r w:rsidR="00D92091">
              <w:rPr>
                <w:rFonts w:eastAsia="Times New Roman" w:cs="Arial"/>
                <w:color w:val="000000"/>
                <w:sz w:val="16"/>
                <w:szCs w:val="16"/>
                <w:lang w:val="en-GB" w:eastAsia="en-GB"/>
              </w:rPr>
              <w:t>714</w:t>
            </w:r>
            <w:r w:rsidRPr="00994267">
              <w:rPr>
                <w:rFonts w:eastAsia="Times New Roman" w:cs="Arial"/>
                <w:color w:val="000000"/>
                <w:sz w:val="16"/>
                <w:szCs w:val="16"/>
                <w:lang w:val="en-GB" w:eastAsia="en-GB"/>
              </w:rPr>
              <w:t>)</w:t>
            </w:r>
          </w:p>
        </w:tc>
      </w:tr>
      <w:tr w:rsidR="00994267" w:rsidRPr="00994267" w14:paraId="6F0E274A" w14:textId="77777777" w:rsidTr="00E26C79">
        <w:trPr>
          <w:trHeight w:val="270"/>
          <w:jc w:val="center"/>
        </w:trPr>
        <w:tc>
          <w:tcPr>
            <w:tcW w:w="1468" w:type="dxa"/>
            <w:tcBorders>
              <w:top w:val="nil"/>
              <w:left w:val="nil"/>
              <w:bottom w:val="nil"/>
              <w:right w:val="nil"/>
            </w:tcBorders>
            <w:shd w:val="clear" w:color="auto" w:fill="auto"/>
            <w:vAlign w:val="center"/>
            <w:hideMark/>
          </w:tcPr>
          <w:p w14:paraId="7DD9064E" w14:textId="77777777" w:rsidR="00994267" w:rsidRPr="00994267" w:rsidRDefault="00994267" w:rsidP="00994267">
            <w:pPr>
              <w:jc w:val="right"/>
              <w:rPr>
                <w:rFonts w:eastAsia="Times New Roman" w:cs="Arial"/>
                <w:color w:val="000000"/>
                <w:sz w:val="16"/>
                <w:szCs w:val="16"/>
                <w:lang w:val="en-GB" w:eastAsia="en-GB"/>
              </w:rPr>
            </w:pPr>
            <w:r w:rsidRPr="00994267">
              <w:rPr>
                <w:rFonts w:eastAsia="Times New Roman" w:cs="Arial"/>
                <w:color w:val="000000"/>
                <w:sz w:val="16"/>
                <w:szCs w:val="16"/>
                <w:lang w:val="en-GB" w:eastAsia="en-GB"/>
              </w:rPr>
              <w:t>(1,367)</w:t>
            </w:r>
          </w:p>
        </w:tc>
        <w:tc>
          <w:tcPr>
            <w:tcW w:w="271" w:type="dxa"/>
            <w:tcBorders>
              <w:top w:val="nil"/>
              <w:left w:val="nil"/>
              <w:bottom w:val="nil"/>
              <w:right w:val="nil"/>
            </w:tcBorders>
            <w:shd w:val="clear" w:color="auto" w:fill="auto"/>
            <w:vAlign w:val="center"/>
            <w:hideMark/>
          </w:tcPr>
          <w:p w14:paraId="09D3DBFF" w14:textId="77777777" w:rsidR="00994267" w:rsidRPr="00994267" w:rsidRDefault="00994267" w:rsidP="00994267">
            <w:pPr>
              <w:jc w:val="right"/>
              <w:rPr>
                <w:rFonts w:eastAsia="Times New Roman" w:cs="Arial"/>
                <w:color w:val="000000"/>
                <w:sz w:val="16"/>
                <w:szCs w:val="16"/>
                <w:lang w:val="en-GB" w:eastAsia="en-GB"/>
              </w:rPr>
            </w:pPr>
          </w:p>
        </w:tc>
        <w:tc>
          <w:tcPr>
            <w:tcW w:w="4751" w:type="dxa"/>
            <w:tcBorders>
              <w:top w:val="nil"/>
              <w:left w:val="nil"/>
              <w:bottom w:val="nil"/>
              <w:right w:val="nil"/>
            </w:tcBorders>
            <w:shd w:val="clear" w:color="auto" w:fill="auto"/>
            <w:vAlign w:val="center"/>
            <w:hideMark/>
          </w:tcPr>
          <w:p w14:paraId="1FAB6A47" w14:textId="77777777" w:rsidR="00994267" w:rsidRPr="00994267" w:rsidRDefault="00994267" w:rsidP="00994267">
            <w:pPr>
              <w:rPr>
                <w:rFonts w:eastAsia="Times New Roman" w:cs="Arial"/>
                <w:color w:val="000000"/>
                <w:sz w:val="16"/>
                <w:szCs w:val="16"/>
                <w:lang w:val="en-GB" w:eastAsia="en-GB"/>
              </w:rPr>
            </w:pPr>
            <w:r w:rsidRPr="00994267">
              <w:rPr>
                <w:rFonts w:eastAsia="Times New Roman" w:cs="Arial"/>
                <w:color w:val="000000"/>
                <w:sz w:val="16"/>
                <w:szCs w:val="16"/>
                <w:lang w:val="en-GB" w:eastAsia="en-GB"/>
              </w:rPr>
              <w:t>- Minimum revenue provision</w:t>
            </w:r>
          </w:p>
        </w:tc>
        <w:tc>
          <w:tcPr>
            <w:tcW w:w="1410" w:type="dxa"/>
            <w:tcBorders>
              <w:top w:val="nil"/>
              <w:left w:val="nil"/>
              <w:bottom w:val="nil"/>
              <w:right w:val="nil"/>
            </w:tcBorders>
            <w:shd w:val="clear" w:color="auto" w:fill="auto"/>
            <w:vAlign w:val="center"/>
            <w:hideMark/>
          </w:tcPr>
          <w:p w14:paraId="0E18F8D1" w14:textId="77777777" w:rsidR="00994267" w:rsidRPr="00994267" w:rsidRDefault="00994267" w:rsidP="00994267">
            <w:pPr>
              <w:jc w:val="right"/>
              <w:rPr>
                <w:rFonts w:eastAsia="Times New Roman" w:cs="Arial"/>
                <w:color w:val="000000"/>
                <w:sz w:val="16"/>
                <w:szCs w:val="16"/>
                <w:lang w:val="en-GB" w:eastAsia="en-GB"/>
              </w:rPr>
            </w:pPr>
            <w:r w:rsidRPr="00994267">
              <w:rPr>
                <w:rFonts w:eastAsia="Times New Roman" w:cs="Arial"/>
                <w:color w:val="000000"/>
                <w:sz w:val="16"/>
                <w:szCs w:val="16"/>
                <w:lang w:val="en-GB" w:eastAsia="en-GB"/>
              </w:rPr>
              <w:t>(1,070)</w:t>
            </w:r>
          </w:p>
        </w:tc>
      </w:tr>
      <w:tr w:rsidR="00994267" w:rsidRPr="00994267" w14:paraId="0959F16B" w14:textId="77777777" w:rsidTr="00E26C79">
        <w:trPr>
          <w:trHeight w:val="270"/>
          <w:jc w:val="center"/>
        </w:trPr>
        <w:tc>
          <w:tcPr>
            <w:tcW w:w="1468" w:type="dxa"/>
            <w:tcBorders>
              <w:top w:val="single" w:sz="8" w:space="0" w:color="000000"/>
              <w:left w:val="nil"/>
              <w:bottom w:val="nil"/>
              <w:right w:val="nil"/>
            </w:tcBorders>
            <w:shd w:val="clear" w:color="auto" w:fill="auto"/>
            <w:vAlign w:val="center"/>
            <w:hideMark/>
          </w:tcPr>
          <w:p w14:paraId="0D063906" w14:textId="77777777" w:rsidR="00994267" w:rsidRPr="00994267" w:rsidRDefault="00994267" w:rsidP="00994267">
            <w:pPr>
              <w:jc w:val="right"/>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(10,774)</w:t>
            </w:r>
          </w:p>
        </w:tc>
        <w:tc>
          <w:tcPr>
            <w:tcW w:w="271" w:type="dxa"/>
            <w:tcBorders>
              <w:top w:val="single" w:sz="8" w:space="0" w:color="000000"/>
              <w:left w:val="nil"/>
              <w:bottom w:val="nil"/>
              <w:right w:val="nil"/>
            </w:tcBorders>
            <w:shd w:val="clear" w:color="auto" w:fill="auto"/>
            <w:vAlign w:val="center"/>
            <w:hideMark/>
          </w:tcPr>
          <w:p w14:paraId="42C64776" w14:textId="77777777" w:rsidR="00994267" w:rsidRPr="00994267" w:rsidRDefault="00994267" w:rsidP="00994267">
            <w:pPr>
              <w:jc w:val="right"/>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 </w:t>
            </w:r>
          </w:p>
        </w:tc>
        <w:tc>
          <w:tcPr>
            <w:tcW w:w="4751" w:type="dxa"/>
            <w:tcBorders>
              <w:top w:val="single" w:sz="8" w:space="0" w:color="000000"/>
              <w:left w:val="nil"/>
              <w:bottom w:val="nil"/>
              <w:right w:val="nil"/>
            </w:tcBorders>
            <w:shd w:val="clear" w:color="auto" w:fill="auto"/>
            <w:vAlign w:val="center"/>
            <w:hideMark/>
          </w:tcPr>
          <w:p w14:paraId="4BB0611E" w14:textId="77777777" w:rsidR="00994267" w:rsidRPr="00994267" w:rsidRDefault="00994267" w:rsidP="00994267">
            <w:pPr>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Total Sources of Finance</w:t>
            </w:r>
          </w:p>
        </w:tc>
        <w:tc>
          <w:tcPr>
            <w:tcW w:w="1410" w:type="dxa"/>
            <w:tcBorders>
              <w:top w:val="single" w:sz="8" w:space="0" w:color="000000"/>
              <w:left w:val="nil"/>
              <w:bottom w:val="nil"/>
              <w:right w:val="nil"/>
            </w:tcBorders>
            <w:shd w:val="clear" w:color="auto" w:fill="auto"/>
            <w:vAlign w:val="center"/>
            <w:hideMark/>
          </w:tcPr>
          <w:p w14:paraId="488AA147" w14:textId="04EC618E" w:rsidR="00994267" w:rsidRPr="00994267" w:rsidRDefault="00994267" w:rsidP="00994267">
            <w:pPr>
              <w:jc w:val="right"/>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(13,65</w:t>
            </w:r>
            <w:r w:rsidR="00D92091">
              <w:rPr>
                <w:rFonts w:eastAsia="Times New Roman" w:cs="Arial"/>
                <w:b/>
                <w:bCs/>
                <w:color w:val="000000"/>
                <w:sz w:val="16"/>
                <w:szCs w:val="16"/>
                <w:lang w:val="en-GB" w:eastAsia="en-GB"/>
              </w:rPr>
              <w:t>6</w:t>
            </w:r>
            <w:r w:rsidRPr="00994267">
              <w:rPr>
                <w:rFonts w:eastAsia="Times New Roman" w:cs="Arial"/>
                <w:b/>
                <w:bCs/>
                <w:color w:val="000000"/>
                <w:sz w:val="16"/>
                <w:szCs w:val="16"/>
                <w:lang w:val="en-GB" w:eastAsia="en-GB"/>
              </w:rPr>
              <w:t>)</w:t>
            </w:r>
          </w:p>
        </w:tc>
      </w:tr>
      <w:tr w:rsidR="00994267" w:rsidRPr="00994267" w14:paraId="4CB1CF7D" w14:textId="77777777" w:rsidTr="00E26C79">
        <w:trPr>
          <w:trHeight w:val="270"/>
          <w:jc w:val="center"/>
        </w:trPr>
        <w:tc>
          <w:tcPr>
            <w:tcW w:w="1468" w:type="dxa"/>
            <w:tcBorders>
              <w:top w:val="single" w:sz="8" w:space="0" w:color="000000"/>
              <w:left w:val="nil"/>
              <w:bottom w:val="single" w:sz="12" w:space="0" w:color="000000"/>
              <w:right w:val="nil"/>
            </w:tcBorders>
            <w:shd w:val="clear" w:color="auto" w:fill="auto"/>
            <w:vAlign w:val="center"/>
            <w:hideMark/>
          </w:tcPr>
          <w:p w14:paraId="5A8F5A6E" w14:textId="77777777" w:rsidR="00994267" w:rsidRPr="00994267" w:rsidRDefault="00994267" w:rsidP="00994267">
            <w:pPr>
              <w:jc w:val="right"/>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 xml:space="preserve"> 26,878 </w:t>
            </w:r>
          </w:p>
        </w:tc>
        <w:tc>
          <w:tcPr>
            <w:tcW w:w="271" w:type="dxa"/>
            <w:tcBorders>
              <w:top w:val="single" w:sz="8" w:space="0" w:color="000000"/>
              <w:left w:val="nil"/>
              <w:bottom w:val="single" w:sz="12" w:space="0" w:color="000000"/>
              <w:right w:val="nil"/>
            </w:tcBorders>
            <w:shd w:val="clear" w:color="auto" w:fill="auto"/>
            <w:vAlign w:val="center"/>
            <w:hideMark/>
          </w:tcPr>
          <w:p w14:paraId="488D0F84" w14:textId="77777777" w:rsidR="00994267" w:rsidRPr="00994267" w:rsidRDefault="00994267" w:rsidP="00994267">
            <w:pPr>
              <w:jc w:val="right"/>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 </w:t>
            </w:r>
          </w:p>
        </w:tc>
        <w:tc>
          <w:tcPr>
            <w:tcW w:w="4751" w:type="dxa"/>
            <w:tcBorders>
              <w:top w:val="single" w:sz="8" w:space="0" w:color="000000"/>
              <w:left w:val="nil"/>
              <w:bottom w:val="single" w:sz="12" w:space="0" w:color="000000"/>
              <w:right w:val="nil"/>
            </w:tcBorders>
            <w:shd w:val="clear" w:color="auto" w:fill="auto"/>
            <w:vAlign w:val="center"/>
            <w:hideMark/>
          </w:tcPr>
          <w:p w14:paraId="669927D2" w14:textId="77777777" w:rsidR="00994267" w:rsidRPr="00994267" w:rsidRDefault="00994267" w:rsidP="00994267">
            <w:pPr>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Closing Capital Financing Requirement</w:t>
            </w:r>
          </w:p>
        </w:tc>
        <w:tc>
          <w:tcPr>
            <w:tcW w:w="1410" w:type="dxa"/>
            <w:tcBorders>
              <w:top w:val="single" w:sz="8" w:space="0" w:color="000000"/>
              <w:left w:val="nil"/>
              <w:bottom w:val="single" w:sz="12" w:space="0" w:color="000000"/>
              <w:right w:val="nil"/>
            </w:tcBorders>
            <w:shd w:val="clear" w:color="auto" w:fill="auto"/>
            <w:vAlign w:val="center"/>
            <w:hideMark/>
          </w:tcPr>
          <w:p w14:paraId="1C99A092" w14:textId="77777777" w:rsidR="00994267" w:rsidRPr="00994267" w:rsidRDefault="00994267" w:rsidP="00994267">
            <w:pPr>
              <w:jc w:val="right"/>
              <w:rPr>
                <w:rFonts w:eastAsia="Times New Roman" w:cs="Arial"/>
                <w:b/>
                <w:bCs/>
                <w:color w:val="000000"/>
                <w:sz w:val="16"/>
                <w:szCs w:val="16"/>
                <w:lang w:val="en-GB" w:eastAsia="en-GB"/>
              </w:rPr>
            </w:pPr>
            <w:r w:rsidRPr="00994267">
              <w:rPr>
                <w:rFonts w:eastAsia="Times New Roman" w:cs="Arial"/>
                <w:b/>
                <w:bCs/>
                <w:color w:val="000000"/>
                <w:sz w:val="16"/>
                <w:szCs w:val="16"/>
                <w:lang w:val="en-GB" w:eastAsia="en-GB"/>
              </w:rPr>
              <w:t xml:space="preserve"> 26,547 </w:t>
            </w:r>
          </w:p>
        </w:tc>
      </w:tr>
    </w:tbl>
    <w:p w14:paraId="5C71CF11" w14:textId="77777777" w:rsidR="00CA6653" w:rsidRPr="003516A4" w:rsidRDefault="00CA6653" w:rsidP="00CA6653">
      <w:pPr>
        <w:pStyle w:val="Normal0"/>
        <w:spacing w:after="160"/>
        <w:rPr>
          <w:rFonts w:ascii="Verdana" w:hAnsi="Verdana"/>
          <w:sz w:val="22"/>
          <w:szCs w:val="22"/>
          <w:highlight w:val="yellow"/>
          <w:lang w:val="en-GB"/>
        </w:rPr>
        <w:sectPr w:rsidR="00CA6653" w:rsidRPr="003516A4" w:rsidSect="00763D21">
          <w:type w:val="nextColumn"/>
          <w:pgSz w:w="16840" w:h="11900" w:orient="landscape"/>
          <w:pgMar w:top="1440" w:right="1440" w:bottom="1440" w:left="1440" w:header="709" w:footer="709" w:gutter="0"/>
          <w:cols w:space="708"/>
          <w:docGrid w:linePitch="360"/>
        </w:sectPr>
      </w:pPr>
    </w:p>
    <w:p w14:paraId="1521A528" w14:textId="77777777" w:rsidR="00CA6653" w:rsidRPr="00A409CF" w:rsidRDefault="00CA6653" w:rsidP="00A31A9E">
      <w:pPr>
        <w:pStyle w:val="Heading1"/>
      </w:pPr>
      <w:bookmarkStart w:id="26" w:name="_Toc75122779"/>
      <w:r w:rsidRPr="00A409CF">
        <w:t>Note 11 - Property, Plant and Equipment</w:t>
      </w:r>
      <w:bookmarkEnd w:id="26"/>
      <w:r w:rsidRPr="00A409CF">
        <w:t xml:space="preserve"> </w:t>
      </w:r>
    </w:p>
    <w:p w14:paraId="46C9AB2D" w14:textId="77777777" w:rsidR="00CA6653" w:rsidRPr="00A409CF" w:rsidRDefault="00223F80" w:rsidP="00D91109">
      <w:pPr>
        <w:pStyle w:val="Normal0"/>
        <w:spacing w:after="160" w:line="259" w:lineRule="auto"/>
        <w:jc w:val="both"/>
        <w:rPr>
          <w:rFonts w:ascii="Verdana" w:eastAsia="Verdana" w:hAnsi="Verdana" w:cs="Verdana"/>
          <w:sz w:val="22"/>
          <w:szCs w:val="22"/>
          <w:lang w:val="en-GB"/>
        </w:rPr>
      </w:pPr>
      <w:r w:rsidRPr="00A409CF">
        <w:rPr>
          <w:rFonts w:ascii="Verdana" w:eastAsia="Verdana" w:hAnsi="Verdana" w:cs="Verdana"/>
          <w:sz w:val="22"/>
          <w:szCs w:val="22"/>
          <w:lang w:val="en-GB"/>
        </w:rPr>
        <w:t>The balance sheet shows assets at fair value by consider</w:t>
      </w:r>
      <w:r w:rsidR="006B744E" w:rsidRPr="00A409CF">
        <w:rPr>
          <w:rFonts w:ascii="Verdana" w:eastAsia="Verdana" w:hAnsi="Verdana" w:cs="Verdana"/>
          <w:sz w:val="22"/>
          <w:szCs w:val="22"/>
          <w:lang w:val="en-GB"/>
        </w:rPr>
        <w:t>ing</w:t>
      </w:r>
      <w:r w:rsidRPr="00A409CF">
        <w:rPr>
          <w:rFonts w:ascii="Verdana" w:eastAsia="Verdana" w:hAnsi="Verdana" w:cs="Verdana"/>
          <w:sz w:val="22"/>
          <w:szCs w:val="22"/>
          <w:lang w:val="en-GB"/>
        </w:rPr>
        <w:t xml:space="preserve"> their initial valuation plus additions for capital expenditure in the year, revaluation adjustments less disposals and depreciation. This value is shown for the purposes of capital accounting requirements and does not purport to represent the market values of the assets. </w:t>
      </w:r>
      <w:r w:rsidR="00CA6653" w:rsidRPr="00A409CF">
        <w:rPr>
          <w:rFonts w:ascii="Verdana" w:eastAsia="Verdana" w:hAnsi="Verdana" w:cs="Verdana"/>
          <w:sz w:val="22"/>
          <w:szCs w:val="22"/>
          <w:lang w:val="en-GB"/>
        </w:rPr>
        <w:t>Changes in Non-Current Assets are summarised below:</w:t>
      </w:r>
    </w:p>
    <w:tbl>
      <w:tblPr>
        <w:tblW w:w="14188" w:type="dxa"/>
        <w:jc w:val="center"/>
        <w:tblLook w:val="04A0" w:firstRow="1" w:lastRow="0" w:firstColumn="1" w:lastColumn="0" w:noHBand="0" w:noVBand="1"/>
      </w:tblPr>
      <w:tblGrid>
        <w:gridCol w:w="4484"/>
        <w:gridCol w:w="336"/>
        <w:gridCol w:w="1188"/>
        <w:gridCol w:w="1936"/>
        <w:gridCol w:w="2082"/>
        <w:gridCol w:w="2309"/>
        <w:gridCol w:w="1853"/>
      </w:tblGrid>
      <w:tr w:rsidR="00A409CF" w:rsidRPr="00A409CF" w14:paraId="73D47CAC" w14:textId="77777777" w:rsidTr="0034689D">
        <w:trPr>
          <w:trHeight w:val="169"/>
          <w:jc w:val="center"/>
        </w:trPr>
        <w:tc>
          <w:tcPr>
            <w:tcW w:w="4484" w:type="dxa"/>
            <w:tcBorders>
              <w:top w:val="nil"/>
              <w:left w:val="nil"/>
              <w:bottom w:val="nil"/>
              <w:right w:val="nil"/>
            </w:tcBorders>
            <w:shd w:val="clear" w:color="auto" w:fill="auto"/>
            <w:vAlign w:val="center"/>
            <w:hideMark/>
          </w:tcPr>
          <w:p w14:paraId="199B20BE" w14:textId="77777777" w:rsidR="00A409CF" w:rsidRPr="00A409CF" w:rsidRDefault="00A409CF" w:rsidP="00A409CF">
            <w:pPr>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Movements to 31 March 2021</w:t>
            </w:r>
          </w:p>
        </w:tc>
        <w:tc>
          <w:tcPr>
            <w:tcW w:w="1524" w:type="dxa"/>
            <w:gridSpan w:val="2"/>
            <w:tcBorders>
              <w:top w:val="nil"/>
              <w:left w:val="nil"/>
              <w:bottom w:val="nil"/>
              <w:right w:val="nil"/>
            </w:tcBorders>
            <w:shd w:val="clear" w:color="auto" w:fill="auto"/>
            <w:vAlign w:val="center"/>
            <w:hideMark/>
          </w:tcPr>
          <w:p w14:paraId="6F43E48C" w14:textId="77777777" w:rsidR="00A409CF" w:rsidRPr="00A409CF" w:rsidRDefault="00A409CF" w:rsidP="00A409CF">
            <w:pPr>
              <w:jc w:val="center"/>
              <w:rPr>
                <w:rFonts w:eastAsia="Times New Roman" w:cs="Arial"/>
                <w:color w:val="000000"/>
                <w:sz w:val="2"/>
                <w:szCs w:val="2"/>
                <w:lang w:val="en-GB" w:eastAsia="en-GB"/>
              </w:rPr>
            </w:pPr>
            <w:r w:rsidRPr="00A409CF">
              <w:rPr>
                <w:rFonts w:eastAsia="Times New Roman" w:cs="Arial"/>
                <w:color w:val="000000"/>
                <w:sz w:val="2"/>
                <w:szCs w:val="2"/>
                <w:lang w:val="en-GB" w:eastAsia="en-GB"/>
              </w:rPr>
              <w:t xml:space="preserve"> </w:t>
            </w:r>
          </w:p>
        </w:tc>
        <w:tc>
          <w:tcPr>
            <w:tcW w:w="1936" w:type="dxa"/>
            <w:tcBorders>
              <w:top w:val="nil"/>
              <w:left w:val="nil"/>
              <w:bottom w:val="nil"/>
              <w:right w:val="nil"/>
            </w:tcBorders>
            <w:shd w:val="clear" w:color="auto" w:fill="auto"/>
            <w:vAlign w:val="center"/>
            <w:hideMark/>
          </w:tcPr>
          <w:p w14:paraId="1AA3D2A9" w14:textId="77777777" w:rsidR="00A409CF" w:rsidRPr="00A409CF" w:rsidRDefault="00A409CF" w:rsidP="00A409CF">
            <w:pPr>
              <w:jc w:val="center"/>
              <w:rPr>
                <w:rFonts w:eastAsia="Times New Roman" w:cs="Arial"/>
                <w:color w:val="000000"/>
                <w:sz w:val="2"/>
                <w:szCs w:val="2"/>
                <w:lang w:val="en-GB" w:eastAsia="en-GB"/>
              </w:rPr>
            </w:pPr>
            <w:r w:rsidRPr="00A409CF">
              <w:rPr>
                <w:rFonts w:eastAsia="Times New Roman" w:cs="Arial"/>
                <w:color w:val="000000"/>
                <w:sz w:val="2"/>
                <w:szCs w:val="2"/>
                <w:lang w:val="en-GB" w:eastAsia="en-GB"/>
              </w:rPr>
              <w:t xml:space="preserve"> </w:t>
            </w:r>
          </w:p>
        </w:tc>
        <w:tc>
          <w:tcPr>
            <w:tcW w:w="2082" w:type="dxa"/>
            <w:tcBorders>
              <w:top w:val="nil"/>
              <w:left w:val="nil"/>
              <w:bottom w:val="nil"/>
              <w:right w:val="nil"/>
            </w:tcBorders>
            <w:shd w:val="clear" w:color="auto" w:fill="auto"/>
            <w:vAlign w:val="center"/>
            <w:hideMark/>
          </w:tcPr>
          <w:p w14:paraId="19D5645B" w14:textId="77777777" w:rsidR="00A409CF" w:rsidRPr="00A409CF" w:rsidRDefault="00A409CF" w:rsidP="00A409CF">
            <w:pPr>
              <w:jc w:val="center"/>
              <w:rPr>
                <w:rFonts w:eastAsia="Times New Roman" w:cs="Arial"/>
                <w:color w:val="000000"/>
                <w:sz w:val="2"/>
                <w:szCs w:val="2"/>
                <w:lang w:val="en-GB" w:eastAsia="en-GB"/>
              </w:rPr>
            </w:pPr>
            <w:r w:rsidRPr="00A409CF">
              <w:rPr>
                <w:rFonts w:eastAsia="Times New Roman" w:cs="Arial"/>
                <w:color w:val="000000"/>
                <w:sz w:val="2"/>
                <w:szCs w:val="2"/>
                <w:lang w:val="en-GB" w:eastAsia="en-GB"/>
              </w:rPr>
              <w:t xml:space="preserve"> </w:t>
            </w:r>
          </w:p>
        </w:tc>
        <w:tc>
          <w:tcPr>
            <w:tcW w:w="2309" w:type="dxa"/>
            <w:tcBorders>
              <w:top w:val="nil"/>
              <w:left w:val="nil"/>
              <w:bottom w:val="nil"/>
              <w:right w:val="nil"/>
            </w:tcBorders>
            <w:shd w:val="clear" w:color="auto" w:fill="auto"/>
            <w:vAlign w:val="center"/>
            <w:hideMark/>
          </w:tcPr>
          <w:p w14:paraId="2A77AB0F" w14:textId="77777777" w:rsidR="00A409CF" w:rsidRPr="00A409CF" w:rsidRDefault="00A409CF" w:rsidP="00A409CF">
            <w:pPr>
              <w:jc w:val="center"/>
              <w:rPr>
                <w:rFonts w:eastAsia="Times New Roman" w:cs="Arial"/>
                <w:color w:val="000000"/>
                <w:sz w:val="2"/>
                <w:szCs w:val="2"/>
                <w:lang w:val="en-GB" w:eastAsia="en-GB"/>
              </w:rPr>
            </w:pPr>
            <w:r w:rsidRPr="00A409CF">
              <w:rPr>
                <w:rFonts w:eastAsia="Times New Roman" w:cs="Arial"/>
                <w:color w:val="000000"/>
                <w:sz w:val="2"/>
                <w:szCs w:val="2"/>
                <w:lang w:val="en-GB" w:eastAsia="en-GB"/>
              </w:rPr>
              <w:t xml:space="preserve"> </w:t>
            </w:r>
          </w:p>
        </w:tc>
        <w:tc>
          <w:tcPr>
            <w:tcW w:w="1853" w:type="dxa"/>
            <w:tcBorders>
              <w:top w:val="nil"/>
              <w:left w:val="nil"/>
              <w:bottom w:val="nil"/>
              <w:right w:val="nil"/>
            </w:tcBorders>
            <w:shd w:val="clear" w:color="auto" w:fill="auto"/>
            <w:vAlign w:val="center"/>
            <w:hideMark/>
          </w:tcPr>
          <w:p w14:paraId="4BEA3A89" w14:textId="77777777" w:rsidR="00A409CF" w:rsidRPr="00A409CF" w:rsidRDefault="00A409CF" w:rsidP="00A409CF">
            <w:pPr>
              <w:jc w:val="center"/>
              <w:rPr>
                <w:rFonts w:eastAsia="Times New Roman" w:cs="Arial"/>
                <w:b/>
                <w:bCs/>
                <w:color w:val="000000"/>
                <w:sz w:val="2"/>
                <w:szCs w:val="2"/>
                <w:lang w:val="en-GB" w:eastAsia="en-GB"/>
              </w:rPr>
            </w:pPr>
            <w:r w:rsidRPr="00A409CF">
              <w:rPr>
                <w:rFonts w:eastAsia="Times New Roman" w:cs="Arial"/>
                <w:b/>
                <w:bCs/>
                <w:color w:val="000000"/>
                <w:sz w:val="2"/>
                <w:szCs w:val="2"/>
                <w:lang w:val="en-GB" w:eastAsia="en-GB"/>
              </w:rPr>
              <w:t xml:space="preserve"> </w:t>
            </w:r>
          </w:p>
        </w:tc>
      </w:tr>
      <w:tr w:rsidR="00A409CF" w:rsidRPr="00A409CF" w14:paraId="76D9CBCD" w14:textId="77777777" w:rsidTr="00ED7D71">
        <w:trPr>
          <w:trHeight w:val="428"/>
          <w:jc w:val="center"/>
        </w:trPr>
        <w:tc>
          <w:tcPr>
            <w:tcW w:w="4820" w:type="dxa"/>
            <w:gridSpan w:val="2"/>
            <w:tcBorders>
              <w:top w:val="nil"/>
              <w:left w:val="nil"/>
              <w:bottom w:val="nil"/>
              <w:right w:val="nil"/>
            </w:tcBorders>
            <w:shd w:val="clear" w:color="auto" w:fill="auto"/>
            <w:vAlign w:val="center"/>
            <w:hideMark/>
          </w:tcPr>
          <w:p w14:paraId="39BFC9B2" w14:textId="77777777" w:rsidR="00A409CF" w:rsidRPr="00A409CF" w:rsidRDefault="00A409CF" w:rsidP="00A409CF">
            <w:pPr>
              <w:jc w:val="center"/>
              <w:rPr>
                <w:rFonts w:eastAsia="Times New Roman" w:cs="Arial"/>
                <w:b/>
                <w:bCs/>
                <w:color w:val="000000"/>
                <w:sz w:val="2"/>
                <w:szCs w:val="2"/>
                <w:lang w:val="en-GB" w:eastAsia="en-GB"/>
              </w:rPr>
            </w:pPr>
          </w:p>
        </w:tc>
        <w:tc>
          <w:tcPr>
            <w:tcW w:w="1188" w:type="dxa"/>
            <w:tcBorders>
              <w:top w:val="nil"/>
              <w:left w:val="nil"/>
              <w:bottom w:val="nil"/>
              <w:right w:val="nil"/>
            </w:tcBorders>
            <w:shd w:val="clear" w:color="auto" w:fill="auto"/>
            <w:vAlign w:val="bottom"/>
            <w:hideMark/>
          </w:tcPr>
          <w:p w14:paraId="0DA98B35" w14:textId="77777777" w:rsidR="00A409CF" w:rsidRPr="00A409CF" w:rsidRDefault="00A409CF" w:rsidP="00A409CF">
            <w:pPr>
              <w:jc w:val="center"/>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Land  and Buildings</w:t>
            </w:r>
          </w:p>
        </w:tc>
        <w:tc>
          <w:tcPr>
            <w:tcW w:w="1936" w:type="dxa"/>
            <w:tcBorders>
              <w:top w:val="nil"/>
              <w:left w:val="nil"/>
              <w:bottom w:val="nil"/>
              <w:right w:val="nil"/>
            </w:tcBorders>
            <w:shd w:val="clear" w:color="auto" w:fill="auto"/>
            <w:vAlign w:val="bottom"/>
            <w:hideMark/>
          </w:tcPr>
          <w:p w14:paraId="3C4E260E" w14:textId="77777777" w:rsidR="00A409CF" w:rsidRPr="00A409CF" w:rsidRDefault="00A409CF" w:rsidP="00A409CF">
            <w:pPr>
              <w:jc w:val="center"/>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Vehicles, Plant, Furniture &amp; Equipment</w:t>
            </w:r>
          </w:p>
        </w:tc>
        <w:tc>
          <w:tcPr>
            <w:tcW w:w="2082" w:type="dxa"/>
            <w:tcBorders>
              <w:top w:val="nil"/>
              <w:left w:val="nil"/>
              <w:bottom w:val="nil"/>
              <w:right w:val="nil"/>
            </w:tcBorders>
            <w:shd w:val="clear" w:color="auto" w:fill="auto"/>
            <w:vAlign w:val="bottom"/>
            <w:hideMark/>
          </w:tcPr>
          <w:p w14:paraId="1D16AA99" w14:textId="77777777" w:rsidR="00A409CF" w:rsidRPr="00A409CF" w:rsidRDefault="00A409CF" w:rsidP="00A409CF">
            <w:pPr>
              <w:jc w:val="center"/>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Surplus Assets</w:t>
            </w:r>
          </w:p>
        </w:tc>
        <w:tc>
          <w:tcPr>
            <w:tcW w:w="2309" w:type="dxa"/>
            <w:tcBorders>
              <w:top w:val="nil"/>
              <w:left w:val="nil"/>
              <w:bottom w:val="nil"/>
              <w:right w:val="nil"/>
            </w:tcBorders>
            <w:shd w:val="clear" w:color="auto" w:fill="auto"/>
            <w:vAlign w:val="bottom"/>
            <w:hideMark/>
          </w:tcPr>
          <w:p w14:paraId="099B7C50" w14:textId="77777777" w:rsidR="00A409CF" w:rsidRPr="00A409CF" w:rsidRDefault="00A409CF" w:rsidP="00A409CF">
            <w:pPr>
              <w:jc w:val="center"/>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Assets Under Construction</w:t>
            </w:r>
          </w:p>
        </w:tc>
        <w:tc>
          <w:tcPr>
            <w:tcW w:w="1853" w:type="dxa"/>
            <w:tcBorders>
              <w:top w:val="nil"/>
              <w:left w:val="nil"/>
              <w:bottom w:val="nil"/>
              <w:right w:val="nil"/>
            </w:tcBorders>
            <w:shd w:val="clear" w:color="auto" w:fill="auto"/>
            <w:vAlign w:val="bottom"/>
            <w:hideMark/>
          </w:tcPr>
          <w:p w14:paraId="2CFCBC8A" w14:textId="77777777" w:rsidR="00A409CF" w:rsidRPr="00A409CF" w:rsidRDefault="00A409CF" w:rsidP="00A409CF">
            <w:pPr>
              <w:jc w:val="center"/>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Total Property, Plant and Equipment</w:t>
            </w:r>
          </w:p>
        </w:tc>
      </w:tr>
      <w:tr w:rsidR="00A409CF" w:rsidRPr="00A409CF" w14:paraId="02720A20" w14:textId="77777777" w:rsidTr="00ED7D71">
        <w:trPr>
          <w:trHeight w:val="133"/>
          <w:jc w:val="center"/>
        </w:trPr>
        <w:tc>
          <w:tcPr>
            <w:tcW w:w="4820" w:type="dxa"/>
            <w:gridSpan w:val="2"/>
            <w:tcBorders>
              <w:top w:val="nil"/>
              <w:left w:val="nil"/>
              <w:bottom w:val="single" w:sz="8" w:space="0" w:color="000000"/>
              <w:right w:val="nil"/>
            </w:tcBorders>
            <w:shd w:val="clear" w:color="auto" w:fill="auto"/>
            <w:vAlign w:val="center"/>
            <w:hideMark/>
          </w:tcPr>
          <w:p w14:paraId="1C6C773A" w14:textId="77777777" w:rsidR="00A409CF" w:rsidRPr="00A409CF" w:rsidRDefault="00A409CF" w:rsidP="00A409CF">
            <w:pPr>
              <w:jc w:val="center"/>
              <w:rPr>
                <w:rFonts w:eastAsia="Times New Roman" w:cs="Arial"/>
                <w:color w:val="000000"/>
                <w:sz w:val="2"/>
                <w:szCs w:val="2"/>
                <w:lang w:val="en-GB" w:eastAsia="en-GB"/>
              </w:rPr>
            </w:pPr>
            <w:r w:rsidRPr="00A409CF">
              <w:rPr>
                <w:rFonts w:eastAsia="Times New Roman" w:cs="Arial"/>
                <w:color w:val="000000"/>
                <w:sz w:val="2"/>
                <w:szCs w:val="2"/>
                <w:lang w:val="en-GB" w:eastAsia="en-GB"/>
              </w:rPr>
              <w:t xml:space="preserve"> </w:t>
            </w:r>
          </w:p>
        </w:tc>
        <w:tc>
          <w:tcPr>
            <w:tcW w:w="1188" w:type="dxa"/>
            <w:tcBorders>
              <w:top w:val="nil"/>
              <w:left w:val="nil"/>
              <w:bottom w:val="single" w:sz="8" w:space="0" w:color="000000"/>
              <w:right w:val="nil"/>
            </w:tcBorders>
            <w:shd w:val="clear" w:color="auto" w:fill="auto"/>
            <w:vAlign w:val="center"/>
            <w:hideMark/>
          </w:tcPr>
          <w:p w14:paraId="0826BA60"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£000</w:t>
            </w:r>
          </w:p>
        </w:tc>
        <w:tc>
          <w:tcPr>
            <w:tcW w:w="1936" w:type="dxa"/>
            <w:tcBorders>
              <w:top w:val="nil"/>
              <w:left w:val="nil"/>
              <w:bottom w:val="single" w:sz="8" w:space="0" w:color="000000"/>
              <w:right w:val="nil"/>
            </w:tcBorders>
            <w:shd w:val="clear" w:color="auto" w:fill="auto"/>
            <w:vAlign w:val="center"/>
            <w:hideMark/>
          </w:tcPr>
          <w:p w14:paraId="50C8A13B"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£000</w:t>
            </w:r>
          </w:p>
        </w:tc>
        <w:tc>
          <w:tcPr>
            <w:tcW w:w="2082" w:type="dxa"/>
            <w:tcBorders>
              <w:top w:val="nil"/>
              <w:left w:val="nil"/>
              <w:bottom w:val="single" w:sz="8" w:space="0" w:color="000000"/>
              <w:right w:val="nil"/>
            </w:tcBorders>
            <w:shd w:val="clear" w:color="auto" w:fill="auto"/>
            <w:vAlign w:val="center"/>
            <w:hideMark/>
          </w:tcPr>
          <w:p w14:paraId="3BDE42A7"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£000</w:t>
            </w:r>
          </w:p>
        </w:tc>
        <w:tc>
          <w:tcPr>
            <w:tcW w:w="2309" w:type="dxa"/>
            <w:tcBorders>
              <w:top w:val="nil"/>
              <w:left w:val="nil"/>
              <w:bottom w:val="single" w:sz="8" w:space="0" w:color="000000"/>
              <w:right w:val="nil"/>
            </w:tcBorders>
            <w:shd w:val="clear" w:color="auto" w:fill="auto"/>
            <w:vAlign w:val="center"/>
            <w:hideMark/>
          </w:tcPr>
          <w:p w14:paraId="58AFE1EC"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£000</w:t>
            </w:r>
          </w:p>
        </w:tc>
        <w:tc>
          <w:tcPr>
            <w:tcW w:w="1853" w:type="dxa"/>
            <w:tcBorders>
              <w:top w:val="nil"/>
              <w:left w:val="nil"/>
              <w:bottom w:val="single" w:sz="8" w:space="0" w:color="000000"/>
              <w:right w:val="nil"/>
            </w:tcBorders>
            <w:shd w:val="clear" w:color="auto" w:fill="auto"/>
            <w:vAlign w:val="center"/>
            <w:hideMark/>
          </w:tcPr>
          <w:p w14:paraId="6E7B1218"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£000</w:t>
            </w:r>
          </w:p>
        </w:tc>
      </w:tr>
      <w:tr w:rsidR="00A409CF" w:rsidRPr="00A409CF" w14:paraId="745546BD" w14:textId="77777777" w:rsidTr="00ED7D71">
        <w:trPr>
          <w:trHeight w:val="128"/>
          <w:jc w:val="center"/>
        </w:trPr>
        <w:tc>
          <w:tcPr>
            <w:tcW w:w="4820" w:type="dxa"/>
            <w:gridSpan w:val="2"/>
            <w:tcBorders>
              <w:top w:val="nil"/>
              <w:left w:val="nil"/>
              <w:bottom w:val="nil"/>
              <w:right w:val="nil"/>
            </w:tcBorders>
            <w:shd w:val="clear" w:color="auto" w:fill="auto"/>
            <w:vAlign w:val="center"/>
            <w:hideMark/>
          </w:tcPr>
          <w:p w14:paraId="6BFB1436" w14:textId="77777777" w:rsidR="00A409CF" w:rsidRPr="00A409CF" w:rsidRDefault="00A409CF" w:rsidP="00A409CF">
            <w:pPr>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Cost or Valuation</w:t>
            </w:r>
          </w:p>
        </w:tc>
        <w:tc>
          <w:tcPr>
            <w:tcW w:w="1188" w:type="dxa"/>
            <w:tcBorders>
              <w:top w:val="nil"/>
              <w:left w:val="nil"/>
              <w:bottom w:val="nil"/>
              <w:right w:val="nil"/>
            </w:tcBorders>
            <w:shd w:val="clear" w:color="auto" w:fill="auto"/>
            <w:vAlign w:val="center"/>
            <w:hideMark/>
          </w:tcPr>
          <w:p w14:paraId="1A434A5E" w14:textId="77777777" w:rsidR="00A409CF" w:rsidRPr="00A409CF" w:rsidRDefault="00A409CF" w:rsidP="00A409CF">
            <w:pPr>
              <w:jc w:val="center"/>
              <w:rPr>
                <w:rFonts w:eastAsia="Times New Roman" w:cs="Arial"/>
                <w:color w:val="000000"/>
                <w:sz w:val="2"/>
                <w:szCs w:val="2"/>
                <w:lang w:val="en-GB" w:eastAsia="en-GB"/>
              </w:rPr>
            </w:pPr>
            <w:r w:rsidRPr="00A409CF">
              <w:rPr>
                <w:rFonts w:eastAsia="Times New Roman" w:cs="Arial"/>
                <w:color w:val="000000"/>
                <w:sz w:val="2"/>
                <w:szCs w:val="2"/>
                <w:lang w:val="en-GB" w:eastAsia="en-GB"/>
              </w:rPr>
              <w:t xml:space="preserve"> </w:t>
            </w:r>
          </w:p>
        </w:tc>
        <w:tc>
          <w:tcPr>
            <w:tcW w:w="1936" w:type="dxa"/>
            <w:tcBorders>
              <w:top w:val="nil"/>
              <w:left w:val="nil"/>
              <w:bottom w:val="nil"/>
              <w:right w:val="nil"/>
            </w:tcBorders>
            <w:shd w:val="clear" w:color="auto" w:fill="auto"/>
            <w:vAlign w:val="center"/>
            <w:hideMark/>
          </w:tcPr>
          <w:p w14:paraId="2288AE2D" w14:textId="77777777" w:rsidR="00A409CF" w:rsidRPr="00A409CF" w:rsidRDefault="00A409CF" w:rsidP="00A409CF">
            <w:pPr>
              <w:jc w:val="center"/>
              <w:rPr>
                <w:rFonts w:eastAsia="Times New Roman" w:cs="Arial"/>
                <w:color w:val="000000"/>
                <w:sz w:val="2"/>
                <w:szCs w:val="2"/>
                <w:lang w:val="en-GB" w:eastAsia="en-GB"/>
              </w:rPr>
            </w:pPr>
          </w:p>
        </w:tc>
        <w:tc>
          <w:tcPr>
            <w:tcW w:w="2082" w:type="dxa"/>
            <w:tcBorders>
              <w:top w:val="nil"/>
              <w:left w:val="nil"/>
              <w:bottom w:val="nil"/>
              <w:right w:val="nil"/>
            </w:tcBorders>
            <w:shd w:val="clear" w:color="auto" w:fill="auto"/>
            <w:vAlign w:val="center"/>
            <w:hideMark/>
          </w:tcPr>
          <w:p w14:paraId="708EA666" w14:textId="77777777" w:rsidR="00A409CF" w:rsidRPr="00A409CF" w:rsidRDefault="00A409CF" w:rsidP="00A409CF">
            <w:pPr>
              <w:jc w:val="center"/>
              <w:rPr>
                <w:rFonts w:ascii="Times New Roman" w:eastAsia="Times New Roman" w:hAnsi="Times New Roman" w:cs="Times New Roman"/>
                <w:sz w:val="20"/>
                <w:szCs w:val="20"/>
                <w:lang w:val="en-GB" w:eastAsia="en-GB"/>
              </w:rPr>
            </w:pPr>
          </w:p>
        </w:tc>
        <w:tc>
          <w:tcPr>
            <w:tcW w:w="2309" w:type="dxa"/>
            <w:tcBorders>
              <w:top w:val="nil"/>
              <w:left w:val="nil"/>
              <w:bottom w:val="nil"/>
              <w:right w:val="nil"/>
            </w:tcBorders>
            <w:shd w:val="clear" w:color="auto" w:fill="auto"/>
            <w:vAlign w:val="center"/>
            <w:hideMark/>
          </w:tcPr>
          <w:p w14:paraId="2B927DC8" w14:textId="77777777" w:rsidR="00A409CF" w:rsidRPr="00A409CF" w:rsidRDefault="00A409CF" w:rsidP="00A409CF">
            <w:pPr>
              <w:jc w:val="center"/>
              <w:rPr>
                <w:rFonts w:ascii="Times New Roman" w:eastAsia="Times New Roman" w:hAnsi="Times New Roman" w:cs="Times New Roman"/>
                <w:sz w:val="20"/>
                <w:szCs w:val="20"/>
                <w:lang w:val="en-GB" w:eastAsia="en-GB"/>
              </w:rPr>
            </w:pPr>
          </w:p>
        </w:tc>
        <w:tc>
          <w:tcPr>
            <w:tcW w:w="1853" w:type="dxa"/>
            <w:tcBorders>
              <w:top w:val="nil"/>
              <w:left w:val="nil"/>
              <w:bottom w:val="nil"/>
              <w:right w:val="nil"/>
            </w:tcBorders>
            <w:shd w:val="clear" w:color="auto" w:fill="auto"/>
            <w:vAlign w:val="center"/>
            <w:hideMark/>
          </w:tcPr>
          <w:p w14:paraId="2DF03CB2" w14:textId="77777777" w:rsidR="00A409CF" w:rsidRPr="00A409CF" w:rsidRDefault="00A409CF" w:rsidP="00A409CF">
            <w:pPr>
              <w:jc w:val="center"/>
              <w:rPr>
                <w:rFonts w:ascii="Times New Roman" w:eastAsia="Times New Roman" w:hAnsi="Times New Roman" w:cs="Times New Roman"/>
                <w:sz w:val="20"/>
                <w:szCs w:val="20"/>
                <w:lang w:val="en-GB" w:eastAsia="en-GB"/>
              </w:rPr>
            </w:pPr>
          </w:p>
        </w:tc>
      </w:tr>
      <w:tr w:rsidR="00A409CF" w:rsidRPr="00A409CF" w14:paraId="62B4B6B5" w14:textId="77777777" w:rsidTr="00ED7D71">
        <w:trPr>
          <w:trHeight w:val="128"/>
          <w:jc w:val="center"/>
        </w:trPr>
        <w:tc>
          <w:tcPr>
            <w:tcW w:w="4820" w:type="dxa"/>
            <w:gridSpan w:val="2"/>
            <w:tcBorders>
              <w:top w:val="nil"/>
              <w:left w:val="nil"/>
              <w:bottom w:val="nil"/>
              <w:right w:val="nil"/>
            </w:tcBorders>
            <w:shd w:val="clear" w:color="auto" w:fill="auto"/>
            <w:vAlign w:val="center"/>
            <w:hideMark/>
          </w:tcPr>
          <w:p w14:paraId="0687A4D8" w14:textId="77777777" w:rsidR="00A409CF" w:rsidRPr="00A409CF" w:rsidRDefault="00A409CF" w:rsidP="00A409CF">
            <w:pPr>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at 1 April 2020</w:t>
            </w:r>
          </w:p>
        </w:tc>
        <w:tc>
          <w:tcPr>
            <w:tcW w:w="1188" w:type="dxa"/>
            <w:tcBorders>
              <w:top w:val="nil"/>
              <w:left w:val="nil"/>
              <w:bottom w:val="nil"/>
              <w:right w:val="nil"/>
            </w:tcBorders>
            <w:shd w:val="clear" w:color="auto" w:fill="auto"/>
            <w:vAlign w:val="center"/>
            <w:hideMark/>
          </w:tcPr>
          <w:p w14:paraId="1CCBA067"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87,947  </w:t>
            </w:r>
          </w:p>
        </w:tc>
        <w:tc>
          <w:tcPr>
            <w:tcW w:w="1936" w:type="dxa"/>
            <w:tcBorders>
              <w:top w:val="nil"/>
              <w:left w:val="nil"/>
              <w:bottom w:val="nil"/>
              <w:right w:val="nil"/>
            </w:tcBorders>
            <w:shd w:val="clear" w:color="auto" w:fill="auto"/>
            <w:vAlign w:val="center"/>
            <w:hideMark/>
          </w:tcPr>
          <w:p w14:paraId="4AD55028"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44,135  </w:t>
            </w:r>
          </w:p>
        </w:tc>
        <w:tc>
          <w:tcPr>
            <w:tcW w:w="2082" w:type="dxa"/>
            <w:tcBorders>
              <w:top w:val="nil"/>
              <w:left w:val="nil"/>
              <w:bottom w:val="nil"/>
              <w:right w:val="nil"/>
            </w:tcBorders>
            <w:shd w:val="clear" w:color="auto" w:fill="auto"/>
            <w:vAlign w:val="center"/>
            <w:hideMark/>
          </w:tcPr>
          <w:p w14:paraId="7470E5F8"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20,493  </w:t>
            </w:r>
          </w:p>
        </w:tc>
        <w:tc>
          <w:tcPr>
            <w:tcW w:w="2309" w:type="dxa"/>
            <w:tcBorders>
              <w:top w:val="nil"/>
              <w:left w:val="nil"/>
              <w:bottom w:val="nil"/>
              <w:right w:val="nil"/>
            </w:tcBorders>
            <w:shd w:val="clear" w:color="auto" w:fill="auto"/>
            <w:vAlign w:val="center"/>
            <w:hideMark/>
          </w:tcPr>
          <w:p w14:paraId="2A335A53"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10,585  </w:t>
            </w:r>
          </w:p>
        </w:tc>
        <w:tc>
          <w:tcPr>
            <w:tcW w:w="1853" w:type="dxa"/>
            <w:tcBorders>
              <w:top w:val="nil"/>
              <w:left w:val="nil"/>
              <w:bottom w:val="nil"/>
              <w:right w:val="nil"/>
            </w:tcBorders>
            <w:shd w:val="clear" w:color="auto" w:fill="auto"/>
            <w:vAlign w:val="center"/>
            <w:hideMark/>
          </w:tcPr>
          <w:p w14:paraId="0F1CE61E"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163,160  </w:t>
            </w:r>
          </w:p>
        </w:tc>
      </w:tr>
      <w:tr w:rsidR="00A409CF" w:rsidRPr="00A409CF" w14:paraId="773B7233" w14:textId="77777777" w:rsidTr="00ED7D71">
        <w:trPr>
          <w:trHeight w:val="146"/>
          <w:jc w:val="center"/>
        </w:trPr>
        <w:tc>
          <w:tcPr>
            <w:tcW w:w="4820" w:type="dxa"/>
            <w:gridSpan w:val="2"/>
            <w:tcBorders>
              <w:top w:val="nil"/>
              <w:left w:val="nil"/>
              <w:bottom w:val="nil"/>
              <w:right w:val="nil"/>
            </w:tcBorders>
            <w:shd w:val="clear" w:color="auto" w:fill="auto"/>
            <w:vAlign w:val="center"/>
            <w:hideMark/>
          </w:tcPr>
          <w:p w14:paraId="49D2253B" w14:textId="77777777" w:rsidR="00A409CF" w:rsidRPr="00A409CF" w:rsidRDefault="00A409CF" w:rsidP="00A409CF">
            <w:pPr>
              <w:rPr>
                <w:rFonts w:eastAsia="Times New Roman" w:cs="Arial"/>
                <w:color w:val="000000"/>
                <w:sz w:val="16"/>
                <w:szCs w:val="16"/>
                <w:lang w:val="en-GB" w:eastAsia="en-GB"/>
              </w:rPr>
            </w:pPr>
            <w:r w:rsidRPr="00A409CF">
              <w:rPr>
                <w:rFonts w:eastAsia="Times New Roman" w:cs="Arial"/>
                <w:color w:val="000000"/>
                <w:sz w:val="16"/>
                <w:szCs w:val="16"/>
                <w:lang w:val="en-GB" w:eastAsia="en-GB"/>
              </w:rPr>
              <w:t>Additions</w:t>
            </w:r>
          </w:p>
        </w:tc>
        <w:tc>
          <w:tcPr>
            <w:tcW w:w="1188" w:type="dxa"/>
            <w:tcBorders>
              <w:top w:val="nil"/>
              <w:left w:val="nil"/>
              <w:bottom w:val="nil"/>
              <w:right w:val="nil"/>
            </w:tcBorders>
            <w:shd w:val="clear" w:color="auto" w:fill="auto"/>
            <w:vAlign w:val="center"/>
            <w:hideMark/>
          </w:tcPr>
          <w:p w14:paraId="1DEB1C5B" w14:textId="77777777" w:rsidR="00A409CF" w:rsidRPr="00A409CF" w:rsidRDefault="00A409CF" w:rsidP="00A409CF">
            <w:pPr>
              <w:rPr>
                <w:rFonts w:eastAsia="Times New Roman" w:cs="Arial"/>
                <w:color w:val="000000"/>
                <w:sz w:val="16"/>
                <w:szCs w:val="16"/>
                <w:lang w:val="en-GB" w:eastAsia="en-GB"/>
              </w:rPr>
            </w:pPr>
          </w:p>
        </w:tc>
        <w:tc>
          <w:tcPr>
            <w:tcW w:w="1936" w:type="dxa"/>
            <w:tcBorders>
              <w:top w:val="nil"/>
              <w:left w:val="nil"/>
              <w:bottom w:val="nil"/>
              <w:right w:val="nil"/>
            </w:tcBorders>
            <w:shd w:val="clear" w:color="auto" w:fill="auto"/>
            <w:vAlign w:val="center"/>
            <w:hideMark/>
          </w:tcPr>
          <w:p w14:paraId="5FAB9351" w14:textId="77777777" w:rsidR="00A409CF" w:rsidRPr="00A409CF" w:rsidRDefault="00A409CF" w:rsidP="00A409CF">
            <w:pPr>
              <w:jc w:val="right"/>
              <w:rPr>
                <w:rFonts w:eastAsia="Times New Roman" w:cs="Arial"/>
                <w:color w:val="000000"/>
                <w:sz w:val="16"/>
                <w:szCs w:val="16"/>
                <w:lang w:val="en-GB" w:eastAsia="en-GB"/>
              </w:rPr>
            </w:pPr>
            <w:r w:rsidRPr="00A409CF">
              <w:rPr>
                <w:rFonts w:eastAsia="Times New Roman" w:cs="Arial"/>
                <w:color w:val="000000"/>
                <w:sz w:val="16"/>
                <w:szCs w:val="16"/>
                <w:lang w:val="en-GB" w:eastAsia="en-GB"/>
              </w:rPr>
              <w:t xml:space="preserve">0  </w:t>
            </w:r>
          </w:p>
        </w:tc>
        <w:tc>
          <w:tcPr>
            <w:tcW w:w="2082" w:type="dxa"/>
            <w:tcBorders>
              <w:top w:val="nil"/>
              <w:left w:val="nil"/>
              <w:bottom w:val="nil"/>
              <w:right w:val="nil"/>
            </w:tcBorders>
            <w:shd w:val="clear" w:color="auto" w:fill="auto"/>
            <w:vAlign w:val="center"/>
            <w:hideMark/>
          </w:tcPr>
          <w:p w14:paraId="543F7679" w14:textId="77777777" w:rsidR="00A409CF" w:rsidRPr="00A409CF" w:rsidRDefault="00A409CF" w:rsidP="00A409CF">
            <w:pPr>
              <w:jc w:val="right"/>
              <w:rPr>
                <w:rFonts w:eastAsia="Times New Roman" w:cs="Arial"/>
                <w:color w:val="000000"/>
                <w:sz w:val="16"/>
                <w:szCs w:val="16"/>
                <w:lang w:val="en-GB" w:eastAsia="en-GB"/>
              </w:rPr>
            </w:pPr>
          </w:p>
        </w:tc>
        <w:tc>
          <w:tcPr>
            <w:tcW w:w="2309" w:type="dxa"/>
            <w:tcBorders>
              <w:top w:val="nil"/>
              <w:left w:val="nil"/>
              <w:bottom w:val="nil"/>
              <w:right w:val="nil"/>
            </w:tcBorders>
            <w:shd w:val="clear" w:color="auto" w:fill="auto"/>
            <w:vAlign w:val="center"/>
            <w:hideMark/>
          </w:tcPr>
          <w:p w14:paraId="21B0D6F3" w14:textId="77777777" w:rsidR="00A409CF" w:rsidRPr="00A409CF" w:rsidRDefault="00A409CF" w:rsidP="00A409CF">
            <w:pPr>
              <w:jc w:val="right"/>
              <w:rPr>
                <w:rFonts w:eastAsia="Times New Roman" w:cs="Arial"/>
                <w:color w:val="000000"/>
                <w:sz w:val="16"/>
                <w:szCs w:val="16"/>
                <w:lang w:val="en-GB" w:eastAsia="en-GB"/>
              </w:rPr>
            </w:pPr>
            <w:r w:rsidRPr="00A409CF">
              <w:rPr>
                <w:rFonts w:eastAsia="Times New Roman" w:cs="Arial"/>
                <w:color w:val="000000"/>
                <w:sz w:val="16"/>
                <w:szCs w:val="16"/>
                <w:lang w:val="en-GB" w:eastAsia="en-GB"/>
              </w:rPr>
              <w:t xml:space="preserve">10,731  </w:t>
            </w:r>
          </w:p>
        </w:tc>
        <w:tc>
          <w:tcPr>
            <w:tcW w:w="1853" w:type="dxa"/>
            <w:tcBorders>
              <w:top w:val="nil"/>
              <w:left w:val="nil"/>
              <w:bottom w:val="nil"/>
              <w:right w:val="nil"/>
            </w:tcBorders>
            <w:shd w:val="clear" w:color="auto" w:fill="auto"/>
            <w:vAlign w:val="center"/>
            <w:hideMark/>
          </w:tcPr>
          <w:p w14:paraId="1832FDB3" w14:textId="77777777" w:rsidR="00A409CF" w:rsidRPr="004C5C6D" w:rsidRDefault="00A409CF" w:rsidP="00A409CF">
            <w:pPr>
              <w:jc w:val="right"/>
              <w:rPr>
                <w:rFonts w:eastAsia="Times New Roman" w:cs="Arial"/>
                <w:bCs/>
                <w:color w:val="000000"/>
                <w:sz w:val="16"/>
                <w:szCs w:val="16"/>
                <w:lang w:val="en-GB" w:eastAsia="en-GB"/>
              </w:rPr>
            </w:pPr>
            <w:r w:rsidRPr="004C5C6D">
              <w:rPr>
                <w:rFonts w:eastAsia="Times New Roman" w:cs="Arial"/>
                <w:bCs/>
                <w:color w:val="000000"/>
                <w:sz w:val="16"/>
                <w:szCs w:val="16"/>
                <w:lang w:val="en-GB" w:eastAsia="en-GB"/>
              </w:rPr>
              <w:t xml:space="preserve">10,731  </w:t>
            </w:r>
          </w:p>
        </w:tc>
      </w:tr>
      <w:tr w:rsidR="00A409CF" w:rsidRPr="00A409CF" w14:paraId="01B9F909" w14:textId="77777777" w:rsidTr="00ED7D71">
        <w:trPr>
          <w:trHeight w:val="286"/>
          <w:jc w:val="center"/>
        </w:trPr>
        <w:tc>
          <w:tcPr>
            <w:tcW w:w="4820" w:type="dxa"/>
            <w:gridSpan w:val="2"/>
            <w:tcBorders>
              <w:top w:val="nil"/>
              <w:left w:val="nil"/>
              <w:bottom w:val="nil"/>
              <w:right w:val="nil"/>
            </w:tcBorders>
            <w:shd w:val="clear" w:color="auto" w:fill="auto"/>
            <w:vAlign w:val="center"/>
            <w:hideMark/>
          </w:tcPr>
          <w:p w14:paraId="3E98F4E1" w14:textId="0AFF557F" w:rsidR="00A409CF" w:rsidRPr="00A409CF" w:rsidRDefault="00A409CF" w:rsidP="00ED7D71">
            <w:pPr>
              <w:rPr>
                <w:rFonts w:eastAsia="Times New Roman" w:cs="Arial"/>
                <w:color w:val="000000"/>
                <w:sz w:val="16"/>
                <w:szCs w:val="16"/>
                <w:lang w:val="en-GB" w:eastAsia="en-GB"/>
              </w:rPr>
            </w:pPr>
            <w:r w:rsidRPr="00A409CF">
              <w:rPr>
                <w:rFonts w:eastAsia="Times New Roman" w:cs="Arial"/>
                <w:color w:val="000000"/>
                <w:sz w:val="16"/>
                <w:szCs w:val="16"/>
                <w:lang w:val="en-GB" w:eastAsia="en-GB"/>
              </w:rPr>
              <w:t>Revaluation in</w:t>
            </w:r>
            <w:r w:rsidR="00ED7D71">
              <w:rPr>
                <w:rFonts w:eastAsia="Times New Roman" w:cs="Arial"/>
                <w:color w:val="000000"/>
                <w:sz w:val="16"/>
                <w:szCs w:val="16"/>
                <w:lang w:val="en-GB" w:eastAsia="en-GB"/>
              </w:rPr>
              <w:t>c</w:t>
            </w:r>
            <w:r w:rsidRPr="00A409CF">
              <w:rPr>
                <w:rFonts w:eastAsia="Times New Roman" w:cs="Arial"/>
                <w:color w:val="000000"/>
                <w:sz w:val="16"/>
                <w:szCs w:val="16"/>
                <w:lang w:val="en-GB" w:eastAsia="en-GB"/>
              </w:rPr>
              <w:t>/(dec</w:t>
            </w:r>
            <w:r w:rsidR="0034689D">
              <w:rPr>
                <w:rFonts w:eastAsia="Times New Roman" w:cs="Arial"/>
                <w:color w:val="000000"/>
                <w:sz w:val="16"/>
                <w:szCs w:val="16"/>
                <w:lang w:val="en-GB" w:eastAsia="en-GB"/>
              </w:rPr>
              <w:t>)</w:t>
            </w:r>
            <w:r w:rsidRPr="00A409CF">
              <w:rPr>
                <w:rFonts w:eastAsia="Times New Roman" w:cs="Arial"/>
                <w:color w:val="000000"/>
                <w:sz w:val="16"/>
                <w:szCs w:val="16"/>
                <w:lang w:val="en-GB" w:eastAsia="en-GB"/>
              </w:rPr>
              <w:t xml:space="preserve"> recognised in Revaluation Reserve</w:t>
            </w:r>
          </w:p>
        </w:tc>
        <w:tc>
          <w:tcPr>
            <w:tcW w:w="1188" w:type="dxa"/>
            <w:tcBorders>
              <w:top w:val="nil"/>
              <w:left w:val="nil"/>
              <w:bottom w:val="nil"/>
              <w:right w:val="nil"/>
            </w:tcBorders>
            <w:shd w:val="clear" w:color="auto" w:fill="auto"/>
            <w:vAlign w:val="center"/>
            <w:hideMark/>
          </w:tcPr>
          <w:p w14:paraId="0CF73A60" w14:textId="77777777" w:rsidR="00A409CF" w:rsidRPr="00A409CF" w:rsidRDefault="00EF0DFA" w:rsidP="00A409CF">
            <w:pPr>
              <w:jc w:val="right"/>
              <w:rPr>
                <w:rFonts w:eastAsia="Times New Roman" w:cs="Arial"/>
                <w:color w:val="000000"/>
                <w:sz w:val="16"/>
                <w:szCs w:val="16"/>
                <w:lang w:val="en-GB" w:eastAsia="en-GB"/>
              </w:rPr>
            </w:pPr>
            <w:r>
              <w:rPr>
                <w:rFonts w:eastAsia="Times New Roman" w:cs="Arial"/>
                <w:color w:val="000000"/>
                <w:sz w:val="16"/>
                <w:szCs w:val="16"/>
                <w:lang w:val="en-GB" w:eastAsia="en-GB"/>
              </w:rPr>
              <w:t>(8</w:t>
            </w:r>
            <w:r w:rsidR="00A409CF" w:rsidRPr="00A409CF">
              <w:rPr>
                <w:rFonts w:eastAsia="Times New Roman" w:cs="Arial"/>
                <w:color w:val="000000"/>
                <w:sz w:val="16"/>
                <w:szCs w:val="16"/>
                <w:lang w:val="en-GB" w:eastAsia="en-GB"/>
              </w:rPr>
              <w:t xml:space="preserve">8) </w:t>
            </w:r>
          </w:p>
        </w:tc>
        <w:tc>
          <w:tcPr>
            <w:tcW w:w="1936" w:type="dxa"/>
            <w:tcBorders>
              <w:top w:val="nil"/>
              <w:left w:val="nil"/>
              <w:bottom w:val="nil"/>
              <w:right w:val="nil"/>
            </w:tcBorders>
            <w:shd w:val="clear" w:color="auto" w:fill="auto"/>
            <w:vAlign w:val="center"/>
            <w:hideMark/>
          </w:tcPr>
          <w:p w14:paraId="0387382A" w14:textId="77777777" w:rsidR="00A409CF" w:rsidRPr="00A409CF" w:rsidRDefault="00A409CF" w:rsidP="00A409CF">
            <w:pPr>
              <w:jc w:val="right"/>
              <w:rPr>
                <w:rFonts w:eastAsia="Times New Roman" w:cs="Arial"/>
                <w:color w:val="000000"/>
                <w:sz w:val="16"/>
                <w:szCs w:val="16"/>
                <w:lang w:val="en-GB" w:eastAsia="en-GB"/>
              </w:rPr>
            </w:pPr>
          </w:p>
        </w:tc>
        <w:tc>
          <w:tcPr>
            <w:tcW w:w="2082" w:type="dxa"/>
            <w:tcBorders>
              <w:top w:val="nil"/>
              <w:left w:val="nil"/>
              <w:bottom w:val="nil"/>
              <w:right w:val="nil"/>
            </w:tcBorders>
            <w:shd w:val="clear" w:color="auto" w:fill="auto"/>
            <w:vAlign w:val="center"/>
            <w:hideMark/>
          </w:tcPr>
          <w:p w14:paraId="75825B14" w14:textId="77777777" w:rsidR="00A409CF" w:rsidRPr="00A409CF" w:rsidRDefault="00A409CF" w:rsidP="00A409CF">
            <w:pPr>
              <w:jc w:val="right"/>
              <w:rPr>
                <w:rFonts w:eastAsia="Times New Roman" w:cs="Arial"/>
                <w:color w:val="000000"/>
                <w:sz w:val="16"/>
                <w:szCs w:val="16"/>
                <w:lang w:val="en-GB" w:eastAsia="en-GB"/>
              </w:rPr>
            </w:pPr>
            <w:r w:rsidRPr="00A409CF">
              <w:rPr>
                <w:rFonts w:eastAsia="Times New Roman" w:cs="Arial"/>
                <w:color w:val="000000"/>
                <w:sz w:val="16"/>
                <w:szCs w:val="16"/>
                <w:lang w:val="en-GB" w:eastAsia="en-GB"/>
              </w:rPr>
              <w:t xml:space="preserve">(184) </w:t>
            </w:r>
          </w:p>
        </w:tc>
        <w:tc>
          <w:tcPr>
            <w:tcW w:w="2309" w:type="dxa"/>
            <w:tcBorders>
              <w:top w:val="nil"/>
              <w:left w:val="nil"/>
              <w:bottom w:val="nil"/>
              <w:right w:val="nil"/>
            </w:tcBorders>
            <w:shd w:val="clear" w:color="auto" w:fill="auto"/>
            <w:vAlign w:val="center"/>
            <w:hideMark/>
          </w:tcPr>
          <w:p w14:paraId="24ECF478" w14:textId="77777777" w:rsidR="00A409CF" w:rsidRPr="00A409CF" w:rsidRDefault="00A409CF" w:rsidP="00A409CF">
            <w:pPr>
              <w:jc w:val="right"/>
              <w:rPr>
                <w:rFonts w:eastAsia="Times New Roman" w:cs="Arial"/>
                <w:color w:val="000000"/>
                <w:sz w:val="16"/>
                <w:szCs w:val="16"/>
                <w:lang w:val="en-GB" w:eastAsia="en-GB"/>
              </w:rPr>
            </w:pPr>
          </w:p>
        </w:tc>
        <w:tc>
          <w:tcPr>
            <w:tcW w:w="1853" w:type="dxa"/>
            <w:tcBorders>
              <w:top w:val="nil"/>
              <w:left w:val="nil"/>
              <w:bottom w:val="nil"/>
              <w:right w:val="nil"/>
            </w:tcBorders>
            <w:shd w:val="clear" w:color="auto" w:fill="auto"/>
            <w:vAlign w:val="center"/>
            <w:hideMark/>
          </w:tcPr>
          <w:p w14:paraId="316B7025" w14:textId="77777777" w:rsidR="00A409CF" w:rsidRPr="004C5C6D" w:rsidRDefault="00EF0DFA" w:rsidP="00A409CF">
            <w:pPr>
              <w:jc w:val="right"/>
              <w:rPr>
                <w:rFonts w:eastAsia="Times New Roman" w:cs="Arial"/>
                <w:bCs/>
                <w:color w:val="000000"/>
                <w:sz w:val="16"/>
                <w:szCs w:val="16"/>
                <w:lang w:val="en-GB" w:eastAsia="en-GB"/>
              </w:rPr>
            </w:pPr>
            <w:r w:rsidRPr="004C5C6D">
              <w:rPr>
                <w:rFonts w:eastAsia="Times New Roman" w:cs="Arial"/>
                <w:bCs/>
                <w:color w:val="000000"/>
                <w:sz w:val="16"/>
                <w:szCs w:val="16"/>
                <w:lang w:val="en-GB" w:eastAsia="en-GB"/>
              </w:rPr>
              <w:t>(27</w:t>
            </w:r>
            <w:r w:rsidR="00A409CF" w:rsidRPr="004C5C6D">
              <w:rPr>
                <w:rFonts w:eastAsia="Times New Roman" w:cs="Arial"/>
                <w:bCs/>
                <w:color w:val="000000"/>
                <w:sz w:val="16"/>
                <w:szCs w:val="16"/>
                <w:lang w:val="en-GB" w:eastAsia="en-GB"/>
              </w:rPr>
              <w:t xml:space="preserve">2) </w:t>
            </w:r>
          </w:p>
        </w:tc>
      </w:tr>
      <w:tr w:rsidR="00A409CF" w:rsidRPr="00A409CF" w14:paraId="062A6311" w14:textId="77777777" w:rsidTr="00ED7D71">
        <w:trPr>
          <w:trHeight w:val="326"/>
          <w:jc w:val="center"/>
        </w:trPr>
        <w:tc>
          <w:tcPr>
            <w:tcW w:w="4820" w:type="dxa"/>
            <w:gridSpan w:val="2"/>
            <w:tcBorders>
              <w:top w:val="nil"/>
              <w:left w:val="nil"/>
              <w:bottom w:val="nil"/>
              <w:right w:val="nil"/>
            </w:tcBorders>
            <w:shd w:val="clear" w:color="auto" w:fill="auto"/>
            <w:vAlign w:val="center"/>
            <w:hideMark/>
          </w:tcPr>
          <w:p w14:paraId="56938D95" w14:textId="77777777" w:rsidR="00A409CF" w:rsidRPr="00A409CF" w:rsidRDefault="00A409CF" w:rsidP="00A409CF">
            <w:pPr>
              <w:rPr>
                <w:rFonts w:eastAsia="Times New Roman" w:cs="Arial"/>
                <w:color w:val="000000"/>
                <w:sz w:val="16"/>
                <w:szCs w:val="16"/>
                <w:lang w:val="en-GB" w:eastAsia="en-GB"/>
              </w:rPr>
            </w:pPr>
            <w:r w:rsidRPr="00A409CF">
              <w:rPr>
                <w:rFonts w:eastAsia="Times New Roman" w:cs="Arial"/>
                <w:color w:val="000000"/>
                <w:sz w:val="16"/>
                <w:szCs w:val="16"/>
                <w:lang w:val="en-GB" w:eastAsia="en-GB"/>
              </w:rPr>
              <w:t>Revaluation increases/(decreases) recognised in the Surplus/Deficit on the Provision of Services</w:t>
            </w:r>
          </w:p>
        </w:tc>
        <w:tc>
          <w:tcPr>
            <w:tcW w:w="1188" w:type="dxa"/>
            <w:tcBorders>
              <w:top w:val="nil"/>
              <w:left w:val="nil"/>
              <w:bottom w:val="nil"/>
              <w:right w:val="nil"/>
            </w:tcBorders>
            <w:shd w:val="clear" w:color="auto" w:fill="auto"/>
            <w:vAlign w:val="center"/>
            <w:hideMark/>
          </w:tcPr>
          <w:p w14:paraId="75AB79A0" w14:textId="77777777" w:rsidR="00A409CF" w:rsidRPr="00A409CF" w:rsidRDefault="00EF0DFA" w:rsidP="00A409CF">
            <w:pPr>
              <w:jc w:val="right"/>
              <w:rPr>
                <w:rFonts w:eastAsia="Times New Roman" w:cs="Arial"/>
                <w:color w:val="000000"/>
                <w:sz w:val="16"/>
                <w:szCs w:val="16"/>
                <w:lang w:val="en-GB" w:eastAsia="en-GB"/>
              </w:rPr>
            </w:pPr>
            <w:r>
              <w:rPr>
                <w:rFonts w:eastAsia="Times New Roman" w:cs="Arial"/>
                <w:color w:val="000000"/>
                <w:sz w:val="16"/>
                <w:szCs w:val="16"/>
                <w:lang w:val="en-GB" w:eastAsia="en-GB"/>
              </w:rPr>
              <w:t>130</w:t>
            </w:r>
            <w:r w:rsidR="00A409CF" w:rsidRPr="00A409CF">
              <w:rPr>
                <w:rFonts w:eastAsia="Times New Roman" w:cs="Arial"/>
                <w:color w:val="000000"/>
                <w:sz w:val="16"/>
                <w:szCs w:val="16"/>
                <w:lang w:val="en-GB" w:eastAsia="en-GB"/>
              </w:rPr>
              <w:t xml:space="preserve">  </w:t>
            </w:r>
          </w:p>
        </w:tc>
        <w:tc>
          <w:tcPr>
            <w:tcW w:w="1936" w:type="dxa"/>
            <w:tcBorders>
              <w:top w:val="nil"/>
              <w:left w:val="nil"/>
              <w:bottom w:val="nil"/>
              <w:right w:val="nil"/>
            </w:tcBorders>
            <w:shd w:val="clear" w:color="auto" w:fill="auto"/>
            <w:vAlign w:val="center"/>
            <w:hideMark/>
          </w:tcPr>
          <w:p w14:paraId="4E65E091" w14:textId="77777777" w:rsidR="00A409CF" w:rsidRPr="00A409CF" w:rsidRDefault="00A409CF" w:rsidP="00A409CF">
            <w:pPr>
              <w:jc w:val="right"/>
              <w:rPr>
                <w:rFonts w:eastAsia="Times New Roman" w:cs="Arial"/>
                <w:color w:val="000000"/>
                <w:sz w:val="16"/>
                <w:szCs w:val="16"/>
                <w:lang w:val="en-GB" w:eastAsia="en-GB"/>
              </w:rPr>
            </w:pPr>
          </w:p>
        </w:tc>
        <w:tc>
          <w:tcPr>
            <w:tcW w:w="2082" w:type="dxa"/>
            <w:tcBorders>
              <w:top w:val="nil"/>
              <w:left w:val="nil"/>
              <w:bottom w:val="nil"/>
              <w:right w:val="nil"/>
            </w:tcBorders>
            <w:shd w:val="clear" w:color="auto" w:fill="auto"/>
            <w:vAlign w:val="center"/>
            <w:hideMark/>
          </w:tcPr>
          <w:p w14:paraId="3564F4D1" w14:textId="77777777" w:rsidR="00A409CF" w:rsidRPr="00A409CF" w:rsidRDefault="00A409CF" w:rsidP="00A409CF">
            <w:pPr>
              <w:jc w:val="right"/>
              <w:rPr>
                <w:rFonts w:eastAsia="Times New Roman" w:cs="Arial"/>
                <w:color w:val="000000"/>
                <w:sz w:val="16"/>
                <w:szCs w:val="16"/>
                <w:lang w:val="en-GB" w:eastAsia="en-GB"/>
              </w:rPr>
            </w:pPr>
            <w:r w:rsidRPr="00A409CF">
              <w:rPr>
                <w:rFonts w:eastAsia="Times New Roman" w:cs="Arial"/>
                <w:color w:val="000000"/>
                <w:sz w:val="16"/>
                <w:szCs w:val="16"/>
                <w:lang w:val="en-GB" w:eastAsia="en-GB"/>
              </w:rPr>
              <w:t xml:space="preserve">(2,297) </w:t>
            </w:r>
          </w:p>
        </w:tc>
        <w:tc>
          <w:tcPr>
            <w:tcW w:w="2309" w:type="dxa"/>
            <w:tcBorders>
              <w:top w:val="nil"/>
              <w:left w:val="nil"/>
              <w:bottom w:val="nil"/>
              <w:right w:val="nil"/>
            </w:tcBorders>
            <w:shd w:val="clear" w:color="auto" w:fill="auto"/>
            <w:vAlign w:val="center"/>
            <w:hideMark/>
          </w:tcPr>
          <w:p w14:paraId="7D10BD1B" w14:textId="77777777" w:rsidR="00A409CF" w:rsidRPr="00A409CF" w:rsidRDefault="00A409CF" w:rsidP="00A409CF">
            <w:pPr>
              <w:jc w:val="right"/>
              <w:rPr>
                <w:rFonts w:eastAsia="Times New Roman" w:cs="Arial"/>
                <w:color w:val="000000"/>
                <w:sz w:val="16"/>
                <w:szCs w:val="16"/>
                <w:lang w:val="en-GB" w:eastAsia="en-GB"/>
              </w:rPr>
            </w:pPr>
          </w:p>
        </w:tc>
        <w:tc>
          <w:tcPr>
            <w:tcW w:w="1853" w:type="dxa"/>
            <w:tcBorders>
              <w:top w:val="nil"/>
              <w:left w:val="nil"/>
              <w:bottom w:val="nil"/>
              <w:right w:val="nil"/>
            </w:tcBorders>
            <w:shd w:val="clear" w:color="auto" w:fill="auto"/>
            <w:vAlign w:val="center"/>
            <w:hideMark/>
          </w:tcPr>
          <w:p w14:paraId="0633A415" w14:textId="77777777" w:rsidR="00A409CF" w:rsidRPr="004C5C6D" w:rsidRDefault="00EF0DFA" w:rsidP="00A409CF">
            <w:pPr>
              <w:jc w:val="right"/>
              <w:rPr>
                <w:rFonts w:eastAsia="Times New Roman" w:cs="Arial"/>
                <w:bCs/>
                <w:color w:val="000000"/>
                <w:sz w:val="16"/>
                <w:szCs w:val="16"/>
                <w:lang w:val="en-GB" w:eastAsia="en-GB"/>
              </w:rPr>
            </w:pPr>
            <w:r w:rsidRPr="004C5C6D">
              <w:rPr>
                <w:rFonts w:eastAsia="Times New Roman" w:cs="Arial"/>
                <w:bCs/>
                <w:color w:val="000000"/>
                <w:sz w:val="16"/>
                <w:szCs w:val="16"/>
                <w:lang w:val="en-GB" w:eastAsia="en-GB"/>
              </w:rPr>
              <w:t>(2,167</w:t>
            </w:r>
            <w:r w:rsidR="00A409CF" w:rsidRPr="004C5C6D">
              <w:rPr>
                <w:rFonts w:eastAsia="Times New Roman" w:cs="Arial"/>
                <w:bCs/>
                <w:color w:val="000000"/>
                <w:sz w:val="16"/>
                <w:szCs w:val="16"/>
                <w:lang w:val="en-GB" w:eastAsia="en-GB"/>
              </w:rPr>
              <w:t xml:space="preserve">) </w:t>
            </w:r>
          </w:p>
        </w:tc>
      </w:tr>
      <w:tr w:rsidR="00A409CF" w:rsidRPr="00A409CF" w14:paraId="0961F1EE" w14:textId="77777777" w:rsidTr="00ED7D71">
        <w:trPr>
          <w:trHeight w:val="227"/>
          <w:jc w:val="center"/>
        </w:trPr>
        <w:tc>
          <w:tcPr>
            <w:tcW w:w="4820" w:type="dxa"/>
            <w:gridSpan w:val="2"/>
            <w:tcBorders>
              <w:top w:val="nil"/>
              <w:left w:val="nil"/>
              <w:bottom w:val="nil"/>
              <w:right w:val="nil"/>
            </w:tcBorders>
            <w:shd w:val="clear" w:color="auto" w:fill="auto"/>
            <w:vAlign w:val="center"/>
            <w:hideMark/>
          </w:tcPr>
          <w:p w14:paraId="232747D0" w14:textId="4CB01B24" w:rsidR="00A409CF" w:rsidRPr="00A409CF" w:rsidRDefault="00A409CF" w:rsidP="00A409CF">
            <w:pPr>
              <w:rPr>
                <w:rFonts w:eastAsia="Times New Roman" w:cs="Arial"/>
                <w:color w:val="000000"/>
                <w:sz w:val="16"/>
                <w:szCs w:val="16"/>
                <w:lang w:val="en-GB" w:eastAsia="en-GB"/>
              </w:rPr>
            </w:pPr>
            <w:r w:rsidRPr="00A409CF">
              <w:rPr>
                <w:rFonts w:eastAsia="Times New Roman" w:cs="Arial"/>
                <w:color w:val="000000"/>
                <w:sz w:val="16"/>
                <w:szCs w:val="16"/>
                <w:lang w:val="en-GB" w:eastAsia="en-GB"/>
              </w:rPr>
              <w:t>De</w:t>
            </w:r>
            <w:r w:rsidR="0065271E">
              <w:rPr>
                <w:rFonts w:eastAsia="Times New Roman" w:cs="Arial"/>
                <w:color w:val="000000"/>
                <w:sz w:val="16"/>
                <w:szCs w:val="16"/>
                <w:lang w:val="en-GB" w:eastAsia="en-GB"/>
              </w:rPr>
              <w:t>-</w:t>
            </w:r>
            <w:r w:rsidRPr="00A409CF">
              <w:rPr>
                <w:rFonts w:eastAsia="Times New Roman" w:cs="Arial"/>
                <w:color w:val="000000"/>
                <w:sz w:val="16"/>
                <w:szCs w:val="16"/>
                <w:lang w:val="en-GB" w:eastAsia="en-GB"/>
              </w:rPr>
              <w:t>recognition – disposals</w:t>
            </w:r>
          </w:p>
        </w:tc>
        <w:tc>
          <w:tcPr>
            <w:tcW w:w="1188" w:type="dxa"/>
            <w:tcBorders>
              <w:top w:val="nil"/>
              <w:left w:val="nil"/>
              <w:bottom w:val="nil"/>
              <w:right w:val="nil"/>
            </w:tcBorders>
            <w:shd w:val="clear" w:color="auto" w:fill="auto"/>
            <w:vAlign w:val="center"/>
            <w:hideMark/>
          </w:tcPr>
          <w:p w14:paraId="34FAB8BA" w14:textId="77777777" w:rsidR="00A409CF" w:rsidRPr="00A409CF" w:rsidRDefault="00A409CF" w:rsidP="00A409CF">
            <w:pPr>
              <w:jc w:val="right"/>
              <w:rPr>
                <w:rFonts w:eastAsia="Times New Roman" w:cs="Arial"/>
                <w:color w:val="000000"/>
                <w:sz w:val="16"/>
                <w:szCs w:val="16"/>
                <w:lang w:val="en-GB" w:eastAsia="en-GB"/>
              </w:rPr>
            </w:pPr>
            <w:r w:rsidRPr="00A409CF">
              <w:rPr>
                <w:rFonts w:eastAsia="Times New Roman" w:cs="Arial"/>
                <w:color w:val="000000"/>
                <w:sz w:val="16"/>
                <w:szCs w:val="16"/>
                <w:lang w:val="en-GB" w:eastAsia="en-GB"/>
              </w:rPr>
              <w:t xml:space="preserve">(2,050) </w:t>
            </w:r>
          </w:p>
        </w:tc>
        <w:tc>
          <w:tcPr>
            <w:tcW w:w="1936" w:type="dxa"/>
            <w:tcBorders>
              <w:top w:val="nil"/>
              <w:left w:val="nil"/>
              <w:bottom w:val="nil"/>
              <w:right w:val="nil"/>
            </w:tcBorders>
            <w:shd w:val="clear" w:color="auto" w:fill="auto"/>
            <w:vAlign w:val="center"/>
            <w:hideMark/>
          </w:tcPr>
          <w:p w14:paraId="118D79F6" w14:textId="77777777" w:rsidR="00A409CF" w:rsidRPr="00A409CF" w:rsidRDefault="00EF0DFA" w:rsidP="00A409CF">
            <w:pPr>
              <w:jc w:val="right"/>
              <w:rPr>
                <w:rFonts w:eastAsia="Times New Roman" w:cs="Arial"/>
                <w:color w:val="000000"/>
                <w:sz w:val="16"/>
                <w:szCs w:val="16"/>
                <w:lang w:val="en-GB" w:eastAsia="en-GB"/>
              </w:rPr>
            </w:pPr>
            <w:r>
              <w:rPr>
                <w:rFonts w:eastAsia="Times New Roman" w:cs="Arial"/>
                <w:color w:val="000000"/>
                <w:sz w:val="16"/>
                <w:szCs w:val="16"/>
                <w:lang w:val="en-GB" w:eastAsia="en-GB"/>
              </w:rPr>
              <w:t>(15,820</w:t>
            </w:r>
            <w:r w:rsidR="00A409CF" w:rsidRPr="00A409CF">
              <w:rPr>
                <w:rFonts w:eastAsia="Times New Roman" w:cs="Arial"/>
                <w:color w:val="000000"/>
                <w:sz w:val="16"/>
                <w:szCs w:val="16"/>
                <w:lang w:val="en-GB" w:eastAsia="en-GB"/>
              </w:rPr>
              <w:t xml:space="preserve">) </w:t>
            </w:r>
          </w:p>
        </w:tc>
        <w:tc>
          <w:tcPr>
            <w:tcW w:w="2082" w:type="dxa"/>
            <w:tcBorders>
              <w:top w:val="nil"/>
              <w:left w:val="nil"/>
              <w:bottom w:val="nil"/>
              <w:right w:val="nil"/>
            </w:tcBorders>
            <w:shd w:val="clear" w:color="auto" w:fill="auto"/>
            <w:vAlign w:val="center"/>
            <w:hideMark/>
          </w:tcPr>
          <w:p w14:paraId="7B8C834B" w14:textId="77777777" w:rsidR="00A409CF" w:rsidRPr="00A409CF" w:rsidRDefault="00A409CF" w:rsidP="00A409CF">
            <w:pPr>
              <w:jc w:val="right"/>
              <w:rPr>
                <w:rFonts w:eastAsia="Times New Roman" w:cs="Arial"/>
                <w:color w:val="000000"/>
                <w:sz w:val="16"/>
                <w:szCs w:val="16"/>
                <w:lang w:val="en-GB" w:eastAsia="en-GB"/>
              </w:rPr>
            </w:pPr>
          </w:p>
        </w:tc>
        <w:tc>
          <w:tcPr>
            <w:tcW w:w="2309" w:type="dxa"/>
            <w:tcBorders>
              <w:top w:val="nil"/>
              <w:left w:val="nil"/>
              <w:bottom w:val="nil"/>
              <w:right w:val="nil"/>
            </w:tcBorders>
            <w:shd w:val="clear" w:color="auto" w:fill="auto"/>
            <w:vAlign w:val="center"/>
            <w:hideMark/>
          </w:tcPr>
          <w:p w14:paraId="5895C589" w14:textId="77777777" w:rsidR="00A409CF" w:rsidRPr="00A409CF" w:rsidRDefault="00A409CF" w:rsidP="00A409CF">
            <w:pPr>
              <w:jc w:val="right"/>
              <w:rPr>
                <w:rFonts w:ascii="Times New Roman" w:eastAsia="Times New Roman" w:hAnsi="Times New Roman" w:cs="Times New Roman"/>
                <w:sz w:val="20"/>
                <w:szCs w:val="20"/>
                <w:lang w:val="en-GB" w:eastAsia="en-GB"/>
              </w:rPr>
            </w:pPr>
          </w:p>
        </w:tc>
        <w:tc>
          <w:tcPr>
            <w:tcW w:w="1853" w:type="dxa"/>
            <w:tcBorders>
              <w:top w:val="nil"/>
              <w:left w:val="nil"/>
              <w:bottom w:val="nil"/>
              <w:right w:val="nil"/>
            </w:tcBorders>
            <w:shd w:val="clear" w:color="auto" w:fill="auto"/>
            <w:vAlign w:val="center"/>
            <w:hideMark/>
          </w:tcPr>
          <w:p w14:paraId="04C80B30" w14:textId="77777777" w:rsidR="00A409CF" w:rsidRPr="004C5C6D" w:rsidRDefault="00EF0DFA" w:rsidP="00A409CF">
            <w:pPr>
              <w:jc w:val="right"/>
              <w:rPr>
                <w:rFonts w:eastAsia="Times New Roman" w:cs="Arial"/>
                <w:bCs/>
                <w:color w:val="000000"/>
                <w:sz w:val="16"/>
                <w:szCs w:val="16"/>
                <w:lang w:val="en-GB" w:eastAsia="en-GB"/>
              </w:rPr>
            </w:pPr>
            <w:r w:rsidRPr="004C5C6D">
              <w:rPr>
                <w:rFonts w:eastAsia="Times New Roman" w:cs="Arial"/>
                <w:bCs/>
                <w:color w:val="000000"/>
                <w:sz w:val="16"/>
                <w:szCs w:val="16"/>
                <w:lang w:val="en-GB" w:eastAsia="en-GB"/>
              </w:rPr>
              <w:t>(17,870</w:t>
            </w:r>
            <w:r w:rsidR="00A409CF" w:rsidRPr="004C5C6D">
              <w:rPr>
                <w:rFonts w:eastAsia="Times New Roman" w:cs="Arial"/>
                <w:bCs/>
                <w:color w:val="000000"/>
                <w:sz w:val="16"/>
                <w:szCs w:val="16"/>
                <w:lang w:val="en-GB" w:eastAsia="en-GB"/>
              </w:rPr>
              <w:t xml:space="preserve">) </w:t>
            </w:r>
          </w:p>
        </w:tc>
      </w:tr>
      <w:tr w:rsidR="00A409CF" w:rsidRPr="00A409CF" w14:paraId="17C06639" w14:textId="77777777" w:rsidTr="00ED7D71">
        <w:trPr>
          <w:trHeight w:val="223"/>
          <w:jc w:val="center"/>
        </w:trPr>
        <w:tc>
          <w:tcPr>
            <w:tcW w:w="4820" w:type="dxa"/>
            <w:gridSpan w:val="2"/>
            <w:tcBorders>
              <w:top w:val="nil"/>
              <w:left w:val="nil"/>
              <w:bottom w:val="nil"/>
              <w:right w:val="nil"/>
            </w:tcBorders>
            <w:shd w:val="clear" w:color="auto" w:fill="auto"/>
            <w:vAlign w:val="center"/>
            <w:hideMark/>
          </w:tcPr>
          <w:p w14:paraId="0D8AE180" w14:textId="77777777" w:rsidR="00A409CF" w:rsidRPr="00A409CF" w:rsidRDefault="00A409CF" w:rsidP="00A409CF">
            <w:pPr>
              <w:rPr>
                <w:rFonts w:eastAsia="Times New Roman" w:cs="Arial"/>
                <w:color w:val="000000"/>
                <w:sz w:val="16"/>
                <w:szCs w:val="16"/>
                <w:lang w:val="en-GB" w:eastAsia="en-GB"/>
              </w:rPr>
            </w:pPr>
            <w:r w:rsidRPr="00A409CF">
              <w:rPr>
                <w:rFonts w:eastAsia="Times New Roman" w:cs="Arial"/>
                <w:color w:val="000000"/>
                <w:sz w:val="16"/>
                <w:szCs w:val="16"/>
                <w:lang w:val="en-GB" w:eastAsia="en-GB"/>
              </w:rPr>
              <w:t>Reclassifications and transfer</w:t>
            </w:r>
          </w:p>
        </w:tc>
        <w:tc>
          <w:tcPr>
            <w:tcW w:w="1188" w:type="dxa"/>
            <w:tcBorders>
              <w:top w:val="nil"/>
              <w:left w:val="nil"/>
              <w:bottom w:val="nil"/>
              <w:right w:val="nil"/>
            </w:tcBorders>
            <w:shd w:val="clear" w:color="auto" w:fill="auto"/>
            <w:vAlign w:val="center"/>
            <w:hideMark/>
          </w:tcPr>
          <w:p w14:paraId="23F99B28" w14:textId="77777777" w:rsidR="00A409CF" w:rsidRPr="00A409CF" w:rsidRDefault="00EF0DFA" w:rsidP="00A409CF">
            <w:pPr>
              <w:jc w:val="right"/>
              <w:rPr>
                <w:rFonts w:eastAsia="Times New Roman" w:cs="Arial"/>
                <w:color w:val="000000"/>
                <w:sz w:val="16"/>
                <w:szCs w:val="16"/>
                <w:lang w:val="en-GB" w:eastAsia="en-GB"/>
              </w:rPr>
            </w:pPr>
            <w:r>
              <w:rPr>
                <w:rFonts w:eastAsia="Times New Roman" w:cs="Arial"/>
                <w:color w:val="000000"/>
                <w:sz w:val="16"/>
                <w:szCs w:val="16"/>
                <w:lang w:val="en-GB" w:eastAsia="en-GB"/>
              </w:rPr>
              <w:t>3,192</w:t>
            </w:r>
            <w:r w:rsidR="00A409CF" w:rsidRPr="00A409CF">
              <w:rPr>
                <w:rFonts w:eastAsia="Times New Roman" w:cs="Arial"/>
                <w:color w:val="000000"/>
                <w:sz w:val="16"/>
                <w:szCs w:val="16"/>
                <w:lang w:val="en-GB" w:eastAsia="en-GB"/>
              </w:rPr>
              <w:t xml:space="preserve">  </w:t>
            </w:r>
          </w:p>
        </w:tc>
        <w:tc>
          <w:tcPr>
            <w:tcW w:w="1936" w:type="dxa"/>
            <w:tcBorders>
              <w:top w:val="nil"/>
              <w:left w:val="nil"/>
              <w:bottom w:val="nil"/>
              <w:right w:val="nil"/>
            </w:tcBorders>
            <w:shd w:val="clear" w:color="auto" w:fill="auto"/>
            <w:vAlign w:val="center"/>
            <w:hideMark/>
          </w:tcPr>
          <w:p w14:paraId="39C21517" w14:textId="77777777" w:rsidR="00A409CF" w:rsidRPr="00A409CF" w:rsidRDefault="00EF0DFA" w:rsidP="00A409CF">
            <w:pPr>
              <w:jc w:val="right"/>
              <w:rPr>
                <w:rFonts w:eastAsia="Times New Roman" w:cs="Arial"/>
                <w:color w:val="000000"/>
                <w:sz w:val="16"/>
                <w:szCs w:val="16"/>
                <w:lang w:val="en-GB" w:eastAsia="en-GB"/>
              </w:rPr>
            </w:pPr>
            <w:r>
              <w:rPr>
                <w:rFonts w:eastAsia="Times New Roman" w:cs="Arial"/>
                <w:color w:val="000000"/>
                <w:sz w:val="16"/>
                <w:szCs w:val="16"/>
                <w:lang w:val="en-GB" w:eastAsia="en-GB"/>
              </w:rPr>
              <w:t>11,255</w:t>
            </w:r>
            <w:r w:rsidR="00A409CF" w:rsidRPr="00A409CF">
              <w:rPr>
                <w:rFonts w:eastAsia="Times New Roman" w:cs="Arial"/>
                <w:color w:val="000000"/>
                <w:sz w:val="16"/>
                <w:szCs w:val="16"/>
                <w:lang w:val="en-GB" w:eastAsia="en-GB"/>
              </w:rPr>
              <w:t xml:space="preserve">  </w:t>
            </w:r>
          </w:p>
        </w:tc>
        <w:tc>
          <w:tcPr>
            <w:tcW w:w="2082" w:type="dxa"/>
            <w:tcBorders>
              <w:top w:val="nil"/>
              <w:left w:val="nil"/>
              <w:bottom w:val="nil"/>
              <w:right w:val="nil"/>
            </w:tcBorders>
            <w:shd w:val="clear" w:color="auto" w:fill="auto"/>
            <w:vAlign w:val="center"/>
            <w:hideMark/>
          </w:tcPr>
          <w:p w14:paraId="65AFD8BD" w14:textId="77777777" w:rsidR="00A409CF" w:rsidRPr="00A409CF" w:rsidRDefault="00A409CF" w:rsidP="00A409CF">
            <w:pPr>
              <w:jc w:val="right"/>
              <w:rPr>
                <w:rFonts w:eastAsia="Times New Roman" w:cs="Arial"/>
                <w:color w:val="000000"/>
                <w:sz w:val="16"/>
                <w:szCs w:val="16"/>
                <w:lang w:val="en-GB" w:eastAsia="en-GB"/>
              </w:rPr>
            </w:pPr>
            <w:r w:rsidRPr="00A409CF">
              <w:rPr>
                <w:rFonts w:eastAsia="Times New Roman" w:cs="Arial"/>
                <w:color w:val="000000"/>
                <w:sz w:val="16"/>
                <w:szCs w:val="16"/>
                <w:lang w:val="en-GB" w:eastAsia="en-GB"/>
              </w:rPr>
              <w:t xml:space="preserve">2,990  </w:t>
            </w:r>
          </w:p>
        </w:tc>
        <w:tc>
          <w:tcPr>
            <w:tcW w:w="2309" w:type="dxa"/>
            <w:tcBorders>
              <w:top w:val="nil"/>
              <w:left w:val="nil"/>
              <w:bottom w:val="nil"/>
              <w:right w:val="nil"/>
            </w:tcBorders>
            <w:shd w:val="clear" w:color="auto" w:fill="auto"/>
            <w:vAlign w:val="center"/>
            <w:hideMark/>
          </w:tcPr>
          <w:p w14:paraId="261AAC25" w14:textId="77777777" w:rsidR="00A409CF" w:rsidRPr="00A409CF" w:rsidRDefault="00A409CF" w:rsidP="00A409CF">
            <w:pPr>
              <w:jc w:val="right"/>
              <w:rPr>
                <w:rFonts w:eastAsia="Times New Roman" w:cs="Arial"/>
                <w:color w:val="000000"/>
                <w:sz w:val="16"/>
                <w:szCs w:val="16"/>
                <w:lang w:val="en-GB" w:eastAsia="en-GB"/>
              </w:rPr>
            </w:pPr>
            <w:r w:rsidRPr="00A409CF">
              <w:rPr>
                <w:rFonts w:eastAsia="Times New Roman" w:cs="Arial"/>
                <w:color w:val="000000"/>
                <w:sz w:val="16"/>
                <w:szCs w:val="16"/>
                <w:lang w:val="en-GB" w:eastAsia="en-GB"/>
              </w:rPr>
              <w:t xml:space="preserve">(17,048) </w:t>
            </w:r>
          </w:p>
        </w:tc>
        <w:tc>
          <w:tcPr>
            <w:tcW w:w="1853" w:type="dxa"/>
            <w:tcBorders>
              <w:top w:val="nil"/>
              <w:left w:val="nil"/>
              <w:bottom w:val="nil"/>
              <w:right w:val="nil"/>
            </w:tcBorders>
            <w:shd w:val="clear" w:color="auto" w:fill="auto"/>
            <w:vAlign w:val="center"/>
            <w:hideMark/>
          </w:tcPr>
          <w:p w14:paraId="684AC6FA" w14:textId="77777777" w:rsidR="00A409CF" w:rsidRPr="004C5C6D" w:rsidRDefault="00EF0DFA" w:rsidP="00A409CF">
            <w:pPr>
              <w:jc w:val="right"/>
              <w:rPr>
                <w:rFonts w:eastAsia="Times New Roman" w:cs="Arial"/>
                <w:bCs/>
                <w:color w:val="000000"/>
                <w:sz w:val="16"/>
                <w:szCs w:val="16"/>
                <w:lang w:val="en-GB" w:eastAsia="en-GB"/>
              </w:rPr>
            </w:pPr>
            <w:r w:rsidRPr="004C5C6D">
              <w:rPr>
                <w:rFonts w:eastAsia="Times New Roman" w:cs="Arial"/>
                <w:bCs/>
                <w:color w:val="000000"/>
                <w:sz w:val="16"/>
                <w:szCs w:val="16"/>
                <w:lang w:val="en-GB" w:eastAsia="en-GB"/>
              </w:rPr>
              <w:t>389</w:t>
            </w:r>
            <w:r w:rsidR="00A409CF" w:rsidRPr="004C5C6D">
              <w:rPr>
                <w:rFonts w:eastAsia="Times New Roman" w:cs="Arial"/>
                <w:bCs/>
                <w:color w:val="000000"/>
                <w:sz w:val="16"/>
                <w:szCs w:val="16"/>
                <w:lang w:val="en-GB" w:eastAsia="en-GB"/>
              </w:rPr>
              <w:t xml:space="preserve">  </w:t>
            </w:r>
          </w:p>
        </w:tc>
      </w:tr>
      <w:tr w:rsidR="00A409CF" w:rsidRPr="00A409CF" w14:paraId="74305616" w14:textId="77777777" w:rsidTr="00ED7D71">
        <w:trPr>
          <w:trHeight w:val="252"/>
          <w:jc w:val="center"/>
        </w:trPr>
        <w:tc>
          <w:tcPr>
            <w:tcW w:w="4820" w:type="dxa"/>
            <w:gridSpan w:val="2"/>
            <w:tcBorders>
              <w:top w:val="nil"/>
              <w:left w:val="nil"/>
              <w:bottom w:val="nil"/>
              <w:right w:val="nil"/>
            </w:tcBorders>
            <w:shd w:val="clear" w:color="auto" w:fill="auto"/>
            <w:vAlign w:val="center"/>
            <w:hideMark/>
          </w:tcPr>
          <w:p w14:paraId="122BB9F7" w14:textId="77777777" w:rsidR="00A409CF" w:rsidRPr="00A409CF" w:rsidRDefault="00A409CF" w:rsidP="00A409CF">
            <w:pPr>
              <w:rPr>
                <w:rFonts w:eastAsia="Times New Roman" w:cs="Arial"/>
                <w:color w:val="000000"/>
                <w:sz w:val="16"/>
                <w:szCs w:val="16"/>
                <w:lang w:val="en-GB" w:eastAsia="en-GB"/>
              </w:rPr>
            </w:pPr>
            <w:r w:rsidRPr="00A409CF">
              <w:rPr>
                <w:rFonts w:eastAsia="Times New Roman" w:cs="Arial"/>
                <w:color w:val="000000"/>
                <w:sz w:val="16"/>
                <w:szCs w:val="16"/>
                <w:lang w:val="en-GB" w:eastAsia="en-GB"/>
              </w:rPr>
              <w:t>Assets reclassified (to)/from Investment Properties</w:t>
            </w:r>
          </w:p>
        </w:tc>
        <w:tc>
          <w:tcPr>
            <w:tcW w:w="1188" w:type="dxa"/>
            <w:tcBorders>
              <w:top w:val="nil"/>
              <w:left w:val="nil"/>
              <w:bottom w:val="nil"/>
              <w:right w:val="nil"/>
            </w:tcBorders>
            <w:shd w:val="clear" w:color="auto" w:fill="auto"/>
            <w:vAlign w:val="center"/>
            <w:hideMark/>
          </w:tcPr>
          <w:p w14:paraId="328A0037" w14:textId="77777777" w:rsidR="00A409CF" w:rsidRPr="00A409CF" w:rsidRDefault="00EF0DFA" w:rsidP="00EF0DFA">
            <w:pPr>
              <w:jc w:val="right"/>
              <w:rPr>
                <w:rFonts w:eastAsia="Times New Roman" w:cs="Arial"/>
                <w:color w:val="000000"/>
                <w:sz w:val="16"/>
                <w:szCs w:val="16"/>
                <w:lang w:val="en-GB" w:eastAsia="en-GB"/>
              </w:rPr>
            </w:pPr>
            <w:r>
              <w:rPr>
                <w:rFonts w:eastAsia="Times New Roman" w:cs="Arial"/>
                <w:color w:val="000000"/>
                <w:sz w:val="16"/>
                <w:szCs w:val="16"/>
                <w:lang w:val="en-GB" w:eastAsia="en-GB"/>
              </w:rPr>
              <w:t>(300)</w:t>
            </w:r>
          </w:p>
        </w:tc>
        <w:tc>
          <w:tcPr>
            <w:tcW w:w="1936" w:type="dxa"/>
            <w:tcBorders>
              <w:top w:val="nil"/>
              <w:left w:val="nil"/>
              <w:bottom w:val="nil"/>
              <w:right w:val="nil"/>
            </w:tcBorders>
            <w:shd w:val="clear" w:color="auto" w:fill="auto"/>
            <w:vAlign w:val="center"/>
            <w:hideMark/>
          </w:tcPr>
          <w:p w14:paraId="7336FC65" w14:textId="77777777" w:rsidR="00A409CF" w:rsidRPr="00A409CF" w:rsidRDefault="00A409CF" w:rsidP="00A409CF">
            <w:pPr>
              <w:jc w:val="right"/>
              <w:rPr>
                <w:rFonts w:ascii="Times New Roman" w:eastAsia="Times New Roman" w:hAnsi="Times New Roman" w:cs="Times New Roman"/>
                <w:sz w:val="20"/>
                <w:szCs w:val="20"/>
                <w:lang w:val="en-GB" w:eastAsia="en-GB"/>
              </w:rPr>
            </w:pPr>
          </w:p>
        </w:tc>
        <w:tc>
          <w:tcPr>
            <w:tcW w:w="2082" w:type="dxa"/>
            <w:tcBorders>
              <w:top w:val="nil"/>
              <w:left w:val="nil"/>
              <w:bottom w:val="nil"/>
              <w:right w:val="nil"/>
            </w:tcBorders>
            <w:shd w:val="clear" w:color="auto" w:fill="auto"/>
            <w:vAlign w:val="center"/>
            <w:hideMark/>
          </w:tcPr>
          <w:p w14:paraId="1F7D944C" w14:textId="77777777" w:rsidR="00A409CF" w:rsidRPr="00A409CF" w:rsidRDefault="00A409CF" w:rsidP="00A409CF">
            <w:pPr>
              <w:jc w:val="right"/>
              <w:rPr>
                <w:rFonts w:eastAsia="Times New Roman" w:cs="Arial"/>
                <w:color w:val="000000"/>
                <w:sz w:val="16"/>
                <w:szCs w:val="16"/>
                <w:lang w:val="en-GB" w:eastAsia="en-GB"/>
              </w:rPr>
            </w:pPr>
            <w:r w:rsidRPr="00A409CF">
              <w:rPr>
                <w:rFonts w:eastAsia="Times New Roman" w:cs="Arial"/>
                <w:color w:val="000000"/>
                <w:sz w:val="16"/>
                <w:szCs w:val="16"/>
                <w:lang w:val="en-GB" w:eastAsia="en-GB"/>
              </w:rPr>
              <w:t xml:space="preserve">(2) </w:t>
            </w:r>
          </w:p>
        </w:tc>
        <w:tc>
          <w:tcPr>
            <w:tcW w:w="2309" w:type="dxa"/>
            <w:tcBorders>
              <w:top w:val="nil"/>
              <w:left w:val="nil"/>
              <w:bottom w:val="nil"/>
              <w:right w:val="nil"/>
            </w:tcBorders>
            <w:shd w:val="clear" w:color="auto" w:fill="auto"/>
            <w:vAlign w:val="center"/>
            <w:hideMark/>
          </w:tcPr>
          <w:p w14:paraId="2FAEE6C6" w14:textId="77777777" w:rsidR="00A409CF" w:rsidRPr="00A409CF" w:rsidRDefault="00A409CF" w:rsidP="00A409CF">
            <w:pPr>
              <w:jc w:val="right"/>
              <w:rPr>
                <w:rFonts w:eastAsia="Times New Roman" w:cs="Arial"/>
                <w:color w:val="000000"/>
                <w:sz w:val="16"/>
                <w:szCs w:val="16"/>
                <w:lang w:val="en-GB" w:eastAsia="en-GB"/>
              </w:rPr>
            </w:pPr>
          </w:p>
        </w:tc>
        <w:tc>
          <w:tcPr>
            <w:tcW w:w="1853" w:type="dxa"/>
            <w:tcBorders>
              <w:top w:val="nil"/>
              <w:left w:val="nil"/>
              <w:bottom w:val="nil"/>
              <w:right w:val="nil"/>
            </w:tcBorders>
            <w:shd w:val="clear" w:color="auto" w:fill="auto"/>
            <w:vAlign w:val="center"/>
            <w:hideMark/>
          </w:tcPr>
          <w:p w14:paraId="63D8187D" w14:textId="77777777" w:rsidR="00A409CF" w:rsidRPr="004C5C6D" w:rsidRDefault="00A409CF" w:rsidP="00A409CF">
            <w:pPr>
              <w:jc w:val="right"/>
              <w:rPr>
                <w:rFonts w:eastAsia="Times New Roman" w:cs="Arial"/>
                <w:bCs/>
                <w:color w:val="000000"/>
                <w:sz w:val="16"/>
                <w:szCs w:val="16"/>
                <w:lang w:val="en-GB" w:eastAsia="en-GB"/>
              </w:rPr>
            </w:pPr>
            <w:r w:rsidRPr="004C5C6D">
              <w:rPr>
                <w:rFonts w:eastAsia="Times New Roman" w:cs="Arial"/>
                <w:bCs/>
                <w:color w:val="000000"/>
                <w:sz w:val="16"/>
                <w:szCs w:val="16"/>
                <w:lang w:val="en-GB" w:eastAsia="en-GB"/>
              </w:rPr>
              <w:t>(</w:t>
            </w:r>
            <w:r w:rsidR="00EF0DFA" w:rsidRPr="004C5C6D">
              <w:rPr>
                <w:rFonts w:eastAsia="Times New Roman" w:cs="Arial"/>
                <w:bCs/>
                <w:color w:val="000000"/>
                <w:sz w:val="16"/>
                <w:szCs w:val="16"/>
                <w:lang w:val="en-GB" w:eastAsia="en-GB"/>
              </w:rPr>
              <w:t>30</w:t>
            </w:r>
            <w:r w:rsidRPr="004C5C6D">
              <w:rPr>
                <w:rFonts w:eastAsia="Times New Roman" w:cs="Arial"/>
                <w:bCs/>
                <w:color w:val="000000"/>
                <w:sz w:val="16"/>
                <w:szCs w:val="16"/>
                <w:lang w:val="en-GB" w:eastAsia="en-GB"/>
              </w:rPr>
              <w:t xml:space="preserve">2) </w:t>
            </w:r>
          </w:p>
        </w:tc>
      </w:tr>
      <w:tr w:rsidR="00A409CF" w:rsidRPr="00A409CF" w14:paraId="4CE4203A" w14:textId="77777777" w:rsidTr="00ED7D71">
        <w:trPr>
          <w:trHeight w:val="252"/>
          <w:jc w:val="center"/>
        </w:trPr>
        <w:tc>
          <w:tcPr>
            <w:tcW w:w="4820" w:type="dxa"/>
            <w:gridSpan w:val="2"/>
            <w:tcBorders>
              <w:top w:val="nil"/>
              <w:left w:val="nil"/>
              <w:bottom w:val="nil"/>
              <w:right w:val="nil"/>
            </w:tcBorders>
            <w:shd w:val="clear" w:color="auto" w:fill="auto"/>
            <w:vAlign w:val="center"/>
            <w:hideMark/>
          </w:tcPr>
          <w:p w14:paraId="7D6392A8" w14:textId="77777777" w:rsidR="00A409CF" w:rsidRPr="00A409CF" w:rsidRDefault="00A409CF" w:rsidP="00A409CF">
            <w:pPr>
              <w:rPr>
                <w:rFonts w:eastAsia="Times New Roman" w:cs="Arial"/>
                <w:color w:val="000000"/>
                <w:sz w:val="16"/>
                <w:szCs w:val="16"/>
                <w:lang w:val="en-GB" w:eastAsia="en-GB"/>
              </w:rPr>
            </w:pPr>
            <w:r w:rsidRPr="00A409CF">
              <w:rPr>
                <w:rFonts w:eastAsia="Times New Roman" w:cs="Arial"/>
                <w:color w:val="000000"/>
                <w:sz w:val="16"/>
                <w:szCs w:val="16"/>
                <w:lang w:val="en-GB" w:eastAsia="en-GB"/>
              </w:rPr>
              <w:t>Assets reclassified (to)/from Held for Sale</w:t>
            </w:r>
          </w:p>
        </w:tc>
        <w:tc>
          <w:tcPr>
            <w:tcW w:w="1188" w:type="dxa"/>
            <w:tcBorders>
              <w:top w:val="nil"/>
              <w:left w:val="nil"/>
              <w:bottom w:val="nil"/>
              <w:right w:val="nil"/>
            </w:tcBorders>
            <w:shd w:val="clear" w:color="auto" w:fill="auto"/>
            <w:vAlign w:val="center"/>
            <w:hideMark/>
          </w:tcPr>
          <w:p w14:paraId="6FFE4338" w14:textId="77777777" w:rsidR="00A409CF" w:rsidRPr="00A409CF" w:rsidRDefault="00A409CF" w:rsidP="00A409CF">
            <w:pPr>
              <w:jc w:val="right"/>
              <w:rPr>
                <w:rFonts w:eastAsia="Times New Roman" w:cs="Arial"/>
                <w:color w:val="000000"/>
                <w:sz w:val="16"/>
                <w:szCs w:val="16"/>
                <w:lang w:val="en-GB" w:eastAsia="en-GB"/>
              </w:rPr>
            </w:pPr>
            <w:r w:rsidRPr="00A409CF">
              <w:rPr>
                <w:rFonts w:eastAsia="Times New Roman" w:cs="Arial"/>
                <w:color w:val="000000"/>
                <w:sz w:val="16"/>
                <w:szCs w:val="16"/>
                <w:lang w:val="en-GB" w:eastAsia="en-GB"/>
              </w:rPr>
              <w:t xml:space="preserve">0  </w:t>
            </w:r>
          </w:p>
        </w:tc>
        <w:tc>
          <w:tcPr>
            <w:tcW w:w="1936" w:type="dxa"/>
            <w:tcBorders>
              <w:top w:val="nil"/>
              <w:left w:val="nil"/>
              <w:bottom w:val="nil"/>
              <w:right w:val="nil"/>
            </w:tcBorders>
            <w:shd w:val="clear" w:color="auto" w:fill="auto"/>
            <w:vAlign w:val="center"/>
            <w:hideMark/>
          </w:tcPr>
          <w:p w14:paraId="0865B5DB" w14:textId="77777777" w:rsidR="00A409CF" w:rsidRPr="00A409CF" w:rsidRDefault="00A409CF" w:rsidP="00A409CF">
            <w:pPr>
              <w:jc w:val="right"/>
              <w:rPr>
                <w:rFonts w:eastAsia="Times New Roman" w:cs="Arial"/>
                <w:color w:val="000000"/>
                <w:sz w:val="16"/>
                <w:szCs w:val="16"/>
                <w:lang w:val="en-GB" w:eastAsia="en-GB"/>
              </w:rPr>
            </w:pPr>
          </w:p>
        </w:tc>
        <w:tc>
          <w:tcPr>
            <w:tcW w:w="2082" w:type="dxa"/>
            <w:tcBorders>
              <w:top w:val="nil"/>
              <w:left w:val="nil"/>
              <w:bottom w:val="nil"/>
              <w:right w:val="nil"/>
            </w:tcBorders>
            <w:shd w:val="clear" w:color="auto" w:fill="auto"/>
            <w:vAlign w:val="center"/>
            <w:hideMark/>
          </w:tcPr>
          <w:p w14:paraId="40FE456F" w14:textId="77777777" w:rsidR="00A409CF" w:rsidRPr="00A409CF" w:rsidRDefault="00A409CF" w:rsidP="00A409CF">
            <w:pPr>
              <w:jc w:val="right"/>
              <w:rPr>
                <w:rFonts w:eastAsia="Times New Roman" w:cs="Arial"/>
                <w:color w:val="000000"/>
                <w:sz w:val="16"/>
                <w:szCs w:val="16"/>
                <w:lang w:val="en-GB" w:eastAsia="en-GB"/>
              </w:rPr>
            </w:pPr>
            <w:r w:rsidRPr="00A409CF">
              <w:rPr>
                <w:rFonts w:eastAsia="Times New Roman" w:cs="Arial"/>
                <w:color w:val="000000"/>
                <w:sz w:val="16"/>
                <w:szCs w:val="16"/>
                <w:lang w:val="en-GB" w:eastAsia="en-GB"/>
              </w:rPr>
              <w:t xml:space="preserve">0  </w:t>
            </w:r>
          </w:p>
        </w:tc>
        <w:tc>
          <w:tcPr>
            <w:tcW w:w="2309" w:type="dxa"/>
            <w:tcBorders>
              <w:top w:val="nil"/>
              <w:left w:val="nil"/>
              <w:bottom w:val="nil"/>
              <w:right w:val="nil"/>
            </w:tcBorders>
            <w:shd w:val="clear" w:color="auto" w:fill="auto"/>
            <w:vAlign w:val="center"/>
            <w:hideMark/>
          </w:tcPr>
          <w:p w14:paraId="75BA99F9" w14:textId="77777777" w:rsidR="00A409CF" w:rsidRPr="00A409CF" w:rsidRDefault="00A409CF" w:rsidP="00A409CF">
            <w:pPr>
              <w:jc w:val="right"/>
              <w:rPr>
                <w:rFonts w:eastAsia="Times New Roman" w:cs="Arial"/>
                <w:color w:val="000000"/>
                <w:sz w:val="16"/>
                <w:szCs w:val="16"/>
                <w:lang w:val="en-GB" w:eastAsia="en-GB"/>
              </w:rPr>
            </w:pPr>
          </w:p>
        </w:tc>
        <w:tc>
          <w:tcPr>
            <w:tcW w:w="1853" w:type="dxa"/>
            <w:tcBorders>
              <w:top w:val="nil"/>
              <w:left w:val="nil"/>
              <w:bottom w:val="nil"/>
              <w:right w:val="nil"/>
            </w:tcBorders>
            <w:shd w:val="clear" w:color="auto" w:fill="auto"/>
            <w:vAlign w:val="center"/>
            <w:hideMark/>
          </w:tcPr>
          <w:p w14:paraId="12B1DFD1" w14:textId="77777777" w:rsidR="00A409CF" w:rsidRPr="004C5C6D" w:rsidRDefault="00A409CF" w:rsidP="00A409CF">
            <w:pPr>
              <w:jc w:val="right"/>
              <w:rPr>
                <w:rFonts w:eastAsia="Times New Roman" w:cs="Arial"/>
                <w:bCs/>
                <w:color w:val="000000"/>
                <w:sz w:val="16"/>
                <w:szCs w:val="16"/>
                <w:lang w:val="en-GB" w:eastAsia="en-GB"/>
              </w:rPr>
            </w:pPr>
            <w:r w:rsidRPr="004C5C6D">
              <w:rPr>
                <w:rFonts w:eastAsia="Times New Roman" w:cs="Arial"/>
                <w:bCs/>
                <w:color w:val="000000"/>
                <w:sz w:val="16"/>
                <w:szCs w:val="16"/>
                <w:lang w:val="en-GB" w:eastAsia="en-GB"/>
              </w:rPr>
              <w:t xml:space="preserve">0  </w:t>
            </w:r>
          </w:p>
        </w:tc>
      </w:tr>
      <w:tr w:rsidR="00A409CF" w:rsidRPr="00A409CF" w14:paraId="77357466" w14:textId="77777777" w:rsidTr="00ED7D71">
        <w:trPr>
          <w:trHeight w:val="128"/>
          <w:jc w:val="center"/>
        </w:trPr>
        <w:tc>
          <w:tcPr>
            <w:tcW w:w="4820" w:type="dxa"/>
            <w:gridSpan w:val="2"/>
            <w:tcBorders>
              <w:top w:val="nil"/>
              <w:left w:val="nil"/>
              <w:bottom w:val="nil"/>
              <w:right w:val="nil"/>
            </w:tcBorders>
            <w:shd w:val="clear" w:color="auto" w:fill="auto"/>
            <w:vAlign w:val="center"/>
            <w:hideMark/>
          </w:tcPr>
          <w:p w14:paraId="66B53FF6" w14:textId="77777777" w:rsidR="00A409CF" w:rsidRPr="00A409CF" w:rsidRDefault="00A409CF" w:rsidP="00A409CF">
            <w:pPr>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at 31 March 2021</w:t>
            </w:r>
          </w:p>
        </w:tc>
        <w:tc>
          <w:tcPr>
            <w:tcW w:w="1188" w:type="dxa"/>
            <w:tcBorders>
              <w:top w:val="single" w:sz="8" w:space="0" w:color="000000"/>
              <w:left w:val="nil"/>
              <w:bottom w:val="nil"/>
              <w:right w:val="nil"/>
            </w:tcBorders>
            <w:shd w:val="clear" w:color="auto" w:fill="auto"/>
            <w:vAlign w:val="center"/>
            <w:hideMark/>
          </w:tcPr>
          <w:p w14:paraId="5263B9FA" w14:textId="77777777" w:rsidR="00A409CF" w:rsidRPr="00A409CF" w:rsidRDefault="00EF0DFA" w:rsidP="00A409CF">
            <w:pPr>
              <w:jc w:val="right"/>
              <w:rPr>
                <w:rFonts w:eastAsia="Times New Roman" w:cs="Arial"/>
                <w:b/>
                <w:bCs/>
                <w:color w:val="000000"/>
                <w:sz w:val="16"/>
                <w:szCs w:val="16"/>
                <w:lang w:val="en-GB" w:eastAsia="en-GB"/>
              </w:rPr>
            </w:pPr>
            <w:r>
              <w:rPr>
                <w:rFonts w:eastAsia="Times New Roman" w:cs="Arial"/>
                <w:b/>
                <w:bCs/>
                <w:color w:val="000000"/>
                <w:sz w:val="16"/>
                <w:szCs w:val="16"/>
                <w:lang w:val="en-GB" w:eastAsia="en-GB"/>
              </w:rPr>
              <w:t>88,831</w:t>
            </w:r>
            <w:r w:rsidR="00A409CF" w:rsidRPr="00A409CF">
              <w:rPr>
                <w:rFonts w:eastAsia="Times New Roman" w:cs="Arial"/>
                <w:b/>
                <w:bCs/>
                <w:color w:val="000000"/>
                <w:sz w:val="16"/>
                <w:szCs w:val="16"/>
                <w:lang w:val="en-GB" w:eastAsia="en-GB"/>
              </w:rPr>
              <w:t xml:space="preserve">  </w:t>
            </w:r>
          </w:p>
        </w:tc>
        <w:tc>
          <w:tcPr>
            <w:tcW w:w="1936" w:type="dxa"/>
            <w:tcBorders>
              <w:top w:val="single" w:sz="8" w:space="0" w:color="000000"/>
              <w:left w:val="nil"/>
              <w:bottom w:val="nil"/>
              <w:right w:val="nil"/>
            </w:tcBorders>
            <w:shd w:val="clear" w:color="auto" w:fill="auto"/>
            <w:vAlign w:val="center"/>
            <w:hideMark/>
          </w:tcPr>
          <w:p w14:paraId="56E27E17"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39,570  </w:t>
            </w:r>
          </w:p>
        </w:tc>
        <w:tc>
          <w:tcPr>
            <w:tcW w:w="2082" w:type="dxa"/>
            <w:tcBorders>
              <w:top w:val="single" w:sz="8" w:space="0" w:color="000000"/>
              <w:left w:val="nil"/>
              <w:bottom w:val="nil"/>
              <w:right w:val="nil"/>
            </w:tcBorders>
            <w:shd w:val="clear" w:color="auto" w:fill="auto"/>
            <w:vAlign w:val="center"/>
            <w:hideMark/>
          </w:tcPr>
          <w:p w14:paraId="4A0C2321"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21,000  </w:t>
            </w:r>
          </w:p>
        </w:tc>
        <w:tc>
          <w:tcPr>
            <w:tcW w:w="2309" w:type="dxa"/>
            <w:tcBorders>
              <w:top w:val="single" w:sz="8" w:space="0" w:color="000000"/>
              <w:left w:val="nil"/>
              <w:bottom w:val="nil"/>
              <w:right w:val="nil"/>
            </w:tcBorders>
            <w:shd w:val="clear" w:color="auto" w:fill="auto"/>
            <w:vAlign w:val="center"/>
            <w:hideMark/>
          </w:tcPr>
          <w:p w14:paraId="4EAC7C9C"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4,268  </w:t>
            </w:r>
          </w:p>
        </w:tc>
        <w:tc>
          <w:tcPr>
            <w:tcW w:w="1853" w:type="dxa"/>
            <w:tcBorders>
              <w:top w:val="single" w:sz="8" w:space="0" w:color="000000"/>
              <w:left w:val="nil"/>
              <w:bottom w:val="nil"/>
              <w:right w:val="nil"/>
            </w:tcBorders>
            <w:shd w:val="clear" w:color="auto" w:fill="auto"/>
            <w:vAlign w:val="center"/>
            <w:hideMark/>
          </w:tcPr>
          <w:p w14:paraId="4A353B6C" w14:textId="77777777" w:rsidR="00A409CF" w:rsidRPr="00A409CF" w:rsidRDefault="00EF0DFA" w:rsidP="00A409CF">
            <w:pPr>
              <w:jc w:val="right"/>
              <w:rPr>
                <w:rFonts w:eastAsia="Times New Roman" w:cs="Arial"/>
                <w:b/>
                <w:bCs/>
                <w:color w:val="000000"/>
                <w:sz w:val="16"/>
                <w:szCs w:val="16"/>
                <w:lang w:val="en-GB" w:eastAsia="en-GB"/>
              </w:rPr>
            </w:pPr>
            <w:r>
              <w:rPr>
                <w:rFonts w:eastAsia="Times New Roman" w:cs="Arial"/>
                <w:b/>
                <w:bCs/>
                <w:color w:val="000000"/>
                <w:sz w:val="16"/>
                <w:szCs w:val="16"/>
                <w:lang w:val="en-GB" w:eastAsia="en-GB"/>
              </w:rPr>
              <w:t>153,669</w:t>
            </w:r>
            <w:r w:rsidR="00A409CF" w:rsidRPr="00A409CF">
              <w:rPr>
                <w:rFonts w:eastAsia="Times New Roman" w:cs="Arial"/>
                <w:b/>
                <w:bCs/>
                <w:color w:val="000000"/>
                <w:sz w:val="16"/>
                <w:szCs w:val="16"/>
                <w:lang w:val="en-GB" w:eastAsia="en-GB"/>
              </w:rPr>
              <w:t xml:space="preserve">  </w:t>
            </w:r>
          </w:p>
        </w:tc>
      </w:tr>
      <w:tr w:rsidR="00A409CF" w:rsidRPr="00A409CF" w14:paraId="204CCD62" w14:textId="77777777" w:rsidTr="00ED7D71">
        <w:trPr>
          <w:trHeight w:val="128"/>
          <w:jc w:val="center"/>
        </w:trPr>
        <w:tc>
          <w:tcPr>
            <w:tcW w:w="4820" w:type="dxa"/>
            <w:gridSpan w:val="2"/>
            <w:tcBorders>
              <w:top w:val="nil"/>
              <w:left w:val="nil"/>
              <w:bottom w:val="nil"/>
              <w:right w:val="nil"/>
            </w:tcBorders>
            <w:shd w:val="clear" w:color="auto" w:fill="auto"/>
            <w:vAlign w:val="center"/>
            <w:hideMark/>
          </w:tcPr>
          <w:p w14:paraId="58BF68E9" w14:textId="77777777" w:rsidR="00A409CF" w:rsidRPr="00A409CF" w:rsidRDefault="00A409CF" w:rsidP="00A409CF">
            <w:pPr>
              <w:jc w:val="center"/>
              <w:rPr>
                <w:rFonts w:eastAsia="Times New Roman" w:cs="Arial"/>
                <w:color w:val="000000"/>
                <w:sz w:val="2"/>
                <w:szCs w:val="2"/>
                <w:lang w:val="en-GB" w:eastAsia="en-GB"/>
              </w:rPr>
            </w:pPr>
            <w:r w:rsidRPr="00A409CF">
              <w:rPr>
                <w:rFonts w:eastAsia="Times New Roman" w:cs="Arial"/>
                <w:color w:val="000000"/>
                <w:sz w:val="2"/>
                <w:szCs w:val="2"/>
                <w:lang w:val="en-GB" w:eastAsia="en-GB"/>
              </w:rPr>
              <w:t xml:space="preserve"> </w:t>
            </w:r>
          </w:p>
        </w:tc>
        <w:tc>
          <w:tcPr>
            <w:tcW w:w="1188" w:type="dxa"/>
            <w:tcBorders>
              <w:top w:val="nil"/>
              <w:left w:val="nil"/>
              <w:bottom w:val="nil"/>
              <w:right w:val="nil"/>
            </w:tcBorders>
            <w:shd w:val="clear" w:color="auto" w:fill="auto"/>
            <w:vAlign w:val="center"/>
            <w:hideMark/>
          </w:tcPr>
          <w:p w14:paraId="42289639" w14:textId="77777777" w:rsidR="00A409CF" w:rsidRPr="00A409CF" w:rsidRDefault="00A409CF" w:rsidP="00A409CF">
            <w:pPr>
              <w:jc w:val="center"/>
              <w:rPr>
                <w:rFonts w:eastAsia="Times New Roman" w:cs="Arial"/>
                <w:color w:val="000000"/>
                <w:sz w:val="2"/>
                <w:szCs w:val="2"/>
                <w:lang w:val="en-GB" w:eastAsia="en-GB"/>
              </w:rPr>
            </w:pPr>
            <w:r w:rsidRPr="00A409CF">
              <w:rPr>
                <w:rFonts w:eastAsia="Times New Roman" w:cs="Arial"/>
                <w:color w:val="000000"/>
                <w:sz w:val="2"/>
                <w:szCs w:val="2"/>
                <w:lang w:val="en-GB" w:eastAsia="en-GB"/>
              </w:rPr>
              <w:t xml:space="preserve"> </w:t>
            </w:r>
          </w:p>
        </w:tc>
        <w:tc>
          <w:tcPr>
            <w:tcW w:w="1936" w:type="dxa"/>
            <w:tcBorders>
              <w:top w:val="nil"/>
              <w:left w:val="nil"/>
              <w:bottom w:val="nil"/>
              <w:right w:val="nil"/>
            </w:tcBorders>
            <w:shd w:val="clear" w:color="auto" w:fill="auto"/>
            <w:vAlign w:val="center"/>
            <w:hideMark/>
          </w:tcPr>
          <w:p w14:paraId="2A17F1E8" w14:textId="77777777" w:rsidR="00A409CF" w:rsidRPr="00A409CF" w:rsidRDefault="00A409CF" w:rsidP="00A409CF">
            <w:pPr>
              <w:jc w:val="center"/>
              <w:rPr>
                <w:rFonts w:eastAsia="Times New Roman" w:cs="Arial"/>
                <w:color w:val="000000"/>
                <w:sz w:val="2"/>
                <w:szCs w:val="2"/>
                <w:lang w:val="en-GB" w:eastAsia="en-GB"/>
              </w:rPr>
            </w:pPr>
            <w:r w:rsidRPr="00A409CF">
              <w:rPr>
                <w:rFonts w:eastAsia="Times New Roman" w:cs="Arial"/>
                <w:color w:val="000000"/>
                <w:sz w:val="2"/>
                <w:szCs w:val="2"/>
                <w:lang w:val="en-GB" w:eastAsia="en-GB"/>
              </w:rPr>
              <w:t xml:space="preserve"> </w:t>
            </w:r>
          </w:p>
        </w:tc>
        <w:tc>
          <w:tcPr>
            <w:tcW w:w="2082" w:type="dxa"/>
            <w:tcBorders>
              <w:top w:val="nil"/>
              <w:left w:val="nil"/>
              <w:bottom w:val="nil"/>
              <w:right w:val="nil"/>
            </w:tcBorders>
            <w:shd w:val="clear" w:color="auto" w:fill="auto"/>
            <w:vAlign w:val="center"/>
            <w:hideMark/>
          </w:tcPr>
          <w:p w14:paraId="73A82C04" w14:textId="77777777" w:rsidR="00A409CF" w:rsidRPr="00A409CF" w:rsidRDefault="00A409CF" w:rsidP="00A409CF">
            <w:pPr>
              <w:jc w:val="center"/>
              <w:rPr>
                <w:rFonts w:eastAsia="Times New Roman" w:cs="Arial"/>
                <w:color w:val="000000"/>
                <w:sz w:val="2"/>
                <w:szCs w:val="2"/>
                <w:lang w:val="en-GB" w:eastAsia="en-GB"/>
              </w:rPr>
            </w:pPr>
            <w:r w:rsidRPr="00A409CF">
              <w:rPr>
                <w:rFonts w:eastAsia="Times New Roman" w:cs="Arial"/>
                <w:color w:val="000000"/>
                <w:sz w:val="2"/>
                <w:szCs w:val="2"/>
                <w:lang w:val="en-GB" w:eastAsia="en-GB"/>
              </w:rPr>
              <w:t xml:space="preserve"> </w:t>
            </w:r>
          </w:p>
        </w:tc>
        <w:tc>
          <w:tcPr>
            <w:tcW w:w="2309" w:type="dxa"/>
            <w:tcBorders>
              <w:top w:val="nil"/>
              <w:left w:val="nil"/>
              <w:bottom w:val="nil"/>
              <w:right w:val="nil"/>
            </w:tcBorders>
            <w:shd w:val="clear" w:color="auto" w:fill="auto"/>
            <w:vAlign w:val="center"/>
            <w:hideMark/>
          </w:tcPr>
          <w:p w14:paraId="15AD9462" w14:textId="77777777" w:rsidR="00A409CF" w:rsidRPr="00A409CF" w:rsidRDefault="00A409CF" w:rsidP="00A409CF">
            <w:pPr>
              <w:jc w:val="center"/>
              <w:rPr>
                <w:rFonts w:eastAsia="Times New Roman" w:cs="Arial"/>
                <w:color w:val="000000"/>
                <w:sz w:val="2"/>
                <w:szCs w:val="2"/>
                <w:lang w:val="en-GB" w:eastAsia="en-GB"/>
              </w:rPr>
            </w:pPr>
            <w:r w:rsidRPr="00A409CF">
              <w:rPr>
                <w:rFonts w:eastAsia="Times New Roman" w:cs="Arial"/>
                <w:color w:val="000000"/>
                <w:sz w:val="2"/>
                <w:szCs w:val="2"/>
                <w:lang w:val="en-GB" w:eastAsia="en-GB"/>
              </w:rPr>
              <w:t xml:space="preserve"> </w:t>
            </w:r>
          </w:p>
        </w:tc>
        <w:tc>
          <w:tcPr>
            <w:tcW w:w="1853" w:type="dxa"/>
            <w:tcBorders>
              <w:top w:val="nil"/>
              <w:left w:val="nil"/>
              <w:bottom w:val="nil"/>
              <w:right w:val="nil"/>
            </w:tcBorders>
            <w:shd w:val="clear" w:color="auto" w:fill="auto"/>
            <w:vAlign w:val="center"/>
            <w:hideMark/>
          </w:tcPr>
          <w:p w14:paraId="3F22420D" w14:textId="77777777" w:rsidR="00A409CF" w:rsidRPr="00A409CF" w:rsidRDefault="00A409CF" w:rsidP="00A409CF">
            <w:pPr>
              <w:jc w:val="center"/>
              <w:rPr>
                <w:rFonts w:eastAsia="Times New Roman" w:cs="Arial"/>
                <w:b/>
                <w:bCs/>
                <w:color w:val="000000"/>
                <w:sz w:val="2"/>
                <w:szCs w:val="2"/>
                <w:lang w:val="en-GB" w:eastAsia="en-GB"/>
              </w:rPr>
            </w:pPr>
            <w:r w:rsidRPr="00A409CF">
              <w:rPr>
                <w:rFonts w:eastAsia="Times New Roman" w:cs="Arial"/>
                <w:b/>
                <w:bCs/>
                <w:color w:val="000000"/>
                <w:sz w:val="2"/>
                <w:szCs w:val="2"/>
                <w:lang w:val="en-GB" w:eastAsia="en-GB"/>
              </w:rPr>
              <w:t xml:space="preserve"> </w:t>
            </w:r>
          </w:p>
        </w:tc>
      </w:tr>
      <w:tr w:rsidR="00A409CF" w:rsidRPr="00A409CF" w14:paraId="38155F39" w14:textId="77777777" w:rsidTr="00ED7D71">
        <w:trPr>
          <w:trHeight w:val="198"/>
          <w:jc w:val="center"/>
        </w:trPr>
        <w:tc>
          <w:tcPr>
            <w:tcW w:w="4820" w:type="dxa"/>
            <w:gridSpan w:val="2"/>
            <w:tcBorders>
              <w:top w:val="nil"/>
              <w:left w:val="nil"/>
              <w:bottom w:val="nil"/>
              <w:right w:val="nil"/>
            </w:tcBorders>
            <w:shd w:val="clear" w:color="auto" w:fill="auto"/>
            <w:vAlign w:val="center"/>
            <w:hideMark/>
          </w:tcPr>
          <w:p w14:paraId="3D6FE837" w14:textId="77777777" w:rsidR="00A409CF" w:rsidRPr="00A409CF" w:rsidRDefault="00A409CF" w:rsidP="00A409CF">
            <w:pPr>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Accumulated Depreciation and Impairment</w:t>
            </w:r>
          </w:p>
        </w:tc>
        <w:tc>
          <w:tcPr>
            <w:tcW w:w="1188" w:type="dxa"/>
            <w:tcBorders>
              <w:top w:val="nil"/>
              <w:left w:val="nil"/>
              <w:bottom w:val="nil"/>
              <w:right w:val="nil"/>
            </w:tcBorders>
            <w:shd w:val="clear" w:color="auto" w:fill="auto"/>
            <w:vAlign w:val="center"/>
            <w:hideMark/>
          </w:tcPr>
          <w:p w14:paraId="092C67FE" w14:textId="77777777" w:rsidR="00A409CF" w:rsidRPr="00A409CF" w:rsidRDefault="00A409CF" w:rsidP="00A409CF">
            <w:pPr>
              <w:jc w:val="center"/>
              <w:rPr>
                <w:rFonts w:eastAsia="Times New Roman" w:cs="Arial"/>
                <w:color w:val="000000"/>
                <w:sz w:val="2"/>
                <w:szCs w:val="2"/>
                <w:lang w:val="en-GB" w:eastAsia="en-GB"/>
              </w:rPr>
            </w:pPr>
            <w:r w:rsidRPr="00A409CF">
              <w:rPr>
                <w:rFonts w:eastAsia="Times New Roman" w:cs="Arial"/>
                <w:color w:val="000000"/>
                <w:sz w:val="2"/>
                <w:szCs w:val="2"/>
                <w:lang w:val="en-GB" w:eastAsia="en-GB"/>
              </w:rPr>
              <w:t xml:space="preserve"> </w:t>
            </w:r>
          </w:p>
        </w:tc>
        <w:tc>
          <w:tcPr>
            <w:tcW w:w="1936" w:type="dxa"/>
            <w:tcBorders>
              <w:top w:val="nil"/>
              <w:left w:val="nil"/>
              <w:bottom w:val="nil"/>
              <w:right w:val="nil"/>
            </w:tcBorders>
            <w:shd w:val="clear" w:color="auto" w:fill="auto"/>
            <w:vAlign w:val="center"/>
            <w:hideMark/>
          </w:tcPr>
          <w:p w14:paraId="079E1EDE" w14:textId="77777777" w:rsidR="00A409CF" w:rsidRPr="00A409CF" w:rsidRDefault="00A409CF" w:rsidP="00A409CF">
            <w:pPr>
              <w:jc w:val="center"/>
              <w:rPr>
                <w:rFonts w:eastAsia="Times New Roman" w:cs="Arial"/>
                <w:color w:val="000000"/>
                <w:sz w:val="2"/>
                <w:szCs w:val="2"/>
                <w:lang w:val="en-GB" w:eastAsia="en-GB"/>
              </w:rPr>
            </w:pPr>
            <w:r w:rsidRPr="00A409CF">
              <w:rPr>
                <w:rFonts w:eastAsia="Times New Roman" w:cs="Arial"/>
                <w:color w:val="000000"/>
                <w:sz w:val="2"/>
                <w:szCs w:val="2"/>
                <w:lang w:val="en-GB" w:eastAsia="en-GB"/>
              </w:rPr>
              <w:t xml:space="preserve"> </w:t>
            </w:r>
          </w:p>
        </w:tc>
        <w:tc>
          <w:tcPr>
            <w:tcW w:w="2082" w:type="dxa"/>
            <w:tcBorders>
              <w:top w:val="nil"/>
              <w:left w:val="nil"/>
              <w:bottom w:val="nil"/>
              <w:right w:val="nil"/>
            </w:tcBorders>
            <w:shd w:val="clear" w:color="auto" w:fill="auto"/>
            <w:vAlign w:val="center"/>
            <w:hideMark/>
          </w:tcPr>
          <w:p w14:paraId="5812E8D6" w14:textId="77777777" w:rsidR="00A409CF" w:rsidRPr="00A409CF" w:rsidRDefault="00A409CF" w:rsidP="00A409CF">
            <w:pPr>
              <w:jc w:val="center"/>
              <w:rPr>
                <w:rFonts w:eastAsia="Times New Roman" w:cs="Arial"/>
                <w:color w:val="000000"/>
                <w:sz w:val="2"/>
                <w:szCs w:val="2"/>
                <w:lang w:val="en-GB" w:eastAsia="en-GB"/>
              </w:rPr>
            </w:pPr>
            <w:r w:rsidRPr="00A409CF">
              <w:rPr>
                <w:rFonts w:eastAsia="Times New Roman" w:cs="Arial"/>
                <w:color w:val="000000"/>
                <w:sz w:val="2"/>
                <w:szCs w:val="2"/>
                <w:lang w:val="en-GB" w:eastAsia="en-GB"/>
              </w:rPr>
              <w:t xml:space="preserve"> </w:t>
            </w:r>
          </w:p>
        </w:tc>
        <w:tc>
          <w:tcPr>
            <w:tcW w:w="2309" w:type="dxa"/>
            <w:tcBorders>
              <w:top w:val="nil"/>
              <w:left w:val="nil"/>
              <w:bottom w:val="nil"/>
              <w:right w:val="nil"/>
            </w:tcBorders>
            <w:shd w:val="clear" w:color="auto" w:fill="auto"/>
            <w:vAlign w:val="center"/>
            <w:hideMark/>
          </w:tcPr>
          <w:p w14:paraId="687B50CD" w14:textId="77777777" w:rsidR="00A409CF" w:rsidRPr="00A409CF" w:rsidRDefault="00A409CF" w:rsidP="00A409CF">
            <w:pPr>
              <w:jc w:val="center"/>
              <w:rPr>
                <w:rFonts w:eastAsia="Times New Roman" w:cs="Arial"/>
                <w:color w:val="000000"/>
                <w:sz w:val="2"/>
                <w:szCs w:val="2"/>
                <w:lang w:val="en-GB" w:eastAsia="en-GB"/>
              </w:rPr>
            </w:pPr>
            <w:r w:rsidRPr="00A409CF">
              <w:rPr>
                <w:rFonts w:eastAsia="Times New Roman" w:cs="Arial"/>
                <w:color w:val="000000"/>
                <w:sz w:val="2"/>
                <w:szCs w:val="2"/>
                <w:lang w:val="en-GB" w:eastAsia="en-GB"/>
              </w:rPr>
              <w:t xml:space="preserve"> </w:t>
            </w:r>
          </w:p>
        </w:tc>
        <w:tc>
          <w:tcPr>
            <w:tcW w:w="1853" w:type="dxa"/>
            <w:tcBorders>
              <w:top w:val="nil"/>
              <w:left w:val="nil"/>
              <w:bottom w:val="nil"/>
              <w:right w:val="nil"/>
            </w:tcBorders>
            <w:shd w:val="clear" w:color="auto" w:fill="auto"/>
            <w:vAlign w:val="center"/>
            <w:hideMark/>
          </w:tcPr>
          <w:p w14:paraId="5DD7BA5D" w14:textId="77777777" w:rsidR="00A409CF" w:rsidRPr="00A409CF" w:rsidRDefault="00A409CF" w:rsidP="00A409CF">
            <w:pPr>
              <w:jc w:val="center"/>
              <w:rPr>
                <w:rFonts w:eastAsia="Times New Roman" w:cs="Arial"/>
                <w:b/>
                <w:bCs/>
                <w:color w:val="000000"/>
                <w:sz w:val="2"/>
                <w:szCs w:val="2"/>
                <w:lang w:val="en-GB" w:eastAsia="en-GB"/>
              </w:rPr>
            </w:pPr>
            <w:r w:rsidRPr="00A409CF">
              <w:rPr>
                <w:rFonts w:eastAsia="Times New Roman" w:cs="Arial"/>
                <w:b/>
                <w:bCs/>
                <w:color w:val="000000"/>
                <w:sz w:val="2"/>
                <w:szCs w:val="2"/>
                <w:lang w:val="en-GB" w:eastAsia="en-GB"/>
              </w:rPr>
              <w:t xml:space="preserve"> </w:t>
            </w:r>
          </w:p>
        </w:tc>
      </w:tr>
      <w:tr w:rsidR="00A409CF" w:rsidRPr="00A409CF" w14:paraId="0DE77DEB" w14:textId="77777777" w:rsidTr="00ED7D71">
        <w:trPr>
          <w:trHeight w:val="128"/>
          <w:jc w:val="center"/>
        </w:trPr>
        <w:tc>
          <w:tcPr>
            <w:tcW w:w="4820" w:type="dxa"/>
            <w:gridSpan w:val="2"/>
            <w:tcBorders>
              <w:top w:val="nil"/>
              <w:left w:val="nil"/>
              <w:bottom w:val="nil"/>
              <w:right w:val="nil"/>
            </w:tcBorders>
            <w:shd w:val="clear" w:color="auto" w:fill="auto"/>
            <w:vAlign w:val="center"/>
            <w:hideMark/>
          </w:tcPr>
          <w:p w14:paraId="26F2D497" w14:textId="77777777" w:rsidR="00A409CF" w:rsidRPr="00A409CF" w:rsidRDefault="00A409CF" w:rsidP="00A409CF">
            <w:pPr>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at 1 April 2020</w:t>
            </w:r>
          </w:p>
        </w:tc>
        <w:tc>
          <w:tcPr>
            <w:tcW w:w="1188" w:type="dxa"/>
            <w:tcBorders>
              <w:top w:val="nil"/>
              <w:left w:val="nil"/>
              <w:bottom w:val="nil"/>
              <w:right w:val="nil"/>
            </w:tcBorders>
            <w:shd w:val="clear" w:color="auto" w:fill="auto"/>
            <w:vAlign w:val="center"/>
            <w:hideMark/>
          </w:tcPr>
          <w:p w14:paraId="4CD27840"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(355) </w:t>
            </w:r>
          </w:p>
        </w:tc>
        <w:tc>
          <w:tcPr>
            <w:tcW w:w="1936" w:type="dxa"/>
            <w:tcBorders>
              <w:top w:val="nil"/>
              <w:left w:val="nil"/>
              <w:bottom w:val="nil"/>
              <w:right w:val="nil"/>
            </w:tcBorders>
            <w:shd w:val="clear" w:color="auto" w:fill="auto"/>
            <w:vAlign w:val="center"/>
            <w:hideMark/>
          </w:tcPr>
          <w:p w14:paraId="415C0F75"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(33,245) </w:t>
            </w:r>
          </w:p>
        </w:tc>
        <w:tc>
          <w:tcPr>
            <w:tcW w:w="2082" w:type="dxa"/>
            <w:tcBorders>
              <w:top w:val="nil"/>
              <w:left w:val="nil"/>
              <w:bottom w:val="nil"/>
              <w:right w:val="nil"/>
            </w:tcBorders>
            <w:shd w:val="clear" w:color="auto" w:fill="auto"/>
            <w:vAlign w:val="center"/>
            <w:hideMark/>
          </w:tcPr>
          <w:p w14:paraId="03C9DE0A"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(32) </w:t>
            </w:r>
          </w:p>
        </w:tc>
        <w:tc>
          <w:tcPr>
            <w:tcW w:w="2309" w:type="dxa"/>
            <w:tcBorders>
              <w:top w:val="nil"/>
              <w:left w:val="nil"/>
              <w:bottom w:val="nil"/>
              <w:right w:val="nil"/>
            </w:tcBorders>
            <w:shd w:val="clear" w:color="auto" w:fill="auto"/>
            <w:vAlign w:val="center"/>
            <w:hideMark/>
          </w:tcPr>
          <w:p w14:paraId="7257D3A3"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0  </w:t>
            </w:r>
          </w:p>
        </w:tc>
        <w:tc>
          <w:tcPr>
            <w:tcW w:w="1853" w:type="dxa"/>
            <w:tcBorders>
              <w:top w:val="nil"/>
              <w:left w:val="nil"/>
              <w:bottom w:val="nil"/>
              <w:right w:val="nil"/>
            </w:tcBorders>
            <w:shd w:val="clear" w:color="auto" w:fill="auto"/>
            <w:vAlign w:val="center"/>
            <w:hideMark/>
          </w:tcPr>
          <w:p w14:paraId="2E5F0249"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(33,632) </w:t>
            </w:r>
          </w:p>
        </w:tc>
      </w:tr>
      <w:tr w:rsidR="00A409CF" w:rsidRPr="00A409CF" w14:paraId="22825591" w14:textId="77777777" w:rsidTr="00ED7D71">
        <w:trPr>
          <w:trHeight w:val="169"/>
          <w:jc w:val="center"/>
        </w:trPr>
        <w:tc>
          <w:tcPr>
            <w:tcW w:w="4820" w:type="dxa"/>
            <w:gridSpan w:val="2"/>
            <w:tcBorders>
              <w:top w:val="nil"/>
              <w:left w:val="nil"/>
              <w:bottom w:val="nil"/>
              <w:right w:val="nil"/>
            </w:tcBorders>
            <w:shd w:val="clear" w:color="auto" w:fill="auto"/>
            <w:vAlign w:val="center"/>
            <w:hideMark/>
          </w:tcPr>
          <w:p w14:paraId="04D65A38" w14:textId="77777777" w:rsidR="00A409CF" w:rsidRPr="00A409CF" w:rsidRDefault="00A409CF" w:rsidP="00A409CF">
            <w:pPr>
              <w:rPr>
                <w:rFonts w:eastAsia="Times New Roman" w:cs="Arial"/>
                <w:color w:val="000000"/>
                <w:sz w:val="16"/>
                <w:szCs w:val="16"/>
                <w:lang w:val="en-GB" w:eastAsia="en-GB"/>
              </w:rPr>
            </w:pPr>
            <w:r w:rsidRPr="00A409CF">
              <w:rPr>
                <w:rFonts w:eastAsia="Times New Roman" w:cs="Arial"/>
                <w:color w:val="000000"/>
                <w:sz w:val="16"/>
                <w:szCs w:val="16"/>
                <w:lang w:val="en-GB" w:eastAsia="en-GB"/>
              </w:rPr>
              <w:t>Depreciation charge</w:t>
            </w:r>
          </w:p>
        </w:tc>
        <w:tc>
          <w:tcPr>
            <w:tcW w:w="1188" w:type="dxa"/>
            <w:tcBorders>
              <w:top w:val="nil"/>
              <w:left w:val="nil"/>
              <w:bottom w:val="nil"/>
              <w:right w:val="nil"/>
            </w:tcBorders>
            <w:shd w:val="clear" w:color="auto" w:fill="auto"/>
            <w:vAlign w:val="center"/>
            <w:hideMark/>
          </w:tcPr>
          <w:p w14:paraId="2E4FD283" w14:textId="77777777" w:rsidR="00A409CF" w:rsidRPr="00A409CF" w:rsidRDefault="00EF0DFA" w:rsidP="00A409CF">
            <w:pPr>
              <w:jc w:val="right"/>
              <w:rPr>
                <w:rFonts w:eastAsia="Times New Roman" w:cs="Arial"/>
                <w:color w:val="000000"/>
                <w:sz w:val="16"/>
                <w:szCs w:val="16"/>
                <w:lang w:val="en-GB" w:eastAsia="en-GB"/>
              </w:rPr>
            </w:pPr>
            <w:r>
              <w:rPr>
                <w:rFonts w:eastAsia="Times New Roman" w:cs="Arial"/>
                <w:color w:val="000000"/>
                <w:sz w:val="16"/>
                <w:szCs w:val="16"/>
                <w:lang w:val="en-GB" w:eastAsia="en-GB"/>
              </w:rPr>
              <w:t>(2,477</w:t>
            </w:r>
            <w:r w:rsidR="00A409CF" w:rsidRPr="00A409CF">
              <w:rPr>
                <w:rFonts w:eastAsia="Times New Roman" w:cs="Arial"/>
                <w:color w:val="000000"/>
                <w:sz w:val="16"/>
                <w:szCs w:val="16"/>
                <w:lang w:val="en-GB" w:eastAsia="en-GB"/>
              </w:rPr>
              <w:t xml:space="preserve">) </w:t>
            </w:r>
          </w:p>
        </w:tc>
        <w:tc>
          <w:tcPr>
            <w:tcW w:w="1936" w:type="dxa"/>
            <w:tcBorders>
              <w:top w:val="nil"/>
              <w:left w:val="nil"/>
              <w:bottom w:val="nil"/>
              <w:right w:val="nil"/>
            </w:tcBorders>
            <w:shd w:val="clear" w:color="auto" w:fill="auto"/>
            <w:vAlign w:val="center"/>
            <w:hideMark/>
          </w:tcPr>
          <w:p w14:paraId="474BBFF5" w14:textId="77777777" w:rsidR="00A409CF" w:rsidRPr="00A409CF" w:rsidRDefault="00A409CF" w:rsidP="00A409CF">
            <w:pPr>
              <w:jc w:val="right"/>
              <w:rPr>
                <w:rFonts w:eastAsia="Times New Roman" w:cs="Arial"/>
                <w:color w:val="000000"/>
                <w:sz w:val="16"/>
                <w:szCs w:val="16"/>
                <w:lang w:val="en-GB" w:eastAsia="en-GB"/>
              </w:rPr>
            </w:pPr>
            <w:r w:rsidRPr="00A409CF">
              <w:rPr>
                <w:rFonts w:eastAsia="Times New Roman" w:cs="Arial"/>
                <w:color w:val="000000"/>
                <w:sz w:val="16"/>
                <w:szCs w:val="16"/>
                <w:lang w:val="en-GB" w:eastAsia="en-GB"/>
              </w:rPr>
              <w:t xml:space="preserve">(4,611) </w:t>
            </w:r>
          </w:p>
        </w:tc>
        <w:tc>
          <w:tcPr>
            <w:tcW w:w="2082" w:type="dxa"/>
            <w:tcBorders>
              <w:top w:val="nil"/>
              <w:left w:val="nil"/>
              <w:bottom w:val="nil"/>
              <w:right w:val="nil"/>
            </w:tcBorders>
            <w:shd w:val="clear" w:color="auto" w:fill="auto"/>
            <w:vAlign w:val="center"/>
            <w:hideMark/>
          </w:tcPr>
          <w:p w14:paraId="40100813" w14:textId="77777777" w:rsidR="00A409CF" w:rsidRPr="00A409CF" w:rsidRDefault="00A409CF" w:rsidP="00A409CF">
            <w:pPr>
              <w:jc w:val="right"/>
              <w:rPr>
                <w:rFonts w:eastAsia="Times New Roman" w:cs="Arial"/>
                <w:color w:val="000000"/>
                <w:sz w:val="16"/>
                <w:szCs w:val="16"/>
                <w:lang w:val="en-GB" w:eastAsia="en-GB"/>
              </w:rPr>
            </w:pPr>
            <w:r w:rsidRPr="00A409CF">
              <w:rPr>
                <w:rFonts w:eastAsia="Times New Roman" w:cs="Arial"/>
                <w:color w:val="000000"/>
                <w:sz w:val="16"/>
                <w:szCs w:val="16"/>
                <w:lang w:val="en-GB" w:eastAsia="en-GB"/>
              </w:rPr>
              <w:t xml:space="preserve">(394) </w:t>
            </w:r>
          </w:p>
        </w:tc>
        <w:tc>
          <w:tcPr>
            <w:tcW w:w="2309" w:type="dxa"/>
            <w:tcBorders>
              <w:top w:val="nil"/>
              <w:left w:val="nil"/>
              <w:bottom w:val="nil"/>
              <w:right w:val="nil"/>
            </w:tcBorders>
            <w:shd w:val="clear" w:color="auto" w:fill="auto"/>
            <w:vAlign w:val="center"/>
            <w:hideMark/>
          </w:tcPr>
          <w:p w14:paraId="42129439" w14:textId="77777777" w:rsidR="00A409CF" w:rsidRPr="00A409CF" w:rsidRDefault="00A409CF" w:rsidP="00A409CF">
            <w:pPr>
              <w:jc w:val="right"/>
              <w:rPr>
                <w:rFonts w:eastAsia="Times New Roman" w:cs="Arial"/>
                <w:color w:val="000000"/>
                <w:sz w:val="16"/>
                <w:szCs w:val="16"/>
                <w:lang w:val="en-GB" w:eastAsia="en-GB"/>
              </w:rPr>
            </w:pPr>
          </w:p>
        </w:tc>
        <w:tc>
          <w:tcPr>
            <w:tcW w:w="1853" w:type="dxa"/>
            <w:tcBorders>
              <w:top w:val="nil"/>
              <w:left w:val="nil"/>
              <w:bottom w:val="nil"/>
              <w:right w:val="nil"/>
            </w:tcBorders>
            <w:shd w:val="clear" w:color="auto" w:fill="auto"/>
            <w:vAlign w:val="center"/>
            <w:hideMark/>
          </w:tcPr>
          <w:p w14:paraId="5DCD27F2" w14:textId="77777777" w:rsidR="00A409CF" w:rsidRPr="004C5C6D" w:rsidRDefault="00EF0DFA" w:rsidP="00A409CF">
            <w:pPr>
              <w:jc w:val="right"/>
              <w:rPr>
                <w:rFonts w:eastAsia="Times New Roman" w:cs="Arial"/>
                <w:bCs/>
                <w:color w:val="000000"/>
                <w:sz w:val="16"/>
                <w:szCs w:val="16"/>
                <w:lang w:val="en-GB" w:eastAsia="en-GB"/>
              </w:rPr>
            </w:pPr>
            <w:r w:rsidRPr="004C5C6D">
              <w:rPr>
                <w:rFonts w:eastAsia="Times New Roman" w:cs="Arial"/>
                <w:bCs/>
                <w:color w:val="000000"/>
                <w:sz w:val="16"/>
                <w:szCs w:val="16"/>
                <w:lang w:val="en-GB" w:eastAsia="en-GB"/>
              </w:rPr>
              <w:t>(7,482</w:t>
            </w:r>
            <w:r w:rsidR="00A409CF" w:rsidRPr="004C5C6D">
              <w:rPr>
                <w:rFonts w:eastAsia="Times New Roman" w:cs="Arial"/>
                <w:bCs/>
                <w:color w:val="000000"/>
                <w:sz w:val="16"/>
                <w:szCs w:val="16"/>
                <w:lang w:val="en-GB" w:eastAsia="en-GB"/>
              </w:rPr>
              <w:t xml:space="preserve">) </w:t>
            </w:r>
          </w:p>
        </w:tc>
      </w:tr>
      <w:tr w:rsidR="00A409CF" w:rsidRPr="00A409CF" w14:paraId="537EAE62" w14:textId="77777777" w:rsidTr="00ED7D71">
        <w:trPr>
          <w:trHeight w:val="210"/>
          <w:jc w:val="center"/>
        </w:trPr>
        <w:tc>
          <w:tcPr>
            <w:tcW w:w="4820" w:type="dxa"/>
            <w:gridSpan w:val="2"/>
            <w:tcBorders>
              <w:top w:val="nil"/>
              <w:left w:val="nil"/>
              <w:bottom w:val="nil"/>
              <w:right w:val="nil"/>
            </w:tcBorders>
            <w:shd w:val="clear" w:color="auto" w:fill="auto"/>
            <w:vAlign w:val="center"/>
            <w:hideMark/>
          </w:tcPr>
          <w:p w14:paraId="7D196FAB" w14:textId="77777777" w:rsidR="00A409CF" w:rsidRPr="00A409CF" w:rsidRDefault="00A409CF" w:rsidP="00A409CF">
            <w:pPr>
              <w:rPr>
                <w:rFonts w:eastAsia="Times New Roman" w:cs="Arial"/>
                <w:color w:val="000000"/>
                <w:sz w:val="16"/>
                <w:szCs w:val="16"/>
                <w:lang w:val="en-GB" w:eastAsia="en-GB"/>
              </w:rPr>
            </w:pPr>
            <w:r w:rsidRPr="00A409CF">
              <w:rPr>
                <w:rFonts w:eastAsia="Times New Roman" w:cs="Arial"/>
                <w:color w:val="000000"/>
                <w:sz w:val="16"/>
                <w:szCs w:val="16"/>
                <w:lang w:val="en-GB" w:eastAsia="en-GB"/>
              </w:rPr>
              <w:t>Depreciation written out to the Revaluation Reserve</w:t>
            </w:r>
          </w:p>
        </w:tc>
        <w:tc>
          <w:tcPr>
            <w:tcW w:w="1188" w:type="dxa"/>
            <w:tcBorders>
              <w:top w:val="nil"/>
              <w:left w:val="nil"/>
              <w:bottom w:val="nil"/>
              <w:right w:val="nil"/>
            </w:tcBorders>
            <w:shd w:val="clear" w:color="auto" w:fill="auto"/>
            <w:vAlign w:val="center"/>
            <w:hideMark/>
          </w:tcPr>
          <w:p w14:paraId="53DDE4B6" w14:textId="77777777" w:rsidR="00A409CF" w:rsidRPr="00A409CF" w:rsidRDefault="00EF0DFA" w:rsidP="00A409CF">
            <w:pPr>
              <w:jc w:val="right"/>
              <w:rPr>
                <w:rFonts w:eastAsia="Times New Roman" w:cs="Arial"/>
                <w:color w:val="000000"/>
                <w:sz w:val="16"/>
                <w:szCs w:val="16"/>
                <w:lang w:val="en-GB" w:eastAsia="en-GB"/>
              </w:rPr>
            </w:pPr>
            <w:r>
              <w:rPr>
                <w:rFonts w:eastAsia="Times New Roman" w:cs="Arial"/>
                <w:color w:val="000000"/>
                <w:sz w:val="16"/>
                <w:szCs w:val="16"/>
                <w:lang w:val="en-GB" w:eastAsia="en-GB"/>
              </w:rPr>
              <w:t>2,38</w:t>
            </w:r>
            <w:r w:rsidR="00A409CF" w:rsidRPr="00A409CF">
              <w:rPr>
                <w:rFonts w:eastAsia="Times New Roman" w:cs="Arial"/>
                <w:color w:val="000000"/>
                <w:sz w:val="16"/>
                <w:szCs w:val="16"/>
                <w:lang w:val="en-GB" w:eastAsia="en-GB"/>
              </w:rPr>
              <w:t xml:space="preserve">7  </w:t>
            </w:r>
          </w:p>
        </w:tc>
        <w:tc>
          <w:tcPr>
            <w:tcW w:w="1936" w:type="dxa"/>
            <w:tcBorders>
              <w:top w:val="nil"/>
              <w:left w:val="nil"/>
              <w:bottom w:val="nil"/>
              <w:right w:val="nil"/>
            </w:tcBorders>
            <w:shd w:val="clear" w:color="auto" w:fill="auto"/>
            <w:vAlign w:val="center"/>
            <w:hideMark/>
          </w:tcPr>
          <w:p w14:paraId="029C020C" w14:textId="77777777" w:rsidR="00A409CF" w:rsidRPr="00A409CF" w:rsidRDefault="00A409CF" w:rsidP="00A409CF">
            <w:pPr>
              <w:jc w:val="right"/>
              <w:rPr>
                <w:rFonts w:eastAsia="Times New Roman" w:cs="Arial"/>
                <w:color w:val="000000"/>
                <w:sz w:val="16"/>
                <w:szCs w:val="16"/>
                <w:lang w:val="en-GB" w:eastAsia="en-GB"/>
              </w:rPr>
            </w:pPr>
          </w:p>
        </w:tc>
        <w:tc>
          <w:tcPr>
            <w:tcW w:w="2082" w:type="dxa"/>
            <w:tcBorders>
              <w:top w:val="nil"/>
              <w:left w:val="nil"/>
              <w:bottom w:val="nil"/>
              <w:right w:val="nil"/>
            </w:tcBorders>
            <w:shd w:val="clear" w:color="auto" w:fill="auto"/>
            <w:vAlign w:val="center"/>
            <w:hideMark/>
          </w:tcPr>
          <w:p w14:paraId="3607375D" w14:textId="77777777" w:rsidR="00A409CF" w:rsidRPr="00A409CF" w:rsidRDefault="00EF0DFA" w:rsidP="00A409CF">
            <w:pPr>
              <w:jc w:val="right"/>
              <w:rPr>
                <w:rFonts w:eastAsia="Times New Roman" w:cs="Arial"/>
                <w:color w:val="000000"/>
                <w:sz w:val="16"/>
                <w:szCs w:val="16"/>
                <w:lang w:val="en-GB" w:eastAsia="en-GB"/>
              </w:rPr>
            </w:pPr>
            <w:r>
              <w:rPr>
                <w:rFonts w:eastAsia="Times New Roman" w:cs="Arial"/>
                <w:color w:val="000000"/>
                <w:sz w:val="16"/>
                <w:szCs w:val="16"/>
                <w:lang w:val="en-GB" w:eastAsia="en-GB"/>
              </w:rPr>
              <w:t>215</w:t>
            </w:r>
            <w:r w:rsidR="00A409CF" w:rsidRPr="00A409CF">
              <w:rPr>
                <w:rFonts w:eastAsia="Times New Roman" w:cs="Arial"/>
                <w:color w:val="000000"/>
                <w:sz w:val="16"/>
                <w:szCs w:val="16"/>
                <w:lang w:val="en-GB" w:eastAsia="en-GB"/>
              </w:rPr>
              <w:t xml:space="preserve">  </w:t>
            </w:r>
          </w:p>
        </w:tc>
        <w:tc>
          <w:tcPr>
            <w:tcW w:w="2309" w:type="dxa"/>
            <w:tcBorders>
              <w:top w:val="nil"/>
              <w:left w:val="nil"/>
              <w:bottom w:val="nil"/>
              <w:right w:val="nil"/>
            </w:tcBorders>
            <w:shd w:val="clear" w:color="auto" w:fill="auto"/>
            <w:vAlign w:val="center"/>
            <w:hideMark/>
          </w:tcPr>
          <w:p w14:paraId="4DE3BCAF" w14:textId="77777777" w:rsidR="00A409CF" w:rsidRPr="00A409CF" w:rsidRDefault="00A409CF" w:rsidP="00A409CF">
            <w:pPr>
              <w:jc w:val="right"/>
              <w:rPr>
                <w:rFonts w:eastAsia="Times New Roman" w:cs="Arial"/>
                <w:color w:val="000000"/>
                <w:sz w:val="16"/>
                <w:szCs w:val="16"/>
                <w:lang w:val="en-GB" w:eastAsia="en-GB"/>
              </w:rPr>
            </w:pPr>
          </w:p>
        </w:tc>
        <w:tc>
          <w:tcPr>
            <w:tcW w:w="1853" w:type="dxa"/>
            <w:tcBorders>
              <w:top w:val="nil"/>
              <w:left w:val="nil"/>
              <w:bottom w:val="nil"/>
              <w:right w:val="nil"/>
            </w:tcBorders>
            <w:shd w:val="clear" w:color="auto" w:fill="auto"/>
            <w:vAlign w:val="center"/>
            <w:hideMark/>
          </w:tcPr>
          <w:p w14:paraId="34CA6482" w14:textId="77777777" w:rsidR="00A409CF" w:rsidRPr="004C5C6D" w:rsidRDefault="00EF0DFA" w:rsidP="00A409CF">
            <w:pPr>
              <w:jc w:val="right"/>
              <w:rPr>
                <w:rFonts w:eastAsia="Times New Roman" w:cs="Arial"/>
                <w:bCs/>
                <w:color w:val="000000"/>
                <w:sz w:val="16"/>
                <w:szCs w:val="16"/>
                <w:lang w:val="en-GB" w:eastAsia="en-GB"/>
              </w:rPr>
            </w:pPr>
            <w:r w:rsidRPr="004C5C6D">
              <w:rPr>
                <w:rFonts w:eastAsia="Times New Roman" w:cs="Arial"/>
                <w:bCs/>
                <w:color w:val="000000"/>
                <w:sz w:val="16"/>
                <w:szCs w:val="16"/>
                <w:lang w:val="en-GB" w:eastAsia="en-GB"/>
              </w:rPr>
              <w:t>2,602</w:t>
            </w:r>
            <w:r w:rsidR="00A409CF" w:rsidRPr="004C5C6D">
              <w:rPr>
                <w:rFonts w:eastAsia="Times New Roman" w:cs="Arial"/>
                <w:bCs/>
                <w:color w:val="000000"/>
                <w:sz w:val="16"/>
                <w:szCs w:val="16"/>
                <w:lang w:val="en-GB" w:eastAsia="en-GB"/>
              </w:rPr>
              <w:t xml:space="preserve">  </w:t>
            </w:r>
          </w:p>
        </w:tc>
      </w:tr>
      <w:tr w:rsidR="00A409CF" w:rsidRPr="00A409CF" w14:paraId="4DEBFA95" w14:textId="77777777" w:rsidTr="00ED7D71">
        <w:trPr>
          <w:trHeight w:val="210"/>
          <w:jc w:val="center"/>
        </w:trPr>
        <w:tc>
          <w:tcPr>
            <w:tcW w:w="4820" w:type="dxa"/>
            <w:gridSpan w:val="2"/>
            <w:tcBorders>
              <w:top w:val="nil"/>
              <w:left w:val="nil"/>
              <w:bottom w:val="nil"/>
              <w:right w:val="nil"/>
            </w:tcBorders>
            <w:shd w:val="clear" w:color="auto" w:fill="auto"/>
            <w:vAlign w:val="center"/>
            <w:hideMark/>
          </w:tcPr>
          <w:p w14:paraId="3DF4D9AA" w14:textId="77777777" w:rsidR="00A409CF" w:rsidRPr="00A409CF" w:rsidRDefault="00A409CF" w:rsidP="00A409CF">
            <w:pPr>
              <w:rPr>
                <w:rFonts w:eastAsia="Times New Roman" w:cs="Arial"/>
                <w:color w:val="000000"/>
                <w:sz w:val="16"/>
                <w:szCs w:val="16"/>
                <w:lang w:val="en-GB" w:eastAsia="en-GB"/>
              </w:rPr>
            </w:pPr>
            <w:r w:rsidRPr="00A409CF">
              <w:rPr>
                <w:rFonts w:eastAsia="Times New Roman" w:cs="Arial"/>
                <w:color w:val="000000"/>
                <w:sz w:val="16"/>
                <w:szCs w:val="16"/>
                <w:lang w:val="en-GB" w:eastAsia="en-GB"/>
              </w:rPr>
              <w:t>Depreciation written out to Revenue</w:t>
            </w:r>
          </w:p>
        </w:tc>
        <w:tc>
          <w:tcPr>
            <w:tcW w:w="1188" w:type="dxa"/>
            <w:tcBorders>
              <w:top w:val="nil"/>
              <w:left w:val="nil"/>
              <w:bottom w:val="nil"/>
              <w:right w:val="nil"/>
            </w:tcBorders>
            <w:shd w:val="clear" w:color="auto" w:fill="auto"/>
            <w:vAlign w:val="center"/>
            <w:hideMark/>
          </w:tcPr>
          <w:p w14:paraId="754F3675" w14:textId="77777777" w:rsidR="00A409CF" w:rsidRPr="00A409CF" w:rsidRDefault="00A409CF" w:rsidP="00A409CF">
            <w:pPr>
              <w:jc w:val="right"/>
              <w:rPr>
                <w:rFonts w:eastAsia="Times New Roman" w:cs="Arial"/>
                <w:color w:val="000000"/>
                <w:sz w:val="16"/>
                <w:szCs w:val="16"/>
                <w:lang w:val="en-GB" w:eastAsia="en-GB"/>
              </w:rPr>
            </w:pPr>
            <w:r w:rsidRPr="00A409CF">
              <w:rPr>
                <w:rFonts w:eastAsia="Times New Roman" w:cs="Arial"/>
                <w:color w:val="000000"/>
                <w:sz w:val="16"/>
                <w:szCs w:val="16"/>
                <w:lang w:val="en-GB" w:eastAsia="en-GB"/>
              </w:rPr>
              <w:t xml:space="preserve">  </w:t>
            </w:r>
          </w:p>
        </w:tc>
        <w:tc>
          <w:tcPr>
            <w:tcW w:w="1936" w:type="dxa"/>
            <w:tcBorders>
              <w:top w:val="nil"/>
              <w:left w:val="nil"/>
              <w:bottom w:val="nil"/>
              <w:right w:val="nil"/>
            </w:tcBorders>
            <w:shd w:val="clear" w:color="auto" w:fill="auto"/>
            <w:vAlign w:val="center"/>
            <w:hideMark/>
          </w:tcPr>
          <w:p w14:paraId="7AE90F53" w14:textId="77777777" w:rsidR="00A409CF" w:rsidRPr="00A409CF" w:rsidRDefault="00A409CF" w:rsidP="00A409CF">
            <w:pPr>
              <w:jc w:val="right"/>
              <w:rPr>
                <w:rFonts w:eastAsia="Times New Roman" w:cs="Arial"/>
                <w:color w:val="000000"/>
                <w:sz w:val="16"/>
                <w:szCs w:val="16"/>
                <w:lang w:val="en-GB" w:eastAsia="en-GB"/>
              </w:rPr>
            </w:pPr>
          </w:p>
        </w:tc>
        <w:tc>
          <w:tcPr>
            <w:tcW w:w="2082" w:type="dxa"/>
            <w:tcBorders>
              <w:top w:val="nil"/>
              <w:left w:val="nil"/>
              <w:bottom w:val="nil"/>
              <w:right w:val="nil"/>
            </w:tcBorders>
            <w:shd w:val="clear" w:color="auto" w:fill="auto"/>
            <w:vAlign w:val="center"/>
            <w:hideMark/>
          </w:tcPr>
          <w:p w14:paraId="59FDE7D9" w14:textId="77777777" w:rsidR="00A409CF" w:rsidRPr="00A409CF" w:rsidRDefault="00A409CF" w:rsidP="00A409CF">
            <w:pPr>
              <w:jc w:val="right"/>
              <w:rPr>
                <w:rFonts w:eastAsia="Times New Roman" w:cs="Arial"/>
                <w:color w:val="000000"/>
                <w:sz w:val="16"/>
                <w:szCs w:val="16"/>
                <w:lang w:val="en-GB" w:eastAsia="en-GB"/>
              </w:rPr>
            </w:pPr>
            <w:r w:rsidRPr="00A409CF">
              <w:rPr>
                <w:rFonts w:eastAsia="Times New Roman" w:cs="Arial"/>
                <w:color w:val="000000"/>
                <w:sz w:val="16"/>
                <w:szCs w:val="16"/>
                <w:lang w:val="en-GB" w:eastAsia="en-GB"/>
              </w:rPr>
              <w:t xml:space="preserve">164  </w:t>
            </w:r>
          </w:p>
        </w:tc>
        <w:tc>
          <w:tcPr>
            <w:tcW w:w="2309" w:type="dxa"/>
            <w:tcBorders>
              <w:top w:val="nil"/>
              <w:left w:val="nil"/>
              <w:bottom w:val="nil"/>
              <w:right w:val="nil"/>
            </w:tcBorders>
            <w:shd w:val="clear" w:color="auto" w:fill="auto"/>
            <w:vAlign w:val="center"/>
            <w:hideMark/>
          </w:tcPr>
          <w:p w14:paraId="7CB4640B" w14:textId="77777777" w:rsidR="00A409CF" w:rsidRPr="00A409CF" w:rsidRDefault="00A409CF" w:rsidP="00A409CF">
            <w:pPr>
              <w:jc w:val="right"/>
              <w:rPr>
                <w:rFonts w:eastAsia="Times New Roman" w:cs="Arial"/>
                <w:color w:val="000000"/>
                <w:sz w:val="16"/>
                <w:szCs w:val="16"/>
                <w:lang w:val="en-GB" w:eastAsia="en-GB"/>
              </w:rPr>
            </w:pPr>
          </w:p>
        </w:tc>
        <w:tc>
          <w:tcPr>
            <w:tcW w:w="1853" w:type="dxa"/>
            <w:tcBorders>
              <w:top w:val="nil"/>
              <w:left w:val="nil"/>
              <w:bottom w:val="nil"/>
              <w:right w:val="nil"/>
            </w:tcBorders>
            <w:shd w:val="clear" w:color="auto" w:fill="auto"/>
            <w:vAlign w:val="center"/>
            <w:hideMark/>
          </w:tcPr>
          <w:p w14:paraId="2F6EEFA3" w14:textId="77777777" w:rsidR="00A409CF" w:rsidRPr="004C5C6D" w:rsidRDefault="00EF0DFA" w:rsidP="00A409CF">
            <w:pPr>
              <w:jc w:val="right"/>
              <w:rPr>
                <w:rFonts w:eastAsia="Times New Roman" w:cs="Arial"/>
                <w:bCs/>
                <w:color w:val="000000"/>
                <w:sz w:val="16"/>
                <w:szCs w:val="16"/>
                <w:lang w:val="en-GB" w:eastAsia="en-GB"/>
              </w:rPr>
            </w:pPr>
            <w:r w:rsidRPr="004C5C6D">
              <w:rPr>
                <w:rFonts w:eastAsia="Times New Roman" w:cs="Arial"/>
                <w:bCs/>
                <w:color w:val="000000"/>
                <w:sz w:val="16"/>
                <w:szCs w:val="16"/>
                <w:lang w:val="en-GB" w:eastAsia="en-GB"/>
              </w:rPr>
              <w:t>164</w:t>
            </w:r>
            <w:r w:rsidR="00A409CF" w:rsidRPr="004C5C6D">
              <w:rPr>
                <w:rFonts w:eastAsia="Times New Roman" w:cs="Arial"/>
                <w:bCs/>
                <w:color w:val="000000"/>
                <w:sz w:val="16"/>
                <w:szCs w:val="16"/>
                <w:lang w:val="en-GB" w:eastAsia="en-GB"/>
              </w:rPr>
              <w:t xml:space="preserve">  </w:t>
            </w:r>
          </w:p>
        </w:tc>
      </w:tr>
      <w:tr w:rsidR="00A409CF" w:rsidRPr="00A409CF" w14:paraId="4044A617" w14:textId="77777777" w:rsidTr="00ED7D71">
        <w:trPr>
          <w:trHeight w:val="175"/>
          <w:jc w:val="center"/>
        </w:trPr>
        <w:tc>
          <w:tcPr>
            <w:tcW w:w="4820" w:type="dxa"/>
            <w:gridSpan w:val="2"/>
            <w:tcBorders>
              <w:top w:val="nil"/>
              <w:left w:val="nil"/>
              <w:bottom w:val="nil"/>
              <w:right w:val="nil"/>
            </w:tcBorders>
            <w:shd w:val="clear" w:color="auto" w:fill="auto"/>
            <w:vAlign w:val="center"/>
            <w:hideMark/>
          </w:tcPr>
          <w:p w14:paraId="70F91312" w14:textId="1B0E23B9" w:rsidR="00A409CF" w:rsidRPr="00A409CF" w:rsidRDefault="00A409CF" w:rsidP="00A409CF">
            <w:pPr>
              <w:rPr>
                <w:rFonts w:eastAsia="Times New Roman" w:cs="Arial"/>
                <w:color w:val="000000"/>
                <w:sz w:val="16"/>
                <w:szCs w:val="16"/>
                <w:lang w:val="en-GB" w:eastAsia="en-GB"/>
              </w:rPr>
            </w:pPr>
            <w:r w:rsidRPr="00A409CF">
              <w:rPr>
                <w:rFonts w:eastAsia="Times New Roman" w:cs="Arial"/>
                <w:color w:val="000000"/>
                <w:sz w:val="16"/>
                <w:szCs w:val="16"/>
                <w:lang w:val="en-GB" w:eastAsia="en-GB"/>
              </w:rPr>
              <w:t>De</w:t>
            </w:r>
            <w:r w:rsidR="0065271E">
              <w:rPr>
                <w:rFonts w:eastAsia="Times New Roman" w:cs="Arial"/>
                <w:color w:val="000000"/>
                <w:sz w:val="16"/>
                <w:szCs w:val="16"/>
                <w:lang w:val="en-GB" w:eastAsia="en-GB"/>
              </w:rPr>
              <w:t>-</w:t>
            </w:r>
            <w:r w:rsidRPr="00A409CF">
              <w:rPr>
                <w:rFonts w:eastAsia="Times New Roman" w:cs="Arial"/>
                <w:color w:val="000000"/>
                <w:sz w:val="16"/>
                <w:szCs w:val="16"/>
                <w:lang w:val="en-GB" w:eastAsia="en-GB"/>
              </w:rPr>
              <w:t>recognition – disposals</w:t>
            </w:r>
          </w:p>
        </w:tc>
        <w:tc>
          <w:tcPr>
            <w:tcW w:w="1188" w:type="dxa"/>
            <w:tcBorders>
              <w:top w:val="nil"/>
              <w:left w:val="nil"/>
              <w:bottom w:val="nil"/>
              <w:right w:val="nil"/>
            </w:tcBorders>
            <w:shd w:val="clear" w:color="auto" w:fill="auto"/>
            <w:vAlign w:val="center"/>
            <w:hideMark/>
          </w:tcPr>
          <w:p w14:paraId="1E5D9DCA" w14:textId="77777777" w:rsidR="00A409CF" w:rsidRPr="00A409CF" w:rsidRDefault="00A409CF" w:rsidP="00A409CF">
            <w:pPr>
              <w:jc w:val="right"/>
              <w:rPr>
                <w:rFonts w:eastAsia="Times New Roman" w:cs="Arial"/>
                <w:color w:val="000000"/>
                <w:sz w:val="16"/>
                <w:szCs w:val="16"/>
                <w:lang w:val="en-GB" w:eastAsia="en-GB"/>
              </w:rPr>
            </w:pPr>
            <w:r w:rsidRPr="00A409CF">
              <w:rPr>
                <w:rFonts w:eastAsia="Times New Roman" w:cs="Arial"/>
                <w:color w:val="000000"/>
                <w:sz w:val="16"/>
                <w:szCs w:val="16"/>
                <w:lang w:val="en-GB" w:eastAsia="en-GB"/>
              </w:rPr>
              <w:t xml:space="preserve">57  </w:t>
            </w:r>
          </w:p>
        </w:tc>
        <w:tc>
          <w:tcPr>
            <w:tcW w:w="1936" w:type="dxa"/>
            <w:tcBorders>
              <w:top w:val="nil"/>
              <w:left w:val="nil"/>
              <w:bottom w:val="nil"/>
              <w:right w:val="nil"/>
            </w:tcBorders>
            <w:shd w:val="clear" w:color="auto" w:fill="auto"/>
            <w:vAlign w:val="center"/>
            <w:hideMark/>
          </w:tcPr>
          <w:p w14:paraId="087B18CA" w14:textId="77777777" w:rsidR="00A409CF" w:rsidRPr="00A409CF" w:rsidRDefault="00A409CF" w:rsidP="00A409CF">
            <w:pPr>
              <w:jc w:val="right"/>
              <w:rPr>
                <w:rFonts w:eastAsia="Times New Roman" w:cs="Arial"/>
                <w:color w:val="000000"/>
                <w:sz w:val="16"/>
                <w:szCs w:val="16"/>
                <w:lang w:val="en-GB" w:eastAsia="en-GB"/>
              </w:rPr>
            </w:pPr>
            <w:r w:rsidRPr="00A409CF">
              <w:rPr>
                <w:rFonts w:eastAsia="Times New Roman" w:cs="Arial"/>
                <w:color w:val="000000"/>
                <w:sz w:val="16"/>
                <w:szCs w:val="16"/>
                <w:lang w:val="en-GB" w:eastAsia="en-GB"/>
              </w:rPr>
              <w:t xml:space="preserve">15,639  </w:t>
            </w:r>
          </w:p>
        </w:tc>
        <w:tc>
          <w:tcPr>
            <w:tcW w:w="2082" w:type="dxa"/>
            <w:tcBorders>
              <w:top w:val="nil"/>
              <w:left w:val="nil"/>
              <w:bottom w:val="nil"/>
              <w:right w:val="nil"/>
            </w:tcBorders>
            <w:shd w:val="clear" w:color="auto" w:fill="auto"/>
            <w:vAlign w:val="center"/>
            <w:hideMark/>
          </w:tcPr>
          <w:p w14:paraId="7572BF04" w14:textId="77777777" w:rsidR="00A409CF" w:rsidRPr="00A409CF" w:rsidRDefault="00A409CF" w:rsidP="00A409CF">
            <w:pPr>
              <w:jc w:val="right"/>
              <w:rPr>
                <w:rFonts w:eastAsia="Times New Roman" w:cs="Arial"/>
                <w:color w:val="000000"/>
                <w:sz w:val="16"/>
                <w:szCs w:val="16"/>
                <w:lang w:val="en-GB" w:eastAsia="en-GB"/>
              </w:rPr>
            </w:pPr>
          </w:p>
        </w:tc>
        <w:tc>
          <w:tcPr>
            <w:tcW w:w="2309" w:type="dxa"/>
            <w:tcBorders>
              <w:top w:val="nil"/>
              <w:left w:val="nil"/>
              <w:bottom w:val="nil"/>
              <w:right w:val="nil"/>
            </w:tcBorders>
            <w:shd w:val="clear" w:color="auto" w:fill="auto"/>
            <w:vAlign w:val="center"/>
            <w:hideMark/>
          </w:tcPr>
          <w:p w14:paraId="4E170127" w14:textId="77777777" w:rsidR="00A409CF" w:rsidRPr="00A409CF" w:rsidRDefault="00A409CF" w:rsidP="00A409CF">
            <w:pPr>
              <w:jc w:val="right"/>
              <w:rPr>
                <w:rFonts w:ascii="Times New Roman" w:eastAsia="Times New Roman" w:hAnsi="Times New Roman" w:cs="Times New Roman"/>
                <w:sz w:val="20"/>
                <w:szCs w:val="20"/>
                <w:lang w:val="en-GB" w:eastAsia="en-GB"/>
              </w:rPr>
            </w:pPr>
          </w:p>
        </w:tc>
        <w:tc>
          <w:tcPr>
            <w:tcW w:w="1853" w:type="dxa"/>
            <w:tcBorders>
              <w:top w:val="nil"/>
              <w:left w:val="nil"/>
              <w:bottom w:val="nil"/>
              <w:right w:val="nil"/>
            </w:tcBorders>
            <w:shd w:val="clear" w:color="auto" w:fill="auto"/>
            <w:vAlign w:val="center"/>
            <w:hideMark/>
          </w:tcPr>
          <w:p w14:paraId="63940304" w14:textId="77777777" w:rsidR="00A409CF" w:rsidRPr="004C5C6D" w:rsidRDefault="00A409CF" w:rsidP="00A409CF">
            <w:pPr>
              <w:jc w:val="right"/>
              <w:rPr>
                <w:rFonts w:eastAsia="Times New Roman" w:cs="Arial"/>
                <w:bCs/>
                <w:color w:val="000000"/>
                <w:sz w:val="16"/>
                <w:szCs w:val="16"/>
                <w:lang w:val="en-GB" w:eastAsia="en-GB"/>
              </w:rPr>
            </w:pPr>
            <w:r w:rsidRPr="004C5C6D">
              <w:rPr>
                <w:rFonts w:eastAsia="Times New Roman" w:cs="Arial"/>
                <w:bCs/>
                <w:color w:val="000000"/>
                <w:sz w:val="16"/>
                <w:szCs w:val="16"/>
                <w:lang w:val="en-GB" w:eastAsia="en-GB"/>
              </w:rPr>
              <w:t xml:space="preserve">15,696  </w:t>
            </w:r>
          </w:p>
        </w:tc>
      </w:tr>
      <w:tr w:rsidR="00A409CF" w:rsidRPr="00A409CF" w14:paraId="36AF4586" w14:textId="77777777" w:rsidTr="00ED7D71">
        <w:trPr>
          <w:trHeight w:val="223"/>
          <w:jc w:val="center"/>
        </w:trPr>
        <w:tc>
          <w:tcPr>
            <w:tcW w:w="4820" w:type="dxa"/>
            <w:gridSpan w:val="2"/>
            <w:tcBorders>
              <w:top w:val="nil"/>
              <w:left w:val="nil"/>
              <w:bottom w:val="nil"/>
              <w:right w:val="nil"/>
            </w:tcBorders>
            <w:shd w:val="clear" w:color="auto" w:fill="auto"/>
            <w:vAlign w:val="center"/>
            <w:hideMark/>
          </w:tcPr>
          <w:p w14:paraId="5E3E91D8" w14:textId="77777777" w:rsidR="00A409CF" w:rsidRPr="00A409CF" w:rsidRDefault="00A409CF" w:rsidP="00A409CF">
            <w:pPr>
              <w:rPr>
                <w:rFonts w:eastAsia="Times New Roman" w:cs="Arial"/>
                <w:color w:val="000000"/>
                <w:sz w:val="16"/>
                <w:szCs w:val="16"/>
                <w:lang w:val="en-GB" w:eastAsia="en-GB"/>
              </w:rPr>
            </w:pPr>
            <w:r w:rsidRPr="00A409CF">
              <w:rPr>
                <w:rFonts w:eastAsia="Times New Roman" w:cs="Arial"/>
                <w:color w:val="000000"/>
                <w:sz w:val="16"/>
                <w:szCs w:val="16"/>
                <w:lang w:val="en-GB" w:eastAsia="en-GB"/>
              </w:rPr>
              <w:t>Reclassifications and transfers</w:t>
            </w:r>
          </w:p>
        </w:tc>
        <w:tc>
          <w:tcPr>
            <w:tcW w:w="1188" w:type="dxa"/>
            <w:tcBorders>
              <w:top w:val="nil"/>
              <w:left w:val="nil"/>
              <w:bottom w:val="nil"/>
              <w:right w:val="nil"/>
            </w:tcBorders>
            <w:shd w:val="clear" w:color="auto" w:fill="auto"/>
            <w:vAlign w:val="center"/>
            <w:hideMark/>
          </w:tcPr>
          <w:p w14:paraId="216DF438" w14:textId="77777777" w:rsidR="00A409CF" w:rsidRPr="00A409CF" w:rsidRDefault="00A409CF" w:rsidP="00A409CF">
            <w:pPr>
              <w:rPr>
                <w:rFonts w:eastAsia="Times New Roman" w:cs="Arial"/>
                <w:color w:val="000000"/>
                <w:sz w:val="16"/>
                <w:szCs w:val="16"/>
                <w:lang w:val="en-GB" w:eastAsia="en-GB"/>
              </w:rPr>
            </w:pPr>
          </w:p>
        </w:tc>
        <w:tc>
          <w:tcPr>
            <w:tcW w:w="1936" w:type="dxa"/>
            <w:tcBorders>
              <w:top w:val="nil"/>
              <w:left w:val="nil"/>
              <w:bottom w:val="nil"/>
              <w:right w:val="nil"/>
            </w:tcBorders>
            <w:shd w:val="clear" w:color="auto" w:fill="auto"/>
            <w:vAlign w:val="center"/>
            <w:hideMark/>
          </w:tcPr>
          <w:p w14:paraId="123EDFA3" w14:textId="77777777" w:rsidR="00A409CF" w:rsidRPr="00A409CF" w:rsidRDefault="00A409CF" w:rsidP="00A409CF">
            <w:pPr>
              <w:jc w:val="right"/>
              <w:rPr>
                <w:rFonts w:eastAsia="Times New Roman" w:cs="Arial"/>
                <w:color w:val="000000"/>
                <w:sz w:val="16"/>
                <w:szCs w:val="16"/>
                <w:lang w:val="en-GB" w:eastAsia="en-GB"/>
              </w:rPr>
            </w:pPr>
            <w:r w:rsidRPr="00A409CF">
              <w:rPr>
                <w:rFonts w:eastAsia="Times New Roman" w:cs="Arial"/>
                <w:color w:val="000000"/>
                <w:sz w:val="16"/>
                <w:szCs w:val="16"/>
                <w:lang w:val="en-GB" w:eastAsia="en-GB"/>
              </w:rPr>
              <w:t xml:space="preserve">7  </w:t>
            </w:r>
          </w:p>
        </w:tc>
        <w:tc>
          <w:tcPr>
            <w:tcW w:w="2082" w:type="dxa"/>
            <w:tcBorders>
              <w:top w:val="nil"/>
              <w:left w:val="nil"/>
              <w:bottom w:val="nil"/>
              <w:right w:val="nil"/>
            </w:tcBorders>
            <w:shd w:val="clear" w:color="auto" w:fill="auto"/>
            <w:vAlign w:val="center"/>
            <w:hideMark/>
          </w:tcPr>
          <w:p w14:paraId="11163B25" w14:textId="77777777" w:rsidR="00A409CF" w:rsidRPr="00A409CF" w:rsidRDefault="00A409CF" w:rsidP="00A409CF">
            <w:pPr>
              <w:jc w:val="right"/>
              <w:rPr>
                <w:rFonts w:eastAsia="Times New Roman" w:cs="Arial"/>
                <w:color w:val="000000"/>
                <w:sz w:val="16"/>
                <w:szCs w:val="16"/>
                <w:lang w:val="en-GB" w:eastAsia="en-GB"/>
              </w:rPr>
            </w:pPr>
          </w:p>
        </w:tc>
        <w:tc>
          <w:tcPr>
            <w:tcW w:w="2309" w:type="dxa"/>
            <w:tcBorders>
              <w:top w:val="nil"/>
              <w:left w:val="nil"/>
              <w:bottom w:val="nil"/>
              <w:right w:val="nil"/>
            </w:tcBorders>
            <w:shd w:val="clear" w:color="auto" w:fill="auto"/>
            <w:vAlign w:val="center"/>
            <w:hideMark/>
          </w:tcPr>
          <w:p w14:paraId="1CE7C67F" w14:textId="77777777" w:rsidR="00A409CF" w:rsidRPr="00A409CF" w:rsidRDefault="00A409CF" w:rsidP="00A409CF">
            <w:pPr>
              <w:jc w:val="right"/>
              <w:rPr>
                <w:rFonts w:ascii="Times New Roman" w:eastAsia="Times New Roman" w:hAnsi="Times New Roman" w:cs="Times New Roman"/>
                <w:sz w:val="20"/>
                <w:szCs w:val="20"/>
                <w:lang w:val="en-GB" w:eastAsia="en-GB"/>
              </w:rPr>
            </w:pPr>
          </w:p>
        </w:tc>
        <w:tc>
          <w:tcPr>
            <w:tcW w:w="1853" w:type="dxa"/>
            <w:tcBorders>
              <w:top w:val="nil"/>
              <w:left w:val="nil"/>
              <w:bottom w:val="nil"/>
              <w:right w:val="nil"/>
            </w:tcBorders>
            <w:shd w:val="clear" w:color="auto" w:fill="auto"/>
            <w:vAlign w:val="center"/>
            <w:hideMark/>
          </w:tcPr>
          <w:p w14:paraId="02B6B7A1" w14:textId="77777777" w:rsidR="00A409CF" w:rsidRPr="004C5C6D" w:rsidRDefault="00A409CF" w:rsidP="00A409CF">
            <w:pPr>
              <w:jc w:val="right"/>
              <w:rPr>
                <w:rFonts w:eastAsia="Times New Roman" w:cs="Arial"/>
                <w:bCs/>
                <w:color w:val="000000"/>
                <w:sz w:val="16"/>
                <w:szCs w:val="16"/>
                <w:lang w:val="en-GB" w:eastAsia="en-GB"/>
              </w:rPr>
            </w:pPr>
            <w:r w:rsidRPr="004C5C6D">
              <w:rPr>
                <w:rFonts w:eastAsia="Times New Roman" w:cs="Arial"/>
                <w:bCs/>
                <w:color w:val="000000"/>
                <w:sz w:val="16"/>
                <w:szCs w:val="16"/>
                <w:lang w:val="en-GB" w:eastAsia="en-GB"/>
              </w:rPr>
              <w:t xml:space="preserve">7  </w:t>
            </w:r>
          </w:p>
        </w:tc>
      </w:tr>
      <w:tr w:rsidR="00A409CF" w:rsidRPr="00A409CF" w14:paraId="685CAF5F" w14:textId="77777777" w:rsidTr="00ED7D71">
        <w:trPr>
          <w:trHeight w:val="180"/>
          <w:jc w:val="center"/>
        </w:trPr>
        <w:tc>
          <w:tcPr>
            <w:tcW w:w="4820" w:type="dxa"/>
            <w:gridSpan w:val="2"/>
            <w:tcBorders>
              <w:top w:val="nil"/>
              <w:left w:val="nil"/>
              <w:bottom w:val="nil"/>
              <w:right w:val="nil"/>
            </w:tcBorders>
            <w:shd w:val="clear" w:color="auto" w:fill="auto"/>
            <w:vAlign w:val="center"/>
            <w:hideMark/>
          </w:tcPr>
          <w:p w14:paraId="7D0AFBB2" w14:textId="77777777" w:rsidR="00A409CF" w:rsidRPr="00A409CF" w:rsidRDefault="00A409CF" w:rsidP="00A409CF">
            <w:pPr>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at 31 March 2021</w:t>
            </w:r>
          </w:p>
        </w:tc>
        <w:tc>
          <w:tcPr>
            <w:tcW w:w="1188" w:type="dxa"/>
            <w:tcBorders>
              <w:top w:val="single" w:sz="8" w:space="0" w:color="000000"/>
              <w:left w:val="nil"/>
              <w:bottom w:val="nil"/>
              <w:right w:val="nil"/>
            </w:tcBorders>
            <w:shd w:val="clear" w:color="auto" w:fill="auto"/>
            <w:vAlign w:val="center"/>
            <w:hideMark/>
          </w:tcPr>
          <w:p w14:paraId="2966E097" w14:textId="77777777" w:rsidR="00A409CF" w:rsidRPr="00A409CF" w:rsidRDefault="00EF0DFA" w:rsidP="00A409CF">
            <w:pPr>
              <w:jc w:val="right"/>
              <w:rPr>
                <w:rFonts w:eastAsia="Times New Roman" w:cs="Arial"/>
                <w:b/>
                <w:bCs/>
                <w:color w:val="000000"/>
                <w:sz w:val="16"/>
                <w:szCs w:val="16"/>
                <w:lang w:val="en-GB" w:eastAsia="en-GB"/>
              </w:rPr>
            </w:pPr>
            <w:r>
              <w:rPr>
                <w:rFonts w:eastAsia="Times New Roman" w:cs="Arial"/>
                <w:b/>
                <w:bCs/>
                <w:color w:val="000000"/>
                <w:sz w:val="16"/>
                <w:szCs w:val="16"/>
                <w:lang w:val="en-GB" w:eastAsia="en-GB"/>
              </w:rPr>
              <w:t>(388</w:t>
            </w:r>
            <w:r w:rsidR="00A409CF" w:rsidRPr="00A409CF">
              <w:rPr>
                <w:rFonts w:eastAsia="Times New Roman" w:cs="Arial"/>
                <w:b/>
                <w:bCs/>
                <w:color w:val="000000"/>
                <w:sz w:val="16"/>
                <w:szCs w:val="16"/>
                <w:lang w:val="en-GB" w:eastAsia="en-GB"/>
              </w:rPr>
              <w:t xml:space="preserve">) </w:t>
            </w:r>
          </w:p>
        </w:tc>
        <w:tc>
          <w:tcPr>
            <w:tcW w:w="1936" w:type="dxa"/>
            <w:tcBorders>
              <w:top w:val="single" w:sz="8" w:space="0" w:color="000000"/>
              <w:left w:val="nil"/>
              <w:bottom w:val="nil"/>
              <w:right w:val="nil"/>
            </w:tcBorders>
            <w:shd w:val="clear" w:color="auto" w:fill="auto"/>
            <w:vAlign w:val="center"/>
            <w:hideMark/>
          </w:tcPr>
          <w:p w14:paraId="6AC2BD52"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(22,210) </w:t>
            </w:r>
          </w:p>
        </w:tc>
        <w:tc>
          <w:tcPr>
            <w:tcW w:w="2082" w:type="dxa"/>
            <w:tcBorders>
              <w:top w:val="single" w:sz="8" w:space="0" w:color="000000"/>
              <w:left w:val="nil"/>
              <w:bottom w:val="nil"/>
              <w:right w:val="nil"/>
            </w:tcBorders>
            <w:shd w:val="clear" w:color="auto" w:fill="auto"/>
            <w:vAlign w:val="center"/>
            <w:hideMark/>
          </w:tcPr>
          <w:p w14:paraId="4BE5E308" w14:textId="77777777" w:rsidR="00A409CF" w:rsidRPr="00A409CF" w:rsidRDefault="00EF0DFA" w:rsidP="00A409CF">
            <w:pPr>
              <w:jc w:val="right"/>
              <w:rPr>
                <w:rFonts w:eastAsia="Times New Roman" w:cs="Arial"/>
                <w:b/>
                <w:bCs/>
                <w:color w:val="000000"/>
                <w:sz w:val="16"/>
                <w:szCs w:val="16"/>
                <w:lang w:val="en-GB" w:eastAsia="en-GB"/>
              </w:rPr>
            </w:pPr>
            <w:r>
              <w:rPr>
                <w:rFonts w:eastAsia="Times New Roman" w:cs="Arial"/>
                <w:b/>
                <w:bCs/>
                <w:color w:val="000000"/>
                <w:sz w:val="16"/>
                <w:szCs w:val="16"/>
                <w:lang w:val="en-GB" w:eastAsia="en-GB"/>
              </w:rPr>
              <w:t>(47</w:t>
            </w:r>
            <w:r w:rsidR="00A409CF" w:rsidRPr="00A409CF">
              <w:rPr>
                <w:rFonts w:eastAsia="Times New Roman" w:cs="Arial"/>
                <w:b/>
                <w:bCs/>
                <w:color w:val="000000"/>
                <w:sz w:val="16"/>
                <w:szCs w:val="16"/>
                <w:lang w:val="en-GB" w:eastAsia="en-GB"/>
              </w:rPr>
              <w:t xml:space="preserve">) </w:t>
            </w:r>
          </w:p>
        </w:tc>
        <w:tc>
          <w:tcPr>
            <w:tcW w:w="2309" w:type="dxa"/>
            <w:tcBorders>
              <w:top w:val="single" w:sz="8" w:space="0" w:color="000000"/>
              <w:left w:val="nil"/>
              <w:bottom w:val="nil"/>
              <w:right w:val="nil"/>
            </w:tcBorders>
            <w:shd w:val="clear" w:color="auto" w:fill="auto"/>
            <w:vAlign w:val="center"/>
            <w:hideMark/>
          </w:tcPr>
          <w:p w14:paraId="4D43877E"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0  </w:t>
            </w:r>
          </w:p>
        </w:tc>
        <w:tc>
          <w:tcPr>
            <w:tcW w:w="1853" w:type="dxa"/>
            <w:tcBorders>
              <w:top w:val="single" w:sz="8" w:space="0" w:color="000000"/>
              <w:left w:val="nil"/>
              <w:bottom w:val="nil"/>
              <w:right w:val="nil"/>
            </w:tcBorders>
            <w:shd w:val="clear" w:color="auto" w:fill="auto"/>
            <w:vAlign w:val="center"/>
            <w:hideMark/>
          </w:tcPr>
          <w:p w14:paraId="32B1C198"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(22,645) </w:t>
            </w:r>
          </w:p>
        </w:tc>
      </w:tr>
      <w:tr w:rsidR="00A409CF" w:rsidRPr="00A409CF" w14:paraId="7EB200B4" w14:textId="77777777" w:rsidTr="00ED7D71">
        <w:trPr>
          <w:trHeight w:val="151"/>
          <w:jc w:val="center"/>
        </w:trPr>
        <w:tc>
          <w:tcPr>
            <w:tcW w:w="4820" w:type="dxa"/>
            <w:gridSpan w:val="2"/>
            <w:tcBorders>
              <w:top w:val="nil"/>
              <w:left w:val="nil"/>
              <w:bottom w:val="nil"/>
              <w:right w:val="nil"/>
            </w:tcBorders>
            <w:shd w:val="clear" w:color="auto" w:fill="auto"/>
            <w:vAlign w:val="center"/>
            <w:hideMark/>
          </w:tcPr>
          <w:p w14:paraId="46C0B078" w14:textId="77777777" w:rsidR="00A409CF" w:rsidRPr="00A409CF" w:rsidRDefault="00A409CF" w:rsidP="00A409CF">
            <w:pPr>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Net Book Value</w:t>
            </w:r>
          </w:p>
        </w:tc>
        <w:tc>
          <w:tcPr>
            <w:tcW w:w="1188" w:type="dxa"/>
            <w:tcBorders>
              <w:top w:val="nil"/>
              <w:left w:val="nil"/>
              <w:bottom w:val="nil"/>
              <w:right w:val="nil"/>
            </w:tcBorders>
            <w:shd w:val="clear" w:color="auto" w:fill="auto"/>
            <w:vAlign w:val="center"/>
            <w:hideMark/>
          </w:tcPr>
          <w:p w14:paraId="693EC714" w14:textId="77777777" w:rsidR="00A409CF" w:rsidRPr="00A409CF" w:rsidRDefault="00A409CF" w:rsidP="00A409CF">
            <w:pPr>
              <w:jc w:val="center"/>
              <w:rPr>
                <w:rFonts w:eastAsia="Times New Roman" w:cs="Arial"/>
                <w:b/>
                <w:bCs/>
                <w:color w:val="000000"/>
                <w:sz w:val="2"/>
                <w:szCs w:val="2"/>
                <w:lang w:val="en-GB" w:eastAsia="en-GB"/>
              </w:rPr>
            </w:pPr>
            <w:r w:rsidRPr="00A409CF">
              <w:rPr>
                <w:rFonts w:eastAsia="Times New Roman" w:cs="Arial"/>
                <w:b/>
                <w:bCs/>
                <w:color w:val="000000"/>
                <w:sz w:val="2"/>
                <w:szCs w:val="2"/>
                <w:lang w:val="en-GB" w:eastAsia="en-GB"/>
              </w:rPr>
              <w:t xml:space="preserve"> </w:t>
            </w:r>
          </w:p>
        </w:tc>
        <w:tc>
          <w:tcPr>
            <w:tcW w:w="1936" w:type="dxa"/>
            <w:tcBorders>
              <w:top w:val="nil"/>
              <w:left w:val="nil"/>
              <w:bottom w:val="nil"/>
              <w:right w:val="nil"/>
            </w:tcBorders>
            <w:shd w:val="clear" w:color="auto" w:fill="auto"/>
            <w:vAlign w:val="center"/>
            <w:hideMark/>
          </w:tcPr>
          <w:p w14:paraId="28684227" w14:textId="77777777" w:rsidR="00A409CF" w:rsidRPr="00A409CF" w:rsidRDefault="00A409CF" w:rsidP="00A409CF">
            <w:pPr>
              <w:jc w:val="center"/>
              <w:rPr>
                <w:rFonts w:eastAsia="Times New Roman" w:cs="Arial"/>
                <w:b/>
                <w:bCs/>
                <w:color w:val="000000"/>
                <w:sz w:val="2"/>
                <w:szCs w:val="2"/>
                <w:lang w:val="en-GB" w:eastAsia="en-GB"/>
              </w:rPr>
            </w:pPr>
            <w:r w:rsidRPr="00A409CF">
              <w:rPr>
                <w:rFonts w:eastAsia="Times New Roman" w:cs="Arial"/>
                <w:b/>
                <w:bCs/>
                <w:color w:val="000000"/>
                <w:sz w:val="2"/>
                <w:szCs w:val="2"/>
                <w:lang w:val="en-GB" w:eastAsia="en-GB"/>
              </w:rPr>
              <w:t xml:space="preserve"> </w:t>
            </w:r>
          </w:p>
        </w:tc>
        <w:tc>
          <w:tcPr>
            <w:tcW w:w="2082" w:type="dxa"/>
            <w:tcBorders>
              <w:top w:val="nil"/>
              <w:left w:val="nil"/>
              <w:bottom w:val="nil"/>
              <w:right w:val="nil"/>
            </w:tcBorders>
            <w:shd w:val="clear" w:color="auto" w:fill="auto"/>
            <w:vAlign w:val="center"/>
            <w:hideMark/>
          </w:tcPr>
          <w:p w14:paraId="42BE9D9F" w14:textId="77777777" w:rsidR="00A409CF" w:rsidRPr="00A409CF" w:rsidRDefault="00A409CF" w:rsidP="00A409CF">
            <w:pPr>
              <w:jc w:val="center"/>
              <w:rPr>
                <w:rFonts w:eastAsia="Times New Roman" w:cs="Arial"/>
                <w:b/>
                <w:bCs/>
                <w:color w:val="000000"/>
                <w:sz w:val="2"/>
                <w:szCs w:val="2"/>
                <w:lang w:val="en-GB" w:eastAsia="en-GB"/>
              </w:rPr>
            </w:pPr>
            <w:r w:rsidRPr="00A409CF">
              <w:rPr>
                <w:rFonts w:eastAsia="Times New Roman" w:cs="Arial"/>
                <w:b/>
                <w:bCs/>
                <w:color w:val="000000"/>
                <w:sz w:val="2"/>
                <w:szCs w:val="2"/>
                <w:lang w:val="en-GB" w:eastAsia="en-GB"/>
              </w:rPr>
              <w:t xml:space="preserve"> </w:t>
            </w:r>
          </w:p>
        </w:tc>
        <w:tc>
          <w:tcPr>
            <w:tcW w:w="2309" w:type="dxa"/>
            <w:tcBorders>
              <w:top w:val="nil"/>
              <w:left w:val="nil"/>
              <w:bottom w:val="nil"/>
              <w:right w:val="nil"/>
            </w:tcBorders>
            <w:shd w:val="clear" w:color="auto" w:fill="auto"/>
            <w:vAlign w:val="center"/>
            <w:hideMark/>
          </w:tcPr>
          <w:p w14:paraId="25B1B33B" w14:textId="77777777" w:rsidR="00A409CF" w:rsidRPr="00A409CF" w:rsidRDefault="00A409CF" w:rsidP="00A409CF">
            <w:pPr>
              <w:jc w:val="center"/>
              <w:rPr>
                <w:rFonts w:eastAsia="Times New Roman" w:cs="Arial"/>
                <w:b/>
                <w:bCs/>
                <w:color w:val="000000"/>
                <w:sz w:val="2"/>
                <w:szCs w:val="2"/>
                <w:lang w:val="en-GB" w:eastAsia="en-GB"/>
              </w:rPr>
            </w:pPr>
            <w:r w:rsidRPr="00A409CF">
              <w:rPr>
                <w:rFonts w:eastAsia="Times New Roman" w:cs="Arial"/>
                <w:b/>
                <w:bCs/>
                <w:color w:val="000000"/>
                <w:sz w:val="2"/>
                <w:szCs w:val="2"/>
                <w:lang w:val="en-GB" w:eastAsia="en-GB"/>
              </w:rPr>
              <w:t xml:space="preserve"> </w:t>
            </w:r>
          </w:p>
        </w:tc>
        <w:tc>
          <w:tcPr>
            <w:tcW w:w="1853" w:type="dxa"/>
            <w:tcBorders>
              <w:top w:val="nil"/>
              <w:left w:val="nil"/>
              <w:bottom w:val="nil"/>
              <w:right w:val="nil"/>
            </w:tcBorders>
            <w:shd w:val="clear" w:color="auto" w:fill="auto"/>
            <w:vAlign w:val="center"/>
            <w:hideMark/>
          </w:tcPr>
          <w:p w14:paraId="2D35A970" w14:textId="77777777" w:rsidR="00A409CF" w:rsidRPr="00A409CF" w:rsidRDefault="00A409CF" w:rsidP="00A409CF">
            <w:pPr>
              <w:jc w:val="center"/>
              <w:rPr>
                <w:rFonts w:eastAsia="Times New Roman" w:cs="Arial"/>
                <w:b/>
                <w:bCs/>
                <w:color w:val="000000"/>
                <w:sz w:val="2"/>
                <w:szCs w:val="2"/>
                <w:lang w:val="en-GB" w:eastAsia="en-GB"/>
              </w:rPr>
            </w:pPr>
            <w:r w:rsidRPr="00A409CF">
              <w:rPr>
                <w:rFonts w:eastAsia="Times New Roman" w:cs="Arial"/>
                <w:b/>
                <w:bCs/>
                <w:color w:val="000000"/>
                <w:sz w:val="2"/>
                <w:szCs w:val="2"/>
                <w:lang w:val="en-GB" w:eastAsia="en-GB"/>
              </w:rPr>
              <w:t xml:space="preserve"> </w:t>
            </w:r>
          </w:p>
        </w:tc>
      </w:tr>
      <w:tr w:rsidR="00A409CF" w:rsidRPr="00A409CF" w14:paraId="2B313F63" w14:textId="77777777" w:rsidTr="00ED7D71">
        <w:trPr>
          <w:trHeight w:val="128"/>
          <w:jc w:val="center"/>
        </w:trPr>
        <w:tc>
          <w:tcPr>
            <w:tcW w:w="4820" w:type="dxa"/>
            <w:gridSpan w:val="2"/>
            <w:tcBorders>
              <w:top w:val="nil"/>
              <w:left w:val="nil"/>
              <w:bottom w:val="nil"/>
              <w:right w:val="nil"/>
            </w:tcBorders>
            <w:shd w:val="clear" w:color="auto" w:fill="auto"/>
            <w:vAlign w:val="center"/>
            <w:hideMark/>
          </w:tcPr>
          <w:p w14:paraId="0DD2037D" w14:textId="77777777" w:rsidR="00A409CF" w:rsidRPr="00A409CF" w:rsidRDefault="00A409CF" w:rsidP="00A409CF">
            <w:pPr>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at 31 March 2021</w:t>
            </w:r>
          </w:p>
        </w:tc>
        <w:tc>
          <w:tcPr>
            <w:tcW w:w="1188" w:type="dxa"/>
            <w:tcBorders>
              <w:top w:val="nil"/>
              <w:left w:val="nil"/>
              <w:bottom w:val="nil"/>
              <w:right w:val="nil"/>
            </w:tcBorders>
            <w:shd w:val="clear" w:color="auto" w:fill="auto"/>
            <w:vAlign w:val="center"/>
            <w:hideMark/>
          </w:tcPr>
          <w:p w14:paraId="4CDC7CE5"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88,443  </w:t>
            </w:r>
          </w:p>
        </w:tc>
        <w:tc>
          <w:tcPr>
            <w:tcW w:w="1936" w:type="dxa"/>
            <w:tcBorders>
              <w:top w:val="nil"/>
              <w:left w:val="nil"/>
              <w:bottom w:val="nil"/>
              <w:right w:val="nil"/>
            </w:tcBorders>
            <w:shd w:val="clear" w:color="auto" w:fill="auto"/>
            <w:vAlign w:val="center"/>
            <w:hideMark/>
          </w:tcPr>
          <w:p w14:paraId="41B036A8" w14:textId="77777777" w:rsidR="00A409CF" w:rsidRPr="00A409CF" w:rsidRDefault="00EF0DFA" w:rsidP="00A409CF">
            <w:pPr>
              <w:jc w:val="right"/>
              <w:rPr>
                <w:rFonts w:eastAsia="Times New Roman" w:cs="Arial"/>
                <w:b/>
                <w:bCs/>
                <w:color w:val="000000"/>
                <w:sz w:val="16"/>
                <w:szCs w:val="16"/>
                <w:lang w:val="en-GB" w:eastAsia="en-GB"/>
              </w:rPr>
            </w:pPr>
            <w:r>
              <w:rPr>
                <w:rFonts w:eastAsia="Times New Roman" w:cs="Arial"/>
                <w:b/>
                <w:bCs/>
                <w:color w:val="000000"/>
                <w:sz w:val="16"/>
                <w:szCs w:val="16"/>
                <w:lang w:val="en-GB" w:eastAsia="en-GB"/>
              </w:rPr>
              <w:t>17,360</w:t>
            </w:r>
            <w:r w:rsidR="00A409CF" w:rsidRPr="00A409CF">
              <w:rPr>
                <w:rFonts w:eastAsia="Times New Roman" w:cs="Arial"/>
                <w:b/>
                <w:bCs/>
                <w:color w:val="000000"/>
                <w:sz w:val="16"/>
                <w:szCs w:val="16"/>
                <w:lang w:val="en-GB" w:eastAsia="en-GB"/>
              </w:rPr>
              <w:t xml:space="preserve">  </w:t>
            </w:r>
          </w:p>
        </w:tc>
        <w:tc>
          <w:tcPr>
            <w:tcW w:w="2082" w:type="dxa"/>
            <w:tcBorders>
              <w:top w:val="nil"/>
              <w:left w:val="nil"/>
              <w:bottom w:val="nil"/>
              <w:right w:val="nil"/>
            </w:tcBorders>
            <w:shd w:val="clear" w:color="auto" w:fill="auto"/>
            <w:vAlign w:val="center"/>
            <w:hideMark/>
          </w:tcPr>
          <w:p w14:paraId="202DA03A" w14:textId="77777777" w:rsidR="00A409CF" w:rsidRPr="00A409CF" w:rsidRDefault="00A409CF" w:rsidP="00EF0DFA">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20,95</w:t>
            </w:r>
            <w:r w:rsidR="00EF0DFA">
              <w:rPr>
                <w:rFonts w:eastAsia="Times New Roman" w:cs="Arial"/>
                <w:b/>
                <w:bCs/>
                <w:color w:val="000000"/>
                <w:sz w:val="16"/>
                <w:szCs w:val="16"/>
                <w:lang w:val="en-GB" w:eastAsia="en-GB"/>
              </w:rPr>
              <w:t>3</w:t>
            </w:r>
            <w:r w:rsidRPr="00A409CF">
              <w:rPr>
                <w:rFonts w:eastAsia="Times New Roman" w:cs="Arial"/>
                <w:b/>
                <w:bCs/>
                <w:color w:val="000000"/>
                <w:sz w:val="16"/>
                <w:szCs w:val="16"/>
                <w:lang w:val="en-GB" w:eastAsia="en-GB"/>
              </w:rPr>
              <w:t xml:space="preserve">  </w:t>
            </w:r>
          </w:p>
        </w:tc>
        <w:tc>
          <w:tcPr>
            <w:tcW w:w="2309" w:type="dxa"/>
            <w:tcBorders>
              <w:top w:val="nil"/>
              <w:left w:val="nil"/>
              <w:bottom w:val="nil"/>
              <w:right w:val="nil"/>
            </w:tcBorders>
            <w:shd w:val="clear" w:color="auto" w:fill="auto"/>
            <w:vAlign w:val="center"/>
            <w:hideMark/>
          </w:tcPr>
          <w:p w14:paraId="116898B4"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4,268  </w:t>
            </w:r>
          </w:p>
        </w:tc>
        <w:tc>
          <w:tcPr>
            <w:tcW w:w="1853" w:type="dxa"/>
            <w:tcBorders>
              <w:top w:val="nil"/>
              <w:left w:val="nil"/>
              <w:bottom w:val="nil"/>
              <w:right w:val="nil"/>
            </w:tcBorders>
            <w:shd w:val="clear" w:color="auto" w:fill="auto"/>
            <w:vAlign w:val="center"/>
            <w:hideMark/>
          </w:tcPr>
          <w:p w14:paraId="74B6FDBD" w14:textId="77777777" w:rsidR="00A409CF" w:rsidRPr="00A409CF" w:rsidRDefault="00EF0DFA" w:rsidP="00A409CF">
            <w:pPr>
              <w:jc w:val="right"/>
              <w:rPr>
                <w:rFonts w:eastAsia="Times New Roman" w:cs="Arial"/>
                <w:b/>
                <w:bCs/>
                <w:color w:val="000000"/>
                <w:sz w:val="16"/>
                <w:szCs w:val="16"/>
                <w:lang w:val="en-GB" w:eastAsia="en-GB"/>
              </w:rPr>
            </w:pPr>
            <w:r>
              <w:rPr>
                <w:rFonts w:eastAsia="Times New Roman" w:cs="Arial"/>
                <w:b/>
                <w:bCs/>
                <w:color w:val="000000"/>
                <w:sz w:val="16"/>
                <w:szCs w:val="16"/>
                <w:lang w:val="en-GB" w:eastAsia="en-GB"/>
              </w:rPr>
              <w:t>131,024</w:t>
            </w:r>
            <w:r w:rsidR="00A409CF" w:rsidRPr="00A409CF">
              <w:rPr>
                <w:rFonts w:eastAsia="Times New Roman" w:cs="Arial"/>
                <w:b/>
                <w:bCs/>
                <w:color w:val="000000"/>
                <w:sz w:val="16"/>
                <w:szCs w:val="16"/>
                <w:lang w:val="en-GB" w:eastAsia="en-GB"/>
              </w:rPr>
              <w:t xml:space="preserve">  </w:t>
            </w:r>
          </w:p>
        </w:tc>
      </w:tr>
      <w:tr w:rsidR="00A409CF" w:rsidRPr="00A409CF" w14:paraId="27FD893B" w14:textId="77777777" w:rsidTr="00ED7D71">
        <w:trPr>
          <w:trHeight w:val="146"/>
          <w:jc w:val="center"/>
        </w:trPr>
        <w:tc>
          <w:tcPr>
            <w:tcW w:w="4820" w:type="dxa"/>
            <w:gridSpan w:val="2"/>
            <w:tcBorders>
              <w:top w:val="nil"/>
              <w:left w:val="nil"/>
              <w:bottom w:val="nil"/>
              <w:right w:val="nil"/>
            </w:tcBorders>
            <w:shd w:val="clear" w:color="auto" w:fill="auto"/>
            <w:vAlign w:val="center"/>
            <w:hideMark/>
          </w:tcPr>
          <w:p w14:paraId="1B597908" w14:textId="77777777" w:rsidR="00A409CF" w:rsidRPr="00A409CF" w:rsidRDefault="00A409CF" w:rsidP="00A409CF">
            <w:pPr>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at 31 March 2020</w:t>
            </w:r>
          </w:p>
        </w:tc>
        <w:tc>
          <w:tcPr>
            <w:tcW w:w="1188" w:type="dxa"/>
            <w:tcBorders>
              <w:top w:val="nil"/>
              <w:left w:val="nil"/>
              <w:bottom w:val="nil"/>
              <w:right w:val="nil"/>
            </w:tcBorders>
            <w:shd w:val="clear" w:color="auto" w:fill="auto"/>
            <w:vAlign w:val="center"/>
            <w:hideMark/>
          </w:tcPr>
          <w:p w14:paraId="5284E6FF"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87,592  </w:t>
            </w:r>
          </w:p>
        </w:tc>
        <w:tc>
          <w:tcPr>
            <w:tcW w:w="1936" w:type="dxa"/>
            <w:tcBorders>
              <w:top w:val="nil"/>
              <w:left w:val="nil"/>
              <w:bottom w:val="nil"/>
              <w:right w:val="nil"/>
            </w:tcBorders>
            <w:shd w:val="clear" w:color="auto" w:fill="auto"/>
            <w:vAlign w:val="center"/>
            <w:hideMark/>
          </w:tcPr>
          <w:p w14:paraId="4F9E9C3A"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10,890  </w:t>
            </w:r>
          </w:p>
        </w:tc>
        <w:tc>
          <w:tcPr>
            <w:tcW w:w="2082" w:type="dxa"/>
            <w:tcBorders>
              <w:top w:val="nil"/>
              <w:left w:val="nil"/>
              <w:bottom w:val="nil"/>
              <w:right w:val="nil"/>
            </w:tcBorders>
            <w:shd w:val="clear" w:color="auto" w:fill="auto"/>
            <w:vAlign w:val="center"/>
            <w:hideMark/>
          </w:tcPr>
          <w:p w14:paraId="12DC43E0"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20,461  </w:t>
            </w:r>
          </w:p>
        </w:tc>
        <w:tc>
          <w:tcPr>
            <w:tcW w:w="2309" w:type="dxa"/>
            <w:tcBorders>
              <w:top w:val="nil"/>
              <w:left w:val="nil"/>
              <w:bottom w:val="nil"/>
              <w:right w:val="nil"/>
            </w:tcBorders>
            <w:shd w:val="clear" w:color="auto" w:fill="auto"/>
            <w:vAlign w:val="center"/>
            <w:hideMark/>
          </w:tcPr>
          <w:p w14:paraId="2724A3F2"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10,585  </w:t>
            </w:r>
          </w:p>
        </w:tc>
        <w:tc>
          <w:tcPr>
            <w:tcW w:w="1853" w:type="dxa"/>
            <w:tcBorders>
              <w:top w:val="nil"/>
              <w:left w:val="nil"/>
              <w:bottom w:val="nil"/>
              <w:right w:val="nil"/>
            </w:tcBorders>
            <w:shd w:val="clear" w:color="auto" w:fill="auto"/>
            <w:vAlign w:val="center"/>
            <w:hideMark/>
          </w:tcPr>
          <w:p w14:paraId="43B23DE6" w14:textId="77777777" w:rsidR="00A409CF" w:rsidRPr="00A409CF" w:rsidRDefault="00A409CF" w:rsidP="00A409CF">
            <w:pPr>
              <w:jc w:val="right"/>
              <w:rPr>
                <w:rFonts w:eastAsia="Times New Roman" w:cs="Arial"/>
                <w:b/>
                <w:bCs/>
                <w:color w:val="000000"/>
                <w:sz w:val="16"/>
                <w:szCs w:val="16"/>
                <w:lang w:val="en-GB" w:eastAsia="en-GB"/>
              </w:rPr>
            </w:pPr>
            <w:r w:rsidRPr="00A409CF">
              <w:rPr>
                <w:rFonts w:eastAsia="Times New Roman" w:cs="Arial"/>
                <w:b/>
                <w:bCs/>
                <w:color w:val="000000"/>
                <w:sz w:val="16"/>
                <w:szCs w:val="16"/>
                <w:lang w:val="en-GB" w:eastAsia="en-GB"/>
              </w:rPr>
              <w:t xml:space="preserve">129,528  </w:t>
            </w:r>
          </w:p>
        </w:tc>
      </w:tr>
    </w:tbl>
    <w:p w14:paraId="04724557" w14:textId="77777777" w:rsidR="004C5C6D" w:rsidRDefault="004C5C6D" w:rsidP="00ED7D71">
      <w:pPr>
        <w:pStyle w:val="Normal0"/>
        <w:spacing w:after="160" w:line="259" w:lineRule="auto"/>
        <w:jc w:val="both"/>
        <w:rPr>
          <w:rFonts w:ascii="Verdana" w:hAnsi="Verdana"/>
          <w:sz w:val="18"/>
          <w:szCs w:val="18"/>
          <w:lang w:val="en-GB"/>
        </w:rPr>
      </w:pPr>
    </w:p>
    <w:p w14:paraId="468BDB6B" w14:textId="77777777" w:rsidR="00ED7D71" w:rsidRPr="00F54EEC" w:rsidRDefault="00ED7D71" w:rsidP="00ED7D71">
      <w:pPr>
        <w:pStyle w:val="Normal0"/>
        <w:spacing w:after="160" w:line="259" w:lineRule="auto"/>
        <w:jc w:val="both"/>
        <w:rPr>
          <w:rFonts w:ascii="Verdana" w:hAnsi="Verdana"/>
          <w:sz w:val="18"/>
          <w:szCs w:val="18"/>
          <w:lang w:val="en-GB"/>
        </w:rPr>
      </w:pPr>
      <w:r w:rsidRPr="00F54EEC">
        <w:rPr>
          <w:rFonts w:ascii="Verdana" w:hAnsi="Verdana"/>
          <w:sz w:val="18"/>
          <w:szCs w:val="18"/>
          <w:lang w:val="en-GB"/>
        </w:rPr>
        <w:t xml:space="preserve">Total downward revaluations of property, plant and equipment recognised in cost of services within the CIES (surplus)/deficit on provision of services is £1.927m. This is made up of cost revaluation increases/(decreases) of (£2.118m) and depreciation written out to revenue of £0.191m. </w:t>
      </w:r>
    </w:p>
    <w:p w14:paraId="7E6D8257" w14:textId="77777777" w:rsidR="00ED7D71" w:rsidRDefault="00ED7D71" w:rsidP="00ED7D71">
      <w:pPr>
        <w:pStyle w:val="Normal0"/>
        <w:spacing w:after="160" w:line="259" w:lineRule="auto"/>
        <w:jc w:val="both"/>
        <w:rPr>
          <w:rFonts w:ascii="Verdana" w:hAnsi="Verdana"/>
          <w:sz w:val="18"/>
          <w:szCs w:val="18"/>
          <w:lang w:val="en-GB"/>
        </w:rPr>
      </w:pPr>
      <w:r w:rsidRPr="00F54EEC">
        <w:rPr>
          <w:rFonts w:ascii="Verdana" w:hAnsi="Verdana"/>
          <w:sz w:val="18"/>
          <w:szCs w:val="18"/>
          <w:lang w:val="en-GB"/>
        </w:rPr>
        <w:t>Total (surplus)/deficit on revaluation of property, plant and equipment recognised in Other CIES is (£</w:t>
      </w:r>
      <w:r>
        <w:rPr>
          <w:rFonts w:ascii="Verdana" w:hAnsi="Verdana"/>
          <w:sz w:val="18"/>
          <w:szCs w:val="18"/>
          <w:lang w:val="en-GB"/>
        </w:rPr>
        <w:t>2</w:t>
      </w:r>
      <w:r w:rsidRPr="00F54EEC">
        <w:rPr>
          <w:rFonts w:ascii="Verdana" w:hAnsi="Verdana"/>
          <w:sz w:val="18"/>
          <w:szCs w:val="18"/>
          <w:lang w:val="en-GB"/>
        </w:rPr>
        <w:t>.</w:t>
      </w:r>
      <w:r>
        <w:rPr>
          <w:rFonts w:ascii="Verdana" w:hAnsi="Verdana"/>
          <w:sz w:val="18"/>
          <w:szCs w:val="18"/>
          <w:lang w:val="en-GB"/>
        </w:rPr>
        <w:t>26</w:t>
      </w:r>
      <w:r w:rsidRPr="00F54EEC">
        <w:rPr>
          <w:rFonts w:ascii="Verdana" w:hAnsi="Verdana"/>
          <w:sz w:val="18"/>
          <w:szCs w:val="18"/>
          <w:lang w:val="en-GB"/>
        </w:rPr>
        <w:t xml:space="preserve">9m). This is made up of cost increases/(decreases) of </w:t>
      </w:r>
      <w:r>
        <w:rPr>
          <w:rFonts w:ascii="Verdana" w:hAnsi="Verdana"/>
          <w:sz w:val="18"/>
          <w:szCs w:val="18"/>
          <w:lang w:val="en-GB"/>
        </w:rPr>
        <w:t>(</w:t>
      </w:r>
      <w:r w:rsidRPr="00F54EEC">
        <w:rPr>
          <w:rFonts w:ascii="Verdana" w:hAnsi="Verdana"/>
          <w:sz w:val="18"/>
          <w:szCs w:val="18"/>
          <w:lang w:val="en-GB"/>
        </w:rPr>
        <w:t>£</w:t>
      </w:r>
      <w:r>
        <w:rPr>
          <w:rFonts w:ascii="Verdana" w:hAnsi="Verdana"/>
          <w:sz w:val="18"/>
          <w:szCs w:val="18"/>
          <w:lang w:val="en-GB"/>
        </w:rPr>
        <w:t>0</w:t>
      </w:r>
      <w:r w:rsidRPr="00F54EEC">
        <w:rPr>
          <w:rFonts w:ascii="Verdana" w:hAnsi="Verdana"/>
          <w:sz w:val="18"/>
          <w:szCs w:val="18"/>
          <w:lang w:val="en-GB"/>
        </w:rPr>
        <w:t>.</w:t>
      </w:r>
      <w:r>
        <w:rPr>
          <w:rFonts w:ascii="Verdana" w:hAnsi="Verdana"/>
          <w:sz w:val="18"/>
          <w:szCs w:val="18"/>
          <w:lang w:val="en-GB"/>
        </w:rPr>
        <w:t>322</w:t>
      </w:r>
      <w:r w:rsidRPr="00F54EEC">
        <w:rPr>
          <w:rFonts w:ascii="Verdana" w:hAnsi="Verdana"/>
          <w:sz w:val="18"/>
          <w:szCs w:val="18"/>
          <w:lang w:val="en-GB"/>
        </w:rPr>
        <w:t>m</w:t>
      </w:r>
      <w:r>
        <w:rPr>
          <w:rFonts w:ascii="Verdana" w:hAnsi="Verdana"/>
          <w:sz w:val="18"/>
          <w:szCs w:val="18"/>
          <w:lang w:val="en-GB"/>
        </w:rPr>
        <w:t>)</w:t>
      </w:r>
      <w:r w:rsidRPr="00F54EEC">
        <w:rPr>
          <w:rFonts w:ascii="Verdana" w:hAnsi="Verdana"/>
          <w:sz w:val="18"/>
          <w:szCs w:val="18"/>
          <w:lang w:val="en-GB"/>
        </w:rPr>
        <w:t xml:space="preserve"> and depreciation written out to the revaluation reserve of £2.</w:t>
      </w:r>
      <w:r>
        <w:rPr>
          <w:rFonts w:ascii="Verdana" w:hAnsi="Verdana"/>
          <w:sz w:val="18"/>
          <w:szCs w:val="18"/>
          <w:lang w:val="en-GB"/>
        </w:rPr>
        <w:t>591</w:t>
      </w:r>
      <w:r w:rsidRPr="00F54EEC">
        <w:rPr>
          <w:rFonts w:ascii="Verdana" w:hAnsi="Verdana"/>
          <w:sz w:val="18"/>
          <w:szCs w:val="18"/>
          <w:lang w:val="en-GB"/>
        </w:rPr>
        <w:t>m.</w:t>
      </w:r>
    </w:p>
    <w:tbl>
      <w:tblPr>
        <w:tblW w:w="12480" w:type="dxa"/>
        <w:tblLook w:val="04A0" w:firstRow="1" w:lastRow="0" w:firstColumn="1" w:lastColumn="0" w:noHBand="0" w:noVBand="1"/>
      </w:tblPr>
      <w:tblGrid>
        <w:gridCol w:w="4720"/>
        <w:gridCol w:w="1360"/>
        <w:gridCol w:w="1600"/>
        <w:gridCol w:w="1600"/>
        <w:gridCol w:w="1600"/>
        <w:gridCol w:w="1600"/>
      </w:tblGrid>
      <w:tr w:rsidR="00917A2E" w:rsidRPr="00917A2E" w14:paraId="4B1FDE63" w14:textId="77777777" w:rsidTr="00917A2E">
        <w:trPr>
          <w:trHeight w:val="630"/>
        </w:trPr>
        <w:tc>
          <w:tcPr>
            <w:tcW w:w="4720" w:type="dxa"/>
            <w:tcBorders>
              <w:top w:val="nil"/>
              <w:left w:val="nil"/>
              <w:bottom w:val="single" w:sz="4" w:space="0" w:color="auto"/>
              <w:right w:val="nil"/>
            </w:tcBorders>
            <w:shd w:val="clear" w:color="auto" w:fill="auto"/>
            <w:vAlign w:val="center"/>
            <w:hideMark/>
          </w:tcPr>
          <w:p w14:paraId="319C5216"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MOVEMENTS TO 31 MARCH 2020 RESTATED AS AT 31 MARCH 2021</w:t>
            </w:r>
          </w:p>
        </w:tc>
        <w:tc>
          <w:tcPr>
            <w:tcW w:w="1360" w:type="dxa"/>
            <w:tcBorders>
              <w:top w:val="nil"/>
              <w:left w:val="nil"/>
              <w:bottom w:val="single" w:sz="4" w:space="0" w:color="auto"/>
              <w:right w:val="nil"/>
            </w:tcBorders>
            <w:shd w:val="clear" w:color="auto" w:fill="auto"/>
            <w:vAlign w:val="center"/>
            <w:hideMark/>
          </w:tcPr>
          <w:p w14:paraId="5505D874" w14:textId="77777777" w:rsidR="00917A2E" w:rsidRPr="00917A2E" w:rsidRDefault="00917A2E" w:rsidP="00917A2E">
            <w:pPr>
              <w:jc w:val="cente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Land and Buildings</w:t>
            </w:r>
          </w:p>
        </w:tc>
        <w:tc>
          <w:tcPr>
            <w:tcW w:w="1600" w:type="dxa"/>
            <w:tcBorders>
              <w:top w:val="nil"/>
              <w:left w:val="nil"/>
              <w:bottom w:val="single" w:sz="4" w:space="0" w:color="auto"/>
              <w:right w:val="nil"/>
            </w:tcBorders>
            <w:shd w:val="clear" w:color="auto" w:fill="auto"/>
            <w:vAlign w:val="center"/>
            <w:hideMark/>
          </w:tcPr>
          <w:p w14:paraId="5C4DB866" w14:textId="77777777" w:rsidR="00917A2E" w:rsidRPr="00917A2E" w:rsidRDefault="00917A2E" w:rsidP="00917A2E">
            <w:pPr>
              <w:jc w:val="cente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Vehicles, Plant, Furniture &amp; Equipment</w:t>
            </w:r>
          </w:p>
        </w:tc>
        <w:tc>
          <w:tcPr>
            <w:tcW w:w="1600" w:type="dxa"/>
            <w:tcBorders>
              <w:top w:val="nil"/>
              <w:left w:val="nil"/>
              <w:bottom w:val="single" w:sz="4" w:space="0" w:color="auto"/>
              <w:right w:val="nil"/>
            </w:tcBorders>
            <w:shd w:val="clear" w:color="auto" w:fill="auto"/>
            <w:vAlign w:val="center"/>
            <w:hideMark/>
          </w:tcPr>
          <w:p w14:paraId="2CA80E3A" w14:textId="77777777" w:rsidR="00917A2E" w:rsidRPr="00917A2E" w:rsidRDefault="00917A2E" w:rsidP="00917A2E">
            <w:pPr>
              <w:jc w:val="cente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Surplus Assets</w:t>
            </w:r>
          </w:p>
        </w:tc>
        <w:tc>
          <w:tcPr>
            <w:tcW w:w="1600" w:type="dxa"/>
            <w:tcBorders>
              <w:top w:val="nil"/>
              <w:left w:val="nil"/>
              <w:bottom w:val="single" w:sz="4" w:space="0" w:color="auto"/>
              <w:right w:val="nil"/>
            </w:tcBorders>
            <w:shd w:val="clear" w:color="auto" w:fill="auto"/>
            <w:vAlign w:val="center"/>
            <w:hideMark/>
          </w:tcPr>
          <w:p w14:paraId="4636937F" w14:textId="77777777" w:rsidR="00917A2E" w:rsidRPr="00917A2E" w:rsidRDefault="00917A2E" w:rsidP="00917A2E">
            <w:pPr>
              <w:jc w:val="cente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Assets Under Construction</w:t>
            </w:r>
          </w:p>
        </w:tc>
        <w:tc>
          <w:tcPr>
            <w:tcW w:w="1600" w:type="dxa"/>
            <w:tcBorders>
              <w:top w:val="nil"/>
              <w:left w:val="nil"/>
              <w:bottom w:val="single" w:sz="4" w:space="0" w:color="auto"/>
              <w:right w:val="nil"/>
            </w:tcBorders>
            <w:shd w:val="clear" w:color="auto" w:fill="auto"/>
            <w:vAlign w:val="center"/>
            <w:hideMark/>
          </w:tcPr>
          <w:p w14:paraId="36C55377" w14:textId="77777777" w:rsidR="00917A2E" w:rsidRPr="00917A2E" w:rsidRDefault="00917A2E" w:rsidP="00917A2E">
            <w:pPr>
              <w:jc w:val="cente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Total Property, Plant and Equipment</w:t>
            </w:r>
          </w:p>
        </w:tc>
      </w:tr>
      <w:tr w:rsidR="00917A2E" w:rsidRPr="00917A2E" w14:paraId="4D684559" w14:textId="77777777" w:rsidTr="00917A2E">
        <w:trPr>
          <w:trHeight w:val="210"/>
        </w:trPr>
        <w:tc>
          <w:tcPr>
            <w:tcW w:w="4720" w:type="dxa"/>
            <w:tcBorders>
              <w:top w:val="nil"/>
              <w:left w:val="nil"/>
              <w:bottom w:val="nil"/>
              <w:right w:val="nil"/>
            </w:tcBorders>
            <w:shd w:val="clear" w:color="auto" w:fill="auto"/>
            <w:vAlign w:val="center"/>
            <w:hideMark/>
          </w:tcPr>
          <w:p w14:paraId="20A353DC"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c>
          <w:tcPr>
            <w:tcW w:w="1360" w:type="dxa"/>
            <w:tcBorders>
              <w:top w:val="nil"/>
              <w:left w:val="nil"/>
              <w:bottom w:val="nil"/>
              <w:right w:val="nil"/>
            </w:tcBorders>
            <w:shd w:val="clear" w:color="auto" w:fill="auto"/>
            <w:vAlign w:val="center"/>
            <w:hideMark/>
          </w:tcPr>
          <w:p w14:paraId="34D4D4DF"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£000</w:t>
            </w:r>
          </w:p>
        </w:tc>
        <w:tc>
          <w:tcPr>
            <w:tcW w:w="1600" w:type="dxa"/>
            <w:tcBorders>
              <w:top w:val="nil"/>
              <w:left w:val="nil"/>
              <w:bottom w:val="nil"/>
              <w:right w:val="nil"/>
            </w:tcBorders>
            <w:shd w:val="clear" w:color="auto" w:fill="auto"/>
            <w:vAlign w:val="center"/>
            <w:hideMark/>
          </w:tcPr>
          <w:p w14:paraId="63F74075"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£000</w:t>
            </w:r>
          </w:p>
        </w:tc>
        <w:tc>
          <w:tcPr>
            <w:tcW w:w="1600" w:type="dxa"/>
            <w:tcBorders>
              <w:top w:val="nil"/>
              <w:left w:val="nil"/>
              <w:bottom w:val="nil"/>
              <w:right w:val="nil"/>
            </w:tcBorders>
            <w:shd w:val="clear" w:color="auto" w:fill="auto"/>
            <w:vAlign w:val="center"/>
            <w:hideMark/>
          </w:tcPr>
          <w:p w14:paraId="1F70B35B"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£000</w:t>
            </w:r>
          </w:p>
        </w:tc>
        <w:tc>
          <w:tcPr>
            <w:tcW w:w="1600" w:type="dxa"/>
            <w:tcBorders>
              <w:top w:val="nil"/>
              <w:left w:val="nil"/>
              <w:bottom w:val="nil"/>
              <w:right w:val="nil"/>
            </w:tcBorders>
            <w:shd w:val="clear" w:color="auto" w:fill="auto"/>
            <w:vAlign w:val="center"/>
            <w:hideMark/>
          </w:tcPr>
          <w:p w14:paraId="419D5E49"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£000</w:t>
            </w:r>
          </w:p>
        </w:tc>
        <w:tc>
          <w:tcPr>
            <w:tcW w:w="1600" w:type="dxa"/>
            <w:tcBorders>
              <w:top w:val="nil"/>
              <w:left w:val="nil"/>
              <w:bottom w:val="nil"/>
              <w:right w:val="nil"/>
            </w:tcBorders>
            <w:shd w:val="clear" w:color="auto" w:fill="auto"/>
            <w:vAlign w:val="center"/>
            <w:hideMark/>
          </w:tcPr>
          <w:p w14:paraId="4D36E126"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£000</w:t>
            </w:r>
          </w:p>
        </w:tc>
      </w:tr>
      <w:tr w:rsidR="00917A2E" w:rsidRPr="00917A2E" w14:paraId="3AB76C54" w14:textId="77777777" w:rsidTr="00917A2E">
        <w:trPr>
          <w:trHeight w:val="210"/>
        </w:trPr>
        <w:tc>
          <w:tcPr>
            <w:tcW w:w="4720" w:type="dxa"/>
            <w:tcBorders>
              <w:top w:val="nil"/>
              <w:left w:val="nil"/>
              <w:bottom w:val="nil"/>
              <w:right w:val="nil"/>
            </w:tcBorders>
            <w:shd w:val="clear" w:color="auto" w:fill="auto"/>
            <w:vAlign w:val="center"/>
            <w:hideMark/>
          </w:tcPr>
          <w:p w14:paraId="3439394E"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Cost or Valuation</w:t>
            </w:r>
          </w:p>
        </w:tc>
        <w:tc>
          <w:tcPr>
            <w:tcW w:w="1360" w:type="dxa"/>
            <w:tcBorders>
              <w:top w:val="nil"/>
              <w:left w:val="nil"/>
              <w:bottom w:val="nil"/>
              <w:right w:val="nil"/>
            </w:tcBorders>
            <w:shd w:val="clear" w:color="auto" w:fill="auto"/>
            <w:vAlign w:val="center"/>
            <w:hideMark/>
          </w:tcPr>
          <w:p w14:paraId="1258343D"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c>
          <w:tcPr>
            <w:tcW w:w="1600" w:type="dxa"/>
            <w:tcBorders>
              <w:top w:val="nil"/>
              <w:left w:val="nil"/>
              <w:bottom w:val="nil"/>
              <w:right w:val="nil"/>
            </w:tcBorders>
            <w:shd w:val="clear" w:color="auto" w:fill="auto"/>
            <w:vAlign w:val="center"/>
            <w:hideMark/>
          </w:tcPr>
          <w:p w14:paraId="5CD8C5E6" w14:textId="77777777" w:rsidR="00917A2E" w:rsidRPr="00917A2E" w:rsidRDefault="00917A2E" w:rsidP="00917A2E">
            <w:pPr>
              <w:rPr>
                <w:rFonts w:eastAsia="Times New Roman" w:cs="Times New Roman"/>
                <w:b/>
                <w:bCs/>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032CFC2C" w14:textId="77777777" w:rsidR="00917A2E" w:rsidRPr="00917A2E" w:rsidRDefault="00917A2E" w:rsidP="00917A2E">
            <w:pPr>
              <w:rPr>
                <w:rFonts w:ascii="Times New Roman" w:eastAsia="Times New Roman" w:hAnsi="Times New Roman" w:cs="Times New Roman"/>
                <w:sz w:val="20"/>
                <w:szCs w:val="20"/>
                <w:lang w:val="en-GB" w:eastAsia="en-GB"/>
              </w:rPr>
            </w:pPr>
          </w:p>
        </w:tc>
        <w:tc>
          <w:tcPr>
            <w:tcW w:w="1600" w:type="dxa"/>
            <w:tcBorders>
              <w:top w:val="nil"/>
              <w:left w:val="nil"/>
              <w:bottom w:val="nil"/>
              <w:right w:val="nil"/>
            </w:tcBorders>
            <w:shd w:val="clear" w:color="auto" w:fill="auto"/>
            <w:vAlign w:val="center"/>
            <w:hideMark/>
          </w:tcPr>
          <w:p w14:paraId="6FD2E1DF" w14:textId="77777777" w:rsidR="00917A2E" w:rsidRPr="00917A2E" w:rsidRDefault="00917A2E" w:rsidP="00917A2E">
            <w:pPr>
              <w:rPr>
                <w:rFonts w:ascii="Times New Roman" w:eastAsia="Times New Roman" w:hAnsi="Times New Roman" w:cs="Times New Roman"/>
                <w:sz w:val="20"/>
                <w:szCs w:val="20"/>
                <w:lang w:val="en-GB" w:eastAsia="en-GB"/>
              </w:rPr>
            </w:pPr>
          </w:p>
        </w:tc>
        <w:tc>
          <w:tcPr>
            <w:tcW w:w="1600" w:type="dxa"/>
            <w:tcBorders>
              <w:top w:val="nil"/>
              <w:left w:val="nil"/>
              <w:bottom w:val="nil"/>
              <w:right w:val="nil"/>
            </w:tcBorders>
            <w:shd w:val="clear" w:color="auto" w:fill="auto"/>
            <w:vAlign w:val="center"/>
            <w:hideMark/>
          </w:tcPr>
          <w:p w14:paraId="08302992" w14:textId="77777777" w:rsidR="00917A2E" w:rsidRPr="00917A2E" w:rsidRDefault="00917A2E" w:rsidP="00917A2E">
            <w:pPr>
              <w:rPr>
                <w:rFonts w:ascii="Times New Roman" w:eastAsia="Times New Roman" w:hAnsi="Times New Roman" w:cs="Times New Roman"/>
                <w:sz w:val="20"/>
                <w:szCs w:val="20"/>
                <w:lang w:val="en-GB" w:eastAsia="en-GB"/>
              </w:rPr>
            </w:pPr>
          </w:p>
        </w:tc>
      </w:tr>
      <w:tr w:rsidR="00917A2E" w:rsidRPr="00917A2E" w14:paraId="14B5FEC5" w14:textId="77777777" w:rsidTr="00917A2E">
        <w:trPr>
          <w:trHeight w:val="210"/>
        </w:trPr>
        <w:tc>
          <w:tcPr>
            <w:tcW w:w="4720" w:type="dxa"/>
            <w:tcBorders>
              <w:top w:val="nil"/>
              <w:left w:val="nil"/>
              <w:bottom w:val="nil"/>
              <w:right w:val="nil"/>
            </w:tcBorders>
            <w:shd w:val="clear" w:color="auto" w:fill="auto"/>
            <w:vAlign w:val="center"/>
            <w:hideMark/>
          </w:tcPr>
          <w:p w14:paraId="29C3A563"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at 1 April 2019 As previously stated</w:t>
            </w:r>
          </w:p>
        </w:tc>
        <w:tc>
          <w:tcPr>
            <w:tcW w:w="1360" w:type="dxa"/>
            <w:tcBorders>
              <w:top w:val="nil"/>
              <w:left w:val="nil"/>
              <w:bottom w:val="nil"/>
              <w:right w:val="nil"/>
            </w:tcBorders>
            <w:shd w:val="clear" w:color="auto" w:fill="auto"/>
            <w:vAlign w:val="center"/>
            <w:hideMark/>
          </w:tcPr>
          <w:p w14:paraId="51AC9CC2"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79,224</w:t>
            </w:r>
          </w:p>
        </w:tc>
        <w:tc>
          <w:tcPr>
            <w:tcW w:w="1600" w:type="dxa"/>
            <w:tcBorders>
              <w:top w:val="nil"/>
              <w:left w:val="nil"/>
              <w:bottom w:val="nil"/>
              <w:right w:val="nil"/>
            </w:tcBorders>
            <w:shd w:val="clear" w:color="auto" w:fill="auto"/>
            <w:vAlign w:val="center"/>
            <w:hideMark/>
          </w:tcPr>
          <w:p w14:paraId="6606977D"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42,919</w:t>
            </w:r>
          </w:p>
        </w:tc>
        <w:tc>
          <w:tcPr>
            <w:tcW w:w="1600" w:type="dxa"/>
            <w:tcBorders>
              <w:top w:val="nil"/>
              <w:left w:val="nil"/>
              <w:bottom w:val="nil"/>
              <w:right w:val="nil"/>
            </w:tcBorders>
            <w:shd w:val="clear" w:color="auto" w:fill="auto"/>
            <w:vAlign w:val="center"/>
            <w:hideMark/>
          </w:tcPr>
          <w:p w14:paraId="25EE8E86"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27,868</w:t>
            </w:r>
          </w:p>
        </w:tc>
        <w:tc>
          <w:tcPr>
            <w:tcW w:w="1600" w:type="dxa"/>
            <w:tcBorders>
              <w:top w:val="nil"/>
              <w:left w:val="nil"/>
              <w:bottom w:val="nil"/>
              <w:right w:val="nil"/>
            </w:tcBorders>
            <w:shd w:val="clear" w:color="auto" w:fill="auto"/>
            <w:vAlign w:val="center"/>
            <w:hideMark/>
          </w:tcPr>
          <w:p w14:paraId="4BDE64AC"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5,961</w:t>
            </w:r>
          </w:p>
        </w:tc>
        <w:tc>
          <w:tcPr>
            <w:tcW w:w="1600" w:type="dxa"/>
            <w:tcBorders>
              <w:top w:val="nil"/>
              <w:left w:val="nil"/>
              <w:bottom w:val="nil"/>
              <w:right w:val="nil"/>
            </w:tcBorders>
            <w:shd w:val="clear" w:color="auto" w:fill="auto"/>
            <w:vAlign w:val="center"/>
            <w:hideMark/>
          </w:tcPr>
          <w:p w14:paraId="2DC90AF4"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155,972</w:t>
            </w:r>
          </w:p>
        </w:tc>
      </w:tr>
      <w:tr w:rsidR="00917A2E" w:rsidRPr="00917A2E" w14:paraId="03048B92" w14:textId="77777777" w:rsidTr="00917A2E">
        <w:trPr>
          <w:trHeight w:val="420"/>
        </w:trPr>
        <w:tc>
          <w:tcPr>
            <w:tcW w:w="4720" w:type="dxa"/>
            <w:tcBorders>
              <w:top w:val="nil"/>
              <w:left w:val="nil"/>
              <w:bottom w:val="single" w:sz="4" w:space="0" w:color="auto"/>
              <w:right w:val="nil"/>
            </w:tcBorders>
            <w:shd w:val="clear" w:color="auto" w:fill="auto"/>
            <w:vAlign w:val="center"/>
            <w:hideMark/>
          </w:tcPr>
          <w:p w14:paraId="24FB9406" w14:textId="77777777" w:rsidR="00917A2E" w:rsidRPr="00917A2E" w:rsidRDefault="00917A2E" w:rsidP="00917A2E">
            <w:pPr>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 xml:space="preserve">Fully depreciated assets written out of the books as no longer held </w:t>
            </w:r>
          </w:p>
        </w:tc>
        <w:tc>
          <w:tcPr>
            <w:tcW w:w="1360" w:type="dxa"/>
            <w:tcBorders>
              <w:top w:val="nil"/>
              <w:left w:val="nil"/>
              <w:bottom w:val="single" w:sz="4" w:space="0" w:color="auto"/>
              <w:right w:val="nil"/>
            </w:tcBorders>
            <w:shd w:val="clear" w:color="auto" w:fill="auto"/>
            <w:vAlign w:val="center"/>
            <w:hideMark/>
          </w:tcPr>
          <w:p w14:paraId="626A7674"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w:t>
            </w:r>
          </w:p>
        </w:tc>
        <w:tc>
          <w:tcPr>
            <w:tcW w:w="1600" w:type="dxa"/>
            <w:tcBorders>
              <w:top w:val="nil"/>
              <w:left w:val="nil"/>
              <w:bottom w:val="single" w:sz="4" w:space="0" w:color="auto"/>
              <w:right w:val="nil"/>
            </w:tcBorders>
            <w:shd w:val="clear" w:color="000000" w:fill="FFFFCC"/>
            <w:vAlign w:val="center"/>
            <w:hideMark/>
          </w:tcPr>
          <w:p w14:paraId="294F3CE6"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(13,850)</w:t>
            </w:r>
          </w:p>
        </w:tc>
        <w:tc>
          <w:tcPr>
            <w:tcW w:w="1600" w:type="dxa"/>
            <w:tcBorders>
              <w:top w:val="nil"/>
              <w:left w:val="nil"/>
              <w:bottom w:val="single" w:sz="4" w:space="0" w:color="auto"/>
              <w:right w:val="nil"/>
            </w:tcBorders>
            <w:shd w:val="clear" w:color="auto" w:fill="auto"/>
            <w:vAlign w:val="center"/>
            <w:hideMark/>
          </w:tcPr>
          <w:p w14:paraId="5FE00797"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w:t>
            </w:r>
          </w:p>
        </w:tc>
        <w:tc>
          <w:tcPr>
            <w:tcW w:w="1600" w:type="dxa"/>
            <w:tcBorders>
              <w:top w:val="nil"/>
              <w:left w:val="nil"/>
              <w:bottom w:val="single" w:sz="4" w:space="0" w:color="auto"/>
              <w:right w:val="nil"/>
            </w:tcBorders>
            <w:shd w:val="clear" w:color="auto" w:fill="auto"/>
            <w:vAlign w:val="center"/>
            <w:hideMark/>
          </w:tcPr>
          <w:p w14:paraId="30900300"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w:t>
            </w:r>
          </w:p>
        </w:tc>
        <w:tc>
          <w:tcPr>
            <w:tcW w:w="1600" w:type="dxa"/>
            <w:tcBorders>
              <w:top w:val="nil"/>
              <w:left w:val="nil"/>
              <w:bottom w:val="single" w:sz="4" w:space="0" w:color="auto"/>
              <w:right w:val="nil"/>
            </w:tcBorders>
            <w:shd w:val="clear" w:color="000000" w:fill="FFFFCC"/>
            <w:vAlign w:val="center"/>
            <w:hideMark/>
          </w:tcPr>
          <w:p w14:paraId="1FCFD3FE"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(13,850)</w:t>
            </w:r>
          </w:p>
        </w:tc>
      </w:tr>
      <w:tr w:rsidR="00917A2E" w:rsidRPr="00917A2E" w14:paraId="75F531A0" w14:textId="77777777" w:rsidTr="00917A2E">
        <w:trPr>
          <w:trHeight w:val="210"/>
        </w:trPr>
        <w:tc>
          <w:tcPr>
            <w:tcW w:w="4720" w:type="dxa"/>
            <w:tcBorders>
              <w:top w:val="nil"/>
              <w:left w:val="nil"/>
              <w:bottom w:val="nil"/>
              <w:right w:val="nil"/>
            </w:tcBorders>
            <w:shd w:val="clear" w:color="auto" w:fill="auto"/>
            <w:vAlign w:val="center"/>
            <w:hideMark/>
          </w:tcPr>
          <w:p w14:paraId="606B20C7"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at 1 April 2019 As restated</w:t>
            </w:r>
          </w:p>
        </w:tc>
        <w:tc>
          <w:tcPr>
            <w:tcW w:w="1360" w:type="dxa"/>
            <w:tcBorders>
              <w:top w:val="nil"/>
              <w:left w:val="nil"/>
              <w:bottom w:val="nil"/>
              <w:right w:val="nil"/>
            </w:tcBorders>
            <w:shd w:val="clear" w:color="auto" w:fill="auto"/>
            <w:vAlign w:val="center"/>
            <w:hideMark/>
          </w:tcPr>
          <w:p w14:paraId="08D549BE"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79,224</w:t>
            </w:r>
          </w:p>
        </w:tc>
        <w:tc>
          <w:tcPr>
            <w:tcW w:w="1600" w:type="dxa"/>
            <w:tcBorders>
              <w:top w:val="nil"/>
              <w:left w:val="nil"/>
              <w:bottom w:val="nil"/>
              <w:right w:val="nil"/>
            </w:tcBorders>
            <w:shd w:val="clear" w:color="auto" w:fill="auto"/>
            <w:vAlign w:val="center"/>
            <w:hideMark/>
          </w:tcPr>
          <w:p w14:paraId="797AA129"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29,069</w:t>
            </w:r>
          </w:p>
        </w:tc>
        <w:tc>
          <w:tcPr>
            <w:tcW w:w="1600" w:type="dxa"/>
            <w:tcBorders>
              <w:top w:val="nil"/>
              <w:left w:val="nil"/>
              <w:bottom w:val="nil"/>
              <w:right w:val="nil"/>
            </w:tcBorders>
            <w:shd w:val="clear" w:color="auto" w:fill="auto"/>
            <w:vAlign w:val="center"/>
            <w:hideMark/>
          </w:tcPr>
          <w:p w14:paraId="7085A95D"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27,868</w:t>
            </w:r>
          </w:p>
        </w:tc>
        <w:tc>
          <w:tcPr>
            <w:tcW w:w="1600" w:type="dxa"/>
            <w:tcBorders>
              <w:top w:val="nil"/>
              <w:left w:val="nil"/>
              <w:bottom w:val="nil"/>
              <w:right w:val="nil"/>
            </w:tcBorders>
            <w:shd w:val="clear" w:color="auto" w:fill="auto"/>
            <w:vAlign w:val="center"/>
            <w:hideMark/>
          </w:tcPr>
          <w:p w14:paraId="52BF3E35"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5,961</w:t>
            </w:r>
          </w:p>
        </w:tc>
        <w:tc>
          <w:tcPr>
            <w:tcW w:w="1600" w:type="dxa"/>
            <w:tcBorders>
              <w:top w:val="nil"/>
              <w:left w:val="nil"/>
              <w:bottom w:val="nil"/>
              <w:right w:val="nil"/>
            </w:tcBorders>
            <w:shd w:val="clear" w:color="auto" w:fill="auto"/>
            <w:vAlign w:val="center"/>
            <w:hideMark/>
          </w:tcPr>
          <w:p w14:paraId="0DC266FA"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142,122</w:t>
            </w:r>
          </w:p>
        </w:tc>
      </w:tr>
      <w:tr w:rsidR="00917A2E" w:rsidRPr="00917A2E" w14:paraId="35606464" w14:textId="77777777" w:rsidTr="00917A2E">
        <w:trPr>
          <w:trHeight w:val="210"/>
        </w:trPr>
        <w:tc>
          <w:tcPr>
            <w:tcW w:w="4720" w:type="dxa"/>
            <w:tcBorders>
              <w:top w:val="nil"/>
              <w:left w:val="nil"/>
              <w:bottom w:val="nil"/>
              <w:right w:val="nil"/>
            </w:tcBorders>
            <w:shd w:val="clear" w:color="auto" w:fill="auto"/>
            <w:vAlign w:val="center"/>
            <w:hideMark/>
          </w:tcPr>
          <w:p w14:paraId="5A7DB8CA" w14:textId="77777777" w:rsidR="00917A2E" w:rsidRPr="00917A2E" w:rsidRDefault="00917A2E" w:rsidP="00917A2E">
            <w:pPr>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Additions</w:t>
            </w:r>
          </w:p>
        </w:tc>
        <w:tc>
          <w:tcPr>
            <w:tcW w:w="1360" w:type="dxa"/>
            <w:tcBorders>
              <w:top w:val="nil"/>
              <w:left w:val="nil"/>
              <w:bottom w:val="nil"/>
              <w:right w:val="nil"/>
            </w:tcBorders>
            <w:shd w:val="clear" w:color="auto" w:fill="auto"/>
            <w:vAlign w:val="center"/>
            <w:hideMark/>
          </w:tcPr>
          <w:p w14:paraId="24270C5B" w14:textId="77777777" w:rsidR="00917A2E" w:rsidRPr="00917A2E" w:rsidRDefault="00917A2E" w:rsidP="00917A2E">
            <w:pPr>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0911B2EA"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2,937</w:t>
            </w:r>
          </w:p>
        </w:tc>
        <w:tc>
          <w:tcPr>
            <w:tcW w:w="1600" w:type="dxa"/>
            <w:tcBorders>
              <w:top w:val="nil"/>
              <w:left w:val="nil"/>
              <w:bottom w:val="nil"/>
              <w:right w:val="nil"/>
            </w:tcBorders>
            <w:shd w:val="clear" w:color="auto" w:fill="auto"/>
            <w:vAlign w:val="center"/>
            <w:hideMark/>
          </w:tcPr>
          <w:p w14:paraId="070962CC" w14:textId="77777777" w:rsidR="00917A2E" w:rsidRPr="00917A2E" w:rsidRDefault="00917A2E" w:rsidP="00917A2E">
            <w:pPr>
              <w:jc w:val="right"/>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0E1FF0E6"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4,624</w:t>
            </w:r>
          </w:p>
        </w:tc>
        <w:tc>
          <w:tcPr>
            <w:tcW w:w="1600" w:type="dxa"/>
            <w:tcBorders>
              <w:top w:val="nil"/>
              <w:left w:val="nil"/>
              <w:bottom w:val="nil"/>
              <w:right w:val="nil"/>
            </w:tcBorders>
            <w:shd w:val="clear" w:color="auto" w:fill="auto"/>
            <w:vAlign w:val="center"/>
            <w:hideMark/>
          </w:tcPr>
          <w:p w14:paraId="7A695149"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7,561</w:t>
            </w:r>
          </w:p>
        </w:tc>
      </w:tr>
      <w:tr w:rsidR="00917A2E" w:rsidRPr="00917A2E" w14:paraId="0DB712BE" w14:textId="77777777" w:rsidTr="00917A2E">
        <w:trPr>
          <w:trHeight w:val="420"/>
        </w:trPr>
        <w:tc>
          <w:tcPr>
            <w:tcW w:w="4720" w:type="dxa"/>
            <w:tcBorders>
              <w:top w:val="nil"/>
              <w:left w:val="nil"/>
              <w:bottom w:val="nil"/>
              <w:right w:val="nil"/>
            </w:tcBorders>
            <w:shd w:val="clear" w:color="auto" w:fill="auto"/>
            <w:vAlign w:val="center"/>
            <w:hideMark/>
          </w:tcPr>
          <w:p w14:paraId="4DF8285E" w14:textId="77777777" w:rsidR="00917A2E" w:rsidRPr="00917A2E" w:rsidRDefault="00917A2E" w:rsidP="00917A2E">
            <w:pPr>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Revaluation increases/(decreases) recognised in the Revaluation Reserve</w:t>
            </w:r>
          </w:p>
        </w:tc>
        <w:tc>
          <w:tcPr>
            <w:tcW w:w="1360" w:type="dxa"/>
            <w:tcBorders>
              <w:top w:val="nil"/>
              <w:left w:val="nil"/>
              <w:bottom w:val="nil"/>
              <w:right w:val="nil"/>
            </w:tcBorders>
            <w:shd w:val="clear" w:color="auto" w:fill="auto"/>
            <w:vAlign w:val="center"/>
            <w:hideMark/>
          </w:tcPr>
          <w:p w14:paraId="44318866"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4,652</w:t>
            </w:r>
          </w:p>
        </w:tc>
        <w:tc>
          <w:tcPr>
            <w:tcW w:w="1600" w:type="dxa"/>
            <w:tcBorders>
              <w:top w:val="nil"/>
              <w:left w:val="nil"/>
              <w:bottom w:val="nil"/>
              <w:right w:val="nil"/>
            </w:tcBorders>
            <w:shd w:val="clear" w:color="auto" w:fill="auto"/>
            <w:vAlign w:val="center"/>
            <w:hideMark/>
          </w:tcPr>
          <w:p w14:paraId="3B4A7A43" w14:textId="77777777" w:rsidR="00917A2E" w:rsidRPr="00917A2E" w:rsidRDefault="00917A2E" w:rsidP="00917A2E">
            <w:pPr>
              <w:jc w:val="right"/>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33412193"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1,853</w:t>
            </w:r>
          </w:p>
        </w:tc>
        <w:tc>
          <w:tcPr>
            <w:tcW w:w="1600" w:type="dxa"/>
            <w:tcBorders>
              <w:top w:val="nil"/>
              <w:left w:val="nil"/>
              <w:bottom w:val="nil"/>
              <w:right w:val="nil"/>
            </w:tcBorders>
            <w:shd w:val="clear" w:color="auto" w:fill="auto"/>
            <w:vAlign w:val="center"/>
            <w:hideMark/>
          </w:tcPr>
          <w:p w14:paraId="64B1D7F2" w14:textId="77777777" w:rsidR="00917A2E" w:rsidRPr="00917A2E" w:rsidRDefault="00917A2E" w:rsidP="00917A2E">
            <w:pPr>
              <w:jc w:val="right"/>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15B64D10"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6,505</w:t>
            </w:r>
          </w:p>
        </w:tc>
      </w:tr>
      <w:tr w:rsidR="00917A2E" w:rsidRPr="00917A2E" w14:paraId="40903D09" w14:textId="77777777" w:rsidTr="00917A2E">
        <w:trPr>
          <w:trHeight w:val="420"/>
        </w:trPr>
        <w:tc>
          <w:tcPr>
            <w:tcW w:w="4720" w:type="dxa"/>
            <w:tcBorders>
              <w:top w:val="nil"/>
              <w:left w:val="nil"/>
              <w:bottom w:val="nil"/>
              <w:right w:val="nil"/>
            </w:tcBorders>
            <w:shd w:val="clear" w:color="auto" w:fill="auto"/>
            <w:vAlign w:val="center"/>
            <w:hideMark/>
          </w:tcPr>
          <w:p w14:paraId="4356B1C7" w14:textId="77777777" w:rsidR="00917A2E" w:rsidRPr="00917A2E" w:rsidRDefault="00917A2E" w:rsidP="00917A2E">
            <w:pPr>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Revaluation increases/(decreases) recognised in the Surplus/Deficit on the Provision of Services</w:t>
            </w:r>
          </w:p>
        </w:tc>
        <w:tc>
          <w:tcPr>
            <w:tcW w:w="1360" w:type="dxa"/>
            <w:tcBorders>
              <w:top w:val="nil"/>
              <w:left w:val="nil"/>
              <w:bottom w:val="nil"/>
              <w:right w:val="nil"/>
            </w:tcBorders>
            <w:shd w:val="clear" w:color="auto" w:fill="auto"/>
            <w:vAlign w:val="center"/>
            <w:hideMark/>
          </w:tcPr>
          <w:p w14:paraId="6FEF0651"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(1,438)</w:t>
            </w:r>
          </w:p>
        </w:tc>
        <w:tc>
          <w:tcPr>
            <w:tcW w:w="1600" w:type="dxa"/>
            <w:tcBorders>
              <w:top w:val="nil"/>
              <w:left w:val="nil"/>
              <w:bottom w:val="nil"/>
              <w:right w:val="nil"/>
            </w:tcBorders>
            <w:shd w:val="clear" w:color="auto" w:fill="auto"/>
            <w:vAlign w:val="center"/>
            <w:hideMark/>
          </w:tcPr>
          <w:p w14:paraId="3FD24843" w14:textId="77777777" w:rsidR="00917A2E" w:rsidRPr="00917A2E" w:rsidRDefault="00917A2E" w:rsidP="00917A2E">
            <w:pPr>
              <w:jc w:val="right"/>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012B0F7B"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(1,400)</w:t>
            </w:r>
          </w:p>
        </w:tc>
        <w:tc>
          <w:tcPr>
            <w:tcW w:w="1600" w:type="dxa"/>
            <w:tcBorders>
              <w:top w:val="nil"/>
              <w:left w:val="nil"/>
              <w:bottom w:val="nil"/>
              <w:right w:val="nil"/>
            </w:tcBorders>
            <w:shd w:val="clear" w:color="auto" w:fill="auto"/>
            <w:vAlign w:val="center"/>
            <w:hideMark/>
          </w:tcPr>
          <w:p w14:paraId="6BFD8CB1" w14:textId="77777777" w:rsidR="00917A2E" w:rsidRPr="00917A2E" w:rsidRDefault="00917A2E" w:rsidP="00917A2E">
            <w:pPr>
              <w:jc w:val="right"/>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790B462E"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(2,838)</w:t>
            </w:r>
          </w:p>
        </w:tc>
      </w:tr>
      <w:tr w:rsidR="00917A2E" w:rsidRPr="00917A2E" w14:paraId="08D261F3" w14:textId="77777777" w:rsidTr="00917A2E">
        <w:trPr>
          <w:trHeight w:val="210"/>
        </w:trPr>
        <w:tc>
          <w:tcPr>
            <w:tcW w:w="4720" w:type="dxa"/>
            <w:tcBorders>
              <w:top w:val="nil"/>
              <w:left w:val="nil"/>
              <w:bottom w:val="nil"/>
              <w:right w:val="nil"/>
            </w:tcBorders>
            <w:shd w:val="clear" w:color="auto" w:fill="auto"/>
            <w:vAlign w:val="center"/>
            <w:hideMark/>
          </w:tcPr>
          <w:p w14:paraId="78825284" w14:textId="77777777" w:rsidR="00917A2E" w:rsidRPr="00917A2E" w:rsidRDefault="00917A2E" w:rsidP="00917A2E">
            <w:pPr>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De-recognition – disposals</w:t>
            </w:r>
          </w:p>
        </w:tc>
        <w:tc>
          <w:tcPr>
            <w:tcW w:w="1360" w:type="dxa"/>
            <w:tcBorders>
              <w:top w:val="nil"/>
              <w:left w:val="nil"/>
              <w:bottom w:val="nil"/>
              <w:right w:val="nil"/>
            </w:tcBorders>
            <w:shd w:val="clear" w:color="auto" w:fill="auto"/>
            <w:vAlign w:val="center"/>
            <w:hideMark/>
          </w:tcPr>
          <w:p w14:paraId="3AA48066" w14:textId="77777777" w:rsidR="00917A2E" w:rsidRPr="00917A2E" w:rsidRDefault="00917A2E" w:rsidP="00917A2E">
            <w:pPr>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53DE9901"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(1,721)</w:t>
            </w:r>
          </w:p>
        </w:tc>
        <w:tc>
          <w:tcPr>
            <w:tcW w:w="1600" w:type="dxa"/>
            <w:tcBorders>
              <w:top w:val="nil"/>
              <w:left w:val="nil"/>
              <w:bottom w:val="nil"/>
              <w:right w:val="nil"/>
            </w:tcBorders>
            <w:shd w:val="clear" w:color="auto" w:fill="auto"/>
            <w:vAlign w:val="center"/>
            <w:hideMark/>
          </w:tcPr>
          <w:p w14:paraId="1DA08DF0" w14:textId="77777777" w:rsidR="00917A2E" w:rsidRPr="00917A2E" w:rsidRDefault="00917A2E" w:rsidP="00917A2E">
            <w:pPr>
              <w:jc w:val="right"/>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3371EA1C" w14:textId="77777777" w:rsidR="00917A2E" w:rsidRPr="00917A2E" w:rsidRDefault="00917A2E" w:rsidP="00917A2E">
            <w:pPr>
              <w:jc w:val="right"/>
              <w:rPr>
                <w:rFonts w:ascii="Times New Roman" w:eastAsia="Times New Roman" w:hAnsi="Times New Roman" w:cs="Times New Roman"/>
                <w:sz w:val="20"/>
                <w:szCs w:val="20"/>
                <w:lang w:val="en-GB" w:eastAsia="en-GB"/>
              </w:rPr>
            </w:pPr>
          </w:p>
        </w:tc>
        <w:tc>
          <w:tcPr>
            <w:tcW w:w="1600" w:type="dxa"/>
            <w:tcBorders>
              <w:top w:val="nil"/>
              <w:left w:val="nil"/>
              <w:bottom w:val="nil"/>
              <w:right w:val="nil"/>
            </w:tcBorders>
            <w:shd w:val="clear" w:color="auto" w:fill="auto"/>
            <w:vAlign w:val="center"/>
            <w:hideMark/>
          </w:tcPr>
          <w:p w14:paraId="342EF74F"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(1,721)</w:t>
            </w:r>
          </w:p>
        </w:tc>
      </w:tr>
      <w:tr w:rsidR="00917A2E" w:rsidRPr="00917A2E" w14:paraId="598C1FA5" w14:textId="77777777" w:rsidTr="00917A2E">
        <w:trPr>
          <w:trHeight w:val="210"/>
        </w:trPr>
        <w:tc>
          <w:tcPr>
            <w:tcW w:w="4720" w:type="dxa"/>
            <w:tcBorders>
              <w:top w:val="nil"/>
              <w:left w:val="nil"/>
              <w:bottom w:val="nil"/>
              <w:right w:val="nil"/>
            </w:tcBorders>
            <w:shd w:val="clear" w:color="auto" w:fill="auto"/>
            <w:vAlign w:val="center"/>
            <w:hideMark/>
          </w:tcPr>
          <w:p w14:paraId="0A046F5D" w14:textId="77777777" w:rsidR="00917A2E" w:rsidRPr="00917A2E" w:rsidRDefault="00917A2E" w:rsidP="00917A2E">
            <w:pPr>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Assets reclassified (to)/from Surplus Assets</w:t>
            </w:r>
          </w:p>
        </w:tc>
        <w:tc>
          <w:tcPr>
            <w:tcW w:w="1360" w:type="dxa"/>
            <w:tcBorders>
              <w:top w:val="nil"/>
              <w:left w:val="nil"/>
              <w:bottom w:val="nil"/>
              <w:right w:val="nil"/>
            </w:tcBorders>
            <w:shd w:val="clear" w:color="auto" w:fill="auto"/>
            <w:vAlign w:val="center"/>
            <w:hideMark/>
          </w:tcPr>
          <w:p w14:paraId="6730EC38"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5,877</w:t>
            </w:r>
          </w:p>
        </w:tc>
        <w:tc>
          <w:tcPr>
            <w:tcW w:w="1600" w:type="dxa"/>
            <w:tcBorders>
              <w:top w:val="nil"/>
              <w:left w:val="nil"/>
              <w:bottom w:val="nil"/>
              <w:right w:val="nil"/>
            </w:tcBorders>
            <w:shd w:val="clear" w:color="auto" w:fill="auto"/>
            <w:vAlign w:val="center"/>
            <w:hideMark/>
          </w:tcPr>
          <w:p w14:paraId="5AE30B57" w14:textId="77777777" w:rsidR="00917A2E" w:rsidRPr="00917A2E" w:rsidRDefault="00917A2E" w:rsidP="00917A2E">
            <w:pPr>
              <w:jc w:val="right"/>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5336F121"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(5,877)</w:t>
            </w:r>
          </w:p>
        </w:tc>
        <w:tc>
          <w:tcPr>
            <w:tcW w:w="1600" w:type="dxa"/>
            <w:tcBorders>
              <w:top w:val="nil"/>
              <w:left w:val="nil"/>
              <w:bottom w:val="nil"/>
              <w:right w:val="nil"/>
            </w:tcBorders>
            <w:shd w:val="clear" w:color="auto" w:fill="auto"/>
            <w:vAlign w:val="center"/>
            <w:hideMark/>
          </w:tcPr>
          <w:p w14:paraId="7DCD67BC" w14:textId="77777777" w:rsidR="00917A2E" w:rsidRPr="00917A2E" w:rsidRDefault="00917A2E" w:rsidP="00917A2E">
            <w:pPr>
              <w:jc w:val="right"/>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4C1194F4"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0</w:t>
            </w:r>
          </w:p>
        </w:tc>
      </w:tr>
      <w:tr w:rsidR="00917A2E" w:rsidRPr="00917A2E" w14:paraId="61155B5E" w14:textId="77777777" w:rsidTr="00917A2E">
        <w:trPr>
          <w:trHeight w:val="210"/>
        </w:trPr>
        <w:tc>
          <w:tcPr>
            <w:tcW w:w="4720" w:type="dxa"/>
            <w:tcBorders>
              <w:top w:val="nil"/>
              <w:left w:val="nil"/>
              <w:bottom w:val="nil"/>
              <w:right w:val="nil"/>
            </w:tcBorders>
            <w:shd w:val="clear" w:color="auto" w:fill="auto"/>
            <w:vAlign w:val="center"/>
            <w:hideMark/>
          </w:tcPr>
          <w:p w14:paraId="6FA6CFF6" w14:textId="77777777" w:rsidR="00917A2E" w:rsidRPr="00917A2E" w:rsidRDefault="00917A2E" w:rsidP="00917A2E">
            <w:pPr>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Assets reclassified (to)/from Investment Properties</w:t>
            </w:r>
          </w:p>
        </w:tc>
        <w:tc>
          <w:tcPr>
            <w:tcW w:w="1360" w:type="dxa"/>
            <w:tcBorders>
              <w:top w:val="nil"/>
              <w:left w:val="nil"/>
              <w:bottom w:val="nil"/>
              <w:right w:val="nil"/>
            </w:tcBorders>
            <w:shd w:val="clear" w:color="auto" w:fill="auto"/>
            <w:vAlign w:val="center"/>
            <w:hideMark/>
          </w:tcPr>
          <w:p w14:paraId="6D84F418" w14:textId="77777777" w:rsidR="00917A2E" w:rsidRPr="00917A2E" w:rsidRDefault="00917A2E" w:rsidP="00917A2E">
            <w:pPr>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209533EF" w14:textId="77777777" w:rsidR="00917A2E" w:rsidRPr="00917A2E" w:rsidRDefault="00917A2E" w:rsidP="00917A2E">
            <w:pPr>
              <w:jc w:val="right"/>
              <w:rPr>
                <w:rFonts w:ascii="Times New Roman" w:eastAsia="Times New Roman" w:hAnsi="Times New Roman" w:cs="Times New Roman"/>
                <w:sz w:val="20"/>
                <w:szCs w:val="20"/>
                <w:lang w:val="en-GB" w:eastAsia="en-GB"/>
              </w:rPr>
            </w:pPr>
          </w:p>
        </w:tc>
        <w:tc>
          <w:tcPr>
            <w:tcW w:w="1600" w:type="dxa"/>
            <w:tcBorders>
              <w:top w:val="nil"/>
              <w:left w:val="nil"/>
              <w:bottom w:val="nil"/>
              <w:right w:val="nil"/>
            </w:tcBorders>
            <w:shd w:val="clear" w:color="auto" w:fill="auto"/>
            <w:vAlign w:val="center"/>
            <w:hideMark/>
          </w:tcPr>
          <w:p w14:paraId="16F60B01"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(1,355)</w:t>
            </w:r>
          </w:p>
        </w:tc>
        <w:tc>
          <w:tcPr>
            <w:tcW w:w="1600" w:type="dxa"/>
            <w:tcBorders>
              <w:top w:val="nil"/>
              <w:left w:val="nil"/>
              <w:bottom w:val="nil"/>
              <w:right w:val="nil"/>
            </w:tcBorders>
            <w:shd w:val="clear" w:color="auto" w:fill="auto"/>
            <w:vAlign w:val="center"/>
            <w:hideMark/>
          </w:tcPr>
          <w:p w14:paraId="7810DB29" w14:textId="77777777" w:rsidR="00917A2E" w:rsidRPr="00917A2E" w:rsidRDefault="00917A2E" w:rsidP="00917A2E">
            <w:pPr>
              <w:jc w:val="right"/>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39B49DC5"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(1,355)</w:t>
            </w:r>
          </w:p>
        </w:tc>
      </w:tr>
      <w:tr w:rsidR="00917A2E" w:rsidRPr="00917A2E" w14:paraId="43424D51" w14:textId="77777777" w:rsidTr="00917A2E">
        <w:trPr>
          <w:trHeight w:val="210"/>
        </w:trPr>
        <w:tc>
          <w:tcPr>
            <w:tcW w:w="4720" w:type="dxa"/>
            <w:tcBorders>
              <w:top w:val="nil"/>
              <w:left w:val="nil"/>
              <w:bottom w:val="single" w:sz="4" w:space="0" w:color="auto"/>
              <w:right w:val="nil"/>
            </w:tcBorders>
            <w:shd w:val="clear" w:color="auto" w:fill="auto"/>
            <w:vAlign w:val="center"/>
            <w:hideMark/>
          </w:tcPr>
          <w:p w14:paraId="0B5F05F6" w14:textId="77777777" w:rsidR="00917A2E" w:rsidRPr="00917A2E" w:rsidRDefault="00917A2E" w:rsidP="00917A2E">
            <w:pPr>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Assets reclassified (to)/from Held for Sale</w:t>
            </w:r>
          </w:p>
        </w:tc>
        <w:tc>
          <w:tcPr>
            <w:tcW w:w="1360" w:type="dxa"/>
            <w:tcBorders>
              <w:top w:val="nil"/>
              <w:left w:val="nil"/>
              <w:bottom w:val="single" w:sz="4" w:space="0" w:color="auto"/>
              <w:right w:val="nil"/>
            </w:tcBorders>
            <w:shd w:val="clear" w:color="auto" w:fill="auto"/>
            <w:vAlign w:val="center"/>
            <w:hideMark/>
          </w:tcPr>
          <w:p w14:paraId="5774558E"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(368)</w:t>
            </w:r>
          </w:p>
        </w:tc>
        <w:tc>
          <w:tcPr>
            <w:tcW w:w="1600" w:type="dxa"/>
            <w:tcBorders>
              <w:top w:val="nil"/>
              <w:left w:val="nil"/>
              <w:bottom w:val="single" w:sz="4" w:space="0" w:color="auto"/>
              <w:right w:val="nil"/>
            </w:tcBorders>
            <w:shd w:val="clear" w:color="auto" w:fill="auto"/>
            <w:vAlign w:val="center"/>
            <w:hideMark/>
          </w:tcPr>
          <w:p w14:paraId="2503025A"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 </w:t>
            </w:r>
          </w:p>
        </w:tc>
        <w:tc>
          <w:tcPr>
            <w:tcW w:w="1600" w:type="dxa"/>
            <w:tcBorders>
              <w:top w:val="nil"/>
              <w:left w:val="nil"/>
              <w:bottom w:val="single" w:sz="4" w:space="0" w:color="auto"/>
              <w:right w:val="nil"/>
            </w:tcBorders>
            <w:shd w:val="clear" w:color="auto" w:fill="auto"/>
            <w:vAlign w:val="center"/>
            <w:hideMark/>
          </w:tcPr>
          <w:p w14:paraId="7F7E0165"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(596)</w:t>
            </w:r>
          </w:p>
        </w:tc>
        <w:tc>
          <w:tcPr>
            <w:tcW w:w="1600" w:type="dxa"/>
            <w:tcBorders>
              <w:top w:val="nil"/>
              <w:left w:val="nil"/>
              <w:bottom w:val="single" w:sz="4" w:space="0" w:color="auto"/>
              <w:right w:val="nil"/>
            </w:tcBorders>
            <w:shd w:val="clear" w:color="auto" w:fill="auto"/>
            <w:vAlign w:val="center"/>
            <w:hideMark/>
          </w:tcPr>
          <w:p w14:paraId="20088391"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 </w:t>
            </w:r>
          </w:p>
        </w:tc>
        <w:tc>
          <w:tcPr>
            <w:tcW w:w="1600" w:type="dxa"/>
            <w:tcBorders>
              <w:top w:val="nil"/>
              <w:left w:val="nil"/>
              <w:bottom w:val="single" w:sz="4" w:space="0" w:color="auto"/>
              <w:right w:val="nil"/>
            </w:tcBorders>
            <w:shd w:val="clear" w:color="auto" w:fill="auto"/>
            <w:vAlign w:val="center"/>
            <w:hideMark/>
          </w:tcPr>
          <w:p w14:paraId="01AC1F88"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(964)</w:t>
            </w:r>
          </w:p>
        </w:tc>
      </w:tr>
      <w:tr w:rsidR="00917A2E" w:rsidRPr="00917A2E" w14:paraId="75801F10" w14:textId="77777777" w:rsidTr="00917A2E">
        <w:trPr>
          <w:trHeight w:val="210"/>
        </w:trPr>
        <w:tc>
          <w:tcPr>
            <w:tcW w:w="4720" w:type="dxa"/>
            <w:tcBorders>
              <w:top w:val="nil"/>
              <w:left w:val="nil"/>
              <w:bottom w:val="nil"/>
              <w:right w:val="nil"/>
            </w:tcBorders>
            <w:shd w:val="clear" w:color="auto" w:fill="auto"/>
            <w:vAlign w:val="center"/>
            <w:hideMark/>
          </w:tcPr>
          <w:p w14:paraId="619CFD02"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at 31 March 2020</w:t>
            </w:r>
          </w:p>
        </w:tc>
        <w:tc>
          <w:tcPr>
            <w:tcW w:w="1360" w:type="dxa"/>
            <w:tcBorders>
              <w:top w:val="nil"/>
              <w:left w:val="nil"/>
              <w:bottom w:val="nil"/>
              <w:right w:val="nil"/>
            </w:tcBorders>
            <w:shd w:val="clear" w:color="auto" w:fill="auto"/>
            <w:vAlign w:val="center"/>
            <w:hideMark/>
          </w:tcPr>
          <w:p w14:paraId="5EA32BBD"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87,947</w:t>
            </w:r>
          </w:p>
        </w:tc>
        <w:tc>
          <w:tcPr>
            <w:tcW w:w="1600" w:type="dxa"/>
            <w:tcBorders>
              <w:top w:val="nil"/>
              <w:left w:val="nil"/>
              <w:bottom w:val="nil"/>
              <w:right w:val="nil"/>
            </w:tcBorders>
            <w:shd w:val="clear" w:color="000000" w:fill="FFFFCC"/>
            <w:vAlign w:val="center"/>
            <w:hideMark/>
          </w:tcPr>
          <w:p w14:paraId="34D1CEB9"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30,285</w:t>
            </w:r>
          </w:p>
        </w:tc>
        <w:tc>
          <w:tcPr>
            <w:tcW w:w="1600" w:type="dxa"/>
            <w:tcBorders>
              <w:top w:val="nil"/>
              <w:left w:val="nil"/>
              <w:bottom w:val="nil"/>
              <w:right w:val="nil"/>
            </w:tcBorders>
            <w:shd w:val="clear" w:color="auto" w:fill="auto"/>
            <w:vAlign w:val="center"/>
            <w:hideMark/>
          </w:tcPr>
          <w:p w14:paraId="6FF4599C"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20,493</w:t>
            </w:r>
          </w:p>
        </w:tc>
        <w:tc>
          <w:tcPr>
            <w:tcW w:w="1600" w:type="dxa"/>
            <w:tcBorders>
              <w:top w:val="nil"/>
              <w:left w:val="nil"/>
              <w:bottom w:val="nil"/>
              <w:right w:val="nil"/>
            </w:tcBorders>
            <w:shd w:val="clear" w:color="auto" w:fill="auto"/>
            <w:vAlign w:val="center"/>
            <w:hideMark/>
          </w:tcPr>
          <w:p w14:paraId="0C1E9DAD"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10,585</w:t>
            </w:r>
          </w:p>
        </w:tc>
        <w:tc>
          <w:tcPr>
            <w:tcW w:w="1600" w:type="dxa"/>
            <w:tcBorders>
              <w:top w:val="nil"/>
              <w:left w:val="nil"/>
              <w:bottom w:val="nil"/>
              <w:right w:val="nil"/>
            </w:tcBorders>
            <w:shd w:val="clear" w:color="000000" w:fill="FFFFCC"/>
            <w:vAlign w:val="center"/>
            <w:hideMark/>
          </w:tcPr>
          <w:p w14:paraId="0D93ADD3"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149,310</w:t>
            </w:r>
          </w:p>
        </w:tc>
      </w:tr>
      <w:tr w:rsidR="00917A2E" w:rsidRPr="00917A2E" w14:paraId="77D32836" w14:textId="77777777" w:rsidTr="00917A2E">
        <w:trPr>
          <w:trHeight w:val="210"/>
        </w:trPr>
        <w:tc>
          <w:tcPr>
            <w:tcW w:w="4720" w:type="dxa"/>
            <w:tcBorders>
              <w:top w:val="nil"/>
              <w:left w:val="nil"/>
              <w:bottom w:val="nil"/>
              <w:right w:val="nil"/>
            </w:tcBorders>
            <w:shd w:val="clear" w:color="auto" w:fill="auto"/>
            <w:vAlign w:val="center"/>
            <w:hideMark/>
          </w:tcPr>
          <w:p w14:paraId="4F34977B"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c>
          <w:tcPr>
            <w:tcW w:w="1360" w:type="dxa"/>
            <w:tcBorders>
              <w:top w:val="nil"/>
              <w:left w:val="nil"/>
              <w:bottom w:val="nil"/>
              <w:right w:val="nil"/>
            </w:tcBorders>
            <w:shd w:val="clear" w:color="auto" w:fill="auto"/>
            <w:vAlign w:val="center"/>
            <w:hideMark/>
          </w:tcPr>
          <w:p w14:paraId="2FA42E77"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c>
          <w:tcPr>
            <w:tcW w:w="1600" w:type="dxa"/>
            <w:tcBorders>
              <w:top w:val="nil"/>
              <w:left w:val="nil"/>
              <w:bottom w:val="nil"/>
              <w:right w:val="nil"/>
            </w:tcBorders>
            <w:shd w:val="clear" w:color="auto" w:fill="auto"/>
            <w:vAlign w:val="center"/>
            <w:hideMark/>
          </w:tcPr>
          <w:p w14:paraId="48974A78"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c>
          <w:tcPr>
            <w:tcW w:w="1600" w:type="dxa"/>
            <w:tcBorders>
              <w:top w:val="nil"/>
              <w:left w:val="nil"/>
              <w:bottom w:val="nil"/>
              <w:right w:val="nil"/>
            </w:tcBorders>
            <w:shd w:val="clear" w:color="auto" w:fill="auto"/>
            <w:vAlign w:val="center"/>
            <w:hideMark/>
          </w:tcPr>
          <w:p w14:paraId="6F10C31E"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c>
          <w:tcPr>
            <w:tcW w:w="1600" w:type="dxa"/>
            <w:tcBorders>
              <w:top w:val="nil"/>
              <w:left w:val="nil"/>
              <w:bottom w:val="nil"/>
              <w:right w:val="nil"/>
            </w:tcBorders>
            <w:shd w:val="clear" w:color="auto" w:fill="auto"/>
            <w:vAlign w:val="center"/>
            <w:hideMark/>
          </w:tcPr>
          <w:p w14:paraId="711A5AD2"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c>
          <w:tcPr>
            <w:tcW w:w="1600" w:type="dxa"/>
            <w:tcBorders>
              <w:top w:val="nil"/>
              <w:left w:val="nil"/>
              <w:bottom w:val="nil"/>
              <w:right w:val="nil"/>
            </w:tcBorders>
            <w:shd w:val="clear" w:color="auto" w:fill="auto"/>
            <w:vAlign w:val="center"/>
            <w:hideMark/>
          </w:tcPr>
          <w:p w14:paraId="1B1B0D1F"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r>
      <w:tr w:rsidR="00917A2E" w:rsidRPr="00917A2E" w14:paraId="5E92CACD" w14:textId="77777777" w:rsidTr="00917A2E">
        <w:trPr>
          <w:trHeight w:val="210"/>
        </w:trPr>
        <w:tc>
          <w:tcPr>
            <w:tcW w:w="4720" w:type="dxa"/>
            <w:tcBorders>
              <w:top w:val="nil"/>
              <w:left w:val="nil"/>
              <w:bottom w:val="nil"/>
              <w:right w:val="nil"/>
            </w:tcBorders>
            <w:shd w:val="clear" w:color="auto" w:fill="auto"/>
            <w:vAlign w:val="center"/>
            <w:hideMark/>
          </w:tcPr>
          <w:p w14:paraId="7ABAAA88"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Accumulated Depreciation and Impairment</w:t>
            </w:r>
          </w:p>
        </w:tc>
        <w:tc>
          <w:tcPr>
            <w:tcW w:w="1360" w:type="dxa"/>
            <w:tcBorders>
              <w:top w:val="nil"/>
              <w:left w:val="nil"/>
              <w:bottom w:val="nil"/>
              <w:right w:val="nil"/>
            </w:tcBorders>
            <w:shd w:val="clear" w:color="auto" w:fill="auto"/>
            <w:vAlign w:val="center"/>
            <w:hideMark/>
          </w:tcPr>
          <w:p w14:paraId="662D1A9D"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c>
          <w:tcPr>
            <w:tcW w:w="1600" w:type="dxa"/>
            <w:tcBorders>
              <w:top w:val="nil"/>
              <w:left w:val="nil"/>
              <w:bottom w:val="nil"/>
              <w:right w:val="nil"/>
            </w:tcBorders>
            <w:shd w:val="clear" w:color="auto" w:fill="auto"/>
            <w:vAlign w:val="center"/>
            <w:hideMark/>
          </w:tcPr>
          <w:p w14:paraId="6B62F8EF"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c>
          <w:tcPr>
            <w:tcW w:w="1600" w:type="dxa"/>
            <w:tcBorders>
              <w:top w:val="nil"/>
              <w:left w:val="nil"/>
              <w:bottom w:val="nil"/>
              <w:right w:val="nil"/>
            </w:tcBorders>
            <w:shd w:val="clear" w:color="auto" w:fill="auto"/>
            <w:vAlign w:val="center"/>
            <w:hideMark/>
          </w:tcPr>
          <w:p w14:paraId="4EF4EB59"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c>
          <w:tcPr>
            <w:tcW w:w="1600" w:type="dxa"/>
            <w:tcBorders>
              <w:top w:val="nil"/>
              <w:left w:val="nil"/>
              <w:bottom w:val="nil"/>
              <w:right w:val="nil"/>
            </w:tcBorders>
            <w:shd w:val="clear" w:color="auto" w:fill="auto"/>
            <w:vAlign w:val="center"/>
            <w:hideMark/>
          </w:tcPr>
          <w:p w14:paraId="24F59F5C"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c>
          <w:tcPr>
            <w:tcW w:w="1600" w:type="dxa"/>
            <w:tcBorders>
              <w:top w:val="nil"/>
              <w:left w:val="nil"/>
              <w:bottom w:val="nil"/>
              <w:right w:val="nil"/>
            </w:tcBorders>
            <w:shd w:val="clear" w:color="auto" w:fill="auto"/>
            <w:vAlign w:val="center"/>
            <w:hideMark/>
          </w:tcPr>
          <w:p w14:paraId="7DEF40B8"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r>
      <w:tr w:rsidR="00917A2E" w:rsidRPr="00917A2E" w14:paraId="1774A402" w14:textId="77777777" w:rsidTr="00917A2E">
        <w:trPr>
          <w:trHeight w:val="210"/>
        </w:trPr>
        <w:tc>
          <w:tcPr>
            <w:tcW w:w="4720" w:type="dxa"/>
            <w:tcBorders>
              <w:top w:val="nil"/>
              <w:left w:val="nil"/>
              <w:bottom w:val="nil"/>
              <w:right w:val="nil"/>
            </w:tcBorders>
            <w:shd w:val="clear" w:color="auto" w:fill="auto"/>
            <w:vAlign w:val="center"/>
            <w:hideMark/>
          </w:tcPr>
          <w:p w14:paraId="407B1355"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at 1 April 2019 As previously stated</w:t>
            </w:r>
          </w:p>
        </w:tc>
        <w:tc>
          <w:tcPr>
            <w:tcW w:w="1360" w:type="dxa"/>
            <w:tcBorders>
              <w:top w:val="nil"/>
              <w:left w:val="nil"/>
              <w:bottom w:val="nil"/>
              <w:right w:val="nil"/>
            </w:tcBorders>
            <w:shd w:val="clear" w:color="auto" w:fill="auto"/>
            <w:vAlign w:val="center"/>
            <w:hideMark/>
          </w:tcPr>
          <w:p w14:paraId="4CA17D31"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(773)</w:t>
            </w:r>
          </w:p>
        </w:tc>
        <w:tc>
          <w:tcPr>
            <w:tcW w:w="1600" w:type="dxa"/>
            <w:tcBorders>
              <w:top w:val="nil"/>
              <w:left w:val="nil"/>
              <w:bottom w:val="nil"/>
              <w:right w:val="nil"/>
            </w:tcBorders>
            <w:shd w:val="clear" w:color="auto" w:fill="auto"/>
            <w:vAlign w:val="center"/>
            <w:hideMark/>
          </w:tcPr>
          <w:p w14:paraId="6A4CAE6B"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(30,665)</w:t>
            </w:r>
          </w:p>
        </w:tc>
        <w:tc>
          <w:tcPr>
            <w:tcW w:w="1600" w:type="dxa"/>
            <w:tcBorders>
              <w:top w:val="nil"/>
              <w:left w:val="nil"/>
              <w:bottom w:val="nil"/>
              <w:right w:val="nil"/>
            </w:tcBorders>
            <w:shd w:val="clear" w:color="auto" w:fill="auto"/>
            <w:vAlign w:val="center"/>
            <w:hideMark/>
          </w:tcPr>
          <w:p w14:paraId="1ACC351C"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(117)</w:t>
            </w:r>
          </w:p>
        </w:tc>
        <w:tc>
          <w:tcPr>
            <w:tcW w:w="1600" w:type="dxa"/>
            <w:tcBorders>
              <w:top w:val="nil"/>
              <w:left w:val="nil"/>
              <w:bottom w:val="nil"/>
              <w:right w:val="nil"/>
            </w:tcBorders>
            <w:shd w:val="clear" w:color="auto" w:fill="auto"/>
            <w:vAlign w:val="center"/>
            <w:hideMark/>
          </w:tcPr>
          <w:p w14:paraId="271E3EC7"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0</w:t>
            </w:r>
          </w:p>
        </w:tc>
        <w:tc>
          <w:tcPr>
            <w:tcW w:w="1600" w:type="dxa"/>
            <w:tcBorders>
              <w:top w:val="nil"/>
              <w:left w:val="nil"/>
              <w:bottom w:val="nil"/>
              <w:right w:val="nil"/>
            </w:tcBorders>
            <w:shd w:val="clear" w:color="auto" w:fill="auto"/>
            <w:vAlign w:val="center"/>
            <w:hideMark/>
          </w:tcPr>
          <w:p w14:paraId="4E5B1655"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(31,555)</w:t>
            </w:r>
          </w:p>
        </w:tc>
      </w:tr>
      <w:tr w:rsidR="00917A2E" w:rsidRPr="00917A2E" w14:paraId="6B83CC2E" w14:textId="77777777" w:rsidTr="00917A2E">
        <w:trPr>
          <w:trHeight w:val="420"/>
        </w:trPr>
        <w:tc>
          <w:tcPr>
            <w:tcW w:w="4720" w:type="dxa"/>
            <w:tcBorders>
              <w:top w:val="nil"/>
              <w:left w:val="nil"/>
              <w:bottom w:val="single" w:sz="4" w:space="0" w:color="auto"/>
              <w:right w:val="nil"/>
            </w:tcBorders>
            <w:shd w:val="clear" w:color="auto" w:fill="auto"/>
            <w:vAlign w:val="center"/>
            <w:hideMark/>
          </w:tcPr>
          <w:p w14:paraId="70C48E21" w14:textId="77777777" w:rsidR="00917A2E" w:rsidRPr="00917A2E" w:rsidRDefault="00917A2E" w:rsidP="00917A2E">
            <w:pPr>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 xml:space="preserve">Fully depreciated assets written out of the books as no longer held </w:t>
            </w:r>
          </w:p>
        </w:tc>
        <w:tc>
          <w:tcPr>
            <w:tcW w:w="1360" w:type="dxa"/>
            <w:tcBorders>
              <w:top w:val="nil"/>
              <w:left w:val="nil"/>
              <w:bottom w:val="single" w:sz="4" w:space="0" w:color="auto"/>
              <w:right w:val="nil"/>
            </w:tcBorders>
            <w:shd w:val="clear" w:color="auto" w:fill="auto"/>
            <w:vAlign w:val="center"/>
            <w:hideMark/>
          </w:tcPr>
          <w:p w14:paraId="3F8D8B0A"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w:t>
            </w:r>
          </w:p>
        </w:tc>
        <w:tc>
          <w:tcPr>
            <w:tcW w:w="1600" w:type="dxa"/>
            <w:tcBorders>
              <w:top w:val="nil"/>
              <w:left w:val="nil"/>
              <w:bottom w:val="single" w:sz="4" w:space="0" w:color="auto"/>
              <w:right w:val="nil"/>
            </w:tcBorders>
            <w:shd w:val="clear" w:color="000000" w:fill="FFFFCC"/>
            <w:vAlign w:val="center"/>
            <w:hideMark/>
          </w:tcPr>
          <w:p w14:paraId="341BCCA2"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13,850</w:t>
            </w:r>
          </w:p>
        </w:tc>
        <w:tc>
          <w:tcPr>
            <w:tcW w:w="1600" w:type="dxa"/>
            <w:tcBorders>
              <w:top w:val="nil"/>
              <w:left w:val="nil"/>
              <w:bottom w:val="single" w:sz="4" w:space="0" w:color="auto"/>
              <w:right w:val="nil"/>
            </w:tcBorders>
            <w:shd w:val="clear" w:color="auto" w:fill="auto"/>
            <w:vAlign w:val="center"/>
            <w:hideMark/>
          </w:tcPr>
          <w:p w14:paraId="29864010"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w:t>
            </w:r>
          </w:p>
        </w:tc>
        <w:tc>
          <w:tcPr>
            <w:tcW w:w="1600" w:type="dxa"/>
            <w:tcBorders>
              <w:top w:val="nil"/>
              <w:left w:val="nil"/>
              <w:bottom w:val="single" w:sz="4" w:space="0" w:color="auto"/>
              <w:right w:val="nil"/>
            </w:tcBorders>
            <w:shd w:val="clear" w:color="auto" w:fill="auto"/>
            <w:vAlign w:val="center"/>
            <w:hideMark/>
          </w:tcPr>
          <w:p w14:paraId="1E547E28"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w:t>
            </w:r>
          </w:p>
        </w:tc>
        <w:tc>
          <w:tcPr>
            <w:tcW w:w="1600" w:type="dxa"/>
            <w:tcBorders>
              <w:top w:val="nil"/>
              <w:left w:val="nil"/>
              <w:bottom w:val="single" w:sz="4" w:space="0" w:color="auto"/>
              <w:right w:val="nil"/>
            </w:tcBorders>
            <w:shd w:val="clear" w:color="000000" w:fill="FFFFCC"/>
            <w:vAlign w:val="center"/>
            <w:hideMark/>
          </w:tcPr>
          <w:p w14:paraId="2A787DEE"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13,850</w:t>
            </w:r>
          </w:p>
        </w:tc>
      </w:tr>
      <w:tr w:rsidR="00917A2E" w:rsidRPr="00917A2E" w14:paraId="47DF5002" w14:textId="77777777" w:rsidTr="00917A2E">
        <w:trPr>
          <w:trHeight w:val="210"/>
        </w:trPr>
        <w:tc>
          <w:tcPr>
            <w:tcW w:w="4720" w:type="dxa"/>
            <w:tcBorders>
              <w:top w:val="nil"/>
              <w:left w:val="nil"/>
              <w:bottom w:val="nil"/>
              <w:right w:val="nil"/>
            </w:tcBorders>
            <w:shd w:val="clear" w:color="auto" w:fill="auto"/>
            <w:vAlign w:val="center"/>
            <w:hideMark/>
          </w:tcPr>
          <w:p w14:paraId="3A3CEDCF"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at 1 April 2019 As restated</w:t>
            </w:r>
          </w:p>
        </w:tc>
        <w:tc>
          <w:tcPr>
            <w:tcW w:w="1360" w:type="dxa"/>
            <w:tcBorders>
              <w:top w:val="nil"/>
              <w:left w:val="nil"/>
              <w:bottom w:val="nil"/>
              <w:right w:val="nil"/>
            </w:tcBorders>
            <w:shd w:val="clear" w:color="auto" w:fill="auto"/>
            <w:vAlign w:val="center"/>
            <w:hideMark/>
          </w:tcPr>
          <w:p w14:paraId="4E7BE3A8"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(773)</w:t>
            </w:r>
          </w:p>
        </w:tc>
        <w:tc>
          <w:tcPr>
            <w:tcW w:w="1600" w:type="dxa"/>
            <w:tcBorders>
              <w:top w:val="nil"/>
              <w:left w:val="nil"/>
              <w:bottom w:val="nil"/>
              <w:right w:val="nil"/>
            </w:tcBorders>
            <w:shd w:val="clear" w:color="auto" w:fill="auto"/>
            <w:vAlign w:val="center"/>
            <w:hideMark/>
          </w:tcPr>
          <w:p w14:paraId="01D98C7C"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(16,815)</w:t>
            </w:r>
          </w:p>
        </w:tc>
        <w:tc>
          <w:tcPr>
            <w:tcW w:w="1600" w:type="dxa"/>
            <w:tcBorders>
              <w:top w:val="nil"/>
              <w:left w:val="nil"/>
              <w:bottom w:val="nil"/>
              <w:right w:val="nil"/>
            </w:tcBorders>
            <w:shd w:val="clear" w:color="auto" w:fill="auto"/>
            <w:vAlign w:val="center"/>
            <w:hideMark/>
          </w:tcPr>
          <w:p w14:paraId="11EF2C78"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(117)</w:t>
            </w:r>
          </w:p>
        </w:tc>
        <w:tc>
          <w:tcPr>
            <w:tcW w:w="1600" w:type="dxa"/>
            <w:tcBorders>
              <w:top w:val="nil"/>
              <w:left w:val="nil"/>
              <w:bottom w:val="nil"/>
              <w:right w:val="nil"/>
            </w:tcBorders>
            <w:shd w:val="clear" w:color="auto" w:fill="auto"/>
            <w:vAlign w:val="center"/>
            <w:hideMark/>
          </w:tcPr>
          <w:p w14:paraId="1F89ACA6"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0</w:t>
            </w:r>
          </w:p>
        </w:tc>
        <w:tc>
          <w:tcPr>
            <w:tcW w:w="1600" w:type="dxa"/>
            <w:tcBorders>
              <w:top w:val="nil"/>
              <w:left w:val="nil"/>
              <w:bottom w:val="nil"/>
              <w:right w:val="nil"/>
            </w:tcBorders>
            <w:shd w:val="clear" w:color="auto" w:fill="auto"/>
            <w:vAlign w:val="center"/>
            <w:hideMark/>
          </w:tcPr>
          <w:p w14:paraId="7FB1177F"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(17,705)</w:t>
            </w:r>
          </w:p>
        </w:tc>
      </w:tr>
      <w:tr w:rsidR="00917A2E" w:rsidRPr="00917A2E" w14:paraId="1EB3A68A" w14:textId="77777777" w:rsidTr="00917A2E">
        <w:trPr>
          <w:trHeight w:val="210"/>
        </w:trPr>
        <w:tc>
          <w:tcPr>
            <w:tcW w:w="4720" w:type="dxa"/>
            <w:tcBorders>
              <w:top w:val="nil"/>
              <w:left w:val="nil"/>
              <w:bottom w:val="nil"/>
              <w:right w:val="nil"/>
            </w:tcBorders>
            <w:shd w:val="clear" w:color="auto" w:fill="auto"/>
            <w:vAlign w:val="center"/>
            <w:hideMark/>
          </w:tcPr>
          <w:p w14:paraId="5D0D33B8" w14:textId="77777777" w:rsidR="00917A2E" w:rsidRPr="00917A2E" w:rsidRDefault="00917A2E" w:rsidP="00917A2E">
            <w:pPr>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Depreciation charge</w:t>
            </w:r>
          </w:p>
        </w:tc>
        <w:tc>
          <w:tcPr>
            <w:tcW w:w="1360" w:type="dxa"/>
            <w:tcBorders>
              <w:top w:val="nil"/>
              <w:left w:val="nil"/>
              <w:bottom w:val="nil"/>
              <w:right w:val="nil"/>
            </w:tcBorders>
            <w:shd w:val="clear" w:color="auto" w:fill="auto"/>
            <w:vAlign w:val="center"/>
            <w:hideMark/>
          </w:tcPr>
          <w:p w14:paraId="5E85EF43"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(2,307)</w:t>
            </w:r>
          </w:p>
        </w:tc>
        <w:tc>
          <w:tcPr>
            <w:tcW w:w="1600" w:type="dxa"/>
            <w:tcBorders>
              <w:top w:val="nil"/>
              <w:left w:val="nil"/>
              <w:bottom w:val="nil"/>
              <w:right w:val="nil"/>
            </w:tcBorders>
            <w:shd w:val="clear" w:color="auto" w:fill="auto"/>
            <w:vAlign w:val="center"/>
            <w:hideMark/>
          </w:tcPr>
          <w:p w14:paraId="5338B9E0"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(4,129)</w:t>
            </w:r>
          </w:p>
        </w:tc>
        <w:tc>
          <w:tcPr>
            <w:tcW w:w="1600" w:type="dxa"/>
            <w:tcBorders>
              <w:top w:val="nil"/>
              <w:left w:val="nil"/>
              <w:bottom w:val="nil"/>
              <w:right w:val="nil"/>
            </w:tcBorders>
            <w:shd w:val="clear" w:color="auto" w:fill="auto"/>
            <w:vAlign w:val="center"/>
            <w:hideMark/>
          </w:tcPr>
          <w:p w14:paraId="423FACBA"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(903)</w:t>
            </w:r>
          </w:p>
        </w:tc>
        <w:tc>
          <w:tcPr>
            <w:tcW w:w="1600" w:type="dxa"/>
            <w:tcBorders>
              <w:top w:val="nil"/>
              <w:left w:val="nil"/>
              <w:bottom w:val="nil"/>
              <w:right w:val="nil"/>
            </w:tcBorders>
            <w:shd w:val="clear" w:color="auto" w:fill="auto"/>
            <w:vAlign w:val="center"/>
            <w:hideMark/>
          </w:tcPr>
          <w:p w14:paraId="1FD23A0F" w14:textId="77777777" w:rsidR="00917A2E" w:rsidRPr="00917A2E" w:rsidRDefault="00917A2E" w:rsidP="00917A2E">
            <w:pPr>
              <w:jc w:val="right"/>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5F0A06CC"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(7,339)</w:t>
            </w:r>
          </w:p>
        </w:tc>
      </w:tr>
      <w:tr w:rsidR="00917A2E" w:rsidRPr="00917A2E" w14:paraId="37091A4D" w14:textId="77777777" w:rsidTr="00917A2E">
        <w:trPr>
          <w:trHeight w:val="210"/>
        </w:trPr>
        <w:tc>
          <w:tcPr>
            <w:tcW w:w="4720" w:type="dxa"/>
            <w:tcBorders>
              <w:top w:val="nil"/>
              <w:left w:val="nil"/>
              <w:bottom w:val="nil"/>
              <w:right w:val="nil"/>
            </w:tcBorders>
            <w:shd w:val="clear" w:color="auto" w:fill="auto"/>
            <w:vAlign w:val="center"/>
            <w:hideMark/>
          </w:tcPr>
          <w:p w14:paraId="6D08BB38" w14:textId="77777777" w:rsidR="00917A2E" w:rsidRPr="00917A2E" w:rsidRDefault="00917A2E" w:rsidP="00917A2E">
            <w:pPr>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Depreciation written out to the Revaluation Reserve</w:t>
            </w:r>
          </w:p>
        </w:tc>
        <w:tc>
          <w:tcPr>
            <w:tcW w:w="1360" w:type="dxa"/>
            <w:tcBorders>
              <w:top w:val="nil"/>
              <w:left w:val="nil"/>
              <w:bottom w:val="nil"/>
              <w:right w:val="nil"/>
            </w:tcBorders>
            <w:shd w:val="clear" w:color="auto" w:fill="auto"/>
            <w:vAlign w:val="center"/>
            <w:hideMark/>
          </w:tcPr>
          <w:p w14:paraId="0303514D"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2,737</w:t>
            </w:r>
          </w:p>
        </w:tc>
        <w:tc>
          <w:tcPr>
            <w:tcW w:w="1600" w:type="dxa"/>
            <w:tcBorders>
              <w:top w:val="nil"/>
              <w:left w:val="nil"/>
              <w:bottom w:val="nil"/>
              <w:right w:val="nil"/>
            </w:tcBorders>
            <w:shd w:val="clear" w:color="auto" w:fill="auto"/>
            <w:vAlign w:val="center"/>
            <w:hideMark/>
          </w:tcPr>
          <w:p w14:paraId="3152B77D" w14:textId="77777777" w:rsidR="00917A2E" w:rsidRPr="00917A2E" w:rsidRDefault="00917A2E" w:rsidP="00917A2E">
            <w:pPr>
              <w:jc w:val="right"/>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4D55F8F3"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217</w:t>
            </w:r>
          </w:p>
        </w:tc>
        <w:tc>
          <w:tcPr>
            <w:tcW w:w="1600" w:type="dxa"/>
            <w:tcBorders>
              <w:top w:val="nil"/>
              <w:left w:val="nil"/>
              <w:bottom w:val="nil"/>
              <w:right w:val="nil"/>
            </w:tcBorders>
            <w:shd w:val="clear" w:color="auto" w:fill="auto"/>
            <w:vAlign w:val="center"/>
            <w:hideMark/>
          </w:tcPr>
          <w:p w14:paraId="763C5824" w14:textId="77777777" w:rsidR="00917A2E" w:rsidRPr="00917A2E" w:rsidRDefault="00917A2E" w:rsidP="00917A2E">
            <w:pPr>
              <w:jc w:val="right"/>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040E636E"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2,954</w:t>
            </w:r>
          </w:p>
        </w:tc>
      </w:tr>
      <w:tr w:rsidR="00917A2E" w:rsidRPr="00917A2E" w14:paraId="5F424E6B" w14:textId="77777777" w:rsidTr="00917A2E">
        <w:trPr>
          <w:trHeight w:val="210"/>
        </w:trPr>
        <w:tc>
          <w:tcPr>
            <w:tcW w:w="4720" w:type="dxa"/>
            <w:tcBorders>
              <w:top w:val="nil"/>
              <w:left w:val="nil"/>
              <w:bottom w:val="nil"/>
              <w:right w:val="nil"/>
            </w:tcBorders>
            <w:shd w:val="clear" w:color="auto" w:fill="auto"/>
            <w:vAlign w:val="center"/>
            <w:hideMark/>
          </w:tcPr>
          <w:p w14:paraId="7342BD4F" w14:textId="77777777" w:rsidR="00917A2E" w:rsidRPr="00917A2E" w:rsidRDefault="00917A2E" w:rsidP="00917A2E">
            <w:pPr>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Depreciation written out to Revenue</w:t>
            </w:r>
          </w:p>
        </w:tc>
        <w:tc>
          <w:tcPr>
            <w:tcW w:w="1360" w:type="dxa"/>
            <w:tcBorders>
              <w:top w:val="nil"/>
              <w:left w:val="nil"/>
              <w:bottom w:val="nil"/>
              <w:right w:val="nil"/>
            </w:tcBorders>
            <w:shd w:val="clear" w:color="auto" w:fill="auto"/>
            <w:vAlign w:val="center"/>
            <w:hideMark/>
          </w:tcPr>
          <w:p w14:paraId="62656886" w14:textId="77777777" w:rsidR="00917A2E" w:rsidRPr="00917A2E" w:rsidRDefault="00917A2E" w:rsidP="00917A2E">
            <w:pPr>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6767BB03" w14:textId="77777777" w:rsidR="00917A2E" w:rsidRPr="00917A2E" w:rsidRDefault="00917A2E" w:rsidP="00917A2E">
            <w:pPr>
              <w:jc w:val="right"/>
              <w:rPr>
                <w:rFonts w:ascii="Times New Roman" w:eastAsia="Times New Roman" w:hAnsi="Times New Roman" w:cs="Times New Roman"/>
                <w:sz w:val="20"/>
                <w:szCs w:val="20"/>
                <w:lang w:val="en-GB" w:eastAsia="en-GB"/>
              </w:rPr>
            </w:pPr>
          </w:p>
        </w:tc>
        <w:tc>
          <w:tcPr>
            <w:tcW w:w="1600" w:type="dxa"/>
            <w:tcBorders>
              <w:top w:val="nil"/>
              <w:left w:val="nil"/>
              <w:bottom w:val="nil"/>
              <w:right w:val="nil"/>
            </w:tcBorders>
            <w:shd w:val="clear" w:color="auto" w:fill="auto"/>
            <w:vAlign w:val="center"/>
            <w:hideMark/>
          </w:tcPr>
          <w:p w14:paraId="117E563B"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757</w:t>
            </w:r>
          </w:p>
        </w:tc>
        <w:tc>
          <w:tcPr>
            <w:tcW w:w="1600" w:type="dxa"/>
            <w:tcBorders>
              <w:top w:val="nil"/>
              <w:left w:val="nil"/>
              <w:bottom w:val="nil"/>
              <w:right w:val="nil"/>
            </w:tcBorders>
            <w:shd w:val="clear" w:color="auto" w:fill="auto"/>
            <w:vAlign w:val="center"/>
            <w:hideMark/>
          </w:tcPr>
          <w:p w14:paraId="36BEDDBE" w14:textId="77777777" w:rsidR="00917A2E" w:rsidRPr="00917A2E" w:rsidRDefault="00917A2E" w:rsidP="00917A2E">
            <w:pPr>
              <w:jc w:val="right"/>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534D805D"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757</w:t>
            </w:r>
          </w:p>
        </w:tc>
      </w:tr>
      <w:tr w:rsidR="00917A2E" w:rsidRPr="00917A2E" w14:paraId="414A3C80" w14:textId="77777777" w:rsidTr="00917A2E">
        <w:trPr>
          <w:trHeight w:val="210"/>
        </w:trPr>
        <w:tc>
          <w:tcPr>
            <w:tcW w:w="4720" w:type="dxa"/>
            <w:tcBorders>
              <w:top w:val="nil"/>
              <w:left w:val="nil"/>
              <w:bottom w:val="nil"/>
              <w:right w:val="nil"/>
            </w:tcBorders>
            <w:shd w:val="clear" w:color="auto" w:fill="auto"/>
            <w:vAlign w:val="center"/>
            <w:hideMark/>
          </w:tcPr>
          <w:p w14:paraId="0DC74886" w14:textId="77777777" w:rsidR="00917A2E" w:rsidRPr="00917A2E" w:rsidRDefault="00917A2E" w:rsidP="00917A2E">
            <w:pPr>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De-recognition – disposals</w:t>
            </w:r>
          </w:p>
        </w:tc>
        <w:tc>
          <w:tcPr>
            <w:tcW w:w="1360" w:type="dxa"/>
            <w:tcBorders>
              <w:top w:val="nil"/>
              <w:left w:val="nil"/>
              <w:bottom w:val="nil"/>
              <w:right w:val="nil"/>
            </w:tcBorders>
            <w:shd w:val="clear" w:color="auto" w:fill="auto"/>
            <w:vAlign w:val="center"/>
            <w:hideMark/>
          </w:tcPr>
          <w:p w14:paraId="3135F481" w14:textId="77777777" w:rsidR="00917A2E" w:rsidRPr="00917A2E" w:rsidRDefault="00917A2E" w:rsidP="00917A2E">
            <w:pPr>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7DF1B8B3"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1,549</w:t>
            </w:r>
          </w:p>
        </w:tc>
        <w:tc>
          <w:tcPr>
            <w:tcW w:w="1600" w:type="dxa"/>
            <w:tcBorders>
              <w:top w:val="nil"/>
              <w:left w:val="nil"/>
              <w:bottom w:val="nil"/>
              <w:right w:val="nil"/>
            </w:tcBorders>
            <w:shd w:val="clear" w:color="auto" w:fill="auto"/>
            <w:vAlign w:val="center"/>
            <w:hideMark/>
          </w:tcPr>
          <w:p w14:paraId="3D47A1F0" w14:textId="77777777" w:rsidR="00917A2E" w:rsidRPr="00917A2E" w:rsidRDefault="00917A2E" w:rsidP="00917A2E">
            <w:pPr>
              <w:jc w:val="right"/>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001C5839" w14:textId="77777777" w:rsidR="00917A2E" w:rsidRPr="00917A2E" w:rsidRDefault="00917A2E" w:rsidP="00917A2E">
            <w:pPr>
              <w:jc w:val="right"/>
              <w:rPr>
                <w:rFonts w:ascii="Times New Roman" w:eastAsia="Times New Roman" w:hAnsi="Times New Roman" w:cs="Times New Roman"/>
                <w:sz w:val="20"/>
                <w:szCs w:val="20"/>
                <w:lang w:val="en-GB" w:eastAsia="en-GB"/>
              </w:rPr>
            </w:pPr>
          </w:p>
        </w:tc>
        <w:tc>
          <w:tcPr>
            <w:tcW w:w="1600" w:type="dxa"/>
            <w:tcBorders>
              <w:top w:val="nil"/>
              <w:left w:val="nil"/>
              <w:bottom w:val="nil"/>
              <w:right w:val="nil"/>
            </w:tcBorders>
            <w:shd w:val="clear" w:color="auto" w:fill="auto"/>
            <w:vAlign w:val="center"/>
            <w:hideMark/>
          </w:tcPr>
          <w:p w14:paraId="5A7122A0"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1,549</w:t>
            </w:r>
          </w:p>
        </w:tc>
      </w:tr>
      <w:tr w:rsidR="00917A2E" w:rsidRPr="00917A2E" w14:paraId="55265468" w14:textId="77777777" w:rsidTr="00917A2E">
        <w:trPr>
          <w:trHeight w:val="210"/>
        </w:trPr>
        <w:tc>
          <w:tcPr>
            <w:tcW w:w="4720" w:type="dxa"/>
            <w:tcBorders>
              <w:top w:val="nil"/>
              <w:left w:val="nil"/>
              <w:bottom w:val="nil"/>
              <w:right w:val="nil"/>
            </w:tcBorders>
            <w:shd w:val="clear" w:color="auto" w:fill="auto"/>
            <w:vAlign w:val="center"/>
            <w:hideMark/>
          </w:tcPr>
          <w:p w14:paraId="57FFE3B3" w14:textId="77777777" w:rsidR="00917A2E" w:rsidRPr="00917A2E" w:rsidRDefault="00917A2E" w:rsidP="00917A2E">
            <w:pPr>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Rounding on transfer to Assets Held For Sale</w:t>
            </w:r>
          </w:p>
        </w:tc>
        <w:tc>
          <w:tcPr>
            <w:tcW w:w="1360" w:type="dxa"/>
            <w:tcBorders>
              <w:top w:val="nil"/>
              <w:left w:val="nil"/>
              <w:bottom w:val="nil"/>
              <w:right w:val="nil"/>
            </w:tcBorders>
            <w:shd w:val="clear" w:color="auto" w:fill="auto"/>
            <w:vAlign w:val="center"/>
            <w:hideMark/>
          </w:tcPr>
          <w:p w14:paraId="0ECF24C5"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1</w:t>
            </w:r>
          </w:p>
        </w:tc>
        <w:tc>
          <w:tcPr>
            <w:tcW w:w="1600" w:type="dxa"/>
            <w:tcBorders>
              <w:top w:val="nil"/>
              <w:left w:val="nil"/>
              <w:bottom w:val="nil"/>
              <w:right w:val="nil"/>
            </w:tcBorders>
            <w:shd w:val="clear" w:color="auto" w:fill="auto"/>
            <w:vAlign w:val="center"/>
            <w:hideMark/>
          </w:tcPr>
          <w:p w14:paraId="3BC24BC5" w14:textId="77777777" w:rsidR="00917A2E" w:rsidRPr="00917A2E" w:rsidRDefault="00917A2E" w:rsidP="00917A2E">
            <w:pPr>
              <w:jc w:val="right"/>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27E192DE"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1</w:t>
            </w:r>
          </w:p>
        </w:tc>
        <w:tc>
          <w:tcPr>
            <w:tcW w:w="1600" w:type="dxa"/>
            <w:tcBorders>
              <w:top w:val="nil"/>
              <w:left w:val="nil"/>
              <w:bottom w:val="nil"/>
              <w:right w:val="nil"/>
            </w:tcBorders>
            <w:shd w:val="clear" w:color="auto" w:fill="auto"/>
            <w:vAlign w:val="center"/>
            <w:hideMark/>
          </w:tcPr>
          <w:p w14:paraId="13CC215F" w14:textId="77777777" w:rsidR="00917A2E" w:rsidRPr="00917A2E" w:rsidRDefault="00917A2E" w:rsidP="00917A2E">
            <w:pPr>
              <w:jc w:val="right"/>
              <w:rPr>
                <w:rFonts w:eastAsia="Times New Roman" w:cs="Times New Roman"/>
                <w:color w:val="000000"/>
                <w:sz w:val="16"/>
                <w:szCs w:val="16"/>
                <w:lang w:val="en-GB" w:eastAsia="en-GB"/>
              </w:rPr>
            </w:pPr>
          </w:p>
        </w:tc>
        <w:tc>
          <w:tcPr>
            <w:tcW w:w="1600" w:type="dxa"/>
            <w:tcBorders>
              <w:top w:val="nil"/>
              <w:left w:val="nil"/>
              <w:bottom w:val="nil"/>
              <w:right w:val="nil"/>
            </w:tcBorders>
            <w:shd w:val="clear" w:color="auto" w:fill="auto"/>
            <w:vAlign w:val="center"/>
            <w:hideMark/>
          </w:tcPr>
          <w:p w14:paraId="1929015F"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2</w:t>
            </w:r>
          </w:p>
        </w:tc>
      </w:tr>
      <w:tr w:rsidR="00917A2E" w:rsidRPr="00917A2E" w14:paraId="392818EB" w14:textId="77777777" w:rsidTr="00917A2E">
        <w:trPr>
          <w:trHeight w:val="210"/>
        </w:trPr>
        <w:tc>
          <w:tcPr>
            <w:tcW w:w="4720" w:type="dxa"/>
            <w:tcBorders>
              <w:top w:val="nil"/>
              <w:left w:val="nil"/>
              <w:bottom w:val="single" w:sz="4" w:space="0" w:color="auto"/>
              <w:right w:val="nil"/>
            </w:tcBorders>
            <w:shd w:val="clear" w:color="auto" w:fill="auto"/>
            <w:vAlign w:val="center"/>
            <w:hideMark/>
          </w:tcPr>
          <w:p w14:paraId="3A80EAC8" w14:textId="77777777" w:rsidR="00917A2E" w:rsidRPr="00917A2E" w:rsidRDefault="00917A2E" w:rsidP="00917A2E">
            <w:pPr>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Eliminated on transfer to Surplus Assets</w:t>
            </w:r>
          </w:p>
        </w:tc>
        <w:tc>
          <w:tcPr>
            <w:tcW w:w="1360" w:type="dxa"/>
            <w:tcBorders>
              <w:top w:val="nil"/>
              <w:left w:val="nil"/>
              <w:bottom w:val="single" w:sz="4" w:space="0" w:color="auto"/>
              <w:right w:val="nil"/>
            </w:tcBorders>
            <w:shd w:val="clear" w:color="auto" w:fill="auto"/>
            <w:vAlign w:val="center"/>
            <w:hideMark/>
          </w:tcPr>
          <w:p w14:paraId="7EBBBBB1"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(13)</w:t>
            </w:r>
          </w:p>
        </w:tc>
        <w:tc>
          <w:tcPr>
            <w:tcW w:w="1600" w:type="dxa"/>
            <w:tcBorders>
              <w:top w:val="nil"/>
              <w:left w:val="nil"/>
              <w:bottom w:val="single" w:sz="4" w:space="0" w:color="auto"/>
              <w:right w:val="nil"/>
            </w:tcBorders>
            <w:shd w:val="clear" w:color="auto" w:fill="auto"/>
            <w:vAlign w:val="center"/>
            <w:hideMark/>
          </w:tcPr>
          <w:p w14:paraId="031C689F"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 </w:t>
            </w:r>
          </w:p>
        </w:tc>
        <w:tc>
          <w:tcPr>
            <w:tcW w:w="1600" w:type="dxa"/>
            <w:tcBorders>
              <w:top w:val="nil"/>
              <w:left w:val="nil"/>
              <w:bottom w:val="single" w:sz="4" w:space="0" w:color="auto"/>
              <w:right w:val="nil"/>
            </w:tcBorders>
            <w:shd w:val="clear" w:color="auto" w:fill="auto"/>
            <w:vAlign w:val="center"/>
            <w:hideMark/>
          </w:tcPr>
          <w:p w14:paraId="73E63DDA"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13</w:t>
            </w:r>
          </w:p>
        </w:tc>
        <w:tc>
          <w:tcPr>
            <w:tcW w:w="1600" w:type="dxa"/>
            <w:tcBorders>
              <w:top w:val="nil"/>
              <w:left w:val="nil"/>
              <w:bottom w:val="single" w:sz="4" w:space="0" w:color="auto"/>
              <w:right w:val="nil"/>
            </w:tcBorders>
            <w:shd w:val="clear" w:color="auto" w:fill="auto"/>
            <w:vAlign w:val="center"/>
            <w:hideMark/>
          </w:tcPr>
          <w:p w14:paraId="62DFC6D6"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 </w:t>
            </w:r>
          </w:p>
        </w:tc>
        <w:tc>
          <w:tcPr>
            <w:tcW w:w="1600" w:type="dxa"/>
            <w:tcBorders>
              <w:top w:val="nil"/>
              <w:left w:val="nil"/>
              <w:bottom w:val="single" w:sz="4" w:space="0" w:color="auto"/>
              <w:right w:val="nil"/>
            </w:tcBorders>
            <w:shd w:val="clear" w:color="auto" w:fill="auto"/>
            <w:vAlign w:val="center"/>
            <w:hideMark/>
          </w:tcPr>
          <w:p w14:paraId="3DDBED36" w14:textId="77777777" w:rsidR="00917A2E" w:rsidRPr="00917A2E" w:rsidRDefault="00917A2E" w:rsidP="00917A2E">
            <w:pPr>
              <w:jc w:val="right"/>
              <w:rPr>
                <w:rFonts w:eastAsia="Times New Roman" w:cs="Times New Roman"/>
                <w:color w:val="000000"/>
                <w:sz w:val="16"/>
                <w:szCs w:val="16"/>
                <w:lang w:val="en-GB" w:eastAsia="en-GB"/>
              </w:rPr>
            </w:pPr>
            <w:r w:rsidRPr="00917A2E">
              <w:rPr>
                <w:rFonts w:eastAsia="Times New Roman" w:cs="Times New Roman"/>
                <w:color w:val="000000"/>
                <w:sz w:val="16"/>
                <w:szCs w:val="16"/>
                <w:lang w:val="en-GB" w:eastAsia="en-GB"/>
              </w:rPr>
              <w:t>0</w:t>
            </w:r>
          </w:p>
        </w:tc>
      </w:tr>
      <w:tr w:rsidR="00917A2E" w:rsidRPr="00917A2E" w14:paraId="7710D25D" w14:textId="77777777" w:rsidTr="00917A2E">
        <w:trPr>
          <w:trHeight w:val="210"/>
        </w:trPr>
        <w:tc>
          <w:tcPr>
            <w:tcW w:w="4720" w:type="dxa"/>
            <w:tcBorders>
              <w:top w:val="nil"/>
              <w:left w:val="nil"/>
              <w:bottom w:val="nil"/>
              <w:right w:val="nil"/>
            </w:tcBorders>
            <w:shd w:val="clear" w:color="auto" w:fill="auto"/>
            <w:vAlign w:val="center"/>
            <w:hideMark/>
          </w:tcPr>
          <w:p w14:paraId="5250C337"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at 31 March 2020</w:t>
            </w:r>
          </w:p>
        </w:tc>
        <w:tc>
          <w:tcPr>
            <w:tcW w:w="1360" w:type="dxa"/>
            <w:tcBorders>
              <w:top w:val="nil"/>
              <w:left w:val="nil"/>
              <w:bottom w:val="nil"/>
              <w:right w:val="nil"/>
            </w:tcBorders>
            <w:shd w:val="clear" w:color="auto" w:fill="auto"/>
            <w:vAlign w:val="center"/>
            <w:hideMark/>
          </w:tcPr>
          <w:p w14:paraId="7F5DF8A2"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(355)</w:t>
            </w:r>
          </w:p>
        </w:tc>
        <w:tc>
          <w:tcPr>
            <w:tcW w:w="1600" w:type="dxa"/>
            <w:tcBorders>
              <w:top w:val="nil"/>
              <w:left w:val="nil"/>
              <w:bottom w:val="nil"/>
              <w:right w:val="nil"/>
            </w:tcBorders>
            <w:shd w:val="clear" w:color="000000" w:fill="FFFFCC"/>
            <w:vAlign w:val="center"/>
            <w:hideMark/>
          </w:tcPr>
          <w:p w14:paraId="53184F05"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(19,395)</w:t>
            </w:r>
          </w:p>
        </w:tc>
        <w:tc>
          <w:tcPr>
            <w:tcW w:w="1600" w:type="dxa"/>
            <w:tcBorders>
              <w:top w:val="nil"/>
              <w:left w:val="nil"/>
              <w:bottom w:val="nil"/>
              <w:right w:val="nil"/>
            </w:tcBorders>
            <w:shd w:val="clear" w:color="auto" w:fill="auto"/>
            <w:vAlign w:val="center"/>
            <w:hideMark/>
          </w:tcPr>
          <w:p w14:paraId="669C4982"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(32)</w:t>
            </w:r>
          </w:p>
        </w:tc>
        <w:tc>
          <w:tcPr>
            <w:tcW w:w="1600" w:type="dxa"/>
            <w:tcBorders>
              <w:top w:val="nil"/>
              <w:left w:val="nil"/>
              <w:bottom w:val="nil"/>
              <w:right w:val="nil"/>
            </w:tcBorders>
            <w:shd w:val="clear" w:color="auto" w:fill="auto"/>
            <w:vAlign w:val="center"/>
            <w:hideMark/>
          </w:tcPr>
          <w:p w14:paraId="14BCE023"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0</w:t>
            </w:r>
          </w:p>
        </w:tc>
        <w:tc>
          <w:tcPr>
            <w:tcW w:w="1600" w:type="dxa"/>
            <w:tcBorders>
              <w:top w:val="nil"/>
              <w:left w:val="nil"/>
              <w:bottom w:val="nil"/>
              <w:right w:val="nil"/>
            </w:tcBorders>
            <w:shd w:val="clear" w:color="000000" w:fill="FFFFCC"/>
            <w:vAlign w:val="center"/>
            <w:hideMark/>
          </w:tcPr>
          <w:p w14:paraId="2CEF6560"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(19,782)</w:t>
            </w:r>
          </w:p>
        </w:tc>
      </w:tr>
      <w:tr w:rsidR="00917A2E" w:rsidRPr="00917A2E" w14:paraId="453BDC64" w14:textId="77777777" w:rsidTr="00917A2E">
        <w:trPr>
          <w:trHeight w:val="210"/>
        </w:trPr>
        <w:tc>
          <w:tcPr>
            <w:tcW w:w="4720" w:type="dxa"/>
            <w:tcBorders>
              <w:top w:val="nil"/>
              <w:left w:val="nil"/>
              <w:bottom w:val="nil"/>
              <w:right w:val="nil"/>
            </w:tcBorders>
            <w:shd w:val="clear" w:color="auto" w:fill="auto"/>
            <w:vAlign w:val="center"/>
            <w:hideMark/>
          </w:tcPr>
          <w:p w14:paraId="5B63265B"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Net Book Value</w:t>
            </w:r>
          </w:p>
        </w:tc>
        <w:tc>
          <w:tcPr>
            <w:tcW w:w="1360" w:type="dxa"/>
            <w:tcBorders>
              <w:top w:val="nil"/>
              <w:left w:val="nil"/>
              <w:bottom w:val="nil"/>
              <w:right w:val="nil"/>
            </w:tcBorders>
            <w:shd w:val="clear" w:color="auto" w:fill="auto"/>
            <w:vAlign w:val="center"/>
            <w:hideMark/>
          </w:tcPr>
          <w:p w14:paraId="05C3528B"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c>
          <w:tcPr>
            <w:tcW w:w="1600" w:type="dxa"/>
            <w:tcBorders>
              <w:top w:val="nil"/>
              <w:left w:val="nil"/>
              <w:bottom w:val="nil"/>
              <w:right w:val="nil"/>
            </w:tcBorders>
            <w:shd w:val="clear" w:color="auto" w:fill="auto"/>
            <w:vAlign w:val="center"/>
            <w:hideMark/>
          </w:tcPr>
          <w:p w14:paraId="31425E09"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c>
          <w:tcPr>
            <w:tcW w:w="1600" w:type="dxa"/>
            <w:tcBorders>
              <w:top w:val="nil"/>
              <w:left w:val="nil"/>
              <w:bottom w:val="nil"/>
              <w:right w:val="nil"/>
            </w:tcBorders>
            <w:shd w:val="clear" w:color="auto" w:fill="auto"/>
            <w:vAlign w:val="center"/>
            <w:hideMark/>
          </w:tcPr>
          <w:p w14:paraId="5A1E5A4E"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c>
          <w:tcPr>
            <w:tcW w:w="1600" w:type="dxa"/>
            <w:tcBorders>
              <w:top w:val="nil"/>
              <w:left w:val="nil"/>
              <w:bottom w:val="nil"/>
              <w:right w:val="nil"/>
            </w:tcBorders>
            <w:shd w:val="clear" w:color="auto" w:fill="auto"/>
            <w:vAlign w:val="center"/>
            <w:hideMark/>
          </w:tcPr>
          <w:p w14:paraId="597B56C6"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c>
          <w:tcPr>
            <w:tcW w:w="1600" w:type="dxa"/>
            <w:tcBorders>
              <w:top w:val="nil"/>
              <w:left w:val="nil"/>
              <w:bottom w:val="nil"/>
              <w:right w:val="nil"/>
            </w:tcBorders>
            <w:shd w:val="clear" w:color="auto" w:fill="auto"/>
            <w:vAlign w:val="center"/>
            <w:hideMark/>
          </w:tcPr>
          <w:p w14:paraId="6BBCCE1B"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 xml:space="preserve"> </w:t>
            </w:r>
          </w:p>
        </w:tc>
      </w:tr>
      <w:tr w:rsidR="00917A2E" w:rsidRPr="00917A2E" w14:paraId="0180FB6C" w14:textId="77777777" w:rsidTr="00917A2E">
        <w:trPr>
          <w:trHeight w:val="210"/>
        </w:trPr>
        <w:tc>
          <w:tcPr>
            <w:tcW w:w="4720" w:type="dxa"/>
            <w:tcBorders>
              <w:top w:val="nil"/>
              <w:left w:val="nil"/>
              <w:bottom w:val="nil"/>
              <w:right w:val="nil"/>
            </w:tcBorders>
            <w:shd w:val="clear" w:color="auto" w:fill="auto"/>
            <w:vAlign w:val="center"/>
            <w:hideMark/>
          </w:tcPr>
          <w:p w14:paraId="2482C877"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at 31 March 2020</w:t>
            </w:r>
          </w:p>
        </w:tc>
        <w:tc>
          <w:tcPr>
            <w:tcW w:w="1360" w:type="dxa"/>
            <w:tcBorders>
              <w:top w:val="nil"/>
              <w:left w:val="nil"/>
              <w:bottom w:val="nil"/>
              <w:right w:val="nil"/>
            </w:tcBorders>
            <w:shd w:val="clear" w:color="auto" w:fill="auto"/>
            <w:vAlign w:val="center"/>
            <w:hideMark/>
          </w:tcPr>
          <w:p w14:paraId="4851326E"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87,592</w:t>
            </w:r>
          </w:p>
        </w:tc>
        <w:tc>
          <w:tcPr>
            <w:tcW w:w="1600" w:type="dxa"/>
            <w:tcBorders>
              <w:top w:val="nil"/>
              <w:left w:val="nil"/>
              <w:bottom w:val="nil"/>
              <w:right w:val="nil"/>
            </w:tcBorders>
            <w:shd w:val="clear" w:color="auto" w:fill="auto"/>
            <w:vAlign w:val="center"/>
            <w:hideMark/>
          </w:tcPr>
          <w:p w14:paraId="6E087E73"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10,890</w:t>
            </w:r>
          </w:p>
        </w:tc>
        <w:tc>
          <w:tcPr>
            <w:tcW w:w="1600" w:type="dxa"/>
            <w:tcBorders>
              <w:top w:val="nil"/>
              <w:left w:val="nil"/>
              <w:bottom w:val="nil"/>
              <w:right w:val="nil"/>
            </w:tcBorders>
            <w:shd w:val="clear" w:color="auto" w:fill="auto"/>
            <w:vAlign w:val="center"/>
            <w:hideMark/>
          </w:tcPr>
          <w:p w14:paraId="56E7EF79"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20,461</w:t>
            </w:r>
          </w:p>
        </w:tc>
        <w:tc>
          <w:tcPr>
            <w:tcW w:w="1600" w:type="dxa"/>
            <w:tcBorders>
              <w:top w:val="nil"/>
              <w:left w:val="nil"/>
              <w:bottom w:val="nil"/>
              <w:right w:val="nil"/>
            </w:tcBorders>
            <w:shd w:val="clear" w:color="auto" w:fill="auto"/>
            <w:vAlign w:val="center"/>
            <w:hideMark/>
          </w:tcPr>
          <w:p w14:paraId="1ADACBCD"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10,585</w:t>
            </w:r>
          </w:p>
        </w:tc>
        <w:tc>
          <w:tcPr>
            <w:tcW w:w="1600" w:type="dxa"/>
            <w:tcBorders>
              <w:top w:val="nil"/>
              <w:left w:val="nil"/>
              <w:bottom w:val="nil"/>
              <w:right w:val="nil"/>
            </w:tcBorders>
            <w:shd w:val="clear" w:color="auto" w:fill="auto"/>
            <w:vAlign w:val="center"/>
            <w:hideMark/>
          </w:tcPr>
          <w:p w14:paraId="56C93EF4"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129,528</w:t>
            </w:r>
          </w:p>
        </w:tc>
      </w:tr>
      <w:tr w:rsidR="00917A2E" w:rsidRPr="00917A2E" w14:paraId="6ADDECD1" w14:textId="77777777" w:rsidTr="00917A2E">
        <w:trPr>
          <w:trHeight w:val="210"/>
        </w:trPr>
        <w:tc>
          <w:tcPr>
            <w:tcW w:w="4720" w:type="dxa"/>
            <w:tcBorders>
              <w:top w:val="nil"/>
              <w:left w:val="nil"/>
              <w:bottom w:val="nil"/>
              <w:right w:val="nil"/>
            </w:tcBorders>
            <w:shd w:val="clear" w:color="auto" w:fill="auto"/>
            <w:vAlign w:val="center"/>
            <w:hideMark/>
          </w:tcPr>
          <w:p w14:paraId="4C3A1D79" w14:textId="77777777" w:rsidR="00917A2E" w:rsidRPr="00917A2E" w:rsidRDefault="00917A2E" w:rsidP="00917A2E">
            <w:pPr>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at 31 March 2019</w:t>
            </w:r>
          </w:p>
        </w:tc>
        <w:tc>
          <w:tcPr>
            <w:tcW w:w="1360" w:type="dxa"/>
            <w:tcBorders>
              <w:top w:val="nil"/>
              <w:left w:val="nil"/>
              <w:bottom w:val="nil"/>
              <w:right w:val="nil"/>
            </w:tcBorders>
            <w:shd w:val="clear" w:color="auto" w:fill="auto"/>
            <w:vAlign w:val="center"/>
            <w:hideMark/>
          </w:tcPr>
          <w:p w14:paraId="6C89907C"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78,451</w:t>
            </w:r>
          </w:p>
        </w:tc>
        <w:tc>
          <w:tcPr>
            <w:tcW w:w="1600" w:type="dxa"/>
            <w:tcBorders>
              <w:top w:val="nil"/>
              <w:left w:val="nil"/>
              <w:bottom w:val="nil"/>
              <w:right w:val="nil"/>
            </w:tcBorders>
            <w:shd w:val="clear" w:color="auto" w:fill="auto"/>
            <w:vAlign w:val="center"/>
            <w:hideMark/>
          </w:tcPr>
          <w:p w14:paraId="7478CF11"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12,254</w:t>
            </w:r>
          </w:p>
        </w:tc>
        <w:tc>
          <w:tcPr>
            <w:tcW w:w="1600" w:type="dxa"/>
            <w:tcBorders>
              <w:top w:val="nil"/>
              <w:left w:val="nil"/>
              <w:bottom w:val="nil"/>
              <w:right w:val="nil"/>
            </w:tcBorders>
            <w:shd w:val="clear" w:color="auto" w:fill="auto"/>
            <w:vAlign w:val="center"/>
            <w:hideMark/>
          </w:tcPr>
          <w:p w14:paraId="59ACC047"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27,751</w:t>
            </w:r>
          </w:p>
        </w:tc>
        <w:tc>
          <w:tcPr>
            <w:tcW w:w="1600" w:type="dxa"/>
            <w:tcBorders>
              <w:top w:val="nil"/>
              <w:left w:val="nil"/>
              <w:bottom w:val="nil"/>
              <w:right w:val="nil"/>
            </w:tcBorders>
            <w:shd w:val="clear" w:color="auto" w:fill="auto"/>
            <w:vAlign w:val="center"/>
            <w:hideMark/>
          </w:tcPr>
          <w:p w14:paraId="53593C6F"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5,961</w:t>
            </w:r>
          </w:p>
        </w:tc>
        <w:tc>
          <w:tcPr>
            <w:tcW w:w="1600" w:type="dxa"/>
            <w:tcBorders>
              <w:top w:val="nil"/>
              <w:left w:val="nil"/>
              <w:bottom w:val="nil"/>
              <w:right w:val="nil"/>
            </w:tcBorders>
            <w:shd w:val="clear" w:color="auto" w:fill="auto"/>
            <w:vAlign w:val="center"/>
            <w:hideMark/>
          </w:tcPr>
          <w:p w14:paraId="21704398" w14:textId="77777777" w:rsidR="00917A2E" w:rsidRPr="00917A2E" w:rsidRDefault="00917A2E" w:rsidP="00917A2E">
            <w:pPr>
              <w:jc w:val="right"/>
              <w:rPr>
                <w:rFonts w:eastAsia="Times New Roman" w:cs="Times New Roman"/>
                <w:b/>
                <w:bCs/>
                <w:color w:val="000000"/>
                <w:sz w:val="16"/>
                <w:szCs w:val="16"/>
                <w:lang w:val="en-GB" w:eastAsia="en-GB"/>
              </w:rPr>
            </w:pPr>
            <w:r w:rsidRPr="00917A2E">
              <w:rPr>
                <w:rFonts w:eastAsia="Times New Roman" w:cs="Times New Roman"/>
                <w:b/>
                <w:bCs/>
                <w:color w:val="000000"/>
                <w:sz w:val="16"/>
                <w:szCs w:val="16"/>
                <w:lang w:val="en-GB" w:eastAsia="en-GB"/>
              </w:rPr>
              <w:t>124,417</w:t>
            </w:r>
          </w:p>
        </w:tc>
      </w:tr>
    </w:tbl>
    <w:p w14:paraId="0B8977EF" w14:textId="77777777" w:rsidR="00917A2E" w:rsidRDefault="00917A2E" w:rsidP="00ED7D71">
      <w:pPr>
        <w:pStyle w:val="Normal0"/>
        <w:spacing w:after="160" w:line="259" w:lineRule="auto"/>
        <w:jc w:val="both"/>
        <w:rPr>
          <w:rFonts w:ascii="Verdana" w:hAnsi="Verdana"/>
          <w:sz w:val="18"/>
          <w:szCs w:val="18"/>
          <w:lang w:val="en-GB"/>
        </w:rPr>
      </w:pPr>
    </w:p>
    <w:p w14:paraId="33CAB569" w14:textId="77777777" w:rsidR="00917A2E" w:rsidRPr="00F54EEC" w:rsidRDefault="00917A2E" w:rsidP="00ED7D71">
      <w:pPr>
        <w:pStyle w:val="Normal0"/>
        <w:spacing w:after="160" w:line="259" w:lineRule="auto"/>
        <w:jc w:val="both"/>
        <w:rPr>
          <w:rFonts w:ascii="Verdana" w:hAnsi="Verdana"/>
          <w:sz w:val="18"/>
          <w:szCs w:val="18"/>
          <w:lang w:val="en-GB"/>
        </w:rPr>
      </w:pPr>
    </w:p>
    <w:p w14:paraId="3568D346" w14:textId="0B2DE07C" w:rsidR="00917A2E" w:rsidRPr="00F54EEC" w:rsidRDefault="00917A2E" w:rsidP="00917A2E">
      <w:pPr>
        <w:pStyle w:val="Normal0"/>
        <w:spacing w:after="160" w:line="259" w:lineRule="auto"/>
        <w:rPr>
          <w:rFonts w:ascii="Verdana" w:hAnsi="Verdana" w:cs="Times New Roman"/>
          <w:b/>
          <w:bCs/>
          <w:sz w:val="22"/>
          <w:szCs w:val="22"/>
        </w:rPr>
      </w:pPr>
      <w:r>
        <w:rPr>
          <w:rFonts w:ascii="Verdana" w:eastAsia="Calibri" w:hAnsi="Verdana" w:cs="Times New Roman"/>
          <w:b/>
          <w:bCs/>
          <w:sz w:val="22"/>
          <w:szCs w:val="22"/>
        </w:rPr>
        <w:t>Re-statement of 2019/20 PPE comparative figures</w:t>
      </w:r>
    </w:p>
    <w:p w14:paraId="1B950470" w14:textId="117DF641" w:rsidR="00917A2E" w:rsidRDefault="00917A2E" w:rsidP="0041394A">
      <w:pPr>
        <w:jc w:val="both"/>
        <w:rPr>
          <w:rFonts w:eastAsia="Verdana" w:cs="Verdana"/>
          <w:lang w:val="en-GB"/>
        </w:rPr>
      </w:pPr>
      <w:r w:rsidRPr="0041394A">
        <w:rPr>
          <w:rFonts w:eastAsia="Verdana" w:cs="Verdana"/>
          <w:lang w:val="en-GB"/>
        </w:rPr>
        <w:t>The 2019/20 PPE Note comparatives have been restated in the table above following identification of a number of assets that have not been in use for a number of years and could no longer be located. This meant that both the cost and accumulated depreciation figures were overstated in the prior year PPE disclosure note by £13.85m and have therefore been corrected within the 2020/21 Statements of Accounts. As the assets were fully depreciated there is no impact on the overall Balance Sheet figure or the Net Book Value for that asset class of “Vehicles, Plant, Furniture &amp; Equipment”</w:t>
      </w:r>
      <w:r>
        <w:rPr>
          <w:rFonts w:eastAsia="Verdana" w:cs="Verdana"/>
          <w:lang w:val="en-GB"/>
        </w:rPr>
        <w:t>.</w:t>
      </w:r>
    </w:p>
    <w:p w14:paraId="36C06481" w14:textId="77777777" w:rsidR="00917A2E" w:rsidRPr="0041394A" w:rsidRDefault="00917A2E" w:rsidP="0041394A">
      <w:pPr>
        <w:jc w:val="both"/>
        <w:rPr>
          <w:rFonts w:eastAsia="Verdana" w:cs="Verdana"/>
          <w:lang w:val="en-GB"/>
        </w:rPr>
      </w:pPr>
    </w:p>
    <w:p w14:paraId="02C26FD2" w14:textId="77777777" w:rsidR="00CA6653" w:rsidRPr="00F54EEC" w:rsidRDefault="00CA6653" w:rsidP="0041394A">
      <w:pPr>
        <w:pStyle w:val="Normal0"/>
        <w:spacing w:after="160" w:line="259" w:lineRule="auto"/>
        <w:rPr>
          <w:rFonts w:ascii="Verdana" w:hAnsi="Verdana" w:cs="Times New Roman"/>
          <w:b/>
          <w:bCs/>
          <w:sz w:val="22"/>
          <w:szCs w:val="22"/>
        </w:rPr>
      </w:pPr>
      <w:r w:rsidRPr="00F54EEC">
        <w:rPr>
          <w:rFonts w:ascii="Verdana" w:eastAsia="Calibri" w:hAnsi="Verdana" w:cs="Times New Roman"/>
          <w:b/>
          <w:bCs/>
          <w:sz w:val="22"/>
          <w:szCs w:val="22"/>
        </w:rPr>
        <w:t>Depreciation</w:t>
      </w:r>
    </w:p>
    <w:p w14:paraId="78486E94" w14:textId="77777777" w:rsidR="006B744E" w:rsidRPr="00F54EEC" w:rsidRDefault="006B744E" w:rsidP="003E15DC">
      <w:pPr>
        <w:pStyle w:val="Normal0"/>
        <w:jc w:val="both"/>
        <w:rPr>
          <w:rFonts w:ascii="Verdana" w:eastAsia="Calibri" w:hAnsi="Verdana" w:cs="Times New Roman"/>
          <w:bCs/>
          <w:sz w:val="22"/>
          <w:szCs w:val="22"/>
        </w:rPr>
      </w:pPr>
    </w:p>
    <w:p w14:paraId="0DC712D1" w14:textId="77777777" w:rsidR="00CA6653" w:rsidRPr="00F54EEC" w:rsidRDefault="00CA6653" w:rsidP="003E15DC">
      <w:pPr>
        <w:pStyle w:val="Normal0"/>
        <w:jc w:val="both"/>
        <w:rPr>
          <w:rFonts w:ascii="Verdana" w:hAnsi="Verdana" w:cs="Times New Roman"/>
          <w:bCs/>
          <w:sz w:val="22"/>
          <w:szCs w:val="22"/>
        </w:rPr>
      </w:pPr>
      <w:r w:rsidRPr="00F54EEC">
        <w:rPr>
          <w:rFonts w:ascii="Verdana" w:eastAsia="Calibri" w:hAnsi="Verdana" w:cs="Times New Roman"/>
          <w:bCs/>
          <w:sz w:val="22"/>
          <w:szCs w:val="22"/>
        </w:rPr>
        <w:t>Depreciation is calculated on a straight-line basis over the estimated life of the asset. Although it is calculated on the estimated life of the specific individual asset concerned, the approximate average depreciation periods are as follows:</w:t>
      </w:r>
    </w:p>
    <w:p w14:paraId="29298776" w14:textId="14571B93" w:rsidR="00CA6653" w:rsidRPr="00F54EEC" w:rsidRDefault="00CA6653" w:rsidP="003E15DC">
      <w:pPr>
        <w:pStyle w:val="Normal0"/>
        <w:ind w:firstLine="720"/>
        <w:jc w:val="both"/>
        <w:rPr>
          <w:rFonts w:ascii="Verdana" w:hAnsi="Verdana" w:cs="Times New Roman"/>
          <w:bCs/>
          <w:sz w:val="22"/>
          <w:szCs w:val="22"/>
        </w:rPr>
      </w:pPr>
      <w:r w:rsidRPr="00F54EEC">
        <w:rPr>
          <w:rFonts w:ascii="Verdana" w:eastAsia="Calibri" w:hAnsi="Verdana" w:cs="Times New Roman"/>
          <w:bCs/>
          <w:sz w:val="22"/>
          <w:szCs w:val="22"/>
        </w:rPr>
        <w:t>Buildings</w:t>
      </w:r>
      <w:r w:rsidRPr="00F54EEC">
        <w:rPr>
          <w:rFonts w:ascii="Verdana" w:eastAsia="Calibri" w:hAnsi="Verdana" w:cs="Times New Roman"/>
          <w:bCs/>
          <w:sz w:val="22"/>
          <w:szCs w:val="22"/>
        </w:rPr>
        <w:tab/>
      </w:r>
      <w:r w:rsidRPr="00F54EEC">
        <w:rPr>
          <w:rFonts w:ascii="Verdana" w:eastAsia="Calibri" w:hAnsi="Verdana" w:cs="Times New Roman"/>
          <w:bCs/>
          <w:sz w:val="22"/>
          <w:szCs w:val="22"/>
        </w:rPr>
        <w:tab/>
      </w:r>
      <w:r w:rsidRPr="00F54EEC">
        <w:rPr>
          <w:rFonts w:ascii="Verdana" w:eastAsia="Calibri" w:hAnsi="Verdana" w:cs="Times New Roman"/>
          <w:bCs/>
          <w:sz w:val="22"/>
          <w:szCs w:val="22"/>
        </w:rPr>
        <w:tab/>
      </w:r>
      <w:r w:rsidRPr="00F54EEC">
        <w:rPr>
          <w:rFonts w:ascii="Verdana" w:eastAsia="Calibri" w:hAnsi="Verdana" w:cs="Times New Roman"/>
          <w:bCs/>
          <w:sz w:val="22"/>
          <w:szCs w:val="22"/>
        </w:rPr>
        <w:tab/>
      </w:r>
      <w:r w:rsidRPr="00F54EEC">
        <w:rPr>
          <w:rFonts w:ascii="Verdana" w:eastAsia="Calibri" w:hAnsi="Verdana" w:cs="Times New Roman"/>
          <w:bCs/>
          <w:sz w:val="22"/>
          <w:szCs w:val="22"/>
        </w:rPr>
        <w:tab/>
        <w:t>25</w:t>
      </w:r>
      <w:r w:rsidR="00752A9A">
        <w:rPr>
          <w:rFonts w:ascii="Verdana" w:eastAsia="Calibri" w:hAnsi="Verdana" w:cs="Times New Roman"/>
          <w:bCs/>
          <w:sz w:val="22"/>
          <w:szCs w:val="22"/>
        </w:rPr>
        <w:t>-60</w:t>
      </w:r>
      <w:r w:rsidRPr="00F54EEC">
        <w:rPr>
          <w:rFonts w:ascii="Verdana" w:eastAsia="Calibri" w:hAnsi="Verdana" w:cs="Times New Roman"/>
          <w:bCs/>
          <w:sz w:val="22"/>
          <w:szCs w:val="22"/>
        </w:rPr>
        <w:t xml:space="preserve"> years</w:t>
      </w:r>
      <w:r w:rsidR="00752A9A">
        <w:rPr>
          <w:rFonts w:ascii="Verdana" w:eastAsia="Calibri" w:hAnsi="Verdana" w:cs="Times New Roman"/>
          <w:bCs/>
          <w:sz w:val="22"/>
          <w:szCs w:val="22"/>
        </w:rPr>
        <w:t xml:space="preserve"> (as assessed by the valuer)</w:t>
      </w:r>
    </w:p>
    <w:p w14:paraId="393E81CD" w14:textId="3A06763F" w:rsidR="00CA6653" w:rsidRPr="00F54EEC" w:rsidRDefault="00CA6653" w:rsidP="003E15DC">
      <w:pPr>
        <w:pStyle w:val="Normal0"/>
        <w:ind w:firstLine="720"/>
        <w:jc w:val="both"/>
        <w:rPr>
          <w:rFonts w:ascii="Verdana" w:hAnsi="Verdana" w:cs="Times New Roman"/>
          <w:bCs/>
          <w:sz w:val="22"/>
          <w:szCs w:val="22"/>
        </w:rPr>
      </w:pPr>
      <w:r w:rsidRPr="00F54EEC">
        <w:rPr>
          <w:rFonts w:ascii="Verdana" w:eastAsia="Calibri" w:hAnsi="Verdana" w:cs="Times New Roman"/>
          <w:bCs/>
          <w:sz w:val="22"/>
          <w:szCs w:val="22"/>
        </w:rPr>
        <w:t>Plant, Furniture &amp; Equipment</w:t>
      </w:r>
      <w:r w:rsidRPr="00F54EEC">
        <w:rPr>
          <w:rFonts w:ascii="Verdana" w:eastAsia="Calibri" w:hAnsi="Verdana" w:cs="Times New Roman"/>
          <w:bCs/>
          <w:sz w:val="22"/>
          <w:szCs w:val="22"/>
        </w:rPr>
        <w:tab/>
      </w:r>
      <w:r w:rsidRPr="00F54EEC">
        <w:rPr>
          <w:rFonts w:ascii="Verdana" w:eastAsia="Calibri" w:hAnsi="Verdana" w:cs="Times New Roman"/>
          <w:bCs/>
          <w:sz w:val="22"/>
          <w:szCs w:val="22"/>
        </w:rPr>
        <w:tab/>
        <w:t>5 years</w:t>
      </w:r>
      <w:r w:rsidR="00752A9A">
        <w:rPr>
          <w:rFonts w:ascii="Verdana" w:eastAsia="Calibri" w:hAnsi="Verdana" w:cs="Times New Roman"/>
          <w:bCs/>
          <w:sz w:val="22"/>
          <w:szCs w:val="22"/>
        </w:rPr>
        <w:t xml:space="preserve"> (or as assessed by the business)</w:t>
      </w:r>
    </w:p>
    <w:p w14:paraId="2E065756" w14:textId="39B6E4A9" w:rsidR="00CA6653" w:rsidRPr="00F54EEC" w:rsidRDefault="00CA6653" w:rsidP="003E15DC">
      <w:pPr>
        <w:pStyle w:val="Normal0"/>
        <w:ind w:firstLine="720"/>
        <w:jc w:val="both"/>
        <w:rPr>
          <w:rFonts w:ascii="Verdana" w:hAnsi="Verdana" w:cs="Times New Roman"/>
          <w:bCs/>
          <w:sz w:val="22"/>
          <w:szCs w:val="22"/>
        </w:rPr>
      </w:pPr>
      <w:r w:rsidRPr="00F54EEC">
        <w:rPr>
          <w:rFonts w:ascii="Verdana" w:eastAsia="Calibri" w:hAnsi="Verdana" w:cs="Times New Roman"/>
          <w:bCs/>
          <w:sz w:val="22"/>
          <w:szCs w:val="22"/>
        </w:rPr>
        <w:t>Vehicles</w:t>
      </w:r>
      <w:r w:rsidRPr="00F54EEC">
        <w:rPr>
          <w:rFonts w:ascii="Verdana" w:eastAsia="Calibri" w:hAnsi="Verdana" w:cs="Times New Roman"/>
          <w:bCs/>
          <w:sz w:val="22"/>
          <w:szCs w:val="22"/>
        </w:rPr>
        <w:tab/>
        <w:t xml:space="preserve">  </w:t>
      </w:r>
      <w:r w:rsidRPr="00F54EEC">
        <w:rPr>
          <w:rFonts w:ascii="Verdana" w:eastAsia="Calibri" w:hAnsi="Verdana" w:cs="Times New Roman"/>
          <w:bCs/>
          <w:sz w:val="22"/>
          <w:szCs w:val="22"/>
        </w:rPr>
        <w:tab/>
      </w:r>
      <w:r w:rsidRPr="00F54EEC">
        <w:rPr>
          <w:rFonts w:ascii="Verdana" w:eastAsia="Calibri" w:hAnsi="Verdana" w:cs="Times New Roman"/>
          <w:bCs/>
          <w:sz w:val="22"/>
          <w:szCs w:val="22"/>
        </w:rPr>
        <w:tab/>
      </w:r>
      <w:r w:rsidRPr="00F54EEC">
        <w:rPr>
          <w:rFonts w:ascii="Verdana" w:eastAsia="Calibri" w:hAnsi="Verdana" w:cs="Times New Roman"/>
          <w:bCs/>
          <w:sz w:val="22"/>
          <w:szCs w:val="22"/>
        </w:rPr>
        <w:tab/>
      </w:r>
      <w:r w:rsidRPr="00F54EEC">
        <w:rPr>
          <w:rFonts w:ascii="Verdana" w:eastAsia="Calibri" w:hAnsi="Verdana" w:cs="Times New Roman"/>
          <w:bCs/>
          <w:sz w:val="22"/>
          <w:szCs w:val="22"/>
        </w:rPr>
        <w:tab/>
        <w:t>5 years</w:t>
      </w:r>
      <w:r w:rsidR="00752A9A">
        <w:rPr>
          <w:rFonts w:ascii="Verdana" w:eastAsia="Calibri" w:hAnsi="Verdana" w:cs="Times New Roman"/>
          <w:bCs/>
          <w:sz w:val="22"/>
          <w:szCs w:val="22"/>
        </w:rPr>
        <w:t xml:space="preserve"> (or as assessed by the Transport Manager)</w:t>
      </w:r>
    </w:p>
    <w:p w14:paraId="44514B1E" w14:textId="77777777" w:rsidR="00CA6653" w:rsidRPr="003516A4" w:rsidRDefault="00CA6653" w:rsidP="003E15DC">
      <w:pPr>
        <w:pStyle w:val="Normal0"/>
        <w:jc w:val="both"/>
        <w:rPr>
          <w:rFonts w:ascii="Verdana" w:hAnsi="Verdana" w:cs="Times New Roman"/>
          <w:b/>
          <w:bCs/>
          <w:sz w:val="22"/>
          <w:szCs w:val="22"/>
          <w:highlight w:val="yellow"/>
        </w:rPr>
      </w:pPr>
    </w:p>
    <w:p w14:paraId="7DBBA5AC" w14:textId="77777777" w:rsidR="00CA6653" w:rsidRPr="00D07C6C" w:rsidRDefault="00CA6653" w:rsidP="003E15DC">
      <w:pPr>
        <w:pStyle w:val="Normal0"/>
        <w:jc w:val="both"/>
        <w:rPr>
          <w:rFonts w:ascii="Verdana" w:hAnsi="Verdana" w:cs="Times New Roman"/>
          <w:b/>
          <w:bCs/>
          <w:sz w:val="22"/>
          <w:szCs w:val="22"/>
        </w:rPr>
      </w:pPr>
      <w:r w:rsidRPr="00D07C6C">
        <w:rPr>
          <w:rFonts w:ascii="Verdana" w:eastAsia="Calibri" w:hAnsi="Verdana" w:cs="Times New Roman"/>
          <w:b/>
          <w:bCs/>
          <w:sz w:val="22"/>
          <w:szCs w:val="22"/>
        </w:rPr>
        <w:t>Effects of Changes in Estimates</w:t>
      </w:r>
    </w:p>
    <w:p w14:paraId="22CFA748" w14:textId="77777777" w:rsidR="006B744E" w:rsidRPr="00D07C6C" w:rsidRDefault="006B744E" w:rsidP="003E15DC">
      <w:pPr>
        <w:pStyle w:val="Normal0"/>
        <w:jc w:val="both"/>
        <w:rPr>
          <w:rFonts w:ascii="Verdana" w:eastAsia="Calibri" w:hAnsi="Verdana" w:cs="Times New Roman"/>
          <w:bCs/>
          <w:sz w:val="22"/>
          <w:szCs w:val="22"/>
        </w:rPr>
      </w:pPr>
    </w:p>
    <w:p w14:paraId="135128EF" w14:textId="77777777" w:rsidR="00CA6653" w:rsidRPr="00D07C6C" w:rsidRDefault="00CA6653" w:rsidP="003E15DC">
      <w:pPr>
        <w:pStyle w:val="Normal0"/>
        <w:jc w:val="both"/>
        <w:rPr>
          <w:rFonts w:ascii="Verdana" w:hAnsi="Verdana" w:cs="Times New Roman"/>
          <w:bCs/>
          <w:sz w:val="22"/>
          <w:szCs w:val="22"/>
        </w:rPr>
      </w:pPr>
      <w:r w:rsidRPr="00D07C6C">
        <w:rPr>
          <w:rFonts w:ascii="Verdana" w:eastAsia="Calibri" w:hAnsi="Verdana" w:cs="Times New Roman"/>
          <w:bCs/>
          <w:sz w:val="22"/>
          <w:szCs w:val="22"/>
        </w:rPr>
        <w:t xml:space="preserve">Assets are depreciated over useful lives that are dependent on assumptions about the level of repair and maintenance that will be incurred in relation to individual assets. If the useful life of an asset is reduced, depreciation increases and the carrying amount of the asset falls.  It is estimated that the annual depreciation charge would increase </w:t>
      </w:r>
      <w:r w:rsidRPr="00553E5D">
        <w:rPr>
          <w:rFonts w:ascii="Verdana" w:eastAsia="Calibri" w:hAnsi="Verdana" w:cs="Times New Roman"/>
          <w:bCs/>
          <w:sz w:val="22"/>
          <w:szCs w:val="22"/>
        </w:rPr>
        <w:t xml:space="preserve">by </w:t>
      </w:r>
      <w:r w:rsidRPr="0041394A">
        <w:rPr>
          <w:rFonts w:ascii="Verdana" w:eastAsia="Calibri" w:hAnsi="Verdana" w:cs="Times New Roman"/>
          <w:bCs/>
          <w:sz w:val="22"/>
          <w:szCs w:val="22"/>
        </w:rPr>
        <w:t>£1.</w:t>
      </w:r>
      <w:r w:rsidR="00D07C6C" w:rsidRPr="0041394A">
        <w:rPr>
          <w:rFonts w:ascii="Verdana" w:eastAsia="Calibri" w:hAnsi="Verdana" w:cs="Times New Roman"/>
          <w:bCs/>
          <w:sz w:val="22"/>
          <w:szCs w:val="22"/>
        </w:rPr>
        <w:t>8</w:t>
      </w:r>
      <w:r w:rsidRPr="0041394A">
        <w:rPr>
          <w:rFonts w:ascii="Verdana" w:eastAsia="Calibri" w:hAnsi="Verdana" w:cs="Times New Roman"/>
          <w:bCs/>
          <w:sz w:val="22"/>
          <w:szCs w:val="22"/>
        </w:rPr>
        <w:t>m</w:t>
      </w:r>
      <w:r w:rsidRPr="00553E5D">
        <w:rPr>
          <w:rFonts w:ascii="Verdana" w:eastAsia="Calibri" w:hAnsi="Verdana" w:cs="Times New Roman"/>
          <w:bCs/>
          <w:sz w:val="22"/>
          <w:szCs w:val="22"/>
        </w:rPr>
        <w:t xml:space="preserve"> for</w:t>
      </w:r>
      <w:r w:rsidRPr="00D07C6C">
        <w:rPr>
          <w:rFonts w:ascii="Verdana" w:eastAsia="Calibri" w:hAnsi="Verdana" w:cs="Times New Roman"/>
          <w:bCs/>
          <w:sz w:val="22"/>
          <w:szCs w:val="22"/>
        </w:rPr>
        <w:t xml:space="preserve"> every year that the useful lives had to be reduced.</w:t>
      </w:r>
    </w:p>
    <w:p w14:paraId="2B9C2002" w14:textId="77777777" w:rsidR="006B744E" w:rsidRPr="003516A4" w:rsidRDefault="006B744E" w:rsidP="003E15DC">
      <w:pPr>
        <w:pStyle w:val="Normal0"/>
        <w:jc w:val="both"/>
        <w:rPr>
          <w:rFonts w:ascii="Verdana" w:hAnsi="Verdana" w:cs="Times New Roman"/>
          <w:b/>
          <w:bCs/>
          <w:sz w:val="22"/>
          <w:szCs w:val="22"/>
          <w:highlight w:val="yellow"/>
        </w:rPr>
      </w:pPr>
    </w:p>
    <w:p w14:paraId="1F84B5A2" w14:textId="77777777" w:rsidR="00CA6653" w:rsidRPr="00F54EEC" w:rsidRDefault="00CA6653" w:rsidP="003E15DC">
      <w:pPr>
        <w:pStyle w:val="Normal0"/>
        <w:jc w:val="both"/>
        <w:rPr>
          <w:rFonts w:ascii="Verdana" w:hAnsi="Verdana" w:cs="Times New Roman"/>
          <w:b/>
          <w:bCs/>
          <w:sz w:val="22"/>
          <w:szCs w:val="22"/>
        </w:rPr>
      </w:pPr>
      <w:r w:rsidRPr="00F54EEC">
        <w:rPr>
          <w:rFonts w:ascii="Verdana" w:eastAsia="Calibri" w:hAnsi="Verdana" w:cs="Times New Roman"/>
          <w:b/>
          <w:bCs/>
          <w:sz w:val="22"/>
          <w:szCs w:val="22"/>
        </w:rPr>
        <w:t>Land and Buildings</w:t>
      </w:r>
    </w:p>
    <w:p w14:paraId="4138D793" w14:textId="77777777" w:rsidR="008B5874" w:rsidRPr="00F54EEC" w:rsidRDefault="008B5874" w:rsidP="003E15DC">
      <w:pPr>
        <w:pStyle w:val="Normal0"/>
        <w:jc w:val="both"/>
        <w:rPr>
          <w:rFonts w:ascii="Verdana" w:eastAsia="Calibri" w:hAnsi="Verdana" w:cs="Times New Roman"/>
          <w:sz w:val="22"/>
          <w:szCs w:val="22"/>
        </w:rPr>
      </w:pPr>
    </w:p>
    <w:p w14:paraId="3CB3066F" w14:textId="2BEF849D" w:rsidR="008B5874" w:rsidRPr="00F54EEC" w:rsidRDefault="008B5874" w:rsidP="008B5874">
      <w:pPr>
        <w:pStyle w:val="Normal0"/>
        <w:jc w:val="both"/>
        <w:rPr>
          <w:rFonts w:ascii="Verdana" w:eastAsia="Calibri" w:hAnsi="Verdana" w:cs="Times New Roman"/>
          <w:sz w:val="22"/>
          <w:szCs w:val="22"/>
        </w:rPr>
      </w:pPr>
      <w:r w:rsidRPr="00F54EEC">
        <w:rPr>
          <w:rFonts w:ascii="Verdana" w:eastAsia="Calibri" w:hAnsi="Verdana" w:cs="Times New Roman"/>
          <w:sz w:val="22"/>
          <w:szCs w:val="22"/>
        </w:rPr>
        <w:t>The entire Surrey Police estate was revalued for 20</w:t>
      </w:r>
      <w:r w:rsidR="00F54EEC">
        <w:rPr>
          <w:rFonts w:ascii="Verdana" w:eastAsia="Calibri" w:hAnsi="Verdana" w:cs="Times New Roman"/>
          <w:sz w:val="22"/>
          <w:szCs w:val="22"/>
        </w:rPr>
        <w:t>20</w:t>
      </w:r>
      <w:r w:rsidRPr="00F54EEC">
        <w:rPr>
          <w:rFonts w:ascii="Verdana" w:eastAsia="Calibri" w:hAnsi="Verdana" w:cs="Times New Roman"/>
          <w:sz w:val="22"/>
          <w:szCs w:val="22"/>
        </w:rPr>
        <w:t>/2</w:t>
      </w:r>
      <w:r w:rsidR="00F54EEC">
        <w:rPr>
          <w:rFonts w:ascii="Verdana" w:eastAsia="Calibri" w:hAnsi="Verdana" w:cs="Times New Roman"/>
          <w:sz w:val="22"/>
          <w:szCs w:val="22"/>
        </w:rPr>
        <w:t>1</w:t>
      </w:r>
      <w:r w:rsidRPr="00F54EEC">
        <w:rPr>
          <w:rFonts w:ascii="Verdana" w:eastAsia="Calibri" w:hAnsi="Verdana" w:cs="Times New Roman"/>
          <w:sz w:val="22"/>
          <w:szCs w:val="22"/>
        </w:rPr>
        <w:t xml:space="preserve"> Statement of Accounts on 31 March 202</w:t>
      </w:r>
      <w:r w:rsidR="00F54EEC">
        <w:rPr>
          <w:rFonts w:ascii="Verdana" w:eastAsia="Calibri" w:hAnsi="Verdana" w:cs="Times New Roman"/>
          <w:sz w:val="22"/>
          <w:szCs w:val="22"/>
        </w:rPr>
        <w:t>1</w:t>
      </w:r>
      <w:r w:rsidRPr="00F54EEC">
        <w:rPr>
          <w:rFonts w:ascii="Verdana" w:eastAsia="Calibri" w:hAnsi="Verdana" w:cs="Times New Roman"/>
          <w:sz w:val="22"/>
          <w:szCs w:val="22"/>
        </w:rPr>
        <w:t>. Surrey Police carries out a rolling programme that ensures that all property, plant and equipment required to be measured at current value is revalued at least every five years.</w:t>
      </w:r>
    </w:p>
    <w:p w14:paraId="3B0A969C" w14:textId="77777777" w:rsidR="008B5874" w:rsidRPr="00F54EEC" w:rsidRDefault="008B5874" w:rsidP="008B5874">
      <w:pPr>
        <w:pStyle w:val="Normal0"/>
        <w:jc w:val="both"/>
        <w:rPr>
          <w:rFonts w:ascii="Verdana" w:eastAsia="Calibri" w:hAnsi="Verdana" w:cs="Times New Roman"/>
          <w:sz w:val="22"/>
          <w:szCs w:val="22"/>
        </w:rPr>
      </w:pPr>
    </w:p>
    <w:p w14:paraId="2040A0B0" w14:textId="77777777" w:rsidR="008B5874" w:rsidRPr="00F54EEC" w:rsidRDefault="008B5874" w:rsidP="008B5874">
      <w:pPr>
        <w:pStyle w:val="Normal0"/>
        <w:jc w:val="both"/>
        <w:rPr>
          <w:rFonts w:ascii="Verdana" w:eastAsia="Calibri" w:hAnsi="Verdana" w:cs="Times New Roman"/>
          <w:sz w:val="22"/>
          <w:szCs w:val="22"/>
        </w:rPr>
      </w:pPr>
      <w:r w:rsidRPr="00F54EEC">
        <w:rPr>
          <w:rFonts w:ascii="Verdana" w:eastAsia="Calibri" w:hAnsi="Verdana" w:cs="Times New Roman"/>
          <w:sz w:val="22"/>
          <w:szCs w:val="22"/>
        </w:rPr>
        <w:t xml:space="preserve">The valuations </w:t>
      </w:r>
      <w:r w:rsidR="006D0A3D" w:rsidRPr="00F54EEC">
        <w:rPr>
          <w:rFonts w:ascii="Verdana" w:eastAsia="Calibri" w:hAnsi="Verdana" w:cs="Times New Roman"/>
          <w:sz w:val="22"/>
          <w:szCs w:val="22"/>
        </w:rPr>
        <w:t>were carried out</w:t>
      </w:r>
      <w:r w:rsidRPr="00F54EEC">
        <w:rPr>
          <w:rFonts w:ascii="Verdana" w:eastAsia="Calibri" w:hAnsi="Verdana" w:cs="Times New Roman"/>
          <w:sz w:val="22"/>
          <w:szCs w:val="22"/>
        </w:rPr>
        <w:t xml:space="preserve"> in accordance with the</w:t>
      </w:r>
      <w:r w:rsidR="006D0A3D" w:rsidRPr="00F54EEC">
        <w:rPr>
          <w:rFonts w:ascii="Verdana" w:eastAsia="Calibri" w:hAnsi="Verdana" w:cs="Times New Roman"/>
          <w:sz w:val="22"/>
          <w:szCs w:val="22"/>
        </w:rPr>
        <w:t xml:space="preserve"> methodologies and bases for estimation set out in the professional standards of the </w:t>
      </w:r>
      <w:r w:rsidRPr="00F54EEC">
        <w:rPr>
          <w:rFonts w:ascii="Verdana" w:eastAsia="Calibri" w:hAnsi="Verdana" w:cs="Times New Roman"/>
          <w:sz w:val="22"/>
          <w:szCs w:val="22"/>
        </w:rPr>
        <w:t>Royal Institute of Chartered Surveyors (RICS) Valuations - Professional Standards 2014 (Revised 2015) &amp; RICS Valuation – Global Standards 2017 (‘The Standards’), International Financial Reporting Standards (IFRS) and Chartered Institute of Public Finance and Accounting Code of Practice on Local Authority Accounting (‘The CIPFA Code’). The valuation was prepared by Guy Emmerson MRICS partner in Bruton Knowles who are an external organisation and have no ties to Surrey Police.</w:t>
      </w:r>
    </w:p>
    <w:p w14:paraId="6A613463" w14:textId="77777777" w:rsidR="008B5874" w:rsidRPr="00F54EEC" w:rsidRDefault="008B5874" w:rsidP="008B5874">
      <w:pPr>
        <w:pStyle w:val="Normal0"/>
        <w:jc w:val="both"/>
        <w:rPr>
          <w:rFonts w:ascii="Verdana" w:eastAsia="Calibri" w:hAnsi="Verdana" w:cs="Times New Roman"/>
          <w:sz w:val="22"/>
          <w:szCs w:val="22"/>
        </w:rPr>
      </w:pPr>
    </w:p>
    <w:p w14:paraId="2E239980" w14:textId="77777777" w:rsidR="008B5874" w:rsidRPr="00F54EEC" w:rsidRDefault="008B5874" w:rsidP="008B5874">
      <w:pPr>
        <w:pStyle w:val="Normal0"/>
        <w:jc w:val="both"/>
        <w:rPr>
          <w:rFonts w:ascii="Verdana" w:eastAsia="Calibri" w:hAnsi="Verdana" w:cs="Times New Roman"/>
          <w:sz w:val="22"/>
          <w:szCs w:val="22"/>
        </w:rPr>
      </w:pPr>
      <w:r w:rsidRPr="00F54EEC">
        <w:rPr>
          <w:rFonts w:ascii="Verdana" w:eastAsia="Calibri" w:hAnsi="Verdana" w:cs="Times New Roman"/>
          <w:sz w:val="22"/>
          <w:szCs w:val="22"/>
        </w:rPr>
        <w:t>The significant assumptions applied in estimating the current values of property are:</w:t>
      </w:r>
    </w:p>
    <w:p w14:paraId="26C48DAE" w14:textId="77777777" w:rsidR="008B5874" w:rsidRPr="003516A4" w:rsidRDefault="008B5874" w:rsidP="008B5874">
      <w:pPr>
        <w:pStyle w:val="Normal0"/>
        <w:jc w:val="both"/>
        <w:rPr>
          <w:rFonts w:ascii="Verdana" w:eastAsia="Calibri" w:hAnsi="Verdana" w:cs="Times New Roman"/>
          <w:sz w:val="22"/>
          <w:szCs w:val="22"/>
          <w:highlight w:val="yellow"/>
        </w:rPr>
      </w:pPr>
    </w:p>
    <w:p w14:paraId="5D7C1F4E" w14:textId="77777777" w:rsidR="008B5874" w:rsidRPr="00F54EEC" w:rsidRDefault="008B5874" w:rsidP="008B5874">
      <w:pPr>
        <w:pStyle w:val="Normal0"/>
        <w:jc w:val="both"/>
        <w:rPr>
          <w:rFonts w:ascii="Verdana" w:eastAsia="Calibri" w:hAnsi="Verdana" w:cs="Times New Roman"/>
          <w:sz w:val="22"/>
          <w:szCs w:val="22"/>
        </w:rPr>
      </w:pPr>
      <w:r w:rsidRPr="00F54EEC">
        <w:rPr>
          <w:rFonts w:ascii="Verdana" w:eastAsia="Calibri" w:hAnsi="Verdana" w:cs="Times New Roman"/>
          <w:sz w:val="22"/>
          <w:szCs w:val="22"/>
        </w:rPr>
        <w:t>• Operational purpose-built Police Buildings with integral active Custody to be valued to Depreciated Replacement Cost and Market Value – This reflects the specialised nature of these assets and that they are not traded in the open market – and that we need to identify any significant variation from DRC to MV.</w:t>
      </w:r>
    </w:p>
    <w:p w14:paraId="7DC9DE08" w14:textId="77777777" w:rsidR="008B5874" w:rsidRPr="00F54EEC" w:rsidRDefault="008B5874" w:rsidP="008B5874">
      <w:pPr>
        <w:pStyle w:val="Normal0"/>
        <w:jc w:val="both"/>
        <w:rPr>
          <w:rFonts w:ascii="Verdana" w:eastAsia="Calibri" w:hAnsi="Verdana" w:cs="Times New Roman"/>
          <w:sz w:val="22"/>
          <w:szCs w:val="22"/>
        </w:rPr>
      </w:pPr>
      <w:r w:rsidRPr="00F54EEC">
        <w:rPr>
          <w:rFonts w:ascii="Verdana" w:eastAsia="Calibri" w:hAnsi="Verdana" w:cs="Times New Roman"/>
          <w:sz w:val="22"/>
          <w:szCs w:val="22"/>
        </w:rPr>
        <w:t>• Operational purpose-built Police Buildings with non-integral active Custody to be valued to Depreciated Replacement Cost for Custody elements and Existing Use Value for non-Custody elements. – The DRC element reflects the specialised nature of these</w:t>
      </w:r>
    </w:p>
    <w:p w14:paraId="4457CBEC" w14:textId="77777777" w:rsidR="008B5874" w:rsidRPr="00F54EEC" w:rsidRDefault="008B5874" w:rsidP="008B5874">
      <w:pPr>
        <w:pStyle w:val="Normal0"/>
        <w:jc w:val="both"/>
        <w:rPr>
          <w:rFonts w:ascii="Verdana" w:eastAsia="Calibri" w:hAnsi="Verdana" w:cs="Times New Roman"/>
          <w:sz w:val="22"/>
          <w:szCs w:val="22"/>
        </w:rPr>
      </w:pPr>
      <w:r w:rsidRPr="00F54EEC">
        <w:rPr>
          <w:rFonts w:ascii="Verdana" w:eastAsia="Calibri" w:hAnsi="Verdana" w:cs="Times New Roman"/>
          <w:sz w:val="22"/>
          <w:szCs w:val="22"/>
        </w:rPr>
        <w:t>Custody assets and that they are not traded in the open market. The EUV elements reflects the continuing operational use of the assets but that they are no longer so specialised that they could not be traded in the open market.</w:t>
      </w:r>
    </w:p>
    <w:p w14:paraId="7736EFAD" w14:textId="77777777" w:rsidR="008B5874" w:rsidRPr="00F54EEC" w:rsidRDefault="008B5874" w:rsidP="008B5874">
      <w:pPr>
        <w:pStyle w:val="Normal0"/>
        <w:jc w:val="both"/>
        <w:rPr>
          <w:rFonts w:ascii="Verdana" w:eastAsia="Calibri" w:hAnsi="Verdana" w:cs="Times New Roman"/>
          <w:sz w:val="22"/>
          <w:szCs w:val="22"/>
        </w:rPr>
      </w:pPr>
      <w:r w:rsidRPr="00F54EEC">
        <w:rPr>
          <w:rFonts w:ascii="Verdana" w:eastAsia="Calibri" w:hAnsi="Verdana" w:cs="Times New Roman"/>
          <w:sz w:val="22"/>
          <w:szCs w:val="22"/>
        </w:rPr>
        <w:t>• Operational purpose-built Police Buildings with closed Custody to be valued to Existing Use Value – This reflects the continuing operational use of the assets but that they are no longer so specialised that they could not be traded in the open market.</w:t>
      </w:r>
    </w:p>
    <w:p w14:paraId="1195C2FA" w14:textId="77777777" w:rsidR="008B5874" w:rsidRPr="00F54EEC" w:rsidRDefault="008B5874" w:rsidP="008B5874">
      <w:pPr>
        <w:pStyle w:val="Normal0"/>
        <w:jc w:val="both"/>
        <w:rPr>
          <w:rFonts w:ascii="Verdana" w:eastAsia="Calibri" w:hAnsi="Verdana" w:cs="Times New Roman"/>
          <w:sz w:val="22"/>
          <w:szCs w:val="22"/>
        </w:rPr>
      </w:pPr>
      <w:r w:rsidRPr="00F54EEC">
        <w:rPr>
          <w:rFonts w:ascii="Verdana" w:eastAsia="Calibri" w:hAnsi="Verdana" w:cs="Times New Roman"/>
          <w:sz w:val="22"/>
          <w:szCs w:val="22"/>
        </w:rPr>
        <w:t>• Operational non-purpose-built Police Buildings to be valued to Existing Use Value - This reflects the continuing operational use of the assets but that they are not so specialised that they could not be traded in the open market.</w:t>
      </w:r>
    </w:p>
    <w:p w14:paraId="39659F80" w14:textId="77777777" w:rsidR="008B5874" w:rsidRPr="00F54EEC" w:rsidRDefault="008B5874" w:rsidP="008B5874">
      <w:pPr>
        <w:pStyle w:val="Normal0"/>
        <w:jc w:val="both"/>
        <w:rPr>
          <w:rFonts w:ascii="Verdana" w:eastAsia="Calibri" w:hAnsi="Verdana" w:cs="Times New Roman"/>
          <w:sz w:val="22"/>
          <w:szCs w:val="22"/>
        </w:rPr>
      </w:pPr>
      <w:r w:rsidRPr="00F54EEC">
        <w:rPr>
          <w:rFonts w:ascii="Verdana" w:eastAsia="Calibri" w:hAnsi="Verdana" w:cs="Times New Roman"/>
          <w:sz w:val="22"/>
          <w:szCs w:val="22"/>
        </w:rPr>
        <w:t>• Residential Police Buildings to be valued to Existing Use Value - This reflects the continuing operational use of the assets but that they are not so specialised that they could not be traded in the open market.</w:t>
      </w:r>
    </w:p>
    <w:p w14:paraId="0AA4D190" w14:textId="77777777" w:rsidR="008B5874" w:rsidRPr="00F54EEC" w:rsidRDefault="008B5874" w:rsidP="008B5874">
      <w:pPr>
        <w:pStyle w:val="Normal0"/>
        <w:jc w:val="both"/>
        <w:rPr>
          <w:rFonts w:ascii="Verdana" w:eastAsia="Calibri" w:hAnsi="Verdana" w:cs="Times New Roman"/>
          <w:sz w:val="22"/>
          <w:szCs w:val="22"/>
        </w:rPr>
      </w:pPr>
      <w:r w:rsidRPr="00F54EEC">
        <w:rPr>
          <w:rFonts w:ascii="Verdana" w:eastAsia="Calibri" w:hAnsi="Verdana" w:cs="Times New Roman"/>
          <w:sz w:val="22"/>
          <w:szCs w:val="22"/>
        </w:rPr>
        <w:t>• Surplus buildings to be valued to Market Value - This reflects that the assets could be traded in the open market.</w:t>
      </w:r>
    </w:p>
    <w:p w14:paraId="70082F8A" w14:textId="77777777" w:rsidR="006D0A3D" w:rsidRPr="00F54EEC" w:rsidRDefault="006D0A3D" w:rsidP="008B5874">
      <w:pPr>
        <w:pStyle w:val="Normal0"/>
        <w:jc w:val="both"/>
        <w:rPr>
          <w:rFonts w:ascii="Verdana" w:eastAsia="Calibri" w:hAnsi="Verdana" w:cs="Times New Roman"/>
          <w:sz w:val="22"/>
          <w:szCs w:val="22"/>
        </w:rPr>
      </w:pPr>
    </w:p>
    <w:p w14:paraId="0514C41D" w14:textId="77777777" w:rsidR="008B681E" w:rsidRPr="00F54EEC" w:rsidRDefault="008B681E" w:rsidP="008B5874">
      <w:pPr>
        <w:pStyle w:val="Normal0"/>
        <w:jc w:val="both"/>
        <w:rPr>
          <w:rFonts w:ascii="Verdana" w:eastAsia="Calibri" w:hAnsi="Verdana" w:cs="Times New Roman"/>
          <w:b/>
          <w:sz w:val="22"/>
          <w:szCs w:val="22"/>
        </w:rPr>
      </w:pPr>
      <w:r w:rsidRPr="00F54EEC">
        <w:rPr>
          <w:rFonts w:ascii="Verdana" w:eastAsia="Calibri" w:hAnsi="Verdana" w:cs="Times New Roman"/>
          <w:b/>
          <w:sz w:val="22"/>
          <w:szCs w:val="22"/>
        </w:rPr>
        <w:t xml:space="preserve">Assets </w:t>
      </w:r>
      <w:r w:rsidR="000A5040" w:rsidRPr="00F54EEC">
        <w:rPr>
          <w:rFonts w:ascii="Verdana" w:eastAsia="Calibri" w:hAnsi="Verdana" w:cs="Times New Roman"/>
          <w:b/>
          <w:sz w:val="22"/>
          <w:szCs w:val="22"/>
        </w:rPr>
        <w:t>u</w:t>
      </w:r>
      <w:r w:rsidRPr="00F54EEC">
        <w:rPr>
          <w:rFonts w:ascii="Verdana" w:eastAsia="Calibri" w:hAnsi="Verdana" w:cs="Times New Roman"/>
          <w:b/>
          <w:sz w:val="22"/>
          <w:szCs w:val="22"/>
        </w:rPr>
        <w:t>nder Construction (AUC)</w:t>
      </w:r>
    </w:p>
    <w:p w14:paraId="08B42D22" w14:textId="77777777" w:rsidR="006D0A3D" w:rsidRPr="003516A4" w:rsidRDefault="006D0A3D" w:rsidP="008B5874">
      <w:pPr>
        <w:pStyle w:val="Normal0"/>
        <w:jc w:val="both"/>
        <w:rPr>
          <w:rFonts w:ascii="Verdana" w:eastAsia="Calibri" w:hAnsi="Verdana" w:cs="Times New Roman"/>
          <w:sz w:val="22"/>
          <w:szCs w:val="22"/>
          <w:highlight w:val="yellow"/>
        </w:rPr>
      </w:pPr>
    </w:p>
    <w:p w14:paraId="0334255B" w14:textId="77777777" w:rsidR="006D0A3D" w:rsidRPr="00F54EEC" w:rsidRDefault="008B681E" w:rsidP="008B5874">
      <w:pPr>
        <w:pStyle w:val="Normal0"/>
        <w:jc w:val="both"/>
        <w:rPr>
          <w:rFonts w:ascii="Verdana" w:eastAsia="Calibri" w:hAnsi="Verdana" w:cs="Times New Roman"/>
          <w:sz w:val="22"/>
          <w:szCs w:val="22"/>
        </w:rPr>
      </w:pPr>
      <w:r w:rsidRPr="00F54EEC">
        <w:rPr>
          <w:rFonts w:ascii="Verdana" w:eastAsia="Calibri" w:hAnsi="Verdana" w:cs="Times New Roman"/>
          <w:sz w:val="22"/>
          <w:szCs w:val="22"/>
        </w:rPr>
        <w:t>When an asset is initially purchased it is coded to a Capital Project and classed as AUC</w:t>
      </w:r>
      <w:r w:rsidR="006D0A3D" w:rsidRPr="00F54EEC">
        <w:rPr>
          <w:rFonts w:ascii="Verdana" w:eastAsia="Calibri" w:hAnsi="Verdana" w:cs="Times New Roman"/>
          <w:sz w:val="22"/>
          <w:szCs w:val="22"/>
        </w:rPr>
        <w:t xml:space="preserve"> until complete</w:t>
      </w:r>
      <w:r w:rsidRPr="00F54EEC">
        <w:rPr>
          <w:rFonts w:ascii="Verdana" w:eastAsia="Calibri" w:hAnsi="Verdana" w:cs="Times New Roman"/>
          <w:sz w:val="22"/>
          <w:szCs w:val="22"/>
        </w:rPr>
        <w:t xml:space="preserve">. For example when a new car is purchased it has to have </w:t>
      </w:r>
      <w:r w:rsidR="006D0A3D" w:rsidRPr="00F54EEC">
        <w:rPr>
          <w:rFonts w:ascii="Verdana" w:eastAsia="Calibri" w:hAnsi="Verdana" w:cs="Times New Roman"/>
          <w:sz w:val="22"/>
          <w:szCs w:val="22"/>
        </w:rPr>
        <w:t>livery added</w:t>
      </w:r>
      <w:r w:rsidRPr="00F54EEC">
        <w:rPr>
          <w:rFonts w:ascii="Verdana" w:eastAsia="Calibri" w:hAnsi="Verdana" w:cs="Times New Roman"/>
          <w:sz w:val="22"/>
          <w:szCs w:val="22"/>
        </w:rPr>
        <w:t xml:space="preserve"> and any additional equipment installed. Once </w:t>
      </w:r>
      <w:r w:rsidR="006D0A3D" w:rsidRPr="00F54EEC">
        <w:rPr>
          <w:rFonts w:ascii="Verdana" w:eastAsia="Calibri" w:hAnsi="Verdana" w:cs="Times New Roman"/>
          <w:sz w:val="22"/>
          <w:szCs w:val="22"/>
        </w:rPr>
        <w:t>that is</w:t>
      </w:r>
      <w:r w:rsidRPr="00F54EEC">
        <w:rPr>
          <w:rFonts w:ascii="Verdana" w:eastAsia="Calibri" w:hAnsi="Verdana" w:cs="Times New Roman"/>
          <w:sz w:val="22"/>
          <w:szCs w:val="22"/>
        </w:rPr>
        <w:t xml:space="preserve"> done and the car </w:t>
      </w:r>
      <w:r w:rsidR="006D0A3D" w:rsidRPr="00F54EEC">
        <w:rPr>
          <w:rFonts w:ascii="Verdana" w:eastAsia="Calibri" w:hAnsi="Verdana" w:cs="Times New Roman"/>
          <w:sz w:val="22"/>
          <w:szCs w:val="22"/>
        </w:rPr>
        <w:t xml:space="preserve">is </w:t>
      </w:r>
      <w:r w:rsidRPr="00F54EEC">
        <w:rPr>
          <w:rFonts w:ascii="Verdana" w:eastAsia="Calibri" w:hAnsi="Verdana" w:cs="Times New Roman"/>
          <w:sz w:val="22"/>
          <w:szCs w:val="22"/>
        </w:rPr>
        <w:t xml:space="preserve">operational the asset is transferred from AUC to </w:t>
      </w:r>
      <w:r w:rsidR="006D0A3D" w:rsidRPr="00F54EEC">
        <w:rPr>
          <w:rFonts w:ascii="Verdana" w:eastAsia="Calibri" w:hAnsi="Verdana" w:cs="Times New Roman"/>
          <w:sz w:val="22"/>
          <w:szCs w:val="22"/>
        </w:rPr>
        <w:t xml:space="preserve">the </w:t>
      </w:r>
      <w:r w:rsidRPr="00F54EEC">
        <w:rPr>
          <w:rFonts w:ascii="Verdana" w:eastAsia="Calibri" w:hAnsi="Verdana" w:cs="Times New Roman"/>
          <w:sz w:val="22"/>
          <w:szCs w:val="22"/>
        </w:rPr>
        <w:t>Vehicles</w:t>
      </w:r>
      <w:r w:rsidR="006D0A3D" w:rsidRPr="00F54EEC">
        <w:rPr>
          <w:rFonts w:ascii="Verdana" w:eastAsia="Calibri" w:hAnsi="Verdana" w:cs="Times New Roman"/>
          <w:sz w:val="22"/>
          <w:szCs w:val="22"/>
        </w:rPr>
        <w:t xml:space="preserve"> category</w:t>
      </w:r>
      <w:r w:rsidRPr="00F54EEC">
        <w:rPr>
          <w:rFonts w:ascii="Verdana" w:eastAsia="Calibri" w:hAnsi="Verdana" w:cs="Times New Roman"/>
          <w:sz w:val="22"/>
          <w:szCs w:val="22"/>
        </w:rPr>
        <w:t>.</w:t>
      </w:r>
      <w:r w:rsidR="006D0A3D" w:rsidRPr="00F54EEC">
        <w:rPr>
          <w:rFonts w:ascii="Verdana" w:eastAsia="Calibri" w:hAnsi="Verdana" w:cs="Times New Roman"/>
          <w:sz w:val="22"/>
          <w:szCs w:val="22"/>
        </w:rPr>
        <w:t xml:space="preserve"> </w:t>
      </w:r>
      <w:r w:rsidRPr="00F54EEC">
        <w:rPr>
          <w:rFonts w:ascii="Verdana" w:eastAsia="Calibri" w:hAnsi="Verdana" w:cs="Times New Roman"/>
          <w:sz w:val="22"/>
          <w:szCs w:val="22"/>
        </w:rPr>
        <w:t>The same</w:t>
      </w:r>
      <w:r w:rsidR="006D0A3D" w:rsidRPr="00F54EEC">
        <w:rPr>
          <w:rFonts w:ascii="Verdana" w:eastAsia="Calibri" w:hAnsi="Verdana" w:cs="Times New Roman"/>
          <w:sz w:val="22"/>
          <w:szCs w:val="22"/>
        </w:rPr>
        <w:t xml:space="preserve"> principle</w:t>
      </w:r>
      <w:r w:rsidRPr="00F54EEC">
        <w:rPr>
          <w:rFonts w:ascii="Verdana" w:eastAsia="Calibri" w:hAnsi="Verdana" w:cs="Times New Roman"/>
          <w:sz w:val="22"/>
          <w:szCs w:val="22"/>
        </w:rPr>
        <w:t xml:space="preserve"> </w:t>
      </w:r>
      <w:r w:rsidR="006D0A3D" w:rsidRPr="00F54EEC">
        <w:rPr>
          <w:rFonts w:ascii="Verdana" w:eastAsia="Calibri" w:hAnsi="Verdana" w:cs="Times New Roman"/>
          <w:sz w:val="22"/>
          <w:szCs w:val="22"/>
        </w:rPr>
        <w:t xml:space="preserve">is true for other classes of PPE including </w:t>
      </w:r>
      <w:r w:rsidRPr="00F54EEC">
        <w:rPr>
          <w:rFonts w:ascii="Verdana" w:eastAsia="Calibri" w:hAnsi="Verdana" w:cs="Times New Roman"/>
          <w:sz w:val="22"/>
          <w:szCs w:val="22"/>
        </w:rPr>
        <w:t>IT project</w:t>
      </w:r>
      <w:r w:rsidR="006D0A3D" w:rsidRPr="00F54EEC">
        <w:rPr>
          <w:rFonts w:ascii="Verdana" w:eastAsia="Calibri" w:hAnsi="Verdana" w:cs="Times New Roman"/>
          <w:sz w:val="22"/>
          <w:szCs w:val="22"/>
        </w:rPr>
        <w:t xml:space="preserve">s and </w:t>
      </w:r>
      <w:r w:rsidRPr="00F54EEC">
        <w:rPr>
          <w:rFonts w:ascii="Verdana" w:eastAsia="Calibri" w:hAnsi="Verdana" w:cs="Times New Roman"/>
          <w:sz w:val="22"/>
          <w:szCs w:val="22"/>
        </w:rPr>
        <w:t>Equipment</w:t>
      </w:r>
      <w:r w:rsidR="006D0A3D" w:rsidRPr="00F54EEC">
        <w:rPr>
          <w:rFonts w:ascii="Verdana" w:eastAsia="Calibri" w:hAnsi="Verdana" w:cs="Times New Roman"/>
          <w:sz w:val="22"/>
          <w:szCs w:val="22"/>
        </w:rPr>
        <w:t>.</w:t>
      </w:r>
    </w:p>
    <w:p w14:paraId="0289C9C9" w14:textId="77777777" w:rsidR="006D0A3D" w:rsidRDefault="006D0A3D" w:rsidP="008B5874">
      <w:pPr>
        <w:pStyle w:val="Normal0"/>
        <w:jc w:val="both"/>
        <w:rPr>
          <w:rFonts w:ascii="Verdana" w:eastAsia="Calibri" w:hAnsi="Verdana" w:cs="Times New Roman"/>
          <w:sz w:val="22"/>
          <w:szCs w:val="22"/>
        </w:rPr>
      </w:pPr>
    </w:p>
    <w:p w14:paraId="7B0EE090" w14:textId="1BD5BC55" w:rsidR="00F54EEC" w:rsidRPr="00F54EEC" w:rsidRDefault="00F54EEC" w:rsidP="00F54EEC">
      <w:pPr>
        <w:pStyle w:val="Normal0"/>
        <w:jc w:val="both"/>
        <w:rPr>
          <w:rFonts w:ascii="Verdana" w:eastAsia="Calibri" w:hAnsi="Verdana" w:cs="Times New Roman"/>
          <w:sz w:val="22"/>
          <w:szCs w:val="22"/>
        </w:rPr>
      </w:pPr>
      <w:r w:rsidRPr="00F54EEC">
        <w:rPr>
          <w:rFonts w:ascii="Verdana" w:eastAsia="Calibri" w:hAnsi="Verdana" w:cs="Times New Roman"/>
          <w:sz w:val="22"/>
          <w:szCs w:val="22"/>
        </w:rPr>
        <w:t>AUC for the 20</w:t>
      </w:r>
      <w:r w:rsidR="00752A9A">
        <w:rPr>
          <w:rFonts w:ascii="Verdana" w:eastAsia="Calibri" w:hAnsi="Verdana" w:cs="Times New Roman"/>
          <w:sz w:val="22"/>
          <w:szCs w:val="22"/>
        </w:rPr>
        <w:t>20</w:t>
      </w:r>
      <w:r w:rsidRPr="00F54EEC">
        <w:rPr>
          <w:rFonts w:ascii="Verdana" w:eastAsia="Calibri" w:hAnsi="Verdana" w:cs="Times New Roman"/>
          <w:sz w:val="22"/>
          <w:szCs w:val="22"/>
        </w:rPr>
        <w:t>/2</w:t>
      </w:r>
      <w:r w:rsidR="00752A9A">
        <w:rPr>
          <w:rFonts w:ascii="Verdana" w:eastAsia="Calibri" w:hAnsi="Verdana" w:cs="Times New Roman"/>
          <w:sz w:val="22"/>
          <w:szCs w:val="22"/>
        </w:rPr>
        <w:t>1</w:t>
      </w:r>
      <w:r w:rsidRPr="00F54EEC">
        <w:rPr>
          <w:rFonts w:ascii="Verdana" w:eastAsia="Calibri" w:hAnsi="Verdana" w:cs="Times New Roman"/>
          <w:sz w:val="22"/>
          <w:szCs w:val="22"/>
        </w:rPr>
        <w:t xml:space="preserve"> year of £</w:t>
      </w:r>
      <w:r>
        <w:rPr>
          <w:rFonts w:ascii="Verdana" w:eastAsia="Calibri" w:hAnsi="Verdana" w:cs="Times New Roman"/>
          <w:sz w:val="22"/>
          <w:szCs w:val="22"/>
        </w:rPr>
        <w:t>4</w:t>
      </w:r>
      <w:r w:rsidRPr="00F54EEC">
        <w:rPr>
          <w:rFonts w:ascii="Verdana" w:eastAsia="Calibri" w:hAnsi="Verdana" w:cs="Times New Roman"/>
          <w:sz w:val="22"/>
          <w:szCs w:val="22"/>
        </w:rPr>
        <w:t>.</w:t>
      </w:r>
      <w:r>
        <w:rPr>
          <w:rFonts w:ascii="Verdana" w:eastAsia="Calibri" w:hAnsi="Verdana" w:cs="Times New Roman"/>
          <w:sz w:val="22"/>
          <w:szCs w:val="22"/>
        </w:rPr>
        <w:t>3</w:t>
      </w:r>
      <w:r w:rsidRPr="00F54EEC">
        <w:rPr>
          <w:rFonts w:ascii="Verdana" w:eastAsia="Calibri" w:hAnsi="Verdana" w:cs="Times New Roman"/>
          <w:sz w:val="22"/>
          <w:szCs w:val="22"/>
        </w:rPr>
        <w:t>m</w:t>
      </w:r>
      <w:r>
        <w:rPr>
          <w:rFonts w:ascii="Verdana" w:eastAsia="Calibri" w:hAnsi="Verdana" w:cs="Times New Roman"/>
          <w:sz w:val="22"/>
          <w:szCs w:val="22"/>
        </w:rPr>
        <w:t>,</w:t>
      </w:r>
      <w:r w:rsidRPr="00F54EEC">
        <w:rPr>
          <w:rFonts w:ascii="Verdana" w:eastAsia="Calibri" w:hAnsi="Verdana" w:cs="Times New Roman"/>
          <w:sz w:val="22"/>
          <w:szCs w:val="22"/>
        </w:rPr>
        <w:t xml:space="preserve"> comprised of £</w:t>
      </w:r>
      <w:r>
        <w:rPr>
          <w:rFonts w:ascii="Verdana" w:eastAsia="Calibri" w:hAnsi="Verdana" w:cs="Times New Roman"/>
          <w:sz w:val="22"/>
          <w:szCs w:val="22"/>
        </w:rPr>
        <w:t>2</w:t>
      </w:r>
      <w:r w:rsidRPr="00F54EEC">
        <w:rPr>
          <w:rFonts w:ascii="Verdana" w:eastAsia="Calibri" w:hAnsi="Verdana" w:cs="Times New Roman"/>
          <w:sz w:val="22"/>
          <w:szCs w:val="22"/>
        </w:rPr>
        <w:t>.</w:t>
      </w:r>
      <w:r>
        <w:rPr>
          <w:rFonts w:ascii="Verdana" w:eastAsia="Calibri" w:hAnsi="Verdana" w:cs="Times New Roman"/>
          <w:sz w:val="22"/>
          <w:szCs w:val="22"/>
        </w:rPr>
        <w:t>3</w:t>
      </w:r>
      <w:r w:rsidRPr="00F54EEC">
        <w:rPr>
          <w:rFonts w:ascii="Verdana" w:eastAsia="Calibri" w:hAnsi="Verdana" w:cs="Times New Roman"/>
          <w:sz w:val="22"/>
          <w:szCs w:val="22"/>
        </w:rPr>
        <w:t>m Vehicles, £</w:t>
      </w:r>
      <w:r>
        <w:rPr>
          <w:rFonts w:ascii="Verdana" w:eastAsia="Calibri" w:hAnsi="Verdana" w:cs="Times New Roman"/>
          <w:sz w:val="22"/>
          <w:szCs w:val="22"/>
        </w:rPr>
        <w:t>1</w:t>
      </w:r>
      <w:r w:rsidRPr="00F54EEC">
        <w:rPr>
          <w:rFonts w:ascii="Verdana" w:eastAsia="Calibri" w:hAnsi="Verdana" w:cs="Times New Roman"/>
          <w:sz w:val="22"/>
          <w:szCs w:val="22"/>
        </w:rPr>
        <w:t>.</w:t>
      </w:r>
      <w:r>
        <w:rPr>
          <w:rFonts w:ascii="Verdana" w:eastAsia="Calibri" w:hAnsi="Verdana" w:cs="Times New Roman"/>
          <w:sz w:val="22"/>
          <w:szCs w:val="22"/>
        </w:rPr>
        <w:t>0</w:t>
      </w:r>
      <w:r w:rsidR="00384617">
        <w:rPr>
          <w:rFonts w:ascii="Verdana" w:eastAsia="Calibri" w:hAnsi="Verdana" w:cs="Times New Roman"/>
          <w:sz w:val="22"/>
          <w:szCs w:val="22"/>
        </w:rPr>
        <w:t>m Land &amp; Buildings and</w:t>
      </w:r>
      <w:r w:rsidRPr="00F54EEC">
        <w:rPr>
          <w:rFonts w:ascii="Verdana" w:eastAsia="Calibri" w:hAnsi="Verdana" w:cs="Times New Roman"/>
          <w:sz w:val="22"/>
          <w:szCs w:val="22"/>
        </w:rPr>
        <w:t xml:space="preserve"> £</w:t>
      </w:r>
      <w:r w:rsidR="00384617">
        <w:rPr>
          <w:rFonts w:ascii="Verdana" w:eastAsia="Calibri" w:hAnsi="Verdana" w:cs="Times New Roman"/>
          <w:sz w:val="22"/>
          <w:szCs w:val="22"/>
        </w:rPr>
        <w:t>1</w:t>
      </w:r>
      <w:r w:rsidRPr="00F54EEC">
        <w:rPr>
          <w:rFonts w:ascii="Verdana" w:eastAsia="Calibri" w:hAnsi="Verdana" w:cs="Times New Roman"/>
          <w:sz w:val="22"/>
          <w:szCs w:val="22"/>
        </w:rPr>
        <w:t>.</w:t>
      </w:r>
      <w:r w:rsidR="00384617">
        <w:rPr>
          <w:rFonts w:ascii="Verdana" w:eastAsia="Calibri" w:hAnsi="Verdana" w:cs="Times New Roman"/>
          <w:sz w:val="22"/>
          <w:szCs w:val="22"/>
        </w:rPr>
        <w:t>0</w:t>
      </w:r>
      <w:r w:rsidRPr="00F54EEC">
        <w:rPr>
          <w:rFonts w:ascii="Verdana" w:eastAsia="Calibri" w:hAnsi="Verdana" w:cs="Times New Roman"/>
          <w:sz w:val="22"/>
          <w:szCs w:val="22"/>
        </w:rPr>
        <w:t>m ICT.</w:t>
      </w:r>
    </w:p>
    <w:p w14:paraId="04C9DC2A" w14:textId="77777777" w:rsidR="00F54EEC" w:rsidRPr="00F54EEC" w:rsidRDefault="00F54EEC" w:rsidP="008B5874">
      <w:pPr>
        <w:pStyle w:val="Normal0"/>
        <w:jc w:val="both"/>
        <w:rPr>
          <w:rFonts w:ascii="Verdana" w:eastAsia="Calibri" w:hAnsi="Verdana" w:cs="Times New Roman"/>
          <w:sz w:val="22"/>
          <w:szCs w:val="22"/>
        </w:rPr>
      </w:pPr>
    </w:p>
    <w:p w14:paraId="35CCF259" w14:textId="77777777" w:rsidR="00CA6653" w:rsidRPr="00367BB3" w:rsidRDefault="00CA6653" w:rsidP="00CA6653">
      <w:pPr>
        <w:pStyle w:val="Normal0"/>
        <w:jc w:val="both"/>
        <w:rPr>
          <w:rFonts w:ascii="Verdana" w:hAnsi="Verdana" w:cs="Times New Roman"/>
          <w:b/>
          <w:bCs/>
          <w:sz w:val="22"/>
          <w:szCs w:val="22"/>
        </w:rPr>
      </w:pPr>
      <w:r w:rsidRPr="00367BB3">
        <w:rPr>
          <w:rFonts w:ascii="Verdana" w:eastAsia="Calibri" w:hAnsi="Verdana" w:cs="Times New Roman"/>
          <w:b/>
          <w:bCs/>
          <w:sz w:val="22"/>
          <w:szCs w:val="22"/>
        </w:rPr>
        <w:t>Physical Assets Held</w:t>
      </w:r>
    </w:p>
    <w:p w14:paraId="4A53BBE1" w14:textId="77777777" w:rsidR="00994564" w:rsidRDefault="00994564" w:rsidP="00CA6653">
      <w:pPr>
        <w:pStyle w:val="Normal0"/>
        <w:jc w:val="both"/>
        <w:rPr>
          <w:rFonts w:ascii="Verdana" w:eastAsia="Calibri" w:hAnsi="Verdana" w:cs="Times New Roman"/>
          <w:sz w:val="22"/>
          <w:szCs w:val="22"/>
        </w:rPr>
      </w:pPr>
    </w:p>
    <w:p w14:paraId="127A0DBC" w14:textId="77777777" w:rsidR="00CA6653" w:rsidRDefault="00CA6653" w:rsidP="00CA6653">
      <w:pPr>
        <w:pStyle w:val="Normal0"/>
        <w:jc w:val="both"/>
        <w:rPr>
          <w:rFonts w:ascii="Verdana" w:eastAsia="Calibri" w:hAnsi="Verdana" w:cs="Times New Roman"/>
          <w:sz w:val="22"/>
          <w:szCs w:val="22"/>
        </w:rPr>
      </w:pPr>
      <w:r w:rsidRPr="00367BB3">
        <w:rPr>
          <w:rFonts w:ascii="Verdana" w:eastAsia="Calibri" w:hAnsi="Verdana" w:cs="Times New Roman"/>
          <w:sz w:val="22"/>
          <w:szCs w:val="22"/>
        </w:rPr>
        <w:t>Physical assets excluding furniture and equipment owned by the PCC as at 31 March 20</w:t>
      </w:r>
      <w:r w:rsidR="00367BB3" w:rsidRPr="00367BB3">
        <w:rPr>
          <w:rFonts w:ascii="Verdana" w:eastAsia="Calibri" w:hAnsi="Verdana" w:cs="Times New Roman"/>
          <w:sz w:val="22"/>
          <w:szCs w:val="22"/>
        </w:rPr>
        <w:t>21</w:t>
      </w:r>
      <w:r w:rsidRPr="00367BB3">
        <w:rPr>
          <w:rFonts w:ascii="Verdana" w:eastAsia="Calibri" w:hAnsi="Verdana" w:cs="Times New Roman"/>
          <w:sz w:val="22"/>
          <w:szCs w:val="22"/>
        </w:rPr>
        <w:t xml:space="preserve"> comprised:</w:t>
      </w:r>
    </w:p>
    <w:p w14:paraId="095B73FE" w14:textId="77777777" w:rsidR="00994564" w:rsidRPr="00367BB3" w:rsidRDefault="00994564" w:rsidP="00CA6653">
      <w:pPr>
        <w:pStyle w:val="Normal0"/>
        <w:jc w:val="both"/>
        <w:rPr>
          <w:rFonts w:ascii="Verdana" w:hAnsi="Verdana" w:cs="Times New Roman"/>
          <w:sz w:val="22"/>
          <w:szCs w:val="22"/>
        </w:rPr>
      </w:pPr>
    </w:p>
    <w:tbl>
      <w:tblPr>
        <w:tblW w:w="9159" w:type="dxa"/>
        <w:jc w:val="center"/>
        <w:tblLook w:val="04A0" w:firstRow="1" w:lastRow="0" w:firstColumn="1" w:lastColumn="0" w:noHBand="0" w:noVBand="1"/>
      </w:tblPr>
      <w:tblGrid>
        <w:gridCol w:w="3458"/>
        <w:gridCol w:w="1374"/>
        <w:gridCol w:w="1485"/>
        <w:gridCol w:w="1063"/>
        <w:gridCol w:w="1063"/>
        <w:gridCol w:w="716"/>
      </w:tblGrid>
      <w:tr w:rsidR="00270E74" w:rsidRPr="00367BB3" w14:paraId="087E9D27" w14:textId="77777777" w:rsidTr="00270E74">
        <w:trPr>
          <w:trHeight w:val="215"/>
          <w:jc w:val="center"/>
        </w:trPr>
        <w:tc>
          <w:tcPr>
            <w:tcW w:w="3458" w:type="dxa"/>
            <w:tcBorders>
              <w:top w:val="nil"/>
              <w:left w:val="nil"/>
              <w:bottom w:val="nil"/>
              <w:right w:val="nil"/>
            </w:tcBorders>
            <w:shd w:val="clear" w:color="auto" w:fill="auto"/>
            <w:noWrap/>
            <w:vAlign w:val="bottom"/>
            <w:hideMark/>
          </w:tcPr>
          <w:p w14:paraId="6F6DB11F" w14:textId="77777777" w:rsidR="00270E74" w:rsidRPr="00994564" w:rsidRDefault="00270E74" w:rsidP="00270E74">
            <w:pPr>
              <w:rPr>
                <w:sz w:val="20"/>
                <w:szCs w:val="20"/>
                <w:lang w:val="en-GB" w:eastAsia="en-GB"/>
              </w:rPr>
            </w:pPr>
          </w:p>
        </w:tc>
        <w:tc>
          <w:tcPr>
            <w:tcW w:w="1374" w:type="dxa"/>
            <w:tcBorders>
              <w:top w:val="nil"/>
              <w:left w:val="nil"/>
              <w:bottom w:val="nil"/>
              <w:right w:val="nil"/>
            </w:tcBorders>
            <w:shd w:val="clear" w:color="auto" w:fill="auto"/>
            <w:noWrap/>
            <w:vAlign w:val="bottom"/>
            <w:hideMark/>
          </w:tcPr>
          <w:p w14:paraId="5E30EB92" w14:textId="77777777" w:rsidR="00270E74" w:rsidRPr="00994564" w:rsidRDefault="00270E74" w:rsidP="00270E74">
            <w:pPr>
              <w:jc w:val="center"/>
              <w:rPr>
                <w:b/>
                <w:sz w:val="20"/>
                <w:szCs w:val="20"/>
                <w:lang w:val="en-GB" w:eastAsia="en-GB"/>
              </w:rPr>
            </w:pPr>
            <w:r w:rsidRPr="00994564">
              <w:rPr>
                <w:b/>
                <w:sz w:val="20"/>
                <w:szCs w:val="20"/>
                <w:lang w:val="en-GB" w:eastAsia="en-GB"/>
              </w:rPr>
              <w:t>2019/20</w:t>
            </w:r>
          </w:p>
        </w:tc>
        <w:tc>
          <w:tcPr>
            <w:tcW w:w="1485" w:type="dxa"/>
            <w:tcBorders>
              <w:top w:val="nil"/>
              <w:left w:val="nil"/>
              <w:bottom w:val="nil"/>
              <w:right w:val="nil"/>
            </w:tcBorders>
            <w:shd w:val="clear" w:color="auto" w:fill="auto"/>
            <w:noWrap/>
            <w:vAlign w:val="bottom"/>
            <w:hideMark/>
          </w:tcPr>
          <w:p w14:paraId="15CA1CE1" w14:textId="77777777" w:rsidR="00270E74" w:rsidRPr="00994564" w:rsidRDefault="00270E74" w:rsidP="00270E74">
            <w:pPr>
              <w:jc w:val="center"/>
              <w:rPr>
                <w:b/>
                <w:sz w:val="20"/>
                <w:szCs w:val="20"/>
                <w:lang w:val="en-GB" w:eastAsia="en-GB"/>
              </w:rPr>
            </w:pPr>
            <w:r w:rsidRPr="00994564">
              <w:rPr>
                <w:b/>
                <w:sz w:val="20"/>
                <w:szCs w:val="20"/>
                <w:lang w:val="en-GB" w:eastAsia="en-GB"/>
              </w:rPr>
              <w:t>2020/21</w:t>
            </w:r>
          </w:p>
        </w:tc>
        <w:tc>
          <w:tcPr>
            <w:tcW w:w="1063" w:type="dxa"/>
            <w:tcBorders>
              <w:top w:val="nil"/>
              <w:left w:val="nil"/>
              <w:bottom w:val="nil"/>
              <w:right w:val="nil"/>
            </w:tcBorders>
            <w:shd w:val="clear" w:color="auto" w:fill="auto"/>
            <w:noWrap/>
            <w:vAlign w:val="bottom"/>
            <w:hideMark/>
          </w:tcPr>
          <w:p w14:paraId="05C2993E" w14:textId="77777777" w:rsidR="00270E74" w:rsidRPr="00367BB3" w:rsidRDefault="00270E74" w:rsidP="00270E74">
            <w:pPr>
              <w:rPr>
                <w:lang w:val="en-GB" w:eastAsia="en-GB"/>
              </w:rPr>
            </w:pPr>
          </w:p>
        </w:tc>
        <w:tc>
          <w:tcPr>
            <w:tcW w:w="1063" w:type="dxa"/>
            <w:tcBorders>
              <w:top w:val="nil"/>
              <w:left w:val="nil"/>
              <w:bottom w:val="nil"/>
              <w:right w:val="nil"/>
            </w:tcBorders>
            <w:shd w:val="clear" w:color="auto" w:fill="auto"/>
            <w:noWrap/>
            <w:vAlign w:val="bottom"/>
            <w:hideMark/>
          </w:tcPr>
          <w:p w14:paraId="157D872A" w14:textId="77777777" w:rsidR="00270E74" w:rsidRPr="00367BB3" w:rsidRDefault="00270E74" w:rsidP="00270E74">
            <w:pPr>
              <w:rPr>
                <w:lang w:val="en-GB" w:eastAsia="en-GB"/>
              </w:rPr>
            </w:pPr>
          </w:p>
        </w:tc>
        <w:tc>
          <w:tcPr>
            <w:tcW w:w="716" w:type="dxa"/>
            <w:tcBorders>
              <w:top w:val="nil"/>
              <w:left w:val="nil"/>
              <w:bottom w:val="nil"/>
              <w:right w:val="nil"/>
            </w:tcBorders>
            <w:shd w:val="clear" w:color="auto" w:fill="auto"/>
            <w:noWrap/>
            <w:vAlign w:val="bottom"/>
            <w:hideMark/>
          </w:tcPr>
          <w:p w14:paraId="0BB70D1C" w14:textId="77777777" w:rsidR="00270E74" w:rsidRPr="00367BB3" w:rsidRDefault="00270E74" w:rsidP="00270E74">
            <w:pPr>
              <w:rPr>
                <w:lang w:val="en-GB" w:eastAsia="en-GB"/>
              </w:rPr>
            </w:pPr>
          </w:p>
        </w:tc>
      </w:tr>
      <w:tr w:rsidR="00270E74" w:rsidRPr="00367BB3" w14:paraId="34FC1035" w14:textId="77777777" w:rsidTr="00270E74">
        <w:trPr>
          <w:trHeight w:val="215"/>
          <w:jc w:val="center"/>
        </w:trPr>
        <w:tc>
          <w:tcPr>
            <w:tcW w:w="3458" w:type="dxa"/>
            <w:tcBorders>
              <w:top w:val="nil"/>
              <w:left w:val="nil"/>
              <w:bottom w:val="nil"/>
              <w:right w:val="nil"/>
            </w:tcBorders>
            <w:shd w:val="clear" w:color="auto" w:fill="auto"/>
            <w:noWrap/>
            <w:vAlign w:val="bottom"/>
            <w:hideMark/>
          </w:tcPr>
          <w:p w14:paraId="7C5F9A8F" w14:textId="77777777" w:rsidR="00270E74" w:rsidRPr="00994564" w:rsidRDefault="00270E74" w:rsidP="00270E74">
            <w:pPr>
              <w:rPr>
                <w:sz w:val="20"/>
                <w:szCs w:val="20"/>
                <w:lang w:val="en-GB" w:eastAsia="en-GB"/>
              </w:rPr>
            </w:pPr>
          </w:p>
        </w:tc>
        <w:tc>
          <w:tcPr>
            <w:tcW w:w="1374" w:type="dxa"/>
            <w:tcBorders>
              <w:top w:val="nil"/>
              <w:left w:val="nil"/>
              <w:bottom w:val="single" w:sz="4" w:space="0" w:color="auto"/>
              <w:right w:val="nil"/>
            </w:tcBorders>
            <w:shd w:val="clear" w:color="auto" w:fill="auto"/>
            <w:noWrap/>
            <w:vAlign w:val="bottom"/>
            <w:hideMark/>
          </w:tcPr>
          <w:p w14:paraId="7AB96565" w14:textId="77777777" w:rsidR="00270E74" w:rsidRPr="00994564" w:rsidRDefault="00270E74" w:rsidP="00270E74">
            <w:pPr>
              <w:jc w:val="center"/>
              <w:rPr>
                <w:b/>
                <w:sz w:val="20"/>
                <w:szCs w:val="20"/>
                <w:lang w:val="en-GB" w:eastAsia="en-GB"/>
              </w:rPr>
            </w:pPr>
            <w:r w:rsidRPr="00994564">
              <w:rPr>
                <w:b/>
                <w:sz w:val="20"/>
                <w:szCs w:val="20"/>
                <w:lang w:val="en-GB" w:eastAsia="en-GB"/>
              </w:rPr>
              <w:t>No</w:t>
            </w:r>
          </w:p>
        </w:tc>
        <w:tc>
          <w:tcPr>
            <w:tcW w:w="1485" w:type="dxa"/>
            <w:tcBorders>
              <w:top w:val="nil"/>
              <w:left w:val="nil"/>
              <w:bottom w:val="single" w:sz="4" w:space="0" w:color="auto"/>
              <w:right w:val="nil"/>
            </w:tcBorders>
            <w:shd w:val="clear" w:color="auto" w:fill="auto"/>
            <w:noWrap/>
            <w:vAlign w:val="bottom"/>
            <w:hideMark/>
          </w:tcPr>
          <w:p w14:paraId="3573C0DD" w14:textId="77777777" w:rsidR="00270E74" w:rsidRPr="00994564" w:rsidRDefault="00270E74" w:rsidP="00270E74">
            <w:pPr>
              <w:jc w:val="center"/>
              <w:rPr>
                <w:b/>
                <w:sz w:val="20"/>
                <w:szCs w:val="20"/>
                <w:lang w:val="en-GB" w:eastAsia="en-GB"/>
              </w:rPr>
            </w:pPr>
            <w:r w:rsidRPr="00994564">
              <w:rPr>
                <w:b/>
                <w:sz w:val="20"/>
                <w:szCs w:val="20"/>
                <w:lang w:val="en-GB" w:eastAsia="en-GB"/>
              </w:rPr>
              <w:t>No</w:t>
            </w:r>
          </w:p>
        </w:tc>
        <w:tc>
          <w:tcPr>
            <w:tcW w:w="1063" w:type="dxa"/>
            <w:tcBorders>
              <w:top w:val="nil"/>
              <w:left w:val="nil"/>
              <w:bottom w:val="nil"/>
              <w:right w:val="nil"/>
            </w:tcBorders>
            <w:shd w:val="clear" w:color="auto" w:fill="auto"/>
            <w:noWrap/>
            <w:vAlign w:val="bottom"/>
            <w:hideMark/>
          </w:tcPr>
          <w:p w14:paraId="34BAAACA" w14:textId="77777777" w:rsidR="00270E74" w:rsidRPr="00367BB3" w:rsidRDefault="00270E74" w:rsidP="00270E74">
            <w:pPr>
              <w:rPr>
                <w:lang w:val="en-GB" w:eastAsia="en-GB"/>
              </w:rPr>
            </w:pPr>
          </w:p>
        </w:tc>
        <w:tc>
          <w:tcPr>
            <w:tcW w:w="1063" w:type="dxa"/>
            <w:tcBorders>
              <w:top w:val="nil"/>
              <w:left w:val="nil"/>
              <w:bottom w:val="nil"/>
              <w:right w:val="nil"/>
            </w:tcBorders>
            <w:shd w:val="clear" w:color="auto" w:fill="auto"/>
            <w:noWrap/>
            <w:vAlign w:val="bottom"/>
            <w:hideMark/>
          </w:tcPr>
          <w:p w14:paraId="7836CC50" w14:textId="77777777" w:rsidR="00270E74" w:rsidRPr="00367BB3" w:rsidRDefault="00270E74" w:rsidP="00270E74">
            <w:pPr>
              <w:rPr>
                <w:lang w:val="en-GB" w:eastAsia="en-GB"/>
              </w:rPr>
            </w:pPr>
          </w:p>
        </w:tc>
        <w:tc>
          <w:tcPr>
            <w:tcW w:w="716" w:type="dxa"/>
            <w:tcBorders>
              <w:top w:val="nil"/>
              <w:left w:val="nil"/>
              <w:bottom w:val="nil"/>
              <w:right w:val="nil"/>
            </w:tcBorders>
            <w:shd w:val="clear" w:color="auto" w:fill="auto"/>
            <w:noWrap/>
            <w:vAlign w:val="bottom"/>
            <w:hideMark/>
          </w:tcPr>
          <w:p w14:paraId="69491D75" w14:textId="77777777" w:rsidR="00270E74" w:rsidRPr="00367BB3" w:rsidRDefault="00270E74" w:rsidP="00270E74">
            <w:pPr>
              <w:rPr>
                <w:lang w:val="en-GB" w:eastAsia="en-GB"/>
              </w:rPr>
            </w:pPr>
          </w:p>
        </w:tc>
      </w:tr>
      <w:tr w:rsidR="00270E74" w:rsidRPr="00367BB3" w14:paraId="765AF9CA" w14:textId="77777777" w:rsidTr="00270E74">
        <w:trPr>
          <w:trHeight w:val="266"/>
          <w:jc w:val="center"/>
        </w:trPr>
        <w:tc>
          <w:tcPr>
            <w:tcW w:w="3458" w:type="dxa"/>
            <w:tcBorders>
              <w:top w:val="nil"/>
              <w:left w:val="nil"/>
              <w:bottom w:val="nil"/>
              <w:right w:val="nil"/>
            </w:tcBorders>
            <w:shd w:val="clear" w:color="auto" w:fill="auto"/>
            <w:noWrap/>
            <w:vAlign w:val="bottom"/>
            <w:hideMark/>
          </w:tcPr>
          <w:p w14:paraId="4506A103" w14:textId="77777777" w:rsidR="00270E74" w:rsidRPr="00994564" w:rsidRDefault="00270E74" w:rsidP="00270E74">
            <w:pPr>
              <w:rPr>
                <w:sz w:val="20"/>
                <w:szCs w:val="20"/>
                <w:lang w:val="en-GB" w:eastAsia="en-GB"/>
              </w:rPr>
            </w:pPr>
            <w:r w:rsidRPr="00994564">
              <w:rPr>
                <w:sz w:val="20"/>
                <w:szCs w:val="20"/>
                <w:lang w:val="en-GB" w:eastAsia="en-GB"/>
              </w:rPr>
              <w:t>Operational Buildings*</w:t>
            </w:r>
          </w:p>
        </w:tc>
        <w:tc>
          <w:tcPr>
            <w:tcW w:w="1374" w:type="dxa"/>
            <w:tcBorders>
              <w:top w:val="nil"/>
              <w:left w:val="nil"/>
              <w:bottom w:val="nil"/>
              <w:right w:val="nil"/>
            </w:tcBorders>
            <w:shd w:val="clear" w:color="auto" w:fill="auto"/>
            <w:noWrap/>
            <w:vAlign w:val="bottom"/>
            <w:hideMark/>
          </w:tcPr>
          <w:p w14:paraId="2A5BCF2D" w14:textId="77777777" w:rsidR="00270E74" w:rsidRPr="00994564" w:rsidRDefault="00270E74" w:rsidP="00270E74">
            <w:pPr>
              <w:jc w:val="right"/>
              <w:rPr>
                <w:sz w:val="20"/>
                <w:szCs w:val="20"/>
                <w:lang w:val="en-GB" w:eastAsia="en-GB"/>
              </w:rPr>
            </w:pPr>
            <w:r w:rsidRPr="00994564">
              <w:rPr>
                <w:sz w:val="20"/>
                <w:szCs w:val="20"/>
                <w:lang w:val="en-GB" w:eastAsia="en-GB"/>
              </w:rPr>
              <w:t>16</w:t>
            </w:r>
          </w:p>
        </w:tc>
        <w:tc>
          <w:tcPr>
            <w:tcW w:w="1485" w:type="dxa"/>
            <w:tcBorders>
              <w:top w:val="nil"/>
              <w:left w:val="nil"/>
              <w:bottom w:val="nil"/>
              <w:right w:val="nil"/>
            </w:tcBorders>
            <w:shd w:val="clear" w:color="auto" w:fill="auto"/>
            <w:noWrap/>
            <w:vAlign w:val="bottom"/>
            <w:hideMark/>
          </w:tcPr>
          <w:p w14:paraId="1F27B815" w14:textId="77777777" w:rsidR="00270E74" w:rsidRPr="00994564" w:rsidRDefault="008022E1" w:rsidP="00270E74">
            <w:pPr>
              <w:jc w:val="right"/>
              <w:rPr>
                <w:sz w:val="20"/>
                <w:szCs w:val="20"/>
                <w:lang w:val="en-GB" w:eastAsia="en-GB"/>
              </w:rPr>
            </w:pPr>
            <w:r w:rsidRPr="00994564">
              <w:rPr>
                <w:sz w:val="20"/>
                <w:szCs w:val="20"/>
                <w:lang w:val="en-GB" w:eastAsia="en-GB"/>
              </w:rPr>
              <w:t>15</w:t>
            </w:r>
          </w:p>
        </w:tc>
        <w:tc>
          <w:tcPr>
            <w:tcW w:w="1063" w:type="dxa"/>
            <w:tcBorders>
              <w:top w:val="nil"/>
              <w:left w:val="nil"/>
              <w:bottom w:val="nil"/>
              <w:right w:val="nil"/>
            </w:tcBorders>
            <w:shd w:val="clear" w:color="auto" w:fill="auto"/>
            <w:noWrap/>
            <w:vAlign w:val="bottom"/>
            <w:hideMark/>
          </w:tcPr>
          <w:p w14:paraId="51CDC316" w14:textId="77777777" w:rsidR="00270E74" w:rsidRPr="00367BB3" w:rsidRDefault="00270E74" w:rsidP="00270E74">
            <w:pPr>
              <w:rPr>
                <w:lang w:val="en-GB" w:eastAsia="en-GB"/>
              </w:rPr>
            </w:pPr>
          </w:p>
        </w:tc>
        <w:tc>
          <w:tcPr>
            <w:tcW w:w="1063" w:type="dxa"/>
            <w:tcBorders>
              <w:top w:val="nil"/>
              <w:left w:val="nil"/>
              <w:bottom w:val="nil"/>
              <w:right w:val="nil"/>
            </w:tcBorders>
            <w:shd w:val="clear" w:color="auto" w:fill="auto"/>
            <w:noWrap/>
            <w:vAlign w:val="bottom"/>
            <w:hideMark/>
          </w:tcPr>
          <w:p w14:paraId="5DC20B71" w14:textId="77777777" w:rsidR="00270E74" w:rsidRPr="00367BB3" w:rsidRDefault="00270E74" w:rsidP="00270E74">
            <w:pPr>
              <w:rPr>
                <w:lang w:val="en-GB" w:eastAsia="en-GB"/>
              </w:rPr>
            </w:pPr>
          </w:p>
        </w:tc>
        <w:tc>
          <w:tcPr>
            <w:tcW w:w="716" w:type="dxa"/>
            <w:tcBorders>
              <w:top w:val="nil"/>
              <w:left w:val="nil"/>
              <w:bottom w:val="nil"/>
              <w:right w:val="nil"/>
            </w:tcBorders>
            <w:shd w:val="clear" w:color="auto" w:fill="auto"/>
            <w:noWrap/>
            <w:vAlign w:val="bottom"/>
            <w:hideMark/>
          </w:tcPr>
          <w:p w14:paraId="783DCFD4" w14:textId="77777777" w:rsidR="00270E74" w:rsidRPr="00367BB3" w:rsidRDefault="00270E74" w:rsidP="00270E74">
            <w:pPr>
              <w:rPr>
                <w:lang w:val="en-GB" w:eastAsia="en-GB"/>
              </w:rPr>
            </w:pPr>
          </w:p>
        </w:tc>
      </w:tr>
      <w:tr w:rsidR="00270E74" w:rsidRPr="00367BB3" w14:paraId="26AF444B" w14:textId="77777777" w:rsidTr="00270E74">
        <w:trPr>
          <w:trHeight w:val="266"/>
          <w:jc w:val="center"/>
        </w:trPr>
        <w:tc>
          <w:tcPr>
            <w:tcW w:w="3458" w:type="dxa"/>
            <w:tcBorders>
              <w:top w:val="nil"/>
              <w:left w:val="nil"/>
              <w:bottom w:val="nil"/>
              <w:right w:val="nil"/>
            </w:tcBorders>
            <w:shd w:val="clear" w:color="auto" w:fill="auto"/>
            <w:noWrap/>
            <w:vAlign w:val="bottom"/>
            <w:hideMark/>
          </w:tcPr>
          <w:p w14:paraId="1B2DAB4D" w14:textId="77777777" w:rsidR="00270E74" w:rsidRPr="00994564" w:rsidRDefault="00270E74" w:rsidP="00270E74">
            <w:pPr>
              <w:rPr>
                <w:sz w:val="20"/>
                <w:szCs w:val="20"/>
                <w:lang w:val="en-GB" w:eastAsia="en-GB"/>
              </w:rPr>
            </w:pPr>
            <w:r w:rsidRPr="00994564">
              <w:rPr>
                <w:sz w:val="20"/>
                <w:szCs w:val="20"/>
                <w:lang w:val="en-GB" w:eastAsia="en-GB"/>
              </w:rPr>
              <w:t>Police Houses</w:t>
            </w:r>
          </w:p>
        </w:tc>
        <w:tc>
          <w:tcPr>
            <w:tcW w:w="1374" w:type="dxa"/>
            <w:tcBorders>
              <w:top w:val="nil"/>
              <w:left w:val="nil"/>
              <w:bottom w:val="nil"/>
              <w:right w:val="nil"/>
            </w:tcBorders>
            <w:shd w:val="clear" w:color="auto" w:fill="auto"/>
            <w:noWrap/>
            <w:vAlign w:val="bottom"/>
            <w:hideMark/>
          </w:tcPr>
          <w:p w14:paraId="4211789F" w14:textId="77777777" w:rsidR="00270E74" w:rsidRPr="00994564" w:rsidRDefault="00270E74" w:rsidP="00270E74">
            <w:pPr>
              <w:jc w:val="right"/>
              <w:rPr>
                <w:sz w:val="20"/>
                <w:szCs w:val="20"/>
                <w:lang w:val="en-GB" w:eastAsia="en-GB"/>
              </w:rPr>
            </w:pPr>
            <w:r w:rsidRPr="00994564">
              <w:rPr>
                <w:sz w:val="20"/>
                <w:szCs w:val="20"/>
                <w:lang w:val="en-GB" w:eastAsia="en-GB"/>
              </w:rPr>
              <w:t>40</w:t>
            </w:r>
          </w:p>
        </w:tc>
        <w:tc>
          <w:tcPr>
            <w:tcW w:w="1485" w:type="dxa"/>
            <w:tcBorders>
              <w:top w:val="nil"/>
              <w:left w:val="nil"/>
              <w:bottom w:val="nil"/>
              <w:right w:val="nil"/>
            </w:tcBorders>
            <w:shd w:val="clear" w:color="auto" w:fill="auto"/>
            <w:noWrap/>
            <w:vAlign w:val="bottom"/>
            <w:hideMark/>
          </w:tcPr>
          <w:p w14:paraId="334D48D3" w14:textId="77777777" w:rsidR="008022E1" w:rsidRPr="00994564" w:rsidRDefault="008022E1" w:rsidP="008022E1">
            <w:pPr>
              <w:jc w:val="right"/>
              <w:rPr>
                <w:sz w:val="20"/>
                <w:szCs w:val="20"/>
                <w:lang w:val="en-GB" w:eastAsia="en-GB"/>
              </w:rPr>
            </w:pPr>
            <w:r w:rsidRPr="00994564">
              <w:rPr>
                <w:sz w:val="20"/>
                <w:szCs w:val="20"/>
                <w:lang w:val="en-GB" w:eastAsia="en-GB"/>
              </w:rPr>
              <w:t>38</w:t>
            </w:r>
          </w:p>
        </w:tc>
        <w:tc>
          <w:tcPr>
            <w:tcW w:w="1063" w:type="dxa"/>
            <w:tcBorders>
              <w:top w:val="nil"/>
              <w:left w:val="nil"/>
              <w:bottom w:val="nil"/>
              <w:right w:val="nil"/>
            </w:tcBorders>
            <w:shd w:val="clear" w:color="auto" w:fill="auto"/>
            <w:noWrap/>
            <w:vAlign w:val="bottom"/>
            <w:hideMark/>
          </w:tcPr>
          <w:p w14:paraId="36EF910F" w14:textId="77777777" w:rsidR="00270E74" w:rsidRPr="00367BB3" w:rsidRDefault="00270E74" w:rsidP="00270E74">
            <w:pPr>
              <w:rPr>
                <w:lang w:val="en-GB" w:eastAsia="en-GB"/>
              </w:rPr>
            </w:pPr>
          </w:p>
        </w:tc>
        <w:tc>
          <w:tcPr>
            <w:tcW w:w="1063" w:type="dxa"/>
            <w:tcBorders>
              <w:top w:val="nil"/>
              <w:left w:val="nil"/>
              <w:bottom w:val="nil"/>
              <w:right w:val="nil"/>
            </w:tcBorders>
            <w:shd w:val="clear" w:color="auto" w:fill="auto"/>
            <w:noWrap/>
            <w:vAlign w:val="bottom"/>
            <w:hideMark/>
          </w:tcPr>
          <w:p w14:paraId="1F9CAE17" w14:textId="77777777" w:rsidR="00270E74" w:rsidRPr="00367BB3" w:rsidRDefault="00270E74" w:rsidP="00270E74">
            <w:pPr>
              <w:rPr>
                <w:lang w:val="en-GB" w:eastAsia="en-GB"/>
              </w:rPr>
            </w:pPr>
          </w:p>
        </w:tc>
        <w:tc>
          <w:tcPr>
            <w:tcW w:w="716" w:type="dxa"/>
            <w:tcBorders>
              <w:top w:val="nil"/>
              <w:left w:val="nil"/>
              <w:bottom w:val="nil"/>
              <w:right w:val="nil"/>
            </w:tcBorders>
            <w:shd w:val="clear" w:color="auto" w:fill="auto"/>
            <w:noWrap/>
            <w:vAlign w:val="bottom"/>
            <w:hideMark/>
          </w:tcPr>
          <w:p w14:paraId="58CF6053" w14:textId="77777777" w:rsidR="00270E74" w:rsidRPr="00367BB3" w:rsidRDefault="00270E74" w:rsidP="00270E74">
            <w:pPr>
              <w:rPr>
                <w:lang w:val="en-GB" w:eastAsia="en-GB"/>
              </w:rPr>
            </w:pPr>
          </w:p>
        </w:tc>
      </w:tr>
      <w:tr w:rsidR="00270E74" w:rsidRPr="00367BB3" w14:paraId="084EED09" w14:textId="77777777" w:rsidTr="00270E74">
        <w:trPr>
          <w:trHeight w:val="266"/>
          <w:jc w:val="center"/>
        </w:trPr>
        <w:tc>
          <w:tcPr>
            <w:tcW w:w="3458" w:type="dxa"/>
            <w:tcBorders>
              <w:top w:val="nil"/>
              <w:left w:val="nil"/>
              <w:bottom w:val="nil"/>
              <w:right w:val="nil"/>
            </w:tcBorders>
            <w:shd w:val="clear" w:color="auto" w:fill="auto"/>
            <w:noWrap/>
            <w:vAlign w:val="bottom"/>
            <w:hideMark/>
          </w:tcPr>
          <w:p w14:paraId="2CDBB98E" w14:textId="77777777" w:rsidR="00270E74" w:rsidRPr="00994564" w:rsidRDefault="00270E74" w:rsidP="00270E74">
            <w:pPr>
              <w:rPr>
                <w:sz w:val="20"/>
                <w:szCs w:val="20"/>
                <w:lang w:val="en-GB" w:eastAsia="en-GB"/>
              </w:rPr>
            </w:pPr>
            <w:r w:rsidRPr="00994564">
              <w:rPr>
                <w:sz w:val="20"/>
                <w:szCs w:val="20"/>
                <w:lang w:val="en-GB" w:eastAsia="en-GB"/>
              </w:rPr>
              <w:t>Police Vehicles</w:t>
            </w:r>
          </w:p>
        </w:tc>
        <w:tc>
          <w:tcPr>
            <w:tcW w:w="1374" w:type="dxa"/>
            <w:tcBorders>
              <w:top w:val="nil"/>
              <w:left w:val="nil"/>
              <w:bottom w:val="single" w:sz="4" w:space="0" w:color="auto"/>
              <w:right w:val="nil"/>
            </w:tcBorders>
            <w:shd w:val="clear" w:color="auto" w:fill="auto"/>
            <w:noWrap/>
            <w:vAlign w:val="bottom"/>
            <w:hideMark/>
          </w:tcPr>
          <w:p w14:paraId="046A3AEE" w14:textId="77777777" w:rsidR="00270E74" w:rsidRPr="00994564" w:rsidRDefault="00270E74" w:rsidP="00270E74">
            <w:pPr>
              <w:jc w:val="right"/>
              <w:rPr>
                <w:sz w:val="20"/>
                <w:szCs w:val="20"/>
                <w:lang w:val="en-GB" w:eastAsia="en-GB"/>
              </w:rPr>
            </w:pPr>
            <w:r w:rsidRPr="00994564">
              <w:rPr>
                <w:sz w:val="20"/>
                <w:szCs w:val="20"/>
                <w:lang w:val="en-GB" w:eastAsia="en-GB"/>
              </w:rPr>
              <w:t>859</w:t>
            </w:r>
          </w:p>
        </w:tc>
        <w:tc>
          <w:tcPr>
            <w:tcW w:w="1485" w:type="dxa"/>
            <w:tcBorders>
              <w:top w:val="nil"/>
              <w:left w:val="nil"/>
              <w:bottom w:val="single" w:sz="4" w:space="0" w:color="auto"/>
              <w:right w:val="nil"/>
            </w:tcBorders>
            <w:shd w:val="clear" w:color="auto" w:fill="auto"/>
            <w:noWrap/>
            <w:vAlign w:val="bottom"/>
            <w:hideMark/>
          </w:tcPr>
          <w:p w14:paraId="7A6374BB" w14:textId="77777777" w:rsidR="00270E74" w:rsidRPr="00994564" w:rsidRDefault="00270E74" w:rsidP="00270E74">
            <w:pPr>
              <w:jc w:val="right"/>
              <w:rPr>
                <w:sz w:val="20"/>
                <w:szCs w:val="20"/>
                <w:lang w:val="en-GB" w:eastAsia="en-GB"/>
              </w:rPr>
            </w:pPr>
            <w:r w:rsidRPr="00994564">
              <w:rPr>
                <w:sz w:val="20"/>
                <w:szCs w:val="20"/>
                <w:lang w:val="en-GB" w:eastAsia="en-GB"/>
              </w:rPr>
              <w:t>849</w:t>
            </w:r>
          </w:p>
        </w:tc>
        <w:tc>
          <w:tcPr>
            <w:tcW w:w="1063" w:type="dxa"/>
            <w:tcBorders>
              <w:top w:val="nil"/>
              <w:left w:val="nil"/>
              <w:bottom w:val="nil"/>
              <w:right w:val="nil"/>
            </w:tcBorders>
            <w:shd w:val="clear" w:color="auto" w:fill="auto"/>
            <w:noWrap/>
            <w:vAlign w:val="bottom"/>
            <w:hideMark/>
          </w:tcPr>
          <w:p w14:paraId="54821395" w14:textId="77777777" w:rsidR="00270E74" w:rsidRPr="00367BB3" w:rsidRDefault="00270E74" w:rsidP="00270E74">
            <w:pPr>
              <w:rPr>
                <w:lang w:val="en-GB" w:eastAsia="en-GB"/>
              </w:rPr>
            </w:pPr>
          </w:p>
        </w:tc>
        <w:tc>
          <w:tcPr>
            <w:tcW w:w="1063" w:type="dxa"/>
            <w:tcBorders>
              <w:top w:val="nil"/>
              <w:left w:val="nil"/>
              <w:bottom w:val="nil"/>
              <w:right w:val="nil"/>
            </w:tcBorders>
            <w:shd w:val="clear" w:color="auto" w:fill="auto"/>
            <w:noWrap/>
            <w:vAlign w:val="bottom"/>
            <w:hideMark/>
          </w:tcPr>
          <w:p w14:paraId="1D361977" w14:textId="77777777" w:rsidR="00270E74" w:rsidRPr="00367BB3" w:rsidRDefault="00270E74" w:rsidP="00270E74">
            <w:pPr>
              <w:rPr>
                <w:lang w:val="en-GB" w:eastAsia="en-GB"/>
              </w:rPr>
            </w:pPr>
          </w:p>
        </w:tc>
        <w:tc>
          <w:tcPr>
            <w:tcW w:w="716" w:type="dxa"/>
            <w:tcBorders>
              <w:top w:val="nil"/>
              <w:left w:val="nil"/>
              <w:bottom w:val="nil"/>
              <w:right w:val="nil"/>
            </w:tcBorders>
            <w:shd w:val="clear" w:color="auto" w:fill="auto"/>
            <w:noWrap/>
            <w:vAlign w:val="bottom"/>
            <w:hideMark/>
          </w:tcPr>
          <w:p w14:paraId="3F7BB802" w14:textId="77777777" w:rsidR="00270E74" w:rsidRPr="00367BB3" w:rsidRDefault="00270E74" w:rsidP="00270E74">
            <w:pPr>
              <w:rPr>
                <w:lang w:val="en-GB" w:eastAsia="en-GB"/>
              </w:rPr>
            </w:pPr>
          </w:p>
        </w:tc>
      </w:tr>
      <w:tr w:rsidR="00270E74" w:rsidRPr="00367BB3" w14:paraId="4E25BE4B" w14:textId="77777777" w:rsidTr="00270E74">
        <w:trPr>
          <w:trHeight w:val="266"/>
          <w:jc w:val="center"/>
        </w:trPr>
        <w:tc>
          <w:tcPr>
            <w:tcW w:w="3458" w:type="dxa"/>
            <w:tcBorders>
              <w:top w:val="nil"/>
              <w:left w:val="nil"/>
              <w:bottom w:val="nil"/>
              <w:right w:val="nil"/>
            </w:tcBorders>
            <w:shd w:val="clear" w:color="auto" w:fill="auto"/>
            <w:noWrap/>
            <w:vAlign w:val="bottom"/>
            <w:hideMark/>
          </w:tcPr>
          <w:p w14:paraId="56E8309C" w14:textId="77777777" w:rsidR="00270E74" w:rsidRPr="00994564" w:rsidRDefault="00270E74" w:rsidP="00270E74">
            <w:pPr>
              <w:rPr>
                <w:b/>
                <w:sz w:val="20"/>
                <w:szCs w:val="20"/>
                <w:lang w:val="en-GB" w:eastAsia="en-GB"/>
              </w:rPr>
            </w:pPr>
            <w:r w:rsidRPr="00994564">
              <w:rPr>
                <w:b/>
                <w:sz w:val="20"/>
                <w:szCs w:val="20"/>
                <w:lang w:val="en-GB" w:eastAsia="en-GB"/>
              </w:rPr>
              <w:t>Total</w:t>
            </w:r>
          </w:p>
        </w:tc>
        <w:tc>
          <w:tcPr>
            <w:tcW w:w="1374" w:type="dxa"/>
            <w:tcBorders>
              <w:top w:val="nil"/>
              <w:left w:val="nil"/>
              <w:bottom w:val="nil"/>
              <w:right w:val="nil"/>
            </w:tcBorders>
            <w:shd w:val="clear" w:color="auto" w:fill="auto"/>
            <w:noWrap/>
            <w:vAlign w:val="bottom"/>
            <w:hideMark/>
          </w:tcPr>
          <w:p w14:paraId="249DAF4F" w14:textId="77777777" w:rsidR="00270E74" w:rsidRPr="00994564" w:rsidRDefault="00270E74" w:rsidP="00270E74">
            <w:pPr>
              <w:jc w:val="right"/>
              <w:rPr>
                <w:b/>
                <w:sz w:val="20"/>
                <w:szCs w:val="20"/>
                <w:lang w:val="en-GB" w:eastAsia="en-GB"/>
              </w:rPr>
            </w:pPr>
            <w:r w:rsidRPr="00994564">
              <w:rPr>
                <w:b/>
                <w:sz w:val="20"/>
                <w:szCs w:val="20"/>
                <w:lang w:val="en-GB" w:eastAsia="en-GB"/>
              </w:rPr>
              <w:t>915</w:t>
            </w:r>
          </w:p>
        </w:tc>
        <w:tc>
          <w:tcPr>
            <w:tcW w:w="1485" w:type="dxa"/>
            <w:tcBorders>
              <w:top w:val="nil"/>
              <w:left w:val="nil"/>
              <w:bottom w:val="nil"/>
              <w:right w:val="nil"/>
            </w:tcBorders>
            <w:shd w:val="clear" w:color="auto" w:fill="auto"/>
            <w:noWrap/>
            <w:vAlign w:val="bottom"/>
            <w:hideMark/>
          </w:tcPr>
          <w:p w14:paraId="505B2CFC" w14:textId="77777777" w:rsidR="00270E74" w:rsidRPr="00994564" w:rsidRDefault="008022E1" w:rsidP="00270E74">
            <w:pPr>
              <w:jc w:val="right"/>
              <w:rPr>
                <w:b/>
                <w:sz w:val="20"/>
                <w:szCs w:val="20"/>
                <w:lang w:val="en-GB" w:eastAsia="en-GB"/>
              </w:rPr>
            </w:pPr>
            <w:r w:rsidRPr="00994564">
              <w:rPr>
                <w:b/>
                <w:sz w:val="20"/>
                <w:szCs w:val="20"/>
                <w:lang w:val="en-GB" w:eastAsia="en-GB"/>
              </w:rPr>
              <w:t>902</w:t>
            </w:r>
          </w:p>
        </w:tc>
        <w:tc>
          <w:tcPr>
            <w:tcW w:w="1063" w:type="dxa"/>
            <w:tcBorders>
              <w:top w:val="nil"/>
              <w:left w:val="nil"/>
              <w:bottom w:val="nil"/>
              <w:right w:val="nil"/>
            </w:tcBorders>
            <w:shd w:val="clear" w:color="auto" w:fill="auto"/>
            <w:noWrap/>
            <w:vAlign w:val="bottom"/>
            <w:hideMark/>
          </w:tcPr>
          <w:p w14:paraId="54D99DBB" w14:textId="77777777" w:rsidR="00270E74" w:rsidRPr="00367BB3" w:rsidRDefault="00270E74" w:rsidP="00270E74">
            <w:pPr>
              <w:rPr>
                <w:lang w:val="en-GB" w:eastAsia="en-GB"/>
              </w:rPr>
            </w:pPr>
          </w:p>
        </w:tc>
        <w:tc>
          <w:tcPr>
            <w:tcW w:w="1063" w:type="dxa"/>
            <w:tcBorders>
              <w:top w:val="nil"/>
              <w:left w:val="nil"/>
              <w:bottom w:val="nil"/>
              <w:right w:val="nil"/>
            </w:tcBorders>
            <w:shd w:val="clear" w:color="auto" w:fill="auto"/>
            <w:noWrap/>
            <w:vAlign w:val="bottom"/>
            <w:hideMark/>
          </w:tcPr>
          <w:p w14:paraId="3B84F523" w14:textId="77777777" w:rsidR="00270E74" w:rsidRPr="00367BB3" w:rsidRDefault="00270E74" w:rsidP="00270E74">
            <w:pPr>
              <w:rPr>
                <w:lang w:val="en-GB" w:eastAsia="en-GB"/>
              </w:rPr>
            </w:pPr>
          </w:p>
        </w:tc>
        <w:tc>
          <w:tcPr>
            <w:tcW w:w="716" w:type="dxa"/>
            <w:tcBorders>
              <w:top w:val="nil"/>
              <w:left w:val="nil"/>
              <w:bottom w:val="nil"/>
              <w:right w:val="nil"/>
            </w:tcBorders>
            <w:shd w:val="clear" w:color="auto" w:fill="auto"/>
            <w:noWrap/>
            <w:vAlign w:val="bottom"/>
            <w:hideMark/>
          </w:tcPr>
          <w:p w14:paraId="76BD1042" w14:textId="77777777" w:rsidR="00270E74" w:rsidRPr="00367BB3" w:rsidRDefault="00270E74" w:rsidP="00270E74">
            <w:pPr>
              <w:rPr>
                <w:lang w:val="en-GB" w:eastAsia="en-GB"/>
              </w:rPr>
            </w:pPr>
          </w:p>
        </w:tc>
      </w:tr>
      <w:tr w:rsidR="00270E74" w:rsidRPr="00367BB3" w14:paraId="2480D48B" w14:textId="77777777" w:rsidTr="00270E74">
        <w:trPr>
          <w:trHeight w:val="215"/>
          <w:jc w:val="center"/>
        </w:trPr>
        <w:tc>
          <w:tcPr>
            <w:tcW w:w="3458" w:type="dxa"/>
            <w:tcBorders>
              <w:top w:val="nil"/>
              <w:left w:val="nil"/>
              <w:bottom w:val="nil"/>
              <w:right w:val="nil"/>
            </w:tcBorders>
            <w:shd w:val="clear" w:color="auto" w:fill="auto"/>
            <w:noWrap/>
            <w:vAlign w:val="bottom"/>
            <w:hideMark/>
          </w:tcPr>
          <w:p w14:paraId="19022914" w14:textId="77777777" w:rsidR="00270E74" w:rsidRPr="00367BB3" w:rsidRDefault="00270E74" w:rsidP="00270E74">
            <w:pPr>
              <w:rPr>
                <w:lang w:val="en-GB" w:eastAsia="en-GB"/>
              </w:rPr>
            </w:pPr>
          </w:p>
        </w:tc>
        <w:tc>
          <w:tcPr>
            <w:tcW w:w="1374" w:type="dxa"/>
            <w:tcBorders>
              <w:top w:val="nil"/>
              <w:left w:val="nil"/>
              <w:bottom w:val="nil"/>
              <w:right w:val="nil"/>
            </w:tcBorders>
            <w:shd w:val="clear" w:color="auto" w:fill="auto"/>
            <w:noWrap/>
            <w:vAlign w:val="bottom"/>
            <w:hideMark/>
          </w:tcPr>
          <w:p w14:paraId="02EE91FA" w14:textId="77777777" w:rsidR="00270E74" w:rsidRPr="00367BB3" w:rsidRDefault="00270E74" w:rsidP="00270E74">
            <w:pPr>
              <w:rPr>
                <w:lang w:val="en-GB" w:eastAsia="en-GB"/>
              </w:rPr>
            </w:pPr>
          </w:p>
        </w:tc>
        <w:tc>
          <w:tcPr>
            <w:tcW w:w="1485" w:type="dxa"/>
            <w:tcBorders>
              <w:top w:val="nil"/>
              <w:left w:val="nil"/>
              <w:bottom w:val="nil"/>
              <w:right w:val="nil"/>
            </w:tcBorders>
            <w:shd w:val="clear" w:color="auto" w:fill="auto"/>
            <w:noWrap/>
            <w:vAlign w:val="bottom"/>
            <w:hideMark/>
          </w:tcPr>
          <w:p w14:paraId="1562CFA8" w14:textId="77777777" w:rsidR="00270E74" w:rsidRPr="00367BB3" w:rsidRDefault="00270E74" w:rsidP="00270E74">
            <w:pPr>
              <w:rPr>
                <w:lang w:val="en-GB" w:eastAsia="en-GB"/>
              </w:rPr>
            </w:pPr>
          </w:p>
        </w:tc>
        <w:tc>
          <w:tcPr>
            <w:tcW w:w="1063" w:type="dxa"/>
            <w:tcBorders>
              <w:top w:val="nil"/>
              <w:left w:val="nil"/>
              <w:bottom w:val="nil"/>
              <w:right w:val="nil"/>
            </w:tcBorders>
            <w:shd w:val="clear" w:color="auto" w:fill="auto"/>
            <w:noWrap/>
            <w:vAlign w:val="bottom"/>
            <w:hideMark/>
          </w:tcPr>
          <w:p w14:paraId="0AC51D7A" w14:textId="77777777" w:rsidR="00270E74" w:rsidRPr="00367BB3" w:rsidRDefault="00270E74" w:rsidP="00270E74">
            <w:pPr>
              <w:rPr>
                <w:lang w:val="en-GB" w:eastAsia="en-GB"/>
              </w:rPr>
            </w:pPr>
          </w:p>
        </w:tc>
        <w:tc>
          <w:tcPr>
            <w:tcW w:w="1063" w:type="dxa"/>
            <w:tcBorders>
              <w:top w:val="nil"/>
              <w:left w:val="nil"/>
              <w:bottom w:val="nil"/>
              <w:right w:val="nil"/>
            </w:tcBorders>
            <w:shd w:val="clear" w:color="auto" w:fill="auto"/>
            <w:noWrap/>
            <w:vAlign w:val="bottom"/>
            <w:hideMark/>
          </w:tcPr>
          <w:p w14:paraId="470899B3" w14:textId="77777777" w:rsidR="00270E74" w:rsidRPr="00367BB3" w:rsidRDefault="00270E74" w:rsidP="00270E74">
            <w:pPr>
              <w:rPr>
                <w:lang w:val="en-GB" w:eastAsia="en-GB"/>
              </w:rPr>
            </w:pPr>
          </w:p>
        </w:tc>
        <w:tc>
          <w:tcPr>
            <w:tcW w:w="716" w:type="dxa"/>
            <w:tcBorders>
              <w:top w:val="nil"/>
              <w:left w:val="nil"/>
              <w:bottom w:val="nil"/>
              <w:right w:val="nil"/>
            </w:tcBorders>
            <w:shd w:val="clear" w:color="auto" w:fill="auto"/>
            <w:noWrap/>
            <w:vAlign w:val="bottom"/>
            <w:hideMark/>
          </w:tcPr>
          <w:p w14:paraId="2FFD53B3" w14:textId="77777777" w:rsidR="00270E74" w:rsidRPr="00367BB3" w:rsidRDefault="00270E74" w:rsidP="00270E74">
            <w:pPr>
              <w:rPr>
                <w:lang w:val="en-GB" w:eastAsia="en-GB"/>
              </w:rPr>
            </w:pPr>
          </w:p>
        </w:tc>
      </w:tr>
    </w:tbl>
    <w:p w14:paraId="05A6C940" w14:textId="5E065D14" w:rsidR="00994564" w:rsidRPr="00994564" w:rsidRDefault="00994564" w:rsidP="00CA6653">
      <w:pPr>
        <w:pStyle w:val="Normal0"/>
        <w:jc w:val="both"/>
        <w:rPr>
          <w:rFonts w:ascii="Verdana" w:hAnsi="Verdana" w:cs="Times New Roman"/>
        </w:rPr>
      </w:pPr>
      <w:r w:rsidRPr="00994564">
        <w:rPr>
          <w:rFonts w:ascii="Verdana" w:hAnsi="Verdana" w:cs="Times New Roman"/>
        </w:rPr>
        <w:t>*</w:t>
      </w:r>
      <w:r>
        <w:rPr>
          <w:rFonts w:ascii="Verdana" w:hAnsi="Verdana" w:cs="Times New Roman"/>
        </w:rPr>
        <w:t>Operational Buildings comprise police stations and officers, including custody</w:t>
      </w:r>
    </w:p>
    <w:p w14:paraId="352DBD61" w14:textId="77777777" w:rsidR="00994564" w:rsidRDefault="00994564" w:rsidP="00A31A9E">
      <w:pPr>
        <w:pStyle w:val="Heading1"/>
      </w:pPr>
    </w:p>
    <w:p w14:paraId="3D357AB9" w14:textId="77777777" w:rsidR="00CA6653" w:rsidRPr="00736284" w:rsidRDefault="00CA6653" w:rsidP="00A31A9E">
      <w:pPr>
        <w:pStyle w:val="Heading1"/>
      </w:pPr>
      <w:bookmarkStart w:id="27" w:name="_Toc75122780"/>
      <w:r w:rsidRPr="00736284">
        <w:t>Note 12 - Intangible Assets</w:t>
      </w:r>
      <w:bookmarkEnd w:id="27"/>
      <w:r w:rsidRPr="00736284">
        <w:t xml:space="preserve"> </w:t>
      </w:r>
    </w:p>
    <w:p w14:paraId="47B1D3AA" w14:textId="77777777" w:rsidR="00F57D9D" w:rsidRPr="00736284" w:rsidRDefault="00CA6653" w:rsidP="003E15DC">
      <w:pPr>
        <w:pStyle w:val="Normal0"/>
        <w:spacing w:after="160"/>
        <w:jc w:val="both"/>
        <w:rPr>
          <w:rFonts w:ascii="Verdana" w:eastAsia="Verdana" w:hAnsi="Verdana" w:cs="Verdana"/>
          <w:sz w:val="22"/>
          <w:szCs w:val="22"/>
          <w:lang w:val="en-GB"/>
        </w:rPr>
      </w:pPr>
      <w:r w:rsidRPr="00736284">
        <w:rPr>
          <w:rFonts w:ascii="Verdana" w:eastAsia="Verdana" w:hAnsi="Verdana" w:cs="Verdana"/>
          <w:sz w:val="22"/>
          <w:szCs w:val="22"/>
          <w:lang w:val="en-GB"/>
        </w:rPr>
        <w:t xml:space="preserve">The </w:t>
      </w:r>
      <w:r w:rsidR="00F57D9D" w:rsidRPr="00736284">
        <w:rPr>
          <w:rFonts w:ascii="Verdana" w:eastAsia="Verdana" w:hAnsi="Verdana" w:cs="Verdana"/>
          <w:sz w:val="22"/>
          <w:szCs w:val="22"/>
          <w:lang w:val="en-GB"/>
        </w:rPr>
        <w:t xml:space="preserve">Police and Crime Commissioner </w:t>
      </w:r>
      <w:r w:rsidRPr="00736284">
        <w:rPr>
          <w:rFonts w:ascii="Verdana" w:eastAsia="Verdana" w:hAnsi="Verdana" w:cs="Verdana"/>
          <w:sz w:val="22"/>
          <w:szCs w:val="22"/>
          <w:lang w:val="en-GB"/>
        </w:rPr>
        <w:t xml:space="preserve">classifies </w:t>
      </w:r>
      <w:r w:rsidR="00F57D9D" w:rsidRPr="00736284">
        <w:rPr>
          <w:rFonts w:ascii="Verdana" w:eastAsia="Verdana" w:hAnsi="Verdana" w:cs="Verdana"/>
          <w:sz w:val="22"/>
          <w:szCs w:val="22"/>
          <w:lang w:val="en-GB"/>
        </w:rPr>
        <w:t>computer</w:t>
      </w:r>
      <w:r w:rsidRPr="00736284">
        <w:rPr>
          <w:rFonts w:ascii="Verdana" w:eastAsia="Verdana" w:hAnsi="Verdana" w:cs="Verdana"/>
          <w:sz w:val="22"/>
          <w:szCs w:val="22"/>
          <w:lang w:val="en-GB"/>
        </w:rPr>
        <w:t xml:space="preserve"> software</w:t>
      </w:r>
      <w:r w:rsidR="00F57D9D" w:rsidRPr="00736284">
        <w:rPr>
          <w:rFonts w:ascii="Verdana" w:eastAsia="Verdana" w:hAnsi="Verdana" w:cs="Verdana"/>
          <w:sz w:val="22"/>
          <w:szCs w:val="22"/>
          <w:lang w:val="en-GB"/>
        </w:rPr>
        <w:t xml:space="preserve"> and systems development</w:t>
      </w:r>
      <w:r w:rsidRPr="00736284">
        <w:rPr>
          <w:rFonts w:ascii="Verdana" w:eastAsia="Verdana" w:hAnsi="Verdana" w:cs="Verdana"/>
          <w:sz w:val="22"/>
          <w:szCs w:val="22"/>
          <w:lang w:val="en-GB"/>
        </w:rPr>
        <w:t xml:space="preserve"> as intangible assets, to the extent that the software is not an integral part of a particular IT system </w:t>
      </w:r>
      <w:r w:rsidR="00F57D9D" w:rsidRPr="00736284">
        <w:rPr>
          <w:rFonts w:ascii="Verdana" w:eastAsia="Verdana" w:hAnsi="Verdana" w:cs="Verdana"/>
          <w:sz w:val="22"/>
          <w:szCs w:val="22"/>
          <w:lang w:val="en-GB"/>
        </w:rPr>
        <w:t xml:space="preserve">or accounted for as part of </w:t>
      </w:r>
      <w:r w:rsidRPr="00736284">
        <w:rPr>
          <w:rFonts w:ascii="Verdana" w:eastAsia="Verdana" w:hAnsi="Verdana" w:cs="Verdana"/>
          <w:sz w:val="22"/>
          <w:szCs w:val="22"/>
          <w:lang w:val="en-GB"/>
        </w:rPr>
        <w:t>the hardware of the asset</w:t>
      </w:r>
      <w:r w:rsidR="00F57D9D" w:rsidRPr="00736284">
        <w:rPr>
          <w:rFonts w:ascii="Verdana" w:eastAsia="Verdana" w:hAnsi="Verdana" w:cs="Verdana"/>
          <w:sz w:val="22"/>
          <w:szCs w:val="22"/>
          <w:lang w:val="en-GB"/>
        </w:rPr>
        <w:t xml:space="preserve"> which</w:t>
      </w:r>
      <w:r w:rsidRPr="00736284">
        <w:rPr>
          <w:rFonts w:ascii="Verdana" w:eastAsia="Verdana" w:hAnsi="Verdana" w:cs="Verdana"/>
          <w:sz w:val="22"/>
          <w:szCs w:val="22"/>
          <w:lang w:val="en-GB"/>
        </w:rPr>
        <w:t xml:space="preserve"> is classified under Property, Plant and Equipment. </w:t>
      </w:r>
    </w:p>
    <w:p w14:paraId="7B476FB0" w14:textId="77777777" w:rsidR="00994564" w:rsidRDefault="00CA6653" w:rsidP="003E15DC">
      <w:pPr>
        <w:pStyle w:val="Normal0"/>
        <w:spacing w:after="160"/>
        <w:jc w:val="both"/>
        <w:rPr>
          <w:rFonts w:ascii="Verdana" w:eastAsia="Verdana" w:hAnsi="Verdana" w:cs="Verdana"/>
          <w:sz w:val="22"/>
          <w:szCs w:val="22"/>
          <w:lang w:val="en-GB"/>
        </w:rPr>
      </w:pPr>
      <w:r w:rsidRPr="00736284">
        <w:rPr>
          <w:rFonts w:ascii="Verdana" w:eastAsia="Verdana" w:hAnsi="Verdana" w:cs="Verdana"/>
          <w:sz w:val="22"/>
          <w:szCs w:val="22"/>
          <w:lang w:val="en-GB"/>
        </w:rPr>
        <w:t>Intangible assets</w:t>
      </w:r>
      <w:r w:rsidR="00F57D9D" w:rsidRPr="00736284">
        <w:rPr>
          <w:rFonts w:ascii="Verdana" w:eastAsia="Verdana" w:hAnsi="Verdana" w:cs="Verdana"/>
          <w:sz w:val="22"/>
          <w:szCs w:val="22"/>
          <w:lang w:val="en-GB"/>
        </w:rPr>
        <w:t xml:space="preserve"> expenditure during the year</w:t>
      </w:r>
      <w:r w:rsidRPr="00736284">
        <w:rPr>
          <w:rFonts w:ascii="Verdana" w:eastAsia="Verdana" w:hAnsi="Verdana" w:cs="Verdana"/>
          <w:sz w:val="22"/>
          <w:szCs w:val="22"/>
          <w:lang w:val="en-GB"/>
        </w:rPr>
        <w:t xml:space="preserve"> include </w:t>
      </w:r>
      <w:r w:rsidR="00F57D9D" w:rsidRPr="00736284">
        <w:rPr>
          <w:rFonts w:ascii="Verdana" w:eastAsia="Verdana" w:hAnsi="Verdana" w:cs="Verdana"/>
          <w:sz w:val="22"/>
          <w:szCs w:val="22"/>
          <w:lang w:val="en-GB"/>
        </w:rPr>
        <w:t xml:space="preserve">purchased computer software and systems development, the PCC for Surrey does not currently have any internally generated assets capitalised. All intangible assets are given a finite useful life and amortised on a straight-line basis over the economic life of the investment to reflect the pattern of consumption of benefits. </w:t>
      </w:r>
    </w:p>
    <w:p w14:paraId="0C11ED0A" w14:textId="6F9A14D0" w:rsidR="00CA6653" w:rsidRPr="00736284" w:rsidRDefault="00F57D9D" w:rsidP="003E15DC">
      <w:pPr>
        <w:pStyle w:val="Normal0"/>
        <w:spacing w:after="160"/>
        <w:jc w:val="both"/>
        <w:rPr>
          <w:rFonts w:ascii="Verdana" w:eastAsia="Verdana" w:hAnsi="Verdana" w:cs="Verdana"/>
          <w:sz w:val="22"/>
          <w:szCs w:val="22"/>
          <w:lang w:val="en-GB"/>
        </w:rPr>
      </w:pPr>
      <w:r w:rsidRPr="00736284">
        <w:rPr>
          <w:rFonts w:ascii="Verdana" w:eastAsia="Verdana" w:hAnsi="Verdana" w:cs="Verdana"/>
          <w:sz w:val="22"/>
          <w:szCs w:val="22"/>
          <w:lang w:val="en-GB"/>
        </w:rPr>
        <w:t>The useful lives are assessed on an individual basis and are generally for 3 years</w:t>
      </w:r>
      <w:r w:rsidR="00994564">
        <w:rPr>
          <w:rFonts w:ascii="Verdana" w:eastAsia="Verdana" w:hAnsi="Verdana" w:cs="Verdana"/>
          <w:sz w:val="22"/>
          <w:szCs w:val="22"/>
          <w:lang w:val="en-GB"/>
        </w:rPr>
        <w:t xml:space="preserve"> (or as assessed by the business)</w:t>
      </w:r>
      <w:r w:rsidRPr="00736284">
        <w:rPr>
          <w:rFonts w:ascii="Verdana" w:eastAsia="Verdana" w:hAnsi="Verdana" w:cs="Verdana"/>
          <w:sz w:val="22"/>
          <w:szCs w:val="22"/>
          <w:lang w:val="en-GB"/>
        </w:rPr>
        <w:t>.</w:t>
      </w:r>
      <w:r w:rsidR="00CA6653" w:rsidRPr="00736284">
        <w:rPr>
          <w:rFonts w:ascii="Verdana" w:eastAsia="Verdana" w:hAnsi="Verdana" w:cs="Verdana"/>
          <w:sz w:val="22"/>
          <w:szCs w:val="22"/>
          <w:lang w:val="en-GB"/>
        </w:rPr>
        <w:t xml:space="preserve"> </w:t>
      </w:r>
    </w:p>
    <w:p w14:paraId="16DBAA36" w14:textId="554164C7" w:rsidR="00994564" w:rsidRDefault="00994564" w:rsidP="00994564">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A</w:t>
      </w:r>
      <w:r w:rsidR="00CA6653" w:rsidRPr="00736284">
        <w:rPr>
          <w:rFonts w:ascii="Verdana" w:eastAsia="Verdana" w:hAnsi="Verdana" w:cs="Verdana"/>
          <w:sz w:val="22"/>
          <w:szCs w:val="22"/>
          <w:lang w:val="en-GB"/>
        </w:rPr>
        <w:t>mortisation of £</w:t>
      </w:r>
      <w:r w:rsidR="00736284">
        <w:rPr>
          <w:rFonts w:ascii="Verdana" w:eastAsia="Verdana" w:hAnsi="Verdana" w:cs="Verdana"/>
          <w:sz w:val="22"/>
          <w:szCs w:val="22"/>
          <w:lang w:val="en-GB"/>
        </w:rPr>
        <w:t>1</w:t>
      </w:r>
      <w:r w:rsidR="00CA6653" w:rsidRPr="00736284">
        <w:rPr>
          <w:rFonts w:ascii="Verdana" w:eastAsia="Verdana" w:hAnsi="Verdana" w:cs="Verdana"/>
          <w:sz w:val="22"/>
          <w:szCs w:val="22"/>
          <w:lang w:val="en-GB"/>
        </w:rPr>
        <w:t>.</w:t>
      </w:r>
      <w:r w:rsidR="00736284">
        <w:rPr>
          <w:rFonts w:ascii="Verdana" w:eastAsia="Verdana" w:hAnsi="Verdana" w:cs="Verdana"/>
          <w:sz w:val="22"/>
          <w:szCs w:val="22"/>
          <w:lang w:val="en-GB"/>
        </w:rPr>
        <w:t>0</w:t>
      </w:r>
      <w:r w:rsidR="00CA6653" w:rsidRPr="00736284">
        <w:rPr>
          <w:rFonts w:ascii="Verdana" w:eastAsia="Verdana" w:hAnsi="Verdana" w:cs="Verdana"/>
          <w:sz w:val="22"/>
          <w:szCs w:val="22"/>
          <w:lang w:val="en-GB"/>
        </w:rPr>
        <w:t>m (201</w:t>
      </w:r>
      <w:r w:rsidR="00736284">
        <w:rPr>
          <w:rFonts w:ascii="Verdana" w:eastAsia="Verdana" w:hAnsi="Verdana" w:cs="Verdana"/>
          <w:sz w:val="22"/>
          <w:szCs w:val="22"/>
          <w:lang w:val="en-GB"/>
        </w:rPr>
        <w:t>9</w:t>
      </w:r>
      <w:r w:rsidR="00CA6653" w:rsidRPr="00736284">
        <w:rPr>
          <w:rFonts w:ascii="Verdana" w:eastAsia="Verdana" w:hAnsi="Verdana" w:cs="Verdana"/>
          <w:sz w:val="22"/>
          <w:szCs w:val="22"/>
          <w:lang w:val="en-GB"/>
        </w:rPr>
        <w:t>/</w:t>
      </w:r>
      <w:r w:rsidR="00736284">
        <w:rPr>
          <w:rFonts w:ascii="Verdana" w:eastAsia="Verdana" w:hAnsi="Verdana" w:cs="Verdana"/>
          <w:sz w:val="22"/>
          <w:szCs w:val="22"/>
          <w:lang w:val="en-GB"/>
        </w:rPr>
        <w:t>20</w:t>
      </w:r>
      <w:r w:rsidR="00CA6653" w:rsidRPr="00736284">
        <w:rPr>
          <w:rFonts w:ascii="Verdana" w:eastAsia="Verdana" w:hAnsi="Verdana" w:cs="Verdana"/>
          <w:sz w:val="22"/>
          <w:szCs w:val="22"/>
          <w:lang w:val="en-GB"/>
        </w:rPr>
        <w:t xml:space="preserve"> £1.</w:t>
      </w:r>
      <w:r w:rsidR="00736284">
        <w:rPr>
          <w:rFonts w:ascii="Verdana" w:eastAsia="Verdana" w:hAnsi="Verdana" w:cs="Verdana"/>
          <w:sz w:val="22"/>
          <w:szCs w:val="22"/>
          <w:lang w:val="en-GB"/>
        </w:rPr>
        <w:t>8</w:t>
      </w:r>
      <w:r w:rsidR="00CA6653" w:rsidRPr="00736284">
        <w:rPr>
          <w:rFonts w:ascii="Verdana" w:eastAsia="Verdana" w:hAnsi="Verdana" w:cs="Verdana"/>
          <w:sz w:val="22"/>
          <w:szCs w:val="22"/>
          <w:lang w:val="en-GB"/>
        </w:rPr>
        <w:t>m) was charged to the Comprehensive Income and Expenditure Statement in 20</w:t>
      </w:r>
      <w:r w:rsidR="00736284">
        <w:rPr>
          <w:rFonts w:ascii="Verdana" w:eastAsia="Verdana" w:hAnsi="Verdana" w:cs="Verdana"/>
          <w:sz w:val="22"/>
          <w:szCs w:val="22"/>
          <w:lang w:val="en-GB"/>
        </w:rPr>
        <w:t>20</w:t>
      </w:r>
      <w:r w:rsidR="00CA6653" w:rsidRPr="00736284">
        <w:rPr>
          <w:rFonts w:ascii="Verdana" w:eastAsia="Verdana" w:hAnsi="Verdana" w:cs="Verdana"/>
          <w:sz w:val="22"/>
          <w:szCs w:val="22"/>
          <w:lang w:val="en-GB"/>
        </w:rPr>
        <w:t>/</w:t>
      </w:r>
      <w:r w:rsidR="00736284">
        <w:rPr>
          <w:rFonts w:ascii="Verdana" w:eastAsia="Verdana" w:hAnsi="Verdana" w:cs="Verdana"/>
          <w:sz w:val="22"/>
          <w:szCs w:val="22"/>
          <w:lang w:val="en-GB"/>
        </w:rPr>
        <w:t>21</w:t>
      </w:r>
      <w:r w:rsidR="00CA6653" w:rsidRPr="00736284">
        <w:rPr>
          <w:rFonts w:ascii="Verdana" w:eastAsia="Verdana" w:hAnsi="Verdana" w:cs="Verdana"/>
          <w:sz w:val="22"/>
          <w:szCs w:val="22"/>
          <w:lang w:val="en-GB"/>
        </w:rPr>
        <w:t>.</w:t>
      </w:r>
    </w:p>
    <w:p w14:paraId="0E01FF39" w14:textId="7BDA6D7A" w:rsidR="00F10514" w:rsidRDefault="00F10514" w:rsidP="00994564">
      <w:pPr>
        <w:pStyle w:val="Normal0"/>
        <w:spacing w:after="160"/>
        <w:jc w:val="both"/>
        <w:rPr>
          <w:rFonts w:ascii="Verdana" w:eastAsia="Verdana" w:hAnsi="Verdana" w:cs="Verdana"/>
          <w:sz w:val="22"/>
          <w:szCs w:val="22"/>
          <w:lang w:val="en-GB"/>
        </w:rPr>
      </w:pPr>
    </w:p>
    <w:p w14:paraId="48C41C88" w14:textId="77777777" w:rsidR="00994564" w:rsidRDefault="00994564" w:rsidP="00994564">
      <w:pPr>
        <w:pStyle w:val="Normal0"/>
        <w:spacing w:after="160"/>
        <w:jc w:val="both"/>
        <w:rPr>
          <w:rFonts w:ascii="Verdana" w:eastAsia="Verdana" w:hAnsi="Verdana" w:cs="Verdana"/>
          <w:sz w:val="22"/>
          <w:szCs w:val="22"/>
          <w:lang w:val="en-GB"/>
        </w:rPr>
      </w:pPr>
    </w:p>
    <w:p w14:paraId="26875903" w14:textId="77777777" w:rsidR="00994564" w:rsidRPr="00994564" w:rsidRDefault="00994564" w:rsidP="00994564">
      <w:pPr>
        <w:pStyle w:val="Normal0"/>
        <w:spacing w:after="160"/>
        <w:jc w:val="both"/>
        <w:rPr>
          <w:rFonts w:ascii="Verdana" w:eastAsia="Verdana" w:hAnsi="Verdana" w:cs="Verdana"/>
          <w:sz w:val="22"/>
          <w:szCs w:val="22"/>
          <w:lang w:val="en-GB"/>
        </w:rPr>
      </w:pPr>
    </w:p>
    <w:tbl>
      <w:tblPr>
        <w:tblW w:w="12694" w:type="dxa"/>
        <w:jc w:val="center"/>
        <w:tblLook w:val="04A0" w:firstRow="1" w:lastRow="0" w:firstColumn="1" w:lastColumn="0" w:noHBand="0" w:noVBand="1"/>
      </w:tblPr>
      <w:tblGrid>
        <w:gridCol w:w="1580"/>
        <w:gridCol w:w="1917"/>
        <w:gridCol w:w="1244"/>
        <w:gridCol w:w="3212"/>
        <w:gridCol w:w="1580"/>
        <w:gridCol w:w="1917"/>
        <w:gridCol w:w="1244"/>
      </w:tblGrid>
      <w:tr w:rsidR="00F83E32" w:rsidRPr="00F83E32" w14:paraId="70477744" w14:textId="77777777" w:rsidTr="00B06515">
        <w:trPr>
          <w:trHeight w:val="226"/>
          <w:jc w:val="center"/>
        </w:trPr>
        <w:tc>
          <w:tcPr>
            <w:tcW w:w="4741" w:type="dxa"/>
            <w:gridSpan w:val="3"/>
            <w:tcBorders>
              <w:top w:val="nil"/>
              <w:left w:val="nil"/>
              <w:bottom w:val="nil"/>
              <w:right w:val="nil"/>
            </w:tcBorders>
            <w:shd w:val="clear" w:color="auto" w:fill="auto"/>
            <w:vAlign w:val="center"/>
            <w:hideMark/>
          </w:tcPr>
          <w:p w14:paraId="7DA8EC45" w14:textId="6C4C1D8E" w:rsidR="00F83E32" w:rsidRPr="00F83E32" w:rsidRDefault="00F83E32" w:rsidP="0094007F">
            <w:pPr>
              <w:jc w:val="center"/>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31 March 2020</w:t>
            </w:r>
          </w:p>
        </w:tc>
        <w:tc>
          <w:tcPr>
            <w:tcW w:w="3212" w:type="dxa"/>
            <w:tcBorders>
              <w:top w:val="nil"/>
              <w:left w:val="nil"/>
              <w:bottom w:val="nil"/>
              <w:right w:val="nil"/>
            </w:tcBorders>
            <w:shd w:val="clear" w:color="auto" w:fill="auto"/>
            <w:vAlign w:val="center"/>
            <w:hideMark/>
          </w:tcPr>
          <w:p w14:paraId="547D069B" w14:textId="77777777" w:rsidR="00F83E32" w:rsidRPr="00F83E32" w:rsidRDefault="00F83E32" w:rsidP="00F83E32">
            <w:pPr>
              <w:jc w:val="center"/>
              <w:rPr>
                <w:rFonts w:eastAsia="Times New Roman" w:cs="Arial"/>
                <w:color w:val="000000"/>
                <w:sz w:val="2"/>
                <w:szCs w:val="2"/>
                <w:lang w:val="en-GB" w:eastAsia="en-GB"/>
              </w:rPr>
            </w:pPr>
            <w:r w:rsidRPr="00F83E32">
              <w:rPr>
                <w:rFonts w:eastAsia="Times New Roman" w:cs="Arial"/>
                <w:color w:val="000000"/>
                <w:sz w:val="2"/>
                <w:szCs w:val="2"/>
                <w:lang w:val="en-GB" w:eastAsia="en-GB"/>
              </w:rPr>
              <w:t xml:space="preserve"> </w:t>
            </w:r>
          </w:p>
        </w:tc>
        <w:tc>
          <w:tcPr>
            <w:tcW w:w="4741" w:type="dxa"/>
            <w:gridSpan w:val="3"/>
            <w:tcBorders>
              <w:top w:val="nil"/>
              <w:left w:val="nil"/>
              <w:bottom w:val="nil"/>
              <w:right w:val="nil"/>
            </w:tcBorders>
            <w:shd w:val="clear" w:color="auto" w:fill="auto"/>
            <w:vAlign w:val="center"/>
            <w:hideMark/>
          </w:tcPr>
          <w:p w14:paraId="5B7345BE" w14:textId="697A055F" w:rsidR="00F83E32" w:rsidRPr="00F83E32" w:rsidRDefault="00F83E32" w:rsidP="0094007F">
            <w:pPr>
              <w:jc w:val="center"/>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31 March 2021</w:t>
            </w:r>
          </w:p>
        </w:tc>
      </w:tr>
      <w:tr w:rsidR="00F83E32" w:rsidRPr="00F83E32" w14:paraId="1E337352" w14:textId="77777777" w:rsidTr="00B06515">
        <w:trPr>
          <w:trHeight w:val="143"/>
          <w:jc w:val="center"/>
        </w:trPr>
        <w:tc>
          <w:tcPr>
            <w:tcW w:w="1580" w:type="dxa"/>
            <w:tcBorders>
              <w:top w:val="nil"/>
              <w:left w:val="nil"/>
              <w:bottom w:val="nil"/>
              <w:right w:val="nil"/>
            </w:tcBorders>
            <w:shd w:val="clear" w:color="auto" w:fill="auto"/>
            <w:vAlign w:val="center"/>
            <w:hideMark/>
          </w:tcPr>
          <w:p w14:paraId="00B76577" w14:textId="77777777" w:rsidR="00F83E32" w:rsidRPr="00F83E32" w:rsidRDefault="00F83E32" w:rsidP="00F83E32">
            <w:pPr>
              <w:jc w:val="center"/>
              <w:rPr>
                <w:rFonts w:eastAsia="Times New Roman" w:cs="Arial"/>
                <w:b/>
                <w:bCs/>
                <w:color w:val="000000"/>
                <w:sz w:val="16"/>
                <w:szCs w:val="16"/>
                <w:lang w:val="en-GB" w:eastAsia="en-GB"/>
              </w:rPr>
            </w:pPr>
          </w:p>
        </w:tc>
        <w:tc>
          <w:tcPr>
            <w:tcW w:w="1917" w:type="dxa"/>
            <w:vMerge w:val="restart"/>
            <w:tcBorders>
              <w:top w:val="nil"/>
              <w:left w:val="nil"/>
              <w:bottom w:val="nil"/>
              <w:right w:val="nil"/>
            </w:tcBorders>
            <w:shd w:val="clear" w:color="auto" w:fill="auto"/>
            <w:vAlign w:val="center"/>
            <w:hideMark/>
          </w:tcPr>
          <w:p w14:paraId="16BC4027" w14:textId="77777777" w:rsidR="00F83E32" w:rsidRPr="00F83E32" w:rsidRDefault="00F83E32" w:rsidP="00F83E32">
            <w:pPr>
              <w:jc w:val="center"/>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Intangible Assets Under Development</w:t>
            </w:r>
          </w:p>
        </w:tc>
        <w:tc>
          <w:tcPr>
            <w:tcW w:w="1243" w:type="dxa"/>
            <w:vMerge w:val="restart"/>
            <w:tcBorders>
              <w:top w:val="nil"/>
              <w:left w:val="nil"/>
              <w:bottom w:val="nil"/>
              <w:right w:val="nil"/>
            </w:tcBorders>
            <w:shd w:val="clear" w:color="auto" w:fill="auto"/>
            <w:vAlign w:val="center"/>
            <w:hideMark/>
          </w:tcPr>
          <w:p w14:paraId="4EF5DB4E" w14:textId="77777777" w:rsidR="00F83E32" w:rsidRPr="00F83E32" w:rsidRDefault="00F83E32" w:rsidP="00F83E32">
            <w:pPr>
              <w:jc w:val="center"/>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Total</w:t>
            </w:r>
          </w:p>
        </w:tc>
        <w:tc>
          <w:tcPr>
            <w:tcW w:w="3212" w:type="dxa"/>
            <w:vMerge w:val="restart"/>
            <w:tcBorders>
              <w:top w:val="nil"/>
              <w:left w:val="nil"/>
              <w:bottom w:val="nil"/>
              <w:right w:val="nil"/>
            </w:tcBorders>
            <w:shd w:val="clear" w:color="auto" w:fill="auto"/>
            <w:vAlign w:val="center"/>
            <w:hideMark/>
          </w:tcPr>
          <w:p w14:paraId="48EB1B16" w14:textId="77777777" w:rsidR="00F83E32" w:rsidRPr="00F83E32" w:rsidRDefault="00F83E32" w:rsidP="00F83E32">
            <w:pPr>
              <w:jc w:val="center"/>
              <w:rPr>
                <w:rFonts w:eastAsia="Times New Roman" w:cs="Arial"/>
                <w:b/>
                <w:bCs/>
                <w:color w:val="000000"/>
                <w:sz w:val="2"/>
                <w:szCs w:val="2"/>
                <w:lang w:val="en-GB" w:eastAsia="en-GB"/>
              </w:rPr>
            </w:pPr>
            <w:r w:rsidRPr="00F83E32">
              <w:rPr>
                <w:rFonts w:eastAsia="Times New Roman" w:cs="Arial"/>
                <w:b/>
                <w:bCs/>
                <w:color w:val="000000"/>
                <w:sz w:val="2"/>
                <w:szCs w:val="2"/>
                <w:lang w:val="en-GB" w:eastAsia="en-GB"/>
              </w:rPr>
              <w:t xml:space="preserve"> </w:t>
            </w:r>
          </w:p>
        </w:tc>
        <w:tc>
          <w:tcPr>
            <w:tcW w:w="1580" w:type="dxa"/>
            <w:tcBorders>
              <w:top w:val="nil"/>
              <w:left w:val="nil"/>
              <w:bottom w:val="nil"/>
              <w:right w:val="nil"/>
            </w:tcBorders>
            <w:shd w:val="clear" w:color="auto" w:fill="auto"/>
            <w:vAlign w:val="center"/>
            <w:hideMark/>
          </w:tcPr>
          <w:p w14:paraId="7E7AF1C1" w14:textId="77777777" w:rsidR="00F83E32" w:rsidRPr="00F83E32" w:rsidRDefault="00F83E32" w:rsidP="00F83E32">
            <w:pPr>
              <w:jc w:val="center"/>
              <w:rPr>
                <w:rFonts w:eastAsia="Times New Roman" w:cs="Arial"/>
                <w:b/>
                <w:bCs/>
                <w:color w:val="000000"/>
                <w:sz w:val="2"/>
                <w:szCs w:val="2"/>
                <w:lang w:val="en-GB" w:eastAsia="en-GB"/>
              </w:rPr>
            </w:pPr>
          </w:p>
        </w:tc>
        <w:tc>
          <w:tcPr>
            <w:tcW w:w="1917" w:type="dxa"/>
            <w:vMerge w:val="restart"/>
            <w:tcBorders>
              <w:top w:val="nil"/>
              <w:left w:val="nil"/>
              <w:bottom w:val="nil"/>
              <w:right w:val="nil"/>
            </w:tcBorders>
            <w:shd w:val="clear" w:color="auto" w:fill="auto"/>
            <w:vAlign w:val="center"/>
            <w:hideMark/>
          </w:tcPr>
          <w:p w14:paraId="4D99865A" w14:textId="77777777" w:rsidR="00F83E32" w:rsidRPr="00F83E32" w:rsidRDefault="00F83E32" w:rsidP="00F83E32">
            <w:pPr>
              <w:jc w:val="center"/>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Intangible Assets Under Development</w:t>
            </w:r>
          </w:p>
        </w:tc>
        <w:tc>
          <w:tcPr>
            <w:tcW w:w="1243" w:type="dxa"/>
            <w:vMerge w:val="restart"/>
            <w:tcBorders>
              <w:top w:val="nil"/>
              <w:left w:val="nil"/>
              <w:bottom w:val="nil"/>
              <w:right w:val="nil"/>
            </w:tcBorders>
            <w:shd w:val="clear" w:color="auto" w:fill="auto"/>
            <w:vAlign w:val="center"/>
            <w:hideMark/>
          </w:tcPr>
          <w:p w14:paraId="15C413AC" w14:textId="77777777" w:rsidR="00F83E32" w:rsidRPr="00F83E32" w:rsidRDefault="00F83E32" w:rsidP="00F83E32">
            <w:pPr>
              <w:jc w:val="center"/>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Total</w:t>
            </w:r>
          </w:p>
        </w:tc>
      </w:tr>
      <w:tr w:rsidR="00F83E32" w:rsidRPr="00F83E32" w14:paraId="04DEA57F" w14:textId="77777777" w:rsidTr="00B06515">
        <w:trPr>
          <w:trHeight w:val="617"/>
          <w:jc w:val="center"/>
        </w:trPr>
        <w:tc>
          <w:tcPr>
            <w:tcW w:w="1580" w:type="dxa"/>
            <w:tcBorders>
              <w:top w:val="nil"/>
              <w:left w:val="nil"/>
              <w:bottom w:val="nil"/>
              <w:right w:val="nil"/>
            </w:tcBorders>
            <w:shd w:val="clear" w:color="auto" w:fill="auto"/>
            <w:vAlign w:val="center"/>
            <w:hideMark/>
          </w:tcPr>
          <w:p w14:paraId="36DBCF5B" w14:textId="77777777" w:rsidR="00F83E32" w:rsidRPr="00F83E32" w:rsidRDefault="00F83E32" w:rsidP="00F83E32">
            <w:pPr>
              <w:jc w:val="center"/>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Other Assets</w:t>
            </w:r>
          </w:p>
        </w:tc>
        <w:tc>
          <w:tcPr>
            <w:tcW w:w="1917" w:type="dxa"/>
            <w:vMerge/>
            <w:tcBorders>
              <w:top w:val="nil"/>
              <w:left w:val="nil"/>
              <w:bottom w:val="nil"/>
              <w:right w:val="nil"/>
            </w:tcBorders>
            <w:vAlign w:val="center"/>
            <w:hideMark/>
          </w:tcPr>
          <w:p w14:paraId="29AEA33D" w14:textId="77777777" w:rsidR="00F83E32" w:rsidRPr="00F83E32" w:rsidRDefault="00F83E32" w:rsidP="00F83E32">
            <w:pPr>
              <w:rPr>
                <w:rFonts w:eastAsia="Times New Roman" w:cs="Arial"/>
                <w:b/>
                <w:bCs/>
                <w:color w:val="000000"/>
                <w:sz w:val="16"/>
                <w:szCs w:val="16"/>
                <w:lang w:val="en-GB" w:eastAsia="en-GB"/>
              </w:rPr>
            </w:pPr>
          </w:p>
        </w:tc>
        <w:tc>
          <w:tcPr>
            <w:tcW w:w="1243" w:type="dxa"/>
            <w:vMerge/>
            <w:tcBorders>
              <w:top w:val="nil"/>
              <w:left w:val="nil"/>
              <w:bottom w:val="nil"/>
              <w:right w:val="nil"/>
            </w:tcBorders>
            <w:vAlign w:val="center"/>
            <w:hideMark/>
          </w:tcPr>
          <w:p w14:paraId="2BB91216" w14:textId="77777777" w:rsidR="00F83E32" w:rsidRPr="00F83E32" w:rsidRDefault="00F83E32" w:rsidP="00F83E32">
            <w:pPr>
              <w:rPr>
                <w:rFonts w:eastAsia="Times New Roman" w:cs="Arial"/>
                <w:b/>
                <w:bCs/>
                <w:color w:val="000000"/>
                <w:sz w:val="16"/>
                <w:szCs w:val="16"/>
                <w:lang w:val="en-GB" w:eastAsia="en-GB"/>
              </w:rPr>
            </w:pPr>
          </w:p>
        </w:tc>
        <w:tc>
          <w:tcPr>
            <w:tcW w:w="3212" w:type="dxa"/>
            <w:vMerge/>
            <w:tcBorders>
              <w:top w:val="nil"/>
              <w:left w:val="nil"/>
              <w:bottom w:val="nil"/>
              <w:right w:val="nil"/>
            </w:tcBorders>
            <w:vAlign w:val="center"/>
            <w:hideMark/>
          </w:tcPr>
          <w:p w14:paraId="75F78EEF" w14:textId="77777777" w:rsidR="00F83E32" w:rsidRPr="00F83E32" w:rsidRDefault="00F83E32" w:rsidP="00F83E32">
            <w:pPr>
              <w:rPr>
                <w:rFonts w:eastAsia="Times New Roman" w:cs="Arial"/>
                <w:b/>
                <w:bCs/>
                <w:color w:val="000000"/>
                <w:sz w:val="2"/>
                <w:szCs w:val="2"/>
                <w:lang w:val="en-GB" w:eastAsia="en-GB"/>
              </w:rPr>
            </w:pPr>
          </w:p>
        </w:tc>
        <w:tc>
          <w:tcPr>
            <w:tcW w:w="1580" w:type="dxa"/>
            <w:tcBorders>
              <w:top w:val="nil"/>
              <w:left w:val="nil"/>
              <w:bottom w:val="nil"/>
              <w:right w:val="nil"/>
            </w:tcBorders>
            <w:shd w:val="clear" w:color="auto" w:fill="auto"/>
            <w:vAlign w:val="center"/>
            <w:hideMark/>
          </w:tcPr>
          <w:p w14:paraId="353368D3" w14:textId="77777777" w:rsidR="00F83E32" w:rsidRPr="00F83E32" w:rsidRDefault="00F83E32" w:rsidP="00F83E32">
            <w:pPr>
              <w:jc w:val="center"/>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Other Assets</w:t>
            </w:r>
          </w:p>
        </w:tc>
        <w:tc>
          <w:tcPr>
            <w:tcW w:w="1917" w:type="dxa"/>
            <w:vMerge/>
            <w:tcBorders>
              <w:top w:val="nil"/>
              <w:left w:val="nil"/>
              <w:bottom w:val="nil"/>
              <w:right w:val="nil"/>
            </w:tcBorders>
            <w:vAlign w:val="center"/>
            <w:hideMark/>
          </w:tcPr>
          <w:p w14:paraId="10494630" w14:textId="77777777" w:rsidR="00F83E32" w:rsidRPr="00F83E32" w:rsidRDefault="00F83E32" w:rsidP="00F83E32">
            <w:pPr>
              <w:rPr>
                <w:rFonts w:eastAsia="Times New Roman" w:cs="Arial"/>
                <w:b/>
                <w:bCs/>
                <w:color w:val="000000"/>
                <w:sz w:val="16"/>
                <w:szCs w:val="16"/>
                <w:lang w:val="en-GB" w:eastAsia="en-GB"/>
              </w:rPr>
            </w:pPr>
          </w:p>
        </w:tc>
        <w:tc>
          <w:tcPr>
            <w:tcW w:w="1243" w:type="dxa"/>
            <w:vMerge/>
            <w:tcBorders>
              <w:top w:val="nil"/>
              <w:left w:val="nil"/>
              <w:bottom w:val="nil"/>
              <w:right w:val="nil"/>
            </w:tcBorders>
            <w:vAlign w:val="center"/>
            <w:hideMark/>
          </w:tcPr>
          <w:p w14:paraId="6616699D" w14:textId="77777777" w:rsidR="00F83E32" w:rsidRPr="00F83E32" w:rsidRDefault="00F83E32" w:rsidP="00F83E32">
            <w:pPr>
              <w:rPr>
                <w:rFonts w:eastAsia="Times New Roman" w:cs="Arial"/>
                <w:b/>
                <w:bCs/>
                <w:color w:val="000000"/>
                <w:sz w:val="16"/>
                <w:szCs w:val="16"/>
                <w:lang w:val="en-GB" w:eastAsia="en-GB"/>
              </w:rPr>
            </w:pPr>
          </w:p>
        </w:tc>
      </w:tr>
      <w:tr w:rsidR="00F83E32" w:rsidRPr="00F83E32" w14:paraId="61FEBF21" w14:textId="77777777" w:rsidTr="00B06515">
        <w:trPr>
          <w:trHeight w:val="236"/>
          <w:jc w:val="center"/>
        </w:trPr>
        <w:tc>
          <w:tcPr>
            <w:tcW w:w="1580" w:type="dxa"/>
            <w:tcBorders>
              <w:top w:val="nil"/>
              <w:left w:val="nil"/>
              <w:bottom w:val="single" w:sz="8" w:space="0" w:color="000000"/>
              <w:right w:val="nil"/>
            </w:tcBorders>
            <w:shd w:val="clear" w:color="auto" w:fill="auto"/>
            <w:vAlign w:val="center"/>
            <w:hideMark/>
          </w:tcPr>
          <w:p w14:paraId="6C7FBD78" w14:textId="77777777" w:rsidR="00F83E32" w:rsidRPr="00F83E32" w:rsidRDefault="00F83E32" w:rsidP="00F83E32">
            <w:pPr>
              <w:jc w:val="center"/>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£000</w:t>
            </w:r>
          </w:p>
        </w:tc>
        <w:tc>
          <w:tcPr>
            <w:tcW w:w="1917" w:type="dxa"/>
            <w:tcBorders>
              <w:top w:val="nil"/>
              <w:left w:val="nil"/>
              <w:bottom w:val="single" w:sz="8" w:space="0" w:color="000000"/>
              <w:right w:val="nil"/>
            </w:tcBorders>
            <w:shd w:val="clear" w:color="auto" w:fill="auto"/>
            <w:vAlign w:val="center"/>
            <w:hideMark/>
          </w:tcPr>
          <w:p w14:paraId="7B94979B" w14:textId="77777777" w:rsidR="00F83E32" w:rsidRPr="00F83E32" w:rsidRDefault="00F83E32" w:rsidP="00F83E32">
            <w:pPr>
              <w:jc w:val="center"/>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£000</w:t>
            </w:r>
          </w:p>
        </w:tc>
        <w:tc>
          <w:tcPr>
            <w:tcW w:w="1243" w:type="dxa"/>
            <w:tcBorders>
              <w:top w:val="nil"/>
              <w:left w:val="nil"/>
              <w:bottom w:val="single" w:sz="8" w:space="0" w:color="000000"/>
              <w:right w:val="nil"/>
            </w:tcBorders>
            <w:shd w:val="clear" w:color="auto" w:fill="auto"/>
            <w:vAlign w:val="center"/>
            <w:hideMark/>
          </w:tcPr>
          <w:p w14:paraId="0E890E9F" w14:textId="77777777" w:rsidR="00F83E32" w:rsidRPr="00F83E32" w:rsidRDefault="00F83E32" w:rsidP="00F83E32">
            <w:pPr>
              <w:jc w:val="center"/>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£000</w:t>
            </w:r>
          </w:p>
        </w:tc>
        <w:tc>
          <w:tcPr>
            <w:tcW w:w="3212" w:type="dxa"/>
            <w:tcBorders>
              <w:top w:val="nil"/>
              <w:left w:val="nil"/>
              <w:bottom w:val="single" w:sz="8" w:space="0" w:color="000000"/>
              <w:right w:val="nil"/>
            </w:tcBorders>
            <w:shd w:val="clear" w:color="auto" w:fill="auto"/>
            <w:vAlign w:val="center"/>
            <w:hideMark/>
          </w:tcPr>
          <w:p w14:paraId="3B02A03C" w14:textId="77777777" w:rsidR="00F83E32" w:rsidRPr="00F83E32" w:rsidRDefault="00F83E32" w:rsidP="00F83E32">
            <w:pPr>
              <w:jc w:val="center"/>
              <w:rPr>
                <w:rFonts w:eastAsia="Times New Roman" w:cs="Arial"/>
                <w:b/>
                <w:bCs/>
                <w:color w:val="000000"/>
                <w:sz w:val="2"/>
                <w:szCs w:val="2"/>
                <w:lang w:val="en-GB" w:eastAsia="en-GB"/>
              </w:rPr>
            </w:pPr>
            <w:r w:rsidRPr="00F83E32">
              <w:rPr>
                <w:rFonts w:eastAsia="Times New Roman" w:cs="Arial"/>
                <w:b/>
                <w:bCs/>
                <w:color w:val="000000"/>
                <w:sz w:val="2"/>
                <w:szCs w:val="2"/>
                <w:lang w:val="en-GB" w:eastAsia="en-GB"/>
              </w:rPr>
              <w:t xml:space="preserve"> </w:t>
            </w:r>
          </w:p>
        </w:tc>
        <w:tc>
          <w:tcPr>
            <w:tcW w:w="1580" w:type="dxa"/>
            <w:tcBorders>
              <w:top w:val="nil"/>
              <w:left w:val="nil"/>
              <w:bottom w:val="single" w:sz="8" w:space="0" w:color="000000"/>
              <w:right w:val="nil"/>
            </w:tcBorders>
            <w:shd w:val="clear" w:color="auto" w:fill="auto"/>
            <w:vAlign w:val="center"/>
            <w:hideMark/>
          </w:tcPr>
          <w:p w14:paraId="6EC9F9A8" w14:textId="77777777" w:rsidR="00F83E32" w:rsidRPr="00F83E32" w:rsidRDefault="00F83E32" w:rsidP="00F83E32">
            <w:pPr>
              <w:jc w:val="center"/>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£000</w:t>
            </w:r>
          </w:p>
        </w:tc>
        <w:tc>
          <w:tcPr>
            <w:tcW w:w="1917" w:type="dxa"/>
            <w:tcBorders>
              <w:top w:val="nil"/>
              <w:left w:val="nil"/>
              <w:bottom w:val="single" w:sz="8" w:space="0" w:color="000000"/>
              <w:right w:val="nil"/>
            </w:tcBorders>
            <w:shd w:val="clear" w:color="auto" w:fill="auto"/>
            <w:vAlign w:val="center"/>
            <w:hideMark/>
          </w:tcPr>
          <w:p w14:paraId="557B9665" w14:textId="77777777" w:rsidR="00F83E32" w:rsidRPr="00F83E32" w:rsidRDefault="00F83E32" w:rsidP="00F83E32">
            <w:pPr>
              <w:jc w:val="center"/>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£000</w:t>
            </w:r>
          </w:p>
        </w:tc>
        <w:tc>
          <w:tcPr>
            <w:tcW w:w="1243" w:type="dxa"/>
            <w:tcBorders>
              <w:top w:val="nil"/>
              <w:left w:val="nil"/>
              <w:bottom w:val="single" w:sz="8" w:space="0" w:color="000000"/>
              <w:right w:val="nil"/>
            </w:tcBorders>
            <w:shd w:val="clear" w:color="auto" w:fill="auto"/>
            <w:vAlign w:val="center"/>
            <w:hideMark/>
          </w:tcPr>
          <w:p w14:paraId="01457DFB" w14:textId="77777777" w:rsidR="00F83E32" w:rsidRPr="00F83E32" w:rsidRDefault="00F83E32" w:rsidP="00F83E32">
            <w:pPr>
              <w:jc w:val="center"/>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£000</w:t>
            </w:r>
          </w:p>
        </w:tc>
      </w:tr>
      <w:tr w:rsidR="00F83E32" w:rsidRPr="00F83E32" w14:paraId="00897E96" w14:textId="77777777" w:rsidTr="00B06515">
        <w:trPr>
          <w:trHeight w:val="226"/>
          <w:jc w:val="center"/>
        </w:trPr>
        <w:tc>
          <w:tcPr>
            <w:tcW w:w="1580" w:type="dxa"/>
            <w:tcBorders>
              <w:top w:val="nil"/>
              <w:left w:val="nil"/>
              <w:bottom w:val="nil"/>
              <w:right w:val="nil"/>
            </w:tcBorders>
            <w:shd w:val="clear" w:color="auto" w:fill="auto"/>
            <w:vAlign w:val="center"/>
            <w:hideMark/>
          </w:tcPr>
          <w:p w14:paraId="04F730A1" w14:textId="77777777" w:rsidR="00F83E32" w:rsidRPr="00F83E32" w:rsidRDefault="00F83E32" w:rsidP="00F83E32">
            <w:pPr>
              <w:jc w:val="center"/>
              <w:rPr>
                <w:rFonts w:eastAsia="Times New Roman" w:cs="Arial"/>
                <w:b/>
                <w:bCs/>
                <w:color w:val="000000"/>
                <w:sz w:val="16"/>
                <w:szCs w:val="16"/>
                <w:lang w:val="en-GB" w:eastAsia="en-GB"/>
              </w:rPr>
            </w:pPr>
          </w:p>
        </w:tc>
        <w:tc>
          <w:tcPr>
            <w:tcW w:w="1917" w:type="dxa"/>
            <w:tcBorders>
              <w:top w:val="nil"/>
              <w:left w:val="nil"/>
              <w:bottom w:val="nil"/>
              <w:right w:val="nil"/>
            </w:tcBorders>
            <w:shd w:val="clear" w:color="auto" w:fill="auto"/>
            <w:vAlign w:val="center"/>
            <w:hideMark/>
          </w:tcPr>
          <w:p w14:paraId="1A11550D" w14:textId="77777777" w:rsidR="00F83E32" w:rsidRPr="00F83E32" w:rsidRDefault="00F83E32" w:rsidP="00F83E32">
            <w:pPr>
              <w:jc w:val="center"/>
              <w:rPr>
                <w:rFonts w:ascii="Times New Roman" w:eastAsia="Times New Roman" w:hAnsi="Times New Roman" w:cs="Times New Roman"/>
                <w:sz w:val="20"/>
                <w:szCs w:val="20"/>
                <w:lang w:val="en-GB" w:eastAsia="en-GB"/>
              </w:rPr>
            </w:pPr>
          </w:p>
        </w:tc>
        <w:tc>
          <w:tcPr>
            <w:tcW w:w="1243" w:type="dxa"/>
            <w:tcBorders>
              <w:top w:val="nil"/>
              <w:left w:val="nil"/>
              <w:bottom w:val="nil"/>
              <w:right w:val="nil"/>
            </w:tcBorders>
            <w:shd w:val="clear" w:color="auto" w:fill="auto"/>
            <w:vAlign w:val="center"/>
            <w:hideMark/>
          </w:tcPr>
          <w:p w14:paraId="25F88EEB" w14:textId="77777777" w:rsidR="00F83E32" w:rsidRPr="00F83E32" w:rsidRDefault="00F83E32" w:rsidP="00F83E32">
            <w:pPr>
              <w:jc w:val="center"/>
              <w:rPr>
                <w:rFonts w:eastAsia="Times New Roman" w:cs="Arial"/>
                <w:color w:val="000000"/>
                <w:sz w:val="2"/>
                <w:szCs w:val="2"/>
                <w:lang w:val="en-GB" w:eastAsia="en-GB"/>
              </w:rPr>
            </w:pPr>
            <w:r w:rsidRPr="00F83E32">
              <w:rPr>
                <w:rFonts w:eastAsia="Times New Roman" w:cs="Arial"/>
                <w:color w:val="000000"/>
                <w:sz w:val="2"/>
                <w:szCs w:val="2"/>
                <w:lang w:val="en-GB" w:eastAsia="en-GB"/>
              </w:rPr>
              <w:t xml:space="preserve"> </w:t>
            </w:r>
          </w:p>
        </w:tc>
        <w:tc>
          <w:tcPr>
            <w:tcW w:w="3212" w:type="dxa"/>
            <w:tcBorders>
              <w:top w:val="nil"/>
              <w:left w:val="nil"/>
              <w:bottom w:val="nil"/>
              <w:right w:val="nil"/>
            </w:tcBorders>
            <w:shd w:val="clear" w:color="auto" w:fill="auto"/>
            <w:vAlign w:val="center"/>
            <w:hideMark/>
          </w:tcPr>
          <w:p w14:paraId="4B8F93E1" w14:textId="77777777" w:rsidR="00F83E32" w:rsidRPr="00F83E32" w:rsidRDefault="00F83E32" w:rsidP="00F83E32">
            <w:pPr>
              <w:jc w:val="center"/>
              <w:rPr>
                <w:rFonts w:eastAsia="Times New Roman" w:cs="Arial"/>
                <w:color w:val="000000"/>
                <w:sz w:val="2"/>
                <w:szCs w:val="2"/>
                <w:lang w:val="en-GB" w:eastAsia="en-GB"/>
              </w:rPr>
            </w:pPr>
            <w:r w:rsidRPr="00F83E32">
              <w:rPr>
                <w:rFonts w:eastAsia="Times New Roman" w:cs="Arial"/>
                <w:color w:val="000000"/>
                <w:sz w:val="2"/>
                <w:szCs w:val="2"/>
                <w:lang w:val="en-GB" w:eastAsia="en-GB"/>
              </w:rPr>
              <w:t xml:space="preserve"> </w:t>
            </w:r>
          </w:p>
        </w:tc>
        <w:tc>
          <w:tcPr>
            <w:tcW w:w="1580" w:type="dxa"/>
            <w:tcBorders>
              <w:top w:val="nil"/>
              <w:left w:val="nil"/>
              <w:bottom w:val="nil"/>
              <w:right w:val="nil"/>
            </w:tcBorders>
            <w:shd w:val="clear" w:color="auto" w:fill="auto"/>
            <w:vAlign w:val="center"/>
            <w:hideMark/>
          </w:tcPr>
          <w:p w14:paraId="5E28F5A7" w14:textId="77777777" w:rsidR="00F83E32" w:rsidRPr="00F83E32" w:rsidRDefault="00F83E32" w:rsidP="00F83E32">
            <w:pPr>
              <w:jc w:val="center"/>
              <w:rPr>
                <w:rFonts w:eastAsia="Times New Roman" w:cs="Arial"/>
                <w:color w:val="000000"/>
                <w:sz w:val="2"/>
                <w:szCs w:val="2"/>
                <w:lang w:val="en-GB" w:eastAsia="en-GB"/>
              </w:rPr>
            </w:pPr>
          </w:p>
        </w:tc>
        <w:tc>
          <w:tcPr>
            <w:tcW w:w="1917" w:type="dxa"/>
            <w:tcBorders>
              <w:top w:val="nil"/>
              <w:left w:val="nil"/>
              <w:bottom w:val="nil"/>
              <w:right w:val="nil"/>
            </w:tcBorders>
            <w:shd w:val="clear" w:color="auto" w:fill="auto"/>
            <w:vAlign w:val="center"/>
            <w:hideMark/>
          </w:tcPr>
          <w:p w14:paraId="6464FC7B" w14:textId="77777777" w:rsidR="00F83E32" w:rsidRPr="00F83E32" w:rsidRDefault="00F83E32" w:rsidP="00F83E32">
            <w:pPr>
              <w:jc w:val="center"/>
              <w:rPr>
                <w:rFonts w:ascii="Times New Roman" w:eastAsia="Times New Roman" w:hAnsi="Times New Roman" w:cs="Times New Roman"/>
                <w:sz w:val="20"/>
                <w:szCs w:val="20"/>
                <w:lang w:val="en-GB" w:eastAsia="en-GB"/>
              </w:rPr>
            </w:pPr>
          </w:p>
        </w:tc>
        <w:tc>
          <w:tcPr>
            <w:tcW w:w="1243" w:type="dxa"/>
            <w:tcBorders>
              <w:top w:val="nil"/>
              <w:left w:val="nil"/>
              <w:bottom w:val="nil"/>
              <w:right w:val="nil"/>
            </w:tcBorders>
            <w:shd w:val="clear" w:color="auto" w:fill="auto"/>
            <w:vAlign w:val="center"/>
            <w:hideMark/>
          </w:tcPr>
          <w:p w14:paraId="1136DB58" w14:textId="77777777" w:rsidR="00F83E32" w:rsidRPr="00F83E32" w:rsidRDefault="00F83E32" w:rsidP="00F83E32">
            <w:pPr>
              <w:jc w:val="center"/>
              <w:rPr>
                <w:rFonts w:eastAsia="Times New Roman" w:cs="Arial"/>
                <w:color w:val="000000"/>
                <w:sz w:val="2"/>
                <w:szCs w:val="2"/>
                <w:lang w:val="en-GB" w:eastAsia="en-GB"/>
              </w:rPr>
            </w:pPr>
            <w:r w:rsidRPr="00F83E32">
              <w:rPr>
                <w:rFonts w:eastAsia="Times New Roman" w:cs="Arial"/>
                <w:color w:val="000000"/>
                <w:sz w:val="2"/>
                <w:szCs w:val="2"/>
                <w:lang w:val="en-GB" w:eastAsia="en-GB"/>
              </w:rPr>
              <w:t xml:space="preserve"> </w:t>
            </w:r>
          </w:p>
        </w:tc>
      </w:tr>
      <w:tr w:rsidR="00F83E32" w:rsidRPr="00F83E32" w14:paraId="0B2DF676" w14:textId="77777777" w:rsidTr="00B06515">
        <w:trPr>
          <w:trHeight w:val="226"/>
          <w:jc w:val="center"/>
        </w:trPr>
        <w:tc>
          <w:tcPr>
            <w:tcW w:w="1580" w:type="dxa"/>
            <w:tcBorders>
              <w:top w:val="nil"/>
              <w:left w:val="nil"/>
              <w:bottom w:val="nil"/>
              <w:right w:val="nil"/>
            </w:tcBorders>
            <w:shd w:val="clear" w:color="auto" w:fill="auto"/>
            <w:vAlign w:val="center"/>
            <w:hideMark/>
          </w:tcPr>
          <w:p w14:paraId="35C9FC23" w14:textId="77777777" w:rsidR="00F83E32" w:rsidRPr="00F83E32" w:rsidRDefault="00F83E32" w:rsidP="00403858">
            <w:pPr>
              <w:jc w:val="right"/>
              <w:rPr>
                <w:rFonts w:eastAsia="Times New Roman" w:cs="Arial"/>
                <w:color w:val="000000"/>
                <w:sz w:val="2"/>
                <w:szCs w:val="2"/>
                <w:lang w:val="en-GB" w:eastAsia="en-GB"/>
              </w:rPr>
            </w:pPr>
          </w:p>
        </w:tc>
        <w:tc>
          <w:tcPr>
            <w:tcW w:w="1917" w:type="dxa"/>
            <w:tcBorders>
              <w:top w:val="nil"/>
              <w:left w:val="nil"/>
              <w:bottom w:val="nil"/>
              <w:right w:val="nil"/>
            </w:tcBorders>
            <w:shd w:val="clear" w:color="auto" w:fill="auto"/>
            <w:vAlign w:val="center"/>
            <w:hideMark/>
          </w:tcPr>
          <w:p w14:paraId="20DA94AC" w14:textId="77777777" w:rsidR="00F83E32" w:rsidRPr="00F83E32" w:rsidRDefault="00F83E32" w:rsidP="00403858">
            <w:pPr>
              <w:jc w:val="right"/>
              <w:rPr>
                <w:rFonts w:ascii="Times New Roman" w:eastAsia="Times New Roman" w:hAnsi="Times New Roman" w:cs="Times New Roman"/>
                <w:sz w:val="20"/>
                <w:szCs w:val="20"/>
                <w:lang w:val="en-GB" w:eastAsia="en-GB"/>
              </w:rPr>
            </w:pPr>
          </w:p>
        </w:tc>
        <w:tc>
          <w:tcPr>
            <w:tcW w:w="1243" w:type="dxa"/>
            <w:tcBorders>
              <w:top w:val="nil"/>
              <w:left w:val="nil"/>
              <w:bottom w:val="nil"/>
              <w:right w:val="nil"/>
            </w:tcBorders>
            <w:shd w:val="clear" w:color="auto" w:fill="auto"/>
            <w:vAlign w:val="center"/>
            <w:hideMark/>
          </w:tcPr>
          <w:p w14:paraId="7C865423" w14:textId="77777777" w:rsidR="00F83E32" w:rsidRPr="00F83E32" w:rsidRDefault="00F83E32" w:rsidP="00403858">
            <w:pPr>
              <w:jc w:val="right"/>
              <w:rPr>
                <w:rFonts w:eastAsia="Times New Roman" w:cs="Arial"/>
                <w:color w:val="000000"/>
                <w:sz w:val="2"/>
                <w:szCs w:val="2"/>
                <w:lang w:val="en-GB" w:eastAsia="en-GB"/>
              </w:rPr>
            </w:pPr>
            <w:r w:rsidRPr="00F83E32">
              <w:rPr>
                <w:rFonts w:eastAsia="Times New Roman" w:cs="Arial"/>
                <w:color w:val="000000"/>
                <w:sz w:val="2"/>
                <w:szCs w:val="2"/>
                <w:lang w:val="en-GB" w:eastAsia="en-GB"/>
              </w:rPr>
              <w:t xml:space="preserve"> </w:t>
            </w:r>
          </w:p>
        </w:tc>
        <w:tc>
          <w:tcPr>
            <w:tcW w:w="3212" w:type="dxa"/>
            <w:tcBorders>
              <w:top w:val="nil"/>
              <w:left w:val="nil"/>
              <w:bottom w:val="nil"/>
              <w:right w:val="nil"/>
            </w:tcBorders>
            <w:shd w:val="clear" w:color="auto" w:fill="auto"/>
            <w:vAlign w:val="center"/>
            <w:hideMark/>
          </w:tcPr>
          <w:p w14:paraId="4856B1C2" w14:textId="77777777" w:rsidR="00F83E32" w:rsidRPr="00F83E32" w:rsidRDefault="00F83E32" w:rsidP="00765F58">
            <w:pPr>
              <w:rPr>
                <w:rFonts w:eastAsia="Times New Roman" w:cs="Arial"/>
                <w:color w:val="000000"/>
                <w:sz w:val="16"/>
                <w:szCs w:val="16"/>
                <w:lang w:val="en-GB" w:eastAsia="en-GB"/>
              </w:rPr>
            </w:pPr>
            <w:r w:rsidRPr="00F83E32">
              <w:rPr>
                <w:rFonts w:eastAsia="Times New Roman" w:cs="Arial"/>
                <w:color w:val="000000"/>
                <w:sz w:val="16"/>
                <w:szCs w:val="16"/>
                <w:lang w:val="en-GB" w:eastAsia="en-GB"/>
              </w:rPr>
              <w:t>Balance at start of year:</w:t>
            </w:r>
          </w:p>
        </w:tc>
        <w:tc>
          <w:tcPr>
            <w:tcW w:w="1580" w:type="dxa"/>
            <w:tcBorders>
              <w:top w:val="nil"/>
              <w:left w:val="nil"/>
              <w:bottom w:val="nil"/>
              <w:right w:val="nil"/>
            </w:tcBorders>
            <w:shd w:val="clear" w:color="auto" w:fill="auto"/>
            <w:vAlign w:val="center"/>
            <w:hideMark/>
          </w:tcPr>
          <w:p w14:paraId="40EE40CF" w14:textId="77777777" w:rsidR="00F83E32" w:rsidRPr="00F83E32" w:rsidRDefault="00F83E32" w:rsidP="00403858">
            <w:pPr>
              <w:jc w:val="right"/>
              <w:rPr>
                <w:rFonts w:eastAsia="Times New Roman" w:cs="Arial"/>
                <w:color w:val="000000"/>
                <w:sz w:val="16"/>
                <w:szCs w:val="16"/>
                <w:lang w:val="en-GB" w:eastAsia="en-GB"/>
              </w:rPr>
            </w:pPr>
          </w:p>
        </w:tc>
        <w:tc>
          <w:tcPr>
            <w:tcW w:w="1917" w:type="dxa"/>
            <w:tcBorders>
              <w:top w:val="nil"/>
              <w:left w:val="nil"/>
              <w:bottom w:val="nil"/>
              <w:right w:val="nil"/>
            </w:tcBorders>
            <w:shd w:val="clear" w:color="auto" w:fill="auto"/>
            <w:vAlign w:val="center"/>
            <w:hideMark/>
          </w:tcPr>
          <w:p w14:paraId="0F391D2B" w14:textId="77777777" w:rsidR="00F83E32" w:rsidRPr="00F83E32" w:rsidRDefault="00F83E32" w:rsidP="00403858">
            <w:pPr>
              <w:jc w:val="right"/>
              <w:rPr>
                <w:rFonts w:ascii="Times New Roman" w:eastAsia="Times New Roman" w:hAnsi="Times New Roman" w:cs="Times New Roman"/>
                <w:sz w:val="20"/>
                <w:szCs w:val="20"/>
                <w:lang w:val="en-GB" w:eastAsia="en-GB"/>
              </w:rPr>
            </w:pPr>
          </w:p>
        </w:tc>
        <w:tc>
          <w:tcPr>
            <w:tcW w:w="1243" w:type="dxa"/>
            <w:tcBorders>
              <w:top w:val="nil"/>
              <w:left w:val="nil"/>
              <w:bottom w:val="nil"/>
              <w:right w:val="nil"/>
            </w:tcBorders>
            <w:shd w:val="clear" w:color="auto" w:fill="auto"/>
            <w:vAlign w:val="center"/>
            <w:hideMark/>
          </w:tcPr>
          <w:p w14:paraId="1D20B78A" w14:textId="77777777" w:rsidR="00F83E32" w:rsidRPr="00F83E32" w:rsidRDefault="00F83E32" w:rsidP="00403858">
            <w:pPr>
              <w:jc w:val="right"/>
              <w:rPr>
                <w:rFonts w:eastAsia="Times New Roman" w:cs="Arial"/>
                <w:color w:val="000000"/>
                <w:sz w:val="2"/>
                <w:szCs w:val="2"/>
                <w:lang w:val="en-GB" w:eastAsia="en-GB"/>
              </w:rPr>
            </w:pPr>
            <w:r w:rsidRPr="00F83E32">
              <w:rPr>
                <w:rFonts w:eastAsia="Times New Roman" w:cs="Arial"/>
                <w:color w:val="000000"/>
                <w:sz w:val="2"/>
                <w:szCs w:val="2"/>
                <w:lang w:val="en-GB" w:eastAsia="en-GB"/>
              </w:rPr>
              <w:t xml:space="preserve"> </w:t>
            </w:r>
          </w:p>
        </w:tc>
      </w:tr>
      <w:tr w:rsidR="00F83E32" w:rsidRPr="00F83E32" w14:paraId="2AD8F901" w14:textId="77777777" w:rsidTr="00B06515">
        <w:trPr>
          <w:trHeight w:val="226"/>
          <w:jc w:val="center"/>
        </w:trPr>
        <w:tc>
          <w:tcPr>
            <w:tcW w:w="1580" w:type="dxa"/>
            <w:tcBorders>
              <w:top w:val="nil"/>
              <w:left w:val="nil"/>
              <w:bottom w:val="nil"/>
              <w:right w:val="nil"/>
            </w:tcBorders>
            <w:shd w:val="clear" w:color="auto" w:fill="auto"/>
            <w:vAlign w:val="center"/>
            <w:hideMark/>
          </w:tcPr>
          <w:p w14:paraId="7D54D1B9"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4,303  </w:t>
            </w:r>
          </w:p>
        </w:tc>
        <w:tc>
          <w:tcPr>
            <w:tcW w:w="1917" w:type="dxa"/>
            <w:tcBorders>
              <w:top w:val="nil"/>
              <w:left w:val="nil"/>
              <w:bottom w:val="nil"/>
              <w:right w:val="nil"/>
            </w:tcBorders>
            <w:shd w:val="clear" w:color="auto" w:fill="auto"/>
            <w:vAlign w:val="center"/>
            <w:hideMark/>
          </w:tcPr>
          <w:p w14:paraId="39FEA3A3"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1,928  </w:t>
            </w:r>
          </w:p>
        </w:tc>
        <w:tc>
          <w:tcPr>
            <w:tcW w:w="1243" w:type="dxa"/>
            <w:tcBorders>
              <w:top w:val="nil"/>
              <w:left w:val="nil"/>
              <w:bottom w:val="nil"/>
              <w:right w:val="nil"/>
            </w:tcBorders>
            <w:shd w:val="clear" w:color="auto" w:fill="auto"/>
            <w:vAlign w:val="center"/>
            <w:hideMark/>
          </w:tcPr>
          <w:p w14:paraId="78D880C0"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6,231  </w:t>
            </w:r>
          </w:p>
        </w:tc>
        <w:tc>
          <w:tcPr>
            <w:tcW w:w="3212" w:type="dxa"/>
            <w:tcBorders>
              <w:top w:val="nil"/>
              <w:left w:val="nil"/>
              <w:bottom w:val="nil"/>
              <w:right w:val="nil"/>
            </w:tcBorders>
            <w:shd w:val="clear" w:color="auto" w:fill="auto"/>
            <w:vAlign w:val="center"/>
            <w:hideMark/>
          </w:tcPr>
          <w:p w14:paraId="24D02C1B" w14:textId="261A8F19" w:rsidR="00F83E32" w:rsidRPr="00F83E32" w:rsidRDefault="00765F58" w:rsidP="00B06515">
            <w:pPr>
              <w:rPr>
                <w:rFonts w:eastAsia="Times New Roman" w:cs="Arial"/>
                <w:color w:val="000000"/>
                <w:sz w:val="16"/>
                <w:szCs w:val="16"/>
                <w:lang w:val="en-GB" w:eastAsia="en-GB"/>
              </w:rPr>
            </w:pPr>
            <w:r>
              <w:rPr>
                <w:rFonts w:eastAsia="Times New Roman" w:cs="Arial"/>
                <w:color w:val="000000"/>
                <w:sz w:val="16"/>
                <w:szCs w:val="16"/>
                <w:lang w:val="en-GB" w:eastAsia="en-GB"/>
              </w:rPr>
              <w:t xml:space="preserve"> </w:t>
            </w:r>
            <w:r w:rsidR="00F83E32" w:rsidRPr="00F83E32">
              <w:rPr>
                <w:rFonts w:eastAsia="Times New Roman" w:cs="Arial"/>
                <w:color w:val="000000"/>
                <w:sz w:val="16"/>
                <w:szCs w:val="16"/>
                <w:lang w:val="en-GB" w:eastAsia="en-GB"/>
              </w:rPr>
              <w:t>Gross carrying amounts</w:t>
            </w:r>
          </w:p>
        </w:tc>
        <w:tc>
          <w:tcPr>
            <w:tcW w:w="1580" w:type="dxa"/>
            <w:tcBorders>
              <w:top w:val="nil"/>
              <w:left w:val="nil"/>
              <w:bottom w:val="nil"/>
              <w:right w:val="nil"/>
            </w:tcBorders>
            <w:shd w:val="clear" w:color="auto" w:fill="auto"/>
            <w:vAlign w:val="center"/>
            <w:hideMark/>
          </w:tcPr>
          <w:p w14:paraId="6138C014"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4,919  </w:t>
            </w:r>
          </w:p>
        </w:tc>
        <w:tc>
          <w:tcPr>
            <w:tcW w:w="1917" w:type="dxa"/>
            <w:tcBorders>
              <w:top w:val="nil"/>
              <w:left w:val="nil"/>
              <w:bottom w:val="nil"/>
              <w:right w:val="nil"/>
            </w:tcBorders>
            <w:shd w:val="clear" w:color="auto" w:fill="auto"/>
            <w:vAlign w:val="center"/>
            <w:hideMark/>
          </w:tcPr>
          <w:p w14:paraId="592DA8EA"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3,158  </w:t>
            </w:r>
          </w:p>
        </w:tc>
        <w:tc>
          <w:tcPr>
            <w:tcW w:w="1243" w:type="dxa"/>
            <w:tcBorders>
              <w:top w:val="nil"/>
              <w:left w:val="nil"/>
              <w:bottom w:val="nil"/>
              <w:right w:val="nil"/>
            </w:tcBorders>
            <w:shd w:val="clear" w:color="auto" w:fill="auto"/>
            <w:vAlign w:val="center"/>
            <w:hideMark/>
          </w:tcPr>
          <w:p w14:paraId="47B5F731"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8,077  </w:t>
            </w:r>
          </w:p>
        </w:tc>
      </w:tr>
      <w:tr w:rsidR="00F83E32" w:rsidRPr="00F83E32" w14:paraId="1A057EB0" w14:textId="77777777" w:rsidTr="00B06515">
        <w:trPr>
          <w:trHeight w:val="236"/>
          <w:jc w:val="center"/>
        </w:trPr>
        <w:tc>
          <w:tcPr>
            <w:tcW w:w="1580" w:type="dxa"/>
            <w:tcBorders>
              <w:top w:val="nil"/>
              <w:left w:val="nil"/>
              <w:bottom w:val="nil"/>
              <w:right w:val="nil"/>
            </w:tcBorders>
            <w:shd w:val="clear" w:color="auto" w:fill="auto"/>
            <w:vAlign w:val="center"/>
            <w:hideMark/>
          </w:tcPr>
          <w:p w14:paraId="60D56BE9"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(2,687) </w:t>
            </w:r>
          </w:p>
        </w:tc>
        <w:tc>
          <w:tcPr>
            <w:tcW w:w="1917" w:type="dxa"/>
            <w:tcBorders>
              <w:top w:val="nil"/>
              <w:left w:val="nil"/>
              <w:bottom w:val="nil"/>
              <w:right w:val="nil"/>
            </w:tcBorders>
            <w:shd w:val="clear" w:color="auto" w:fill="auto"/>
            <w:vAlign w:val="center"/>
            <w:hideMark/>
          </w:tcPr>
          <w:p w14:paraId="7699AD99"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0  </w:t>
            </w:r>
          </w:p>
        </w:tc>
        <w:tc>
          <w:tcPr>
            <w:tcW w:w="1243" w:type="dxa"/>
            <w:tcBorders>
              <w:top w:val="nil"/>
              <w:left w:val="nil"/>
              <w:bottom w:val="nil"/>
              <w:right w:val="nil"/>
            </w:tcBorders>
            <w:shd w:val="clear" w:color="auto" w:fill="auto"/>
            <w:vAlign w:val="center"/>
            <w:hideMark/>
          </w:tcPr>
          <w:p w14:paraId="00A5AC44"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(2,687) </w:t>
            </w:r>
          </w:p>
        </w:tc>
        <w:tc>
          <w:tcPr>
            <w:tcW w:w="3212" w:type="dxa"/>
            <w:tcBorders>
              <w:top w:val="nil"/>
              <w:left w:val="nil"/>
              <w:bottom w:val="nil"/>
              <w:right w:val="nil"/>
            </w:tcBorders>
            <w:shd w:val="clear" w:color="auto" w:fill="auto"/>
            <w:vAlign w:val="center"/>
            <w:hideMark/>
          </w:tcPr>
          <w:p w14:paraId="6ECE4C8C" w14:textId="1B7A2DD6" w:rsidR="00F83E32" w:rsidRPr="00F83E32" w:rsidRDefault="00765F58" w:rsidP="00B06515">
            <w:pPr>
              <w:rPr>
                <w:rFonts w:eastAsia="Times New Roman" w:cs="Arial"/>
                <w:color w:val="000000"/>
                <w:sz w:val="16"/>
                <w:szCs w:val="16"/>
                <w:lang w:val="en-GB" w:eastAsia="en-GB"/>
              </w:rPr>
            </w:pPr>
            <w:r>
              <w:rPr>
                <w:rFonts w:eastAsia="Times New Roman" w:cs="Arial"/>
                <w:color w:val="000000"/>
                <w:sz w:val="16"/>
                <w:szCs w:val="16"/>
                <w:lang w:val="en-GB" w:eastAsia="en-GB"/>
              </w:rPr>
              <w:t> </w:t>
            </w:r>
            <w:r w:rsidR="00F83E32" w:rsidRPr="00F83E32">
              <w:rPr>
                <w:rFonts w:eastAsia="Times New Roman" w:cs="Arial"/>
                <w:color w:val="000000"/>
                <w:sz w:val="16"/>
                <w:szCs w:val="16"/>
                <w:lang w:val="en-GB" w:eastAsia="en-GB"/>
              </w:rPr>
              <w:t>Accumulated amortisation</w:t>
            </w:r>
          </w:p>
        </w:tc>
        <w:tc>
          <w:tcPr>
            <w:tcW w:w="1580" w:type="dxa"/>
            <w:tcBorders>
              <w:top w:val="nil"/>
              <w:left w:val="nil"/>
              <w:bottom w:val="nil"/>
              <w:right w:val="nil"/>
            </w:tcBorders>
            <w:shd w:val="clear" w:color="auto" w:fill="auto"/>
            <w:vAlign w:val="center"/>
            <w:hideMark/>
          </w:tcPr>
          <w:p w14:paraId="7B5B7844"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(4,463) </w:t>
            </w:r>
          </w:p>
        </w:tc>
        <w:tc>
          <w:tcPr>
            <w:tcW w:w="1917" w:type="dxa"/>
            <w:tcBorders>
              <w:top w:val="nil"/>
              <w:left w:val="nil"/>
              <w:bottom w:val="nil"/>
              <w:right w:val="nil"/>
            </w:tcBorders>
            <w:shd w:val="clear" w:color="auto" w:fill="auto"/>
            <w:vAlign w:val="center"/>
            <w:hideMark/>
          </w:tcPr>
          <w:p w14:paraId="7F21B32C"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0  </w:t>
            </w:r>
          </w:p>
        </w:tc>
        <w:tc>
          <w:tcPr>
            <w:tcW w:w="1243" w:type="dxa"/>
            <w:tcBorders>
              <w:top w:val="nil"/>
              <w:left w:val="nil"/>
              <w:bottom w:val="nil"/>
              <w:right w:val="nil"/>
            </w:tcBorders>
            <w:shd w:val="clear" w:color="auto" w:fill="auto"/>
            <w:vAlign w:val="center"/>
            <w:hideMark/>
          </w:tcPr>
          <w:p w14:paraId="4AE3A388"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(4,463) </w:t>
            </w:r>
          </w:p>
        </w:tc>
      </w:tr>
      <w:tr w:rsidR="00F83E32" w:rsidRPr="00F83E32" w14:paraId="0900C87D" w14:textId="77777777" w:rsidTr="00B06515">
        <w:trPr>
          <w:trHeight w:val="350"/>
          <w:jc w:val="center"/>
        </w:trPr>
        <w:tc>
          <w:tcPr>
            <w:tcW w:w="1580" w:type="dxa"/>
            <w:tcBorders>
              <w:top w:val="single" w:sz="8" w:space="0" w:color="000000"/>
              <w:left w:val="nil"/>
              <w:bottom w:val="nil"/>
              <w:right w:val="nil"/>
            </w:tcBorders>
            <w:shd w:val="clear" w:color="auto" w:fill="auto"/>
            <w:vAlign w:val="center"/>
            <w:hideMark/>
          </w:tcPr>
          <w:p w14:paraId="5FD9D717" w14:textId="77777777" w:rsidR="00F83E32" w:rsidRPr="00F83E32" w:rsidRDefault="00F83E32" w:rsidP="00403858">
            <w:pPr>
              <w:jc w:val="right"/>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 xml:space="preserve">1,616  </w:t>
            </w:r>
          </w:p>
        </w:tc>
        <w:tc>
          <w:tcPr>
            <w:tcW w:w="1917" w:type="dxa"/>
            <w:tcBorders>
              <w:top w:val="single" w:sz="8" w:space="0" w:color="000000"/>
              <w:left w:val="nil"/>
              <w:bottom w:val="nil"/>
              <w:right w:val="nil"/>
            </w:tcBorders>
            <w:shd w:val="clear" w:color="auto" w:fill="auto"/>
            <w:vAlign w:val="center"/>
            <w:hideMark/>
          </w:tcPr>
          <w:p w14:paraId="431D6D30" w14:textId="77777777" w:rsidR="00F83E32" w:rsidRPr="00F83E32" w:rsidRDefault="00F83E32" w:rsidP="00403858">
            <w:pPr>
              <w:jc w:val="right"/>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 xml:space="preserve">1,928  </w:t>
            </w:r>
          </w:p>
        </w:tc>
        <w:tc>
          <w:tcPr>
            <w:tcW w:w="1243" w:type="dxa"/>
            <w:tcBorders>
              <w:top w:val="single" w:sz="8" w:space="0" w:color="000000"/>
              <w:left w:val="nil"/>
              <w:bottom w:val="nil"/>
              <w:right w:val="nil"/>
            </w:tcBorders>
            <w:shd w:val="clear" w:color="auto" w:fill="auto"/>
            <w:vAlign w:val="center"/>
            <w:hideMark/>
          </w:tcPr>
          <w:p w14:paraId="5AF2B07D" w14:textId="77777777" w:rsidR="00F83E32" w:rsidRPr="00F83E32" w:rsidRDefault="00F83E32" w:rsidP="00403858">
            <w:pPr>
              <w:jc w:val="right"/>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 xml:space="preserve">3,544  </w:t>
            </w:r>
          </w:p>
        </w:tc>
        <w:tc>
          <w:tcPr>
            <w:tcW w:w="3212" w:type="dxa"/>
            <w:tcBorders>
              <w:top w:val="single" w:sz="8" w:space="0" w:color="000000"/>
              <w:left w:val="nil"/>
              <w:bottom w:val="nil"/>
              <w:right w:val="nil"/>
            </w:tcBorders>
            <w:shd w:val="clear" w:color="auto" w:fill="auto"/>
            <w:vAlign w:val="center"/>
            <w:hideMark/>
          </w:tcPr>
          <w:p w14:paraId="2B699463" w14:textId="77777777" w:rsidR="00F83E32" w:rsidRPr="00F83E32" w:rsidRDefault="00F83E32" w:rsidP="00F83E32">
            <w:pPr>
              <w:jc w:val="center"/>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Net carrying amount at start of year</w:t>
            </w:r>
          </w:p>
        </w:tc>
        <w:tc>
          <w:tcPr>
            <w:tcW w:w="1580" w:type="dxa"/>
            <w:tcBorders>
              <w:top w:val="single" w:sz="8" w:space="0" w:color="000000"/>
              <w:left w:val="nil"/>
              <w:bottom w:val="nil"/>
              <w:right w:val="nil"/>
            </w:tcBorders>
            <w:shd w:val="clear" w:color="auto" w:fill="auto"/>
            <w:vAlign w:val="center"/>
            <w:hideMark/>
          </w:tcPr>
          <w:p w14:paraId="0C6E5FCD" w14:textId="77777777" w:rsidR="00F83E32" w:rsidRPr="00F83E32" w:rsidRDefault="00F83E32" w:rsidP="00403858">
            <w:pPr>
              <w:jc w:val="right"/>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 xml:space="preserve">456  </w:t>
            </w:r>
          </w:p>
        </w:tc>
        <w:tc>
          <w:tcPr>
            <w:tcW w:w="1917" w:type="dxa"/>
            <w:tcBorders>
              <w:top w:val="single" w:sz="8" w:space="0" w:color="000000"/>
              <w:left w:val="nil"/>
              <w:bottom w:val="nil"/>
              <w:right w:val="nil"/>
            </w:tcBorders>
            <w:shd w:val="clear" w:color="auto" w:fill="auto"/>
            <w:vAlign w:val="center"/>
            <w:hideMark/>
          </w:tcPr>
          <w:p w14:paraId="015DFA0B" w14:textId="77777777" w:rsidR="00F83E32" w:rsidRPr="00F83E32" w:rsidRDefault="00F83E32" w:rsidP="00403858">
            <w:pPr>
              <w:jc w:val="right"/>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 xml:space="preserve">3,158  </w:t>
            </w:r>
          </w:p>
        </w:tc>
        <w:tc>
          <w:tcPr>
            <w:tcW w:w="1243" w:type="dxa"/>
            <w:tcBorders>
              <w:top w:val="single" w:sz="8" w:space="0" w:color="000000"/>
              <w:left w:val="nil"/>
              <w:bottom w:val="nil"/>
              <w:right w:val="nil"/>
            </w:tcBorders>
            <w:shd w:val="clear" w:color="auto" w:fill="auto"/>
            <w:vAlign w:val="center"/>
            <w:hideMark/>
          </w:tcPr>
          <w:p w14:paraId="0D4E1ED0" w14:textId="77777777" w:rsidR="00F83E32" w:rsidRPr="00F83E32" w:rsidRDefault="00F83E32" w:rsidP="00403858">
            <w:pPr>
              <w:jc w:val="right"/>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 xml:space="preserve">3,614  </w:t>
            </w:r>
          </w:p>
        </w:tc>
      </w:tr>
      <w:tr w:rsidR="00F83E32" w:rsidRPr="00F83E32" w14:paraId="0A12D5D8" w14:textId="77777777" w:rsidTr="00B06515">
        <w:trPr>
          <w:trHeight w:val="122"/>
          <w:jc w:val="center"/>
        </w:trPr>
        <w:tc>
          <w:tcPr>
            <w:tcW w:w="1580" w:type="dxa"/>
            <w:tcBorders>
              <w:top w:val="nil"/>
              <w:left w:val="nil"/>
              <w:bottom w:val="nil"/>
              <w:right w:val="nil"/>
            </w:tcBorders>
            <w:shd w:val="clear" w:color="auto" w:fill="auto"/>
            <w:vAlign w:val="center"/>
            <w:hideMark/>
          </w:tcPr>
          <w:p w14:paraId="7E1827DB" w14:textId="77777777" w:rsidR="00F83E32" w:rsidRPr="00F83E32" w:rsidRDefault="00F83E32" w:rsidP="00403858">
            <w:pPr>
              <w:jc w:val="right"/>
              <w:rPr>
                <w:rFonts w:eastAsia="Times New Roman" w:cs="Arial"/>
                <w:b/>
                <w:bCs/>
                <w:color w:val="000000"/>
                <w:sz w:val="16"/>
                <w:szCs w:val="16"/>
                <w:lang w:val="en-GB" w:eastAsia="en-GB"/>
              </w:rPr>
            </w:pPr>
          </w:p>
        </w:tc>
        <w:tc>
          <w:tcPr>
            <w:tcW w:w="1917" w:type="dxa"/>
            <w:tcBorders>
              <w:top w:val="nil"/>
              <w:left w:val="nil"/>
              <w:bottom w:val="nil"/>
              <w:right w:val="nil"/>
            </w:tcBorders>
            <w:shd w:val="clear" w:color="auto" w:fill="auto"/>
            <w:vAlign w:val="center"/>
            <w:hideMark/>
          </w:tcPr>
          <w:p w14:paraId="7FBDE6D7" w14:textId="77777777" w:rsidR="00F83E32" w:rsidRPr="00F83E32" w:rsidRDefault="00F83E32" w:rsidP="00403858">
            <w:pPr>
              <w:jc w:val="right"/>
              <w:rPr>
                <w:rFonts w:ascii="Times New Roman" w:eastAsia="Times New Roman" w:hAnsi="Times New Roman" w:cs="Times New Roman"/>
                <w:sz w:val="20"/>
                <w:szCs w:val="20"/>
                <w:lang w:val="en-GB" w:eastAsia="en-GB"/>
              </w:rPr>
            </w:pPr>
          </w:p>
        </w:tc>
        <w:tc>
          <w:tcPr>
            <w:tcW w:w="1243" w:type="dxa"/>
            <w:tcBorders>
              <w:top w:val="nil"/>
              <w:left w:val="nil"/>
              <w:bottom w:val="nil"/>
              <w:right w:val="nil"/>
            </w:tcBorders>
            <w:shd w:val="clear" w:color="auto" w:fill="auto"/>
            <w:vAlign w:val="center"/>
            <w:hideMark/>
          </w:tcPr>
          <w:p w14:paraId="334DCC74" w14:textId="77777777" w:rsidR="00F83E32" w:rsidRPr="00F83E32" w:rsidRDefault="00F83E32" w:rsidP="00403858">
            <w:pPr>
              <w:jc w:val="right"/>
              <w:rPr>
                <w:rFonts w:eastAsia="Times New Roman" w:cs="Arial"/>
                <w:color w:val="000000"/>
                <w:sz w:val="2"/>
                <w:szCs w:val="2"/>
                <w:lang w:val="en-GB" w:eastAsia="en-GB"/>
              </w:rPr>
            </w:pPr>
            <w:r w:rsidRPr="00F83E32">
              <w:rPr>
                <w:rFonts w:eastAsia="Times New Roman" w:cs="Arial"/>
                <w:color w:val="000000"/>
                <w:sz w:val="2"/>
                <w:szCs w:val="2"/>
                <w:lang w:val="en-GB" w:eastAsia="en-GB"/>
              </w:rPr>
              <w:t xml:space="preserve"> </w:t>
            </w:r>
          </w:p>
        </w:tc>
        <w:tc>
          <w:tcPr>
            <w:tcW w:w="3212" w:type="dxa"/>
            <w:tcBorders>
              <w:top w:val="nil"/>
              <w:left w:val="nil"/>
              <w:bottom w:val="nil"/>
              <w:right w:val="nil"/>
            </w:tcBorders>
            <w:shd w:val="clear" w:color="auto" w:fill="auto"/>
            <w:vAlign w:val="center"/>
            <w:hideMark/>
          </w:tcPr>
          <w:p w14:paraId="4AA94BD7" w14:textId="77777777" w:rsidR="00F83E32" w:rsidRPr="00F83E32" w:rsidRDefault="00F83E32" w:rsidP="00F83E32">
            <w:pPr>
              <w:jc w:val="center"/>
              <w:rPr>
                <w:rFonts w:eastAsia="Times New Roman" w:cs="Arial"/>
                <w:color w:val="000000"/>
                <w:sz w:val="2"/>
                <w:szCs w:val="2"/>
                <w:lang w:val="en-GB" w:eastAsia="en-GB"/>
              </w:rPr>
            </w:pPr>
            <w:r w:rsidRPr="00F83E32">
              <w:rPr>
                <w:rFonts w:eastAsia="Times New Roman" w:cs="Arial"/>
                <w:color w:val="000000"/>
                <w:sz w:val="2"/>
                <w:szCs w:val="2"/>
                <w:lang w:val="en-GB" w:eastAsia="en-GB"/>
              </w:rPr>
              <w:t xml:space="preserve"> </w:t>
            </w:r>
          </w:p>
        </w:tc>
        <w:tc>
          <w:tcPr>
            <w:tcW w:w="1580" w:type="dxa"/>
            <w:tcBorders>
              <w:top w:val="nil"/>
              <w:left w:val="nil"/>
              <w:bottom w:val="nil"/>
              <w:right w:val="nil"/>
            </w:tcBorders>
            <w:shd w:val="clear" w:color="auto" w:fill="auto"/>
            <w:vAlign w:val="center"/>
            <w:hideMark/>
          </w:tcPr>
          <w:p w14:paraId="5BCF5ECE" w14:textId="77777777" w:rsidR="00F83E32" w:rsidRPr="00F83E32" w:rsidRDefault="00F83E32" w:rsidP="00403858">
            <w:pPr>
              <w:jc w:val="right"/>
              <w:rPr>
                <w:rFonts w:eastAsia="Times New Roman" w:cs="Arial"/>
                <w:color w:val="000000"/>
                <w:sz w:val="2"/>
                <w:szCs w:val="2"/>
                <w:lang w:val="en-GB" w:eastAsia="en-GB"/>
              </w:rPr>
            </w:pPr>
          </w:p>
        </w:tc>
        <w:tc>
          <w:tcPr>
            <w:tcW w:w="1917" w:type="dxa"/>
            <w:tcBorders>
              <w:top w:val="nil"/>
              <w:left w:val="nil"/>
              <w:bottom w:val="nil"/>
              <w:right w:val="nil"/>
            </w:tcBorders>
            <w:shd w:val="clear" w:color="auto" w:fill="auto"/>
            <w:vAlign w:val="center"/>
            <w:hideMark/>
          </w:tcPr>
          <w:p w14:paraId="3D74EDA9" w14:textId="77777777" w:rsidR="00F83E32" w:rsidRPr="00F83E32" w:rsidRDefault="00F83E32" w:rsidP="00403858">
            <w:pPr>
              <w:jc w:val="right"/>
              <w:rPr>
                <w:rFonts w:ascii="Times New Roman" w:eastAsia="Times New Roman" w:hAnsi="Times New Roman" w:cs="Times New Roman"/>
                <w:sz w:val="20"/>
                <w:szCs w:val="20"/>
                <w:lang w:val="en-GB" w:eastAsia="en-GB"/>
              </w:rPr>
            </w:pPr>
          </w:p>
        </w:tc>
        <w:tc>
          <w:tcPr>
            <w:tcW w:w="1243" w:type="dxa"/>
            <w:tcBorders>
              <w:top w:val="nil"/>
              <w:left w:val="nil"/>
              <w:bottom w:val="nil"/>
              <w:right w:val="nil"/>
            </w:tcBorders>
            <w:shd w:val="clear" w:color="auto" w:fill="auto"/>
            <w:vAlign w:val="center"/>
            <w:hideMark/>
          </w:tcPr>
          <w:p w14:paraId="49CE4AA7" w14:textId="77777777" w:rsidR="00F83E32" w:rsidRPr="00F83E32" w:rsidRDefault="00F83E32" w:rsidP="00403858">
            <w:pPr>
              <w:jc w:val="right"/>
              <w:rPr>
                <w:rFonts w:eastAsia="Times New Roman" w:cs="Arial"/>
                <w:color w:val="000000"/>
                <w:sz w:val="2"/>
                <w:szCs w:val="2"/>
                <w:lang w:val="en-GB" w:eastAsia="en-GB"/>
              </w:rPr>
            </w:pPr>
            <w:r w:rsidRPr="00F83E32">
              <w:rPr>
                <w:rFonts w:eastAsia="Times New Roman" w:cs="Arial"/>
                <w:color w:val="000000"/>
                <w:sz w:val="2"/>
                <w:szCs w:val="2"/>
                <w:lang w:val="en-GB" w:eastAsia="en-GB"/>
              </w:rPr>
              <w:t xml:space="preserve"> </w:t>
            </w:r>
          </w:p>
        </w:tc>
      </w:tr>
      <w:tr w:rsidR="00F83E32" w:rsidRPr="00F83E32" w14:paraId="0612B03B" w14:textId="77777777" w:rsidTr="00B06515">
        <w:trPr>
          <w:trHeight w:val="226"/>
          <w:jc w:val="center"/>
        </w:trPr>
        <w:tc>
          <w:tcPr>
            <w:tcW w:w="1580" w:type="dxa"/>
            <w:tcBorders>
              <w:top w:val="nil"/>
              <w:left w:val="nil"/>
              <w:bottom w:val="nil"/>
              <w:right w:val="nil"/>
            </w:tcBorders>
            <w:shd w:val="clear" w:color="auto" w:fill="auto"/>
            <w:vAlign w:val="center"/>
            <w:hideMark/>
          </w:tcPr>
          <w:p w14:paraId="0FA26589" w14:textId="77777777" w:rsidR="00F83E32" w:rsidRPr="00F83E32" w:rsidRDefault="00F83E32" w:rsidP="00403858">
            <w:pPr>
              <w:jc w:val="right"/>
              <w:rPr>
                <w:rFonts w:eastAsia="Times New Roman" w:cs="Arial"/>
                <w:color w:val="000000"/>
                <w:sz w:val="2"/>
                <w:szCs w:val="2"/>
                <w:lang w:val="en-GB" w:eastAsia="en-GB"/>
              </w:rPr>
            </w:pPr>
          </w:p>
        </w:tc>
        <w:tc>
          <w:tcPr>
            <w:tcW w:w="1917" w:type="dxa"/>
            <w:tcBorders>
              <w:top w:val="nil"/>
              <w:left w:val="nil"/>
              <w:bottom w:val="nil"/>
              <w:right w:val="nil"/>
            </w:tcBorders>
            <w:shd w:val="clear" w:color="auto" w:fill="auto"/>
            <w:vAlign w:val="center"/>
            <w:hideMark/>
          </w:tcPr>
          <w:p w14:paraId="641DF6BC" w14:textId="77777777" w:rsidR="00F83E32" w:rsidRPr="00F83E32" w:rsidRDefault="00F83E32" w:rsidP="00403858">
            <w:pPr>
              <w:jc w:val="right"/>
              <w:rPr>
                <w:rFonts w:ascii="Times New Roman" w:eastAsia="Times New Roman" w:hAnsi="Times New Roman" w:cs="Times New Roman"/>
                <w:sz w:val="20"/>
                <w:szCs w:val="20"/>
                <w:lang w:val="en-GB" w:eastAsia="en-GB"/>
              </w:rPr>
            </w:pPr>
          </w:p>
        </w:tc>
        <w:tc>
          <w:tcPr>
            <w:tcW w:w="1243" w:type="dxa"/>
            <w:tcBorders>
              <w:top w:val="nil"/>
              <w:left w:val="nil"/>
              <w:bottom w:val="nil"/>
              <w:right w:val="nil"/>
            </w:tcBorders>
            <w:shd w:val="clear" w:color="auto" w:fill="auto"/>
            <w:vAlign w:val="center"/>
            <w:hideMark/>
          </w:tcPr>
          <w:p w14:paraId="6C8F6C73" w14:textId="77777777" w:rsidR="00F83E32" w:rsidRPr="00F83E32" w:rsidRDefault="00F83E32" w:rsidP="00403858">
            <w:pPr>
              <w:jc w:val="right"/>
              <w:rPr>
                <w:rFonts w:eastAsia="Times New Roman" w:cs="Arial"/>
                <w:color w:val="000000"/>
                <w:sz w:val="2"/>
                <w:szCs w:val="2"/>
                <w:lang w:val="en-GB" w:eastAsia="en-GB"/>
              </w:rPr>
            </w:pPr>
            <w:r w:rsidRPr="00F83E32">
              <w:rPr>
                <w:rFonts w:eastAsia="Times New Roman" w:cs="Arial"/>
                <w:color w:val="000000"/>
                <w:sz w:val="2"/>
                <w:szCs w:val="2"/>
                <w:lang w:val="en-GB" w:eastAsia="en-GB"/>
              </w:rPr>
              <w:t xml:space="preserve"> </w:t>
            </w:r>
          </w:p>
        </w:tc>
        <w:tc>
          <w:tcPr>
            <w:tcW w:w="3212" w:type="dxa"/>
            <w:tcBorders>
              <w:top w:val="nil"/>
              <w:left w:val="nil"/>
              <w:bottom w:val="nil"/>
              <w:right w:val="nil"/>
            </w:tcBorders>
            <w:shd w:val="clear" w:color="auto" w:fill="auto"/>
            <w:vAlign w:val="center"/>
            <w:hideMark/>
          </w:tcPr>
          <w:p w14:paraId="55407608" w14:textId="77777777" w:rsidR="00F83E32" w:rsidRPr="00F83E32" w:rsidRDefault="00F83E32" w:rsidP="00765F58">
            <w:pPr>
              <w:rPr>
                <w:rFonts w:eastAsia="Times New Roman" w:cs="Arial"/>
                <w:color w:val="000000"/>
                <w:sz w:val="16"/>
                <w:szCs w:val="16"/>
                <w:lang w:val="en-GB" w:eastAsia="en-GB"/>
              </w:rPr>
            </w:pPr>
            <w:r w:rsidRPr="00F83E32">
              <w:rPr>
                <w:rFonts w:eastAsia="Times New Roman" w:cs="Arial"/>
                <w:color w:val="000000"/>
                <w:sz w:val="16"/>
                <w:szCs w:val="16"/>
                <w:lang w:val="en-GB" w:eastAsia="en-GB"/>
              </w:rPr>
              <w:t>Additions:</w:t>
            </w:r>
          </w:p>
        </w:tc>
        <w:tc>
          <w:tcPr>
            <w:tcW w:w="1580" w:type="dxa"/>
            <w:tcBorders>
              <w:top w:val="nil"/>
              <w:left w:val="nil"/>
              <w:bottom w:val="nil"/>
              <w:right w:val="nil"/>
            </w:tcBorders>
            <w:shd w:val="clear" w:color="auto" w:fill="auto"/>
            <w:vAlign w:val="center"/>
            <w:hideMark/>
          </w:tcPr>
          <w:p w14:paraId="24FCED4B" w14:textId="77777777" w:rsidR="00F83E32" w:rsidRPr="00F83E32" w:rsidRDefault="00F83E32" w:rsidP="00403858">
            <w:pPr>
              <w:jc w:val="right"/>
              <w:rPr>
                <w:rFonts w:eastAsia="Times New Roman" w:cs="Arial"/>
                <w:color w:val="000000"/>
                <w:sz w:val="16"/>
                <w:szCs w:val="16"/>
                <w:lang w:val="en-GB" w:eastAsia="en-GB"/>
              </w:rPr>
            </w:pPr>
          </w:p>
        </w:tc>
        <w:tc>
          <w:tcPr>
            <w:tcW w:w="1917" w:type="dxa"/>
            <w:tcBorders>
              <w:top w:val="nil"/>
              <w:left w:val="nil"/>
              <w:bottom w:val="nil"/>
              <w:right w:val="nil"/>
            </w:tcBorders>
            <w:shd w:val="clear" w:color="auto" w:fill="auto"/>
            <w:vAlign w:val="center"/>
            <w:hideMark/>
          </w:tcPr>
          <w:p w14:paraId="16282EAA" w14:textId="77777777" w:rsidR="00F83E32" w:rsidRPr="00F83E32" w:rsidRDefault="00F83E32" w:rsidP="00403858">
            <w:pPr>
              <w:jc w:val="right"/>
              <w:rPr>
                <w:rFonts w:ascii="Times New Roman" w:eastAsia="Times New Roman" w:hAnsi="Times New Roman" w:cs="Times New Roman"/>
                <w:sz w:val="20"/>
                <w:szCs w:val="20"/>
                <w:lang w:val="en-GB" w:eastAsia="en-GB"/>
              </w:rPr>
            </w:pPr>
          </w:p>
        </w:tc>
        <w:tc>
          <w:tcPr>
            <w:tcW w:w="1243" w:type="dxa"/>
            <w:tcBorders>
              <w:top w:val="nil"/>
              <w:left w:val="nil"/>
              <w:bottom w:val="nil"/>
              <w:right w:val="nil"/>
            </w:tcBorders>
            <w:shd w:val="clear" w:color="auto" w:fill="auto"/>
            <w:vAlign w:val="center"/>
            <w:hideMark/>
          </w:tcPr>
          <w:p w14:paraId="1E92F020" w14:textId="77777777" w:rsidR="00F83E32" w:rsidRPr="00F83E32" w:rsidRDefault="00F83E32" w:rsidP="00403858">
            <w:pPr>
              <w:jc w:val="right"/>
              <w:rPr>
                <w:rFonts w:eastAsia="Times New Roman" w:cs="Arial"/>
                <w:color w:val="000000"/>
                <w:sz w:val="2"/>
                <w:szCs w:val="2"/>
                <w:lang w:val="en-GB" w:eastAsia="en-GB"/>
              </w:rPr>
            </w:pPr>
            <w:r w:rsidRPr="00F83E32">
              <w:rPr>
                <w:rFonts w:eastAsia="Times New Roman" w:cs="Arial"/>
                <w:color w:val="000000"/>
                <w:sz w:val="2"/>
                <w:szCs w:val="2"/>
                <w:lang w:val="en-GB" w:eastAsia="en-GB"/>
              </w:rPr>
              <w:t xml:space="preserve"> </w:t>
            </w:r>
          </w:p>
        </w:tc>
      </w:tr>
      <w:tr w:rsidR="00F83E32" w:rsidRPr="00F83E32" w14:paraId="6B8878FE" w14:textId="77777777" w:rsidTr="00B06515">
        <w:trPr>
          <w:trHeight w:val="226"/>
          <w:jc w:val="center"/>
        </w:trPr>
        <w:tc>
          <w:tcPr>
            <w:tcW w:w="1580" w:type="dxa"/>
            <w:tcBorders>
              <w:top w:val="nil"/>
              <w:left w:val="nil"/>
              <w:bottom w:val="nil"/>
              <w:right w:val="nil"/>
            </w:tcBorders>
            <w:shd w:val="clear" w:color="auto" w:fill="auto"/>
            <w:vAlign w:val="center"/>
            <w:hideMark/>
          </w:tcPr>
          <w:p w14:paraId="15FF682E"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0  </w:t>
            </w:r>
          </w:p>
        </w:tc>
        <w:tc>
          <w:tcPr>
            <w:tcW w:w="1917" w:type="dxa"/>
            <w:tcBorders>
              <w:top w:val="nil"/>
              <w:left w:val="nil"/>
              <w:bottom w:val="nil"/>
              <w:right w:val="nil"/>
            </w:tcBorders>
            <w:shd w:val="clear" w:color="auto" w:fill="auto"/>
            <w:vAlign w:val="center"/>
            <w:hideMark/>
          </w:tcPr>
          <w:p w14:paraId="024C6EA7"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1,846  </w:t>
            </w:r>
          </w:p>
        </w:tc>
        <w:tc>
          <w:tcPr>
            <w:tcW w:w="1243" w:type="dxa"/>
            <w:tcBorders>
              <w:top w:val="nil"/>
              <w:left w:val="nil"/>
              <w:bottom w:val="nil"/>
              <w:right w:val="nil"/>
            </w:tcBorders>
            <w:shd w:val="clear" w:color="auto" w:fill="auto"/>
            <w:vAlign w:val="center"/>
            <w:hideMark/>
          </w:tcPr>
          <w:p w14:paraId="493DAA26"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1,846  </w:t>
            </w:r>
          </w:p>
        </w:tc>
        <w:tc>
          <w:tcPr>
            <w:tcW w:w="3212" w:type="dxa"/>
            <w:tcBorders>
              <w:top w:val="nil"/>
              <w:left w:val="nil"/>
              <w:bottom w:val="nil"/>
              <w:right w:val="nil"/>
            </w:tcBorders>
            <w:shd w:val="clear" w:color="auto" w:fill="auto"/>
            <w:vAlign w:val="center"/>
            <w:hideMark/>
          </w:tcPr>
          <w:p w14:paraId="5DB55776" w14:textId="7E8B075C" w:rsidR="00F83E32" w:rsidRPr="00F83E32" w:rsidRDefault="00F83E32" w:rsidP="00B06515">
            <w:pPr>
              <w:rPr>
                <w:rFonts w:eastAsia="Times New Roman" w:cs="Arial"/>
                <w:color w:val="000000"/>
                <w:sz w:val="16"/>
                <w:szCs w:val="16"/>
                <w:lang w:val="en-GB" w:eastAsia="en-GB"/>
              </w:rPr>
            </w:pPr>
            <w:r w:rsidRPr="00F83E32">
              <w:rPr>
                <w:rFonts w:eastAsia="Times New Roman" w:cs="Arial"/>
                <w:color w:val="000000"/>
                <w:sz w:val="16"/>
                <w:szCs w:val="16"/>
                <w:lang w:val="en-GB" w:eastAsia="en-GB"/>
              </w:rPr>
              <w:t> Purchases</w:t>
            </w:r>
          </w:p>
        </w:tc>
        <w:tc>
          <w:tcPr>
            <w:tcW w:w="1580" w:type="dxa"/>
            <w:tcBorders>
              <w:top w:val="nil"/>
              <w:left w:val="nil"/>
              <w:bottom w:val="nil"/>
              <w:right w:val="nil"/>
            </w:tcBorders>
            <w:shd w:val="clear" w:color="auto" w:fill="auto"/>
            <w:vAlign w:val="center"/>
            <w:hideMark/>
          </w:tcPr>
          <w:p w14:paraId="10E92AAE"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0  </w:t>
            </w:r>
          </w:p>
        </w:tc>
        <w:tc>
          <w:tcPr>
            <w:tcW w:w="1917" w:type="dxa"/>
            <w:tcBorders>
              <w:top w:val="nil"/>
              <w:left w:val="nil"/>
              <w:bottom w:val="nil"/>
              <w:right w:val="nil"/>
            </w:tcBorders>
            <w:shd w:val="clear" w:color="auto" w:fill="auto"/>
            <w:vAlign w:val="center"/>
            <w:hideMark/>
          </w:tcPr>
          <w:p w14:paraId="5C16FC66"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2,594  </w:t>
            </w:r>
          </w:p>
        </w:tc>
        <w:tc>
          <w:tcPr>
            <w:tcW w:w="1243" w:type="dxa"/>
            <w:tcBorders>
              <w:top w:val="nil"/>
              <w:left w:val="nil"/>
              <w:bottom w:val="nil"/>
              <w:right w:val="nil"/>
            </w:tcBorders>
            <w:shd w:val="clear" w:color="auto" w:fill="auto"/>
            <w:vAlign w:val="center"/>
            <w:hideMark/>
          </w:tcPr>
          <w:p w14:paraId="78DDAED1"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2,594  </w:t>
            </w:r>
          </w:p>
        </w:tc>
      </w:tr>
      <w:tr w:rsidR="00F83E32" w:rsidRPr="00F83E32" w14:paraId="698055BD" w14:textId="77777777" w:rsidTr="00B06515">
        <w:trPr>
          <w:trHeight w:val="226"/>
          <w:jc w:val="center"/>
        </w:trPr>
        <w:tc>
          <w:tcPr>
            <w:tcW w:w="1580" w:type="dxa"/>
            <w:tcBorders>
              <w:top w:val="nil"/>
              <w:left w:val="nil"/>
              <w:bottom w:val="nil"/>
              <w:right w:val="nil"/>
            </w:tcBorders>
            <w:shd w:val="clear" w:color="auto" w:fill="auto"/>
            <w:vAlign w:val="center"/>
            <w:hideMark/>
          </w:tcPr>
          <w:p w14:paraId="6D9685DB" w14:textId="77777777" w:rsidR="00F83E32" w:rsidRPr="00F83E32" w:rsidRDefault="00F83E32" w:rsidP="00403858">
            <w:pPr>
              <w:jc w:val="right"/>
              <w:rPr>
                <w:rFonts w:eastAsia="Times New Roman" w:cs="Arial"/>
                <w:color w:val="000000"/>
                <w:sz w:val="16"/>
                <w:szCs w:val="16"/>
                <w:lang w:val="en-GB" w:eastAsia="en-GB"/>
              </w:rPr>
            </w:pPr>
          </w:p>
        </w:tc>
        <w:tc>
          <w:tcPr>
            <w:tcW w:w="1917" w:type="dxa"/>
            <w:tcBorders>
              <w:top w:val="nil"/>
              <w:left w:val="nil"/>
              <w:bottom w:val="nil"/>
              <w:right w:val="nil"/>
            </w:tcBorders>
            <w:shd w:val="clear" w:color="auto" w:fill="auto"/>
            <w:vAlign w:val="center"/>
            <w:hideMark/>
          </w:tcPr>
          <w:p w14:paraId="429A1DD1" w14:textId="77777777" w:rsidR="00F83E32" w:rsidRPr="00F83E32" w:rsidRDefault="00F83E32" w:rsidP="00403858">
            <w:pPr>
              <w:jc w:val="right"/>
              <w:rPr>
                <w:rFonts w:ascii="Times New Roman" w:eastAsia="Times New Roman" w:hAnsi="Times New Roman" w:cs="Times New Roman"/>
                <w:sz w:val="20"/>
                <w:szCs w:val="20"/>
                <w:lang w:val="en-GB" w:eastAsia="en-GB"/>
              </w:rPr>
            </w:pPr>
          </w:p>
        </w:tc>
        <w:tc>
          <w:tcPr>
            <w:tcW w:w="1243" w:type="dxa"/>
            <w:tcBorders>
              <w:top w:val="nil"/>
              <w:left w:val="nil"/>
              <w:bottom w:val="nil"/>
              <w:right w:val="nil"/>
            </w:tcBorders>
            <w:shd w:val="clear" w:color="auto" w:fill="auto"/>
            <w:vAlign w:val="center"/>
            <w:hideMark/>
          </w:tcPr>
          <w:p w14:paraId="2D76AD20"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0  </w:t>
            </w:r>
          </w:p>
        </w:tc>
        <w:tc>
          <w:tcPr>
            <w:tcW w:w="3212" w:type="dxa"/>
            <w:tcBorders>
              <w:top w:val="nil"/>
              <w:left w:val="nil"/>
              <w:bottom w:val="nil"/>
              <w:right w:val="nil"/>
            </w:tcBorders>
            <w:shd w:val="clear" w:color="auto" w:fill="auto"/>
            <w:vAlign w:val="center"/>
            <w:hideMark/>
          </w:tcPr>
          <w:p w14:paraId="3CDC6211" w14:textId="65AB7A98" w:rsidR="00F83E32" w:rsidRPr="00F83E32" w:rsidRDefault="00765F58" w:rsidP="00B06515">
            <w:pPr>
              <w:rPr>
                <w:rFonts w:eastAsia="Times New Roman" w:cs="Arial"/>
                <w:color w:val="000000"/>
                <w:sz w:val="16"/>
                <w:szCs w:val="16"/>
                <w:lang w:val="en-GB" w:eastAsia="en-GB"/>
              </w:rPr>
            </w:pPr>
            <w:r>
              <w:rPr>
                <w:rFonts w:eastAsia="Times New Roman" w:cs="Arial"/>
                <w:color w:val="000000"/>
                <w:sz w:val="16"/>
                <w:szCs w:val="16"/>
                <w:lang w:val="en-GB" w:eastAsia="en-GB"/>
              </w:rPr>
              <w:t xml:space="preserve"> </w:t>
            </w:r>
            <w:r w:rsidR="00F83E32" w:rsidRPr="00F83E32">
              <w:rPr>
                <w:rFonts w:eastAsia="Times New Roman" w:cs="Arial"/>
                <w:color w:val="000000"/>
                <w:sz w:val="16"/>
                <w:szCs w:val="16"/>
                <w:lang w:val="en-GB" w:eastAsia="en-GB"/>
              </w:rPr>
              <w:t>Other disposals</w:t>
            </w:r>
          </w:p>
        </w:tc>
        <w:tc>
          <w:tcPr>
            <w:tcW w:w="1580" w:type="dxa"/>
            <w:tcBorders>
              <w:top w:val="nil"/>
              <w:left w:val="nil"/>
              <w:bottom w:val="nil"/>
              <w:right w:val="nil"/>
            </w:tcBorders>
            <w:shd w:val="clear" w:color="auto" w:fill="auto"/>
            <w:vAlign w:val="center"/>
            <w:hideMark/>
          </w:tcPr>
          <w:p w14:paraId="6DAAFDEA"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(1,924) </w:t>
            </w:r>
          </w:p>
        </w:tc>
        <w:tc>
          <w:tcPr>
            <w:tcW w:w="1917" w:type="dxa"/>
            <w:tcBorders>
              <w:top w:val="nil"/>
              <w:left w:val="nil"/>
              <w:bottom w:val="nil"/>
              <w:right w:val="nil"/>
            </w:tcBorders>
            <w:shd w:val="clear" w:color="auto" w:fill="auto"/>
            <w:vAlign w:val="center"/>
            <w:hideMark/>
          </w:tcPr>
          <w:p w14:paraId="53DBEEBF" w14:textId="77777777" w:rsidR="00F83E32" w:rsidRPr="00F83E32" w:rsidRDefault="00F83E32" w:rsidP="00403858">
            <w:pPr>
              <w:jc w:val="right"/>
              <w:rPr>
                <w:rFonts w:eastAsia="Times New Roman" w:cs="Arial"/>
                <w:color w:val="000000"/>
                <w:sz w:val="16"/>
                <w:szCs w:val="16"/>
                <w:lang w:val="en-GB" w:eastAsia="en-GB"/>
              </w:rPr>
            </w:pPr>
          </w:p>
        </w:tc>
        <w:tc>
          <w:tcPr>
            <w:tcW w:w="1243" w:type="dxa"/>
            <w:tcBorders>
              <w:top w:val="nil"/>
              <w:left w:val="nil"/>
              <w:bottom w:val="nil"/>
              <w:right w:val="nil"/>
            </w:tcBorders>
            <w:shd w:val="clear" w:color="auto" w:fill="auto"/>
            <w:vAlign w:val="center"/>
            <w:hideMark/>
          </w:tcPr>
          <w:p w14:paraId="3762EF3A"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(1,924) </w:t>
            </w:r>
          </w:p>
        </w:tc>
      </w:tr>
      <w:tr w:rsidR="00F83E32" w:rsidRPr="00F83E32" w14:paraId="14759400" w14:textId="77777777" w:rsidTr="00B06515">
        <w:trPr>
          <w:trHeight w:val="350"/>
          <w:jc w:val="center"/>
        </w:trPr>
        <w:tc>
          <w:tcPr>
            <w:tcW w:w="1580" w:type="dxa"/>
            <w:tcBorders>
              <w:top w:val="nil"/>
              <w:left w:val="nil"/>
              <w:bottom w:val="nil"/>
              <w:right w:val="nil"/>
            </w:tcBorders>
            <w:shd w:val="clear" w:color="auto" w:fill="auto"/>
            <w:vAlign w:val="center"/>
            <w:hideMark/>
          </w:tcPr>
          <w:p w14:paraId="7B663369"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616  </w:t>
            </w:r>
          </w:p>
        </w:tc>
        <w:tc>
          <w:tcPr>
            <w:tcW w:w="1917" w:type="dxa"/>
            <w:tcBorders>
              <w:top w:val="nil"/>
              <w:left w:val="nil"/>
              <w:bottom w:val="nil"/>
              <w:right w:val="nil"/>
            </w:tcBorders>
            <w:shd w:val="clear" w:color="auto" w:fill="auto"/>
            <w:vAlign w:val="center"/>
            <w:hideMark/>
          </w:tcPr>
          <w:p w14:paraId="1ACF37BC"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(616) </w:t>
            </w:r>
          </w:p>
        </w:tc>
        <w:tc>
          <w:tcPr>
            <w:tcW w:w="1243" w:type="dxa"/>
            <w:tcBorders>
              <w:top w:val="nil"/>
              <w:left w:val="nil"/>
              <w:bottom w:val="nil"/>
              <w:right w:val="nil"/>
            </w:tcBorders>
            <w:shd w:val="clear" w:color="auto" w:fill="auto"/>
            <w:vAlign w:val="center"/>
            <w:hideMark/>
          </w:tcPr>
          <w:p w14:paraId="1A99F30D"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0  </w:t>
            </w:r>
          </w:p>
        </w:tc>
        <w:tc>
          <w:tcPr>
            <w:tcW w:w="3212" w:type="dxa"/>
            <w:tcBorders>
              <w:top w:val="nil"/>
              <w:left w:val="nil"/>
              <w:bottom w:val="nil"/>
              <w:right w:val="nil"/>
            </w:tcBorders>
            <w:shd w:val="clear" w:color="auto" w:fill="auto"/>
            <w:vAlign w:val="center"/>
            <w:hideMark/>
          </w:tcPr>
          <w:p w14:paraId="1F0E05B4" w14:textId="69791870" w:rsidR="00F83E32" w:rsidRPr="00F83E32" w:rsidRDefault="00765F58" w:rsidP="00B06515">
            <w:pPr>
              <w:rPr>
                <w:rFonts w:eastAsia="Times New Roman" w:cs="Arial"/>
                <w:color w:val="000000"/>
                <w:sz w:val="16"/>
                <w:szCs w:val="16"/>
                <w:lang w:val="en-GB" w:eastAsia="en-GB"/>
              </w:rPr>
            </w:pPr>
            <w:r>
              <w:rPr>
                <w:rFonts w:eastAsia="Times New Roman" w:cs="Arial"/>
                <w:color w:val="000000"/>
                <w:sz w:val="16"/>
                <w:szCs w:val="16"/>
                <w:lang w:val="en-GB" w:eastAsia="en-GB"/>
              </w:rPr>
              <w:t xml:space="preserve"> </w:t>
            </w:r>
            <w:r w:rsidR="00F83E32" w:rsidRPr="00F83E32">
              <w:rPr>
                <w:rFonts w:eastAsia="Times New Roman" w:cs="Arial"/>
                <w:color w:val="000000"/>
                <w:sz w:val="16"/>
                <w:szCs w:val="16"/>
                <w:lang w:val="en-GB" w:eastAsia="en-GB"/>
              </w:rPr>
              <w:t>Reclassifications and transfers</w:t>
            </w:r>
          </w:p>
        </w:tc>
        <w:tc>
          <w:tcPr>
            <w:tcW w:w="1580" w:type="dxa"/>
            <w:tcBorders>
              <w:top w:val="nil"/>
              <w:left w:val="nil"/>
              <w:bottom w:val="nil"/>
              <w:right w:val="nil"/>
            </w:tcBorders>
            <w:shd w:val="clear" w:color="auto" w:fill="auto"/>
            <w:vAlign w:val="center"/>
            <w:hideMark/>
          </w:tcPr>
          <w:p w14:paraId="77FD84E8"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5,265  </w:t>
            </w:r>
          </w:p>
        </w:tc>
        <w:tc>
          <w:tcPr>
            <w:tcW w:w="1917" w:type="dxa"/>
            <w:tcBorders>
              <w:top w:val="nil"/>
              <w:left w:val="nil"/>
              <w:bottom w:val="nil"/>
              <w:right w:val="nil"/>
            </w:tcBorders>
            <w:shd w:val="clear" w:color="auto" w:fill="auto"/>
            <w:vAlign w:val="center"/>
            <w:hideMark/>
          </w:tcPr>
          <w:p w14:paraId="53E0B32A" w14:textId="77777777" w:rsidR="00F83E32" w:rsidRPr="00F83E32" w:rsidRDefault="00403858" w:rsidP="00403858">
            <w:pPr>
              <w:jc w:val="right"/>
              <w:rPr>
                <w:rFonts w:eastAsia="Times New Roman" w:cs="Arial"/>
                <w:color w:val="000000"/>
                <w:sz w:val="16"/>
                <w:szCs w:val="16"/>
                <w:lang w:val="en-GB" w:eastAsia="en-GB"/>
              </w:rPr>
            </w:pPr>
            <w:r>
              <w:rPr>
                <w:rFonts w:eastAsia="Times New Roman" w:cs="Arial"/>
                <w:color w:val="000000"/>
                <w:sz w:val="16"/>
                <w:szCs w:val="16"/>
                <w:lang w:val="en-GB" w:eastAsia="en-GB"/>
              </w:rPr>
              <w:t>(5,654</w:t>
            </w:r>
            <w:r w:rsidR="00F83E32" w:rsidRPr="00F83E32">
              <w:rPr>
                <w:rFonts w:eastAsia="Times New Roman" w:cs="Arial"/>
                <w:color w:val="000000"/>
                <w:sz w:val="16"/>
                <w:szCs w:val="16"/>
                <w:lang w:val="en-GB" w:eastAsia="en-GB"/>
              </w:rPr>
              <w:t xml:space="preserve">) </w:t>
            </w:r>
          </w:p>
        </w:tc>
        <w:tc>
          <w:tcPr>
            <w:tcW w:w="1243" w:type="dxa"/>
            <w:tcBorders>
              <w:top w:val="nil"/>
              <w:left w:val="nil"/>
              <w:bottom w:val="nil"/>
              <w:right w:val="nil"/>
            </w:tcBorders>
            <w:shd w:val="clear" w:color="auto" w:fill="auto"/>
            <w:vAlign w:val="center"/>
            <w:hideMark/>
          </w:tcPr>
          <w:p w14:paraId="6E4627E6"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(389) </w:t>
            </w:r>
          </w:p>
        </w:tc>
      </w:tr>
      <w:tr w:rsidR="00F83E32" w:rsidRPr="00F83E32" w14:paraId="768143CE" w14:textId="77777777" w:rsidTr="00B06515">
        <w:trPr>
          <w:trHeight w:val="226"/>
          <w:jc w:val="center"/>
        </w:trPr>
        <w:tc>
          <w:tcPr>
            <w:tcW w:w="1580" w:type="dxa"/>
            <w:tcBorders>
              <w:top w:val="nil"/>
              <w:left w:val="nil"/>
              <w:bottom w:val="nil"/>
              <w:right w:val="nil"/>
            </w:tcBorders>
            <w:shd w:val="clear" w:color="auto" w:fill="auto"/>
            <w:vAlign w:val="center"/>
            <w:hideMark/>
          </w:tcPr>
          <w:p w14:paraId="7DBB77C6"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(1,776) </w:t>
            </w:r>
          </w:p>
        </w:tc>
        <w:tc>
          <w:tcPr>
            <w:tcW w:w="1917" w:type="dxa"/>
            <w:tcBorders>
              <w:top w:val="nil"/>
              <w:left w:val="nil"/>
              <w:bottom w:val="nil"/>
              <w:right w:val="nil"/>
            </w:tcBorders>
            <w:shd w:val="clear" w:color="auto" w:fill="auto"/>
            <w:vAlign w:val="center"/>
            <w:hideMark/>
          </w:tcPr>
          <w:p w14:paraId="1BEED47A" w14:textId="77777777" w:rsidR="00F83E32" w:rsidRPr="00F83E32" w:rsidRDefault="00F83E32" w:rsidP="00403858">
            <w:pPr>
              <w:jc w:val="right"/>
              <w:rPr>
                <w:rFonts w:eastAsia="Times New Roman" w:cs="Arial"/>
                <w:color w:val="000000"/>
                <w:sz w:val="16"/>
                <w:szCs w:val="16"/>
                <w:lang w:val="en-GB" w:eastAsia="en-GB"/>
              </w:rPr>
            </w:pPr>
          </w:p>
        </w:tc>
        <w:tc>
          <w:tcPr>
            <w:tcW w:w="1243" w:type="dxa"/>
            <w:tcBorders>
              <w:top w:val="nil"/>
              <w:left w:val="nil"/>
              <w:bottom w:val="nil"/>
              <w:right w:val="nil"/>
            </w:tcBorders>
            <w:shd w:val="clear" w:color="auto" w:fill="auto"/>
            <w:vAlign w:val="center"/>
            <w:hideMark/>
          </w:tcPr>
          <w:p w14:paraId="345A1560"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(1,776) </w:t>
            </w:r>
          </w:p>
        </w:tc>
        <w:tc>
          <w:tcPr>
            <w:tcW w:w="3212" w:type="dxa"/>
            <w:tcBorders>
              <w:top w:val="nil"/>
              <w:left w:val="nil"/>
              <w:bottom w:val="nil"/>
              <w:right w:val="nil"/>
            </w:tcBorders>
            <w:shd w:val="clear" w:color="auto" w:fill="auto"/>
            <w:vAlign w:val="center"/>
            <w:hideMark/>
          </w:tcPr>
          <w:p w14:paraId="7EF2E188" w14:textId="5AA93DCB" w:rsidR="00F83E32" w:rsidRPr="00F83E32" w:rsidRDefault="00765F58" w:rsidP="00B06515">
            <w:pPr>
              <w:rPr>
                <w:rFonts w:eastAsia="Times New Roman" w:cs="Arial"/>
                <w:color w:val="000000"/>
                <w:sz w:val="16"/>
                <w:szCs w:val="16"/>
                <w:lang w:val="en-GB" w:eastAsia="en-GB"/>
              </w:rPr>
            </w:pPr>
            <w:r>
              <w:rPr>
                <w:rFonts w:eastAsia="Times New Roman" w:cs="Arial"/>
                <w:color w:val="000000"/>
                <w:sz w:val="16"/>
                <w:szCs w:val="16"/>
                <w:lang w:val="en-GB" w:eastAsia="en-GB"/>
              </w:rPr>
              <w:t xml:space="preserve"> </w:t>
            </w:r>
            <w:r w:rsidR="00F83E32" w:rsidRPr="00F83E32">
              <w:rPr>
                <w:rFonts w:eastAsia="Times New Roman" w:cs="Arial"/>
                <w:color w:val="000000"/>
                <w:sz w:val="16"/>
                <w:szCs w:val="16"/>
                <w:lang w:val="en-GB" w:eastAsia="en-GB"/>
              </w:rPr>
              <w:t>Amortisation for the period</w:t>
            </w:r>
          </w:p>
        </w:tc>
        <w:tc>
          <w:tcPr>
            <w:tcW w:w="1580" w:type="dxa"/>
            <w:tcBorders>
              <w:top w:val="nil"/>
              <w:left w:val="nil"/>
              <w:bottom w:val="nil"/>
              <w:right w:val="nil"/>
            </w:tcBorders>
            <w:shd w:val="clear" w:color="auto" w:fill="auto"/>
            <w:vAlign w:val="center"/>
            <w:hideMark/>
          </w:tcPr>
          <w:p w14:paraId="46C3208E"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(987) </w:t>
            </w:r>
          </w:p>
        </w:tc>
        <w:tc>
          <w:tcPr>
            <w:tcW w:w="1917" w:type="dxa"/>
            <w:tcBorders>
              <w:top w:val="nil"/>
              <w:left w:val="nil"/>
              <w:bottom w:val="nil"/>
              <w:right w:val="nil"/>
            </w:tcBorders>
            <w:shd w:val="clear" w:color="auto" w:fill="auto"/>
            <w:vAlign w:val="center"/>
            <w:hideMark/>
          </w:tcPr>
          <w:p w14:paraId="46C4D50E" w14:textId="77777777" w:rsidR="00F83E32" w:rsidRPr="00F83E32" w:rsidRDefault="00F83E32" w:rsidP="00403858">
            <w:pPr>
              <w:jc w:val="right"/>
              <w:rPr>
                <w:rFonts w:eastAsia="Times New Roman" w:cs="Arial"/>
                <w:color w:val="000000"/>
                <w:sz w:val="16"/>
                <w:szCs w:val="16"/>
                <w:lang w:val="en-GB" w:eastAsia="en-GB"/>
              </w:rPr>
            </w:pPr>
          </w:p>
        </w:tc>
        <w:tc>
          <w:tcPr>
            <w:tcW w:w="1243" w:type="dxa"/>
            <w:tcBorders>
              <w:top w:val="nil"/>
              <w:left w:val="nil"/>
              <w:bottom w:val="nil"/>
              <w:right w:val="nil"/>
            </w:tcBorders>
            <w:shd w:val="clear" w:color="auto" w:fill="auto"/>
            <w:vAlign w:val="center"/>
            <w:hideMark/>
          </w:tcPr>
          <w:p w14:paraId="082E6264"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(987) </w:t>
            </w:r>
          </w:p>
        </w:tc>
      </w:tr>
      <w:tr w:rsidR="00F83E32" w:rsidRPr="00F83E32" w14:paraId="0CA15E34" w14:textId="77777777" w:rsidTr="00B06515">
        <w:trPr>
          <w:trHeight w:val="169"/>
          <w:jc w:val="center"/>
        </w:trPr>
        <w:tc>
          <w:tcPr>
            <w:tcW w:w="1580" w:type="dxa"/>
            <w:tcBorders>
              <w:top w:val="nil"/>
              <w:left w:val="nil"/>
              <w:bottom w:val="nil"/>
              <w:right w:val="nil"/>
            </w:tcBorders>
            <w:shd w:val="clear" w:color="auto" w:fill="auto"/>
            <w:vAlign w:val="center"/>
            <w:hideMark/>
          </w:tcPr>
          <w:p w14:paraId="58133FDA" w14:textId="77777777" w:rsidR="00F83E32" w:rsidRPr="00F83E32" w:rsidRDefault="00F83E32" w:rsidP="00403858">
            <w:pPr>
              <w:jc w:val="right"/>
              <w:rPr>
                <w:rFonts w:eastAsia="Times New Roman" w:cs="Arial"/>
                <w:color w:val="000000"/>
                <w:sz w:val="16"/>
                <w:szCs w:val="16"/>
                <w:lang w:val="en-GB" w:eastAsia="en-GB"/>
              </w:rPr>
            </w:pPr>
          </w:p>
        </w:tc>
        <w:tc>
          <w:tcPr>
            <w:tcW w:w="1917" w:type="dxa"/>
            <w:tcBorders>
              <w:top w:val="nil"/>
              <w:left w:val="nil"/>
              <w:bottom w:val="nil"/>
              <w:right w:val="nil"/>
            </w:tcBorders>
            <w:shd w:val="clear" w:color="auto" w:fill="auto"/>
            <w:vAlign w:val="center"/>
            <w:hideMark/>
          </w:tcPr>
          <w:p w14:paraId="75857E83" w14:textId="77777777" w:rsidR="00F83E32" w:rsidRPr="00F83E32" w:rsidRDefault="00F83E32" w:rsidP="00403858">
            <w:pPr>
              <w:jc w:val="right"/>
              <w:rPr>
                <w:rFonts w:ascii="Times New Roman" w:eastAsia="Times New Roman" w:hAnsi="Times New Roman" w:cs="Times New Roman"/>
                <w:sz w:val="20"/>
                <w:szCs w:val="20"/>
                <w:lang w:val="en-GB" w:eastAsia="en-GB"/>
              </w:rPr>
            </w:pPr>
          </w:p>
        </w:tc>
        <w:tc>
          <w:tcPr>
            <w:tcW w:w="1243" w:type="dxa"/>
            <w:tcBorders>
              <w:top w:val="nil"/>
              <w:left w:val="nil"/>
              <w:bottom w:val="nil"/>
              <w:right w:val="nil"/>
            </w:tcBorders>
            <w:shd w:val="clear" w:color="auto" w:fill="auto"/>
            <w:vAlign w:val="center"/>
            <w:hideMark/>
          </w:tcPr>
          <w:p w14:paraId="1D534C25"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0  </w:t>
            </w:r>
          </w:p>
        </w:tc>
        <w:tc>
          <w:tcPr>
            <w:tcW w:w="3212" w:type="dxa"/>
            <w:tcBorders>
              <w:top w:val="nil"/>
              <w:left w:val="nil"/>
              <w:bottom w:val="nil"/>
              <w:right w:val="nil"/>
            </w:tcBorders>
            <w:shd w:val="clear" w:color="auto" w:fill="auto"/>
            <w:vAlign w:val="center"/>
            <w:hideMark/>
          </w:tcPr>
          <w:p w14:paraId="1F9CF84B" w14:textId="29B46E49" w:rsidR="00F83E32" w:rsidRPr="00F83E32" w:rsidRDefault="00765F58" w:rsidP="00B06515">
            <w:pPr>
              <w:rPr>
                <w:rFonts w:eastAsia="Times New Roman" w:cs="Arial"/>
                <w:color w:val="000000"/>
                <w:sz w:val="16"/>
                <w:szCs w:val="16"/>
                <w:lang w:val="en-GB" w:eastAsia="en-GB"/>
              </w:rPr>
            </w:pPr>
            <w:r>
              <w:rPr>
                <w:rFonts w:eastAsia="Times New Roman" w:cs="Arial"/>
                <w:color w:val="000000"/>
                <w:sz w:val="16"/>
                <w:szCs w:val="16"/>
                <w:lang w:val="en-GB" w:eastAsia="en-GB"/>
              </w:rPr>
              <w:t xml:space="preserve"> </w:t>
            </w:r>
            <w:r w:rsidR="00F83E32" w:rsidRPr="00F83E32">
              <w:rPr>
                <w:rFonts w:eastAsia="Times New Roman" w:cs="Arial"/>
                <w:color w:val="000000"/>
                <w:sz w:val="16"/>
                <w:szCs w:val="16"/>
                <w:lang w:val="en-GB" w:eastAsia="en-GB"/>
              </w:rPr>
              <w:t>Amortisation written off on disposal</w:t>
            </w:r>
          </w:p>
        </w:tc>
        <w:tc>
          <w:tcPr>
            <w:tcW w:w="1580" w:type="dxa"/>
            <w:tcBorders>
              <w:top w:val="nil"/>
              <w:left w:val="nil"/>
              <w:bottom w:val="nil"/>
              <w:right w:val="nil"/>
            </w:tcBorders>
            <w:shd w:val="clear" w:color="auto" w:fill="auto"/>
            <w:vAlign w:val="center"/>
            <w:hideMark/>
          </w:tcPr>
          <w:p w14:paraId="63EE0858" w14:textId="77777777" w:rsidR="00F83E32" w:rsidRPr="00F83E32" w:rsidRDefault="00403858" w:rsidP="00403858">
            <w:pPr>
              <w:jc w:val="right"/>
              <w:rPr>
                <w:rFonts w:eastAsia="Times New Roman" w:cs="Arial"/>
                <w:color w:val="000000"/>
                <w:sz w:val="16"/>
                <w:szCs w:val="16"/>
                <w:lang w:val="en-GB" w:eastAsia="en-GB"/>
              </w:rPr>
            </w:pPr>
            <w:r>
              <w:rPr>
                <w:rFonts w:eastAsia="Times New Roman" w:cs="Arial"/>
                <w:color w:val="000000"/>
                <w:sz w:val="16"/>
                <w:szCs w:val="16"/>
                <w:lang w:val="en-GB" w:eastAsia="en-GB"/>
              </w:rPr>
              <w:t>1,924</w:t>
            </w:r>
            <w:r w:rsidR="00F83E32" w:rsidRPr="00F83E32">
              <w:rPr>
                <w:rFonts w:eastAsia="Times New Roman" w:cs="Arial"/>
                <w:color w:val="000000"/>
                <w:sz w:val="16"/>
                <w:szCs w:val="16"/>
                <w:lang w:val="en-GB" w:eastAsia="en-GB"/>
              </w:rPr>
              <w:t xml:space="preserve">  </w:t>
            </w:r>
          </w:p>
        </w:tc>
        <w:tc>
          <w:tcPr>
            <w:tcW w:w="1917" w:type="dxa"/>
            <w:tcBorders>
              <w:top w:val="nil"/>
              <w:left w:val="nil"/>
              <w:bottom w:val="nil"/>
              <w:right w:val="nil"/>
            </w:tcBorders>
            <w:shd w:val="clear" w:color="auto" w:fill="auto"/>
            <w:vAlign w:val="center"/>
            <w:hideMark/>
          </w:tcPr>
          <w:p w14:paraId="3DC31387" w14:textId="77777777" w:rsidR="00F83E32" w:rsidRPr="00F83E32" w:rsidRDefault="00F83E32" w:rsidP="00403858">
            <w:pPr>
              <w:jc w:val="right"/>
              <w:rPr>
                <w:rFonts w:eastAsia="Times New Roman" w:cs="Arial"/>
                <w:color w:val="000000"/>
                <w:sz w:val="16"/>
                <w:szCs w:val="16"/>
                <w:lang w:val="en-GB" w:eastAsia="en-GB"/>
              </w:rPr>
            </w:pPr>
          </w:p>
        </w:tc>
        <w:tc>
          <w:tcPr>
            <w:tcW w:w="1243" w:type="dxa"/>
            <w:tcBorders>
              <w:top w:val="nil"/>
              <w:left w:val="nil"/>
              <w:bottom w:val="nil"/>
              <w:right w:val="nil"/>
            </w:tcBorders>
            <w:shd w:val="clear" w:color="auto" w:fill="auto"/>
            <w:vAlign w:val="center"/>
            <w:hideMark/>
          </w:tcPr>
          <w:p w14:paraId="7FD0E9AC" w14:textId="77777777" w:rsidR="00F83E32" w:rsidRPr="00F83E32" w:rsidRDefault="00403858" w:rsidP="00403858">
            <w:pPr>
              <w:jc w:val="right"/>
              <w:rPr>
                <w:rFonts w:eastAsia="Times New Roman" w:cs="Arial"/>
                <w:color w:val="000000"/>
                <w:sz w:val="16"/>
                <w:szCs w:val="16"/>
                <w:lang w:val="en-GB" w:eastAsia="en-GB"/>
              </w:rPr>
            </w:pPr>
            <w:r>
              <w:rPr>
                <w:rFonts w:eastAsia="Times New Roman" w:cs="Arial"/>
                <w:color w:val="000000"/>
                <w:sz w:val="16"/>
                <w:szCs w:val="16"/>
                <w:lang w:val="en-GB" w:eastAsia="en-GB"/>
              </w:rPr>
              <w:t>1,924</w:t>
            </w:r>
            <w:r w:rsidR="00F83E32" w:rsidRPr="00F83E32">
              <w:rPr>
                <w:rFonts w:eastAsia="Times New Roman" w:cs="Arial"/>
                <w:color w:val="000000"/>
                <w:sz w:val="16"/>
                <w:szCs w:val="16"/>
                <w:lang w:val="en-GB" w:eastAsia="en-GB"/>
              </w:rPr>
              <w:t xml:space="preserve">  </w:t>
            </w:r>
          </w:p>
        </w:tc>
      </w:tr>
      <w:tr w:rsidR="00403858" w:rsidRPr="00F83E32" w14:paraId="7C5A177F" w14:textId="77777777" w:rsidTr="00B06515">
        <w:trPr>
          <w:trHeight w:val="129"/>
          <w:jc w:val="center"/>
        </w:trPr>
        <w:tc>
          <w:tcPr>
            <w:tcW w:w="1580" w:type="dxa"/>
            <w:tcBorders>
              <w:top w:val="nil"/>
              <w:left w:val="nil"/>
              <w:bottom w:val="nil"/>
              <w:right w:val="nil"/>
            </w:tcBorders>
            <w:shd w:val="clear" w:color="auto" w:fill="auto"/>
            <w:vAlign w:val="center"/>
          </w:tcPr>
          <w:p w14:paraId="25A7A7F7" w14:textId="77777777" w:rsidR="00403858" w:rsidRPr="00F83E32" w:rsidRDefault="00403858" w:rsidP="00403858">
            <w:pPr>
              <w:jc w:val="right"/>
              <w:rPr>
                <w:rFonts w:eastAsia="Times New Roman" w:cs="Arial"/>
                <w:color w:val="000000"/>
                <w:sz w:val="16"/>
                <w:szCs w:val="16"/>
                <w:lang w:val="en-GB" w:eastAsia="en-GB"/>
              </w:rPr>
            </w:pPr>
            <w:r>
              <w:rPr>
                <w:rFonts w:eastAsia="Times New Roman" w:cs="Arial"/>
                <w:color w:val="000000"/>
                <w:sz w:val="16"/>
                <w:szCs w:val="16"/>
                <w:lang w:val="en-GB" w:eastAsia="en-GB"/>
              </w:rPr>
              <w:t>0</w:t>
            </w:r>
          </w:p>
        </w:tc>
        <w:tc>
          <w:tcPr>
            <w:tcW w:w="1917" w:type="dxa"/>
            <w:tcBorders>
              <w:top w:val="nil"/>
              <w:left w:val="nil"/>
              <w:bottom w:val="nil"/>
              <w:right w:val="nil"/>
            </w:tcBorders>
            <w:shd w:val="clear" w:color="auto" w:fill="auto"/>
            <w:vAlign w:val="center"/>
          </w:tcPr>
          <w:p w14:paraId="2BE3759D" w14:textId="77777777" w:rsidR="00403858" w:rsidRPr="00F83E32" w:rsidRDefault="00403858" w:rsidP="00403858">
            <w:pPr>
              <w:jc w:val="right"/>
              <w:rPr>
                <w:rFonts w:ascii="Times New Roman" w:eastAsia="Times New Roman" w:hAnsi="Times New Roman" w:cs="Times New Roman"/>
                <w:sz w:val="20"/>
                <w:szCs w:val="20"/>
                <w:lang w:val="en-GB" w:eastAsia="en-GB"/>
              </w:rPr>
            </w:pPr>
          </w:p>
        </w:tc>
        <w:tc>
          <w:tcPr>
            <w:tcW w:w="1243" w:type="dxa"/>
            <w:tcBorders>
              <w:top w:val="nil"/>
              <w:left w:val="nil"/>
              <w:bottom w:val="nil"/>
              <w:right w:val="nil"/>
            </w:tcBorders>
            <w:shd w:val="clear" w:color="auto" w:fill="auto"/>
            <w:vAlign w:val="center"/>
          </w:tcPr>
          <w:p w14:paraId="5023DB6E" w14:textId="77777777" w:rsidR="00403858" w:rsidRPr="00F83E32" w:rsidRDefault="00403858" w:rsidP="00403858">
            <w:pPr>
              <w:jc w:val="right"/>
              <w:rPr>
                <w:rFonts w:eastAsia="Times New Roman" w:cs="Arial"/>
                <w:color w:val="000000"/>
                <w:sz w:val="16"/>
                <w:szCs w:val="16"/>
                <w:lang w:val="en-GB" w:eastAsia="en-GB"/>
              </w:rPr>
            </w:pPr>
            <w:r>
              <w:rPr>
                <w:rFonts w:eastAsia="Times New Roman" w:cs="Arial"/>
                <w:color w:val="000000"/>
                <w:sz w:val="16"/>
                <w:szCs w:val="16"/>
                <w:lang w:val="en-GB" w:eastAsia="en-GB"/>
              </w:rPr>
              <w:t>0</w:t>
            </w:r>
          </w:p>
        </w:tc>
        <w:tc>
          <w:tcPr>
            <w:tcW w:w="3212" w:type="dxa"/>
            <w:tcBorders>
              <w:top w:val="nil"/>
              <w:left w:val="nil"/>
              <w:bottom w:val="nil"/>
              <w:right w:val="nil"/>
            </w:tcBorders>
            <w:shd w:val="clear" w:color="auto" w:fill="auto"/>
            <w:vAlign w:val="center"/>
          </w:tcPr>
          <w:p w14:paraId="0AA5EB2C" w14:textId="36A65513" w:rsidR="00403858" w:rsidRPr="00F83E32" w:rsidRDefault="00765F58" w:rsidP="00B06515">
            <w:pPr>
              <w:rPr>
                <w:rFonts w:eastAsia="Times New Roman" w:cs="Arial"/>
                <w:color w:val="000000"/>
                <w:sz w:val="16"/>
                <w:szCs w:val="16"/>
                <w:lang w:val="en-GB" w:eastAsia="en-GB"/>
              </w:rPr>
            </w:pPr>
            <w:r>
              <w:rPr>
                <w:rFonts w:eastAsia="Times New Roman" w:cs="Arial"/>
                <w:color w:val="000000"/>
                <w:sz w:val="16"/>
                <w:szCs w:val="16"/>
                <w:lang w:val="en-GB" w:eastAsia="en-GB"/>
              </w:rPr>
              <w:t xml:space="preserve"> </w:t>
            </w:r>
            <w:r w:rsidR="00403858">
              <w:rPr>
                <w:rFonts w:eastAsia="Times New Roman" w:cs="Arial"/>
                <w:color w:val="000000"/>
                <w:sz w:val="16"/>
                <w:szCs w:val="16"/>
                <w:lang w:val="en-GB" w:eastAsia="en-GB"/>
              </w:rPr>
              <w:t>Other changes</w:t>
            </w:r>
          </w:p>
        </w:tc>
        <w:tc>
          <w:tcPr>
            <w:tcW w:w="1580" w:type="dxa"/>
            <w:tcBorders>
              <w:top w:val="nil"/>
              <w:left w:val="nil"/>
              <w:bottom w:val="nil"/>
              <w:right w:val="nil"/>
            </w:tcBorders>
            <w:shd w:val="clear" w:color="auto" w:fill="auto"/>
            <w:vAlign w:val="center"/>
          </w:tcPr>
          <w:p w14:paraId="1A3BB328" w14:textId="77777777" w:rsidR="00403858" w:rsidRDefault="00403858" w:rsidP="00403858">
            <w:pPr>
              <w:jc w:val="right"/>
              <w:rPr>
                <w:rFonts w:eastAsia="Times New Roman" w:cs="Arial"/>
                <w:color w:val="000000"/>
                <w:sz w:val="16"/>
                <w:szCs w:val="16"/>
                <w:lang w:val="en-GB" w:eastAsia="en-GB"/>
              </w:rPr>
            </w:pPr>
            <w:r>
              <w:rPr>
                <w:rFonts w:eastAsia="Times New Roman" w:cs="Arial"/>
                <w:color w:val="000000"/>
                <w:sz w:val="16"/>
                <w:szCs w:val="16"/>
                <w:lang w:val="en-GB" w:eastAsia="en-GB"/>
              </w:rPr>
              <w:t>(6)</w:t>
            </w:r>
          </w:p>
        </w:tc>
        <w:tc>
          <w:tcPr>
            <w:tcW w:w="1917" w:type="dxa"/>
            <w:tcBorders>
              <w:top w:val="nil"/>
              <w:left w:val="nil"/>
              <w:bottom w:val="nil"/>
              <w:right w:val="nil"/>
            </w:tcBorders>
            <w:shd w:val="clear" w:color="auto" w:fill="auto"/>
            <w:vAlign w:val="center"/>
          </w:tcPr>
          <w:p w14:paraId="7F54B389" w14:textId="77777777" w:rsidR="00403858" w:rsidRPr="00F83E32" w:rsidRDefault="00403858" w:rsidP="00403858">
            <w:pPr>
              <w:jc w:val="right"/>
              <w:rPr>
                <w:rFonts w:eastAsia="Times New Roman" w:cs="Arial"/>
                <w:color w:val="000000"/>
                <w:sz w:val="16"/>
                <w:szCs w:val="16"/>
                <w:lang w:val="en-GB" w:eastAsia="en-GB"/>
              </w:rPr>
            </w:pPr>
          </w:p>
        </w:tc>
        <w:tc>
          <w:tcPr>
            <w:tcW w:w="1243" w:type="dxa"/>
            <w:tcBorders>
              <w:top w:val="nil"/>
              <w:left w:val="nil"/>
              <w:bottom w:val="nil"/>
              <w:right w:val="nil"/>
            </w:tcBorders>
            <w:shd w:val="clear" w:color="auto" w:fill="auto"/>
            <w:vAlign w:val="center"/>
          </w:tcPr>
          <w:p w14:paraId="6F787CD6" w14:textId="77777777" w:rsidR="00403858" w:rsidRDefault="00403858" w:rsidP="00403858">
            <w:pPr>
              <w:jc w:val="right"/>
              <w:rPr>
                <w:rFonts w:eastAsia="Times New Roman" w:cs="Arial"/>
                <w:color w:val="000000"/>
                <w:sz w:val="16"/>
                <w:szCs w:val="16"/>
                <w:lang w:val="en-GB" w:eastAsia="en-GB"/>
              </w:rPr>
            </w:pPr>
            <w:r>
              <w:rPr>
                <w:rFonts w:eastAsia="Times New Roman" w:cs="Arial"/>
                <w:color w:val="000000"/>
                <w:sz w:val="16"/>
                <w:szCs w:val="16"/>
                <w:lang w:val="en-GB" w:eastAsia="en-GB"/>
              </w:rPr>
              <w:t>(6)</w:t>
            </w:r>
          </w:p>
        </w:tc>
      </w:tr>
      <w:tr w:rsidR="00F83E32" w:rsidRPr="00F83E32" w14:paraId="7A0D0415" w14:textId="77777777" w:rsidTr="00B06515">
        <w:trPr>
          <w:trHeight w:val="350"/>
          <w:jc w:val="center"/>
        </w:trPr>
        <w:tc>
          <w:tcPr>
            <w:tcW w:w="1580" w:type="dxa"/>
            <w:tcBorders>
              <w:top w:val="single" w:sz="8" w:space="0" w:color="000000"/>
              <w:left w:val="nil"/>
              <w:bottom w:val="nil"/>
              <w:right w:val="nil"/>
            </w:tcBorders>
            <w:shd w:val="clear" w:color="auto" w:fill="auto"/>
            <w:vAlign w:val="center"/>
            <w:hideMark/>
          </w:tcPr>
          <w:p w14:paraId="274469C9" w14:textId="77777777" w:rsidR="00F83E32" w:rsidRPr="00F83E32" w:rsidRDefault="00F83E32" w:rsidP="00403858">
            <w:pPr>
              <w:jc w:val="right"/>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 xml:space="preserve">456  </w:t>
            </w:r>
          </w:p>
        </w:tc>
        <w:tc>
          <w:tcPr>
            <w:tcW w:w="1917" w:type="dxa"/>
            <w:tcBorders>
              <w:top w:val="single" w:sz="8" w:space="0" w:color="000000"/>
              <w:left w:val="nil"/>
              <w:bottom w:val="nil"/>
              <w:right w:val="nil"/>
            </w:tcBorders>
            <w:shd w:val="clear" w:color="auto" w:fill="auto"/>
            <w:vAlign w:val="center"/>
            <w:hideMark/>
          </w:tcPr>
          <w:p w14:paraId="069B073C" w14:textId="77777777" w:rsidR="00F83E32" w:rsidRPr="00F83E32" w:rsidRDefault="00F83E32" w:rsidP="00403858">
            <w:pPr>
              <w:jc w:val="right"/>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 xml:space="preserve">3,158  </w:t>
            </w:r>
          </w:p>
        </w:tc>
        <w:tc>
          <w:tcPr>
            <w:tcW w:w="1243" w:type="dxa"/>
            <w:tcBorders>
              <w:top w:val="single" w:sz="8" w:space="0" w:color="000000"/>
              <w:left w:val="nil"/>
              <w:bottom w:val="nil"/>
              <w:right w:val="nil"/>
            </w:tcBorders>
            <w:shd w:val="clear" w:color="auto" w:fill="auto"/>
            <w:vAlign w:val="center"/>
            <w:hideMark/>
          </w:tcPr>
          <w:p w14:paraId="047139A7" w14:textId="77777777" w:rsidR="00F83E32" w:rsidRPr="00F83E32" w:rsidRDefault="00F83E32" w:rsidP="00403858">
            <w:pPr>
              <w:jc w:val="right"/>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 xml:space="preserve">3,614  </w:t>
            </w:r>
          </w:p>
        </w:tc>
        <w:tc>
          <w:tcPr>
            <w:tcW w:w="3212" w:type="dxa"/>
            <w:tcBorders>
              <w:top w:val="single" w:sz="8" w:space="0" w:color="000000"/>
              <w:left w:val="nil"/>
              <w:bottom w:val="nil"/>
              <w:right w:val="nil"/>
            </w:tcBorders>
            <w:shd w:val="clear" w:color="auto" w:fill="auto"/>
            <w:vAlign w:val="center"/>
            <w:hideMark/>
          </w:tcPr>
          <w:p w14:paraId="06BD7FA2" w14:textId="77777777" w:rsidR="00F83E32" w:rsidRPr="00F83E32" w:rsidRDefault="00F83E32" w:rsidP="00F83E32">
            <w:pPr>
              <w:jc w:val="center"/>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Net carrying amount at end of year</w:t>
            </w:r>
          </w:p>
        </w:tc>
        <w:tc>
          <w:tcPr>
            <w:tcW w:w="1580" w:type="dxa"/>
            <w:tcBorders>
              <w:top w:val="single" w:sz="8" w:space="0" w:color="000000"/>
              <w:left w:val="nil"/>
              <w:bottom w:val="nil"/>
              <w:right w:val="nil"/>
            </w:tcBorders>
            <w:shd w:val="clear" w:color="auto" w:fill="auto"/>
            <w:vAlign w:val="center"/>
            <w:hideMark/>
          </w:tcPr>
          <w:p w14:paraId="2ED613AA" w14:textId="77777777" w:rsidR="00F83E32" w:rsidRPr="00F83E32" w:rsidRDefault="00F83E32" w:rsidP="00403858">
            <w:pPr>
              <w:jc w:val="right"/>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 xml:space="preserve">4,728  </w:t>
            </w:r>
          </w:p>
        </w:tc>
        <w:tc>
          <w:tcPr>
            <w:tcW w:w="1917" w:type="dxa"/>
            <w:tcBorders>
              <w:top w:val="single" w:sz="8" w:space="0" w:color="000000"/>
              <w:left w:val="nil"/>
              <w:bottom w:val="nil"/>
              <w:right w:val="nil"/>
            </w:tcBorders>
            <w:shd w:val="clear" w:color="auto" w:fill="auto"/>
            <w:vAlign w:val="center"/>
            <w:hideMark/>
          </w:tcPr>
          <w:p w14:paraId="65BD21DE" w14:textId="77777777" w:rsidR="00F83E32" w:rsidRPr="00F83E32" w:rsidRDefault="00403858" w:rsidP="00403858">
            <w:pPr>
              <w:jc w:val="right"/>
              <w:rPr>
                <w:rFonts w:eastAsia="Times New Roman" w:cs="Arial"/>
                <w:b/>
                <w:bCs/>
                <w:color w:val="000000"/>
                <w:sz w:val="16"/>
                <w:szCs w:val="16"/>
                <w:lang w:val="en-GB" w:eastAsia="en-GB"/>
              </w:rPr>
            </w:pPr>
            <w:r>
              <w:rPr>
                <w:rFonts w:eastAsia="Times New Roman" w:cs="Arial"/>
                <w:b/>
                <w:bCs/>
                <w:color w:val="000000"/>
                <w:sz w:val="16"/>
                <w:szCs w:val="16"/>
                <w:lang w:val="en-GB" w:eastAsia="en-GB"/>
              </w:rPr>
              <w:t>98</w:t>
            </w:r>
            <w:r w:rsidR="00F83E32" w:rsidRPr="00F83E32">
              <w:rPr>
                <w:rFonts w:eastAsia="Times New Roman" w:cs="Arial"/>
                <w:b/>
                <w:bCs/>
                <w:color w:val="000000"/>
                <w:sz w:val="16"/>
                <w:szCs w:val="16"/>
                <w:lang w:val="en-GB" w:eastAsia="en-GB"/>
              </w:rPr>
              <w:t xml:space="preserve">  </w:t>
            </w:r>
          </w:p>
        </w:tc>
        <w:tc>
          <w:tcPr>
            <w:tcW w:w="1243" w:type="dxa"/>
            <w:tcBorders>
              <w:top w:val="single" w:sz="8" w:space="0" w:color="000000"/>
              <w:left w:val="nil"/>
              <w:bottom w:val="nil"/>
              <w:right w:val="nil"/>
            </w:tcBorders>
            <w:shd w:val="clear" w:color="auto" w:fill="auto"/>
            <w:vAlign w:val="center"/>
            <w:hideMark/>
          </w:tcPr>
          <w:p w14:paraId="23C93BEF" w14:textId="77777777" w:rsidR="00F83E32" w:rsidRPr="00F83E32" w:rsidRDefault="00403858" w:rsidP="00403858">
            <w:pPr>
              <w:jc w:val="right"/>
              <w:rPr>
                <w:rFonts w:eastAsia="Times New Roman" w:cs="Arial"/>
                <w:b/>
                <w:bCs/>
                <w:color w:val="000000"/>
                <w:sz w:val="16"/>
                <w:szCs w:val="16"/>
                <w:lang w:val="en-GB" w:eastAsia="en-GB"/>
              </w:rPr>
            </w:pPr>
            <w:r>
              <w:rPr>
                <w:rFonts w:eastAsia="Times New Roman" w:cs="Arial"/>
                <w:b/>
                <w:bCs/>
                <w:color w:val="000000"/>
                <w:sz w:val="16"/>
                <w:szCs w:val="16"/>
                <w:lang w:val="en-GB" w:eastAsia="en-GB"/>
              </w:rPr>
              <w:t>4,826</w:t>
            </w:r>
            <w:r w:rsidR="00F83E32" w:rsidRPr="00F83E32">
              <w:rPr>
                <w:rFonts w:eastAsia="Times New Roman" w:cs="Arial"/>
                <w:b/>
                <w:bCs/>
                <w:color w:val="000000"/>
                <w:sz w:val="16"/>
                <w:szCs w:val="16"/>
                <w:lang w:val="en-GB" w:eastAsia="en-GB"/>
              </w:rPr>
              <w:t xml:space="preserve">  </w:t>
            </w:r>
          </w:p>
        </w:tc>
      </w:tr>
      <w:tr w:rsidR="00F83E32" w:rsidRPr="00F83E32" w14:paraId="4DB052DF" w14:textId="77777777" w:rsidTr="00B06515">
        <w:trPr>
          <w:trHeight w:val="71"/>
          <w:jc w:val="center"/>
        </w:trPr>
        <w:tc>
          <w:tcPr>
            <w:tcW w:w="1580" w:type="dxa"/>
            <w:tcBorders>
              <w:top w:val="nil"/>
              <w:left w:val="nil"/>
              <w:bottom w:val="nil"/>
              <w:right w:val="nil"/>
            </w:tcBorders>
            <w:shd w:val="clear" w:color="auto" w:fill="auto"/>
            <w:vAlign w:val="center"/>
            <w:hideMark/>
          </w:tcPr>
          <w:p w14:paraId="606285AD" w14:textId="77777777" w:rsidR="00F83E32" w:rsidRPr="00F83E32" w:rsidRDefault="00F83E32" w:rsidP="00403858">
            <w:pPr>
              <w:jc w:val="right"/>
              <w:rPr>
                <w:rFonts w:eastAsia="Times New Roman" w:cs="Arial"/>
                <w:b/>
                <w:bCs/>
                <w:color w:val="000000"/>
                <w:sz w:val="16"/>
                <w:szCs w:val="16"/>
                <w:lang w:val="en-GB" w:eastAsia="en-GB"/>
              </w:rPr>
            </w:pPr>
          </w:p>
        </w:tc>
        <w:tc>
          <w:tcPr>
            <w:tcW w:w="1917" w:type="dxa"/>
            <w:tcBorders>
              <w:top w:val="nil"/>
              <w:left w:val="nil"/>
              <w:bottom w:val="nil"/>
              <w:right w:val="nil"/>
            </w:tcBorders>
            <w:shd w:val="clear" w:color="auto" w:fill="auto"/>
            <w:vAlign w:val="center"/>
            <w:hideMark/>
          </w:tcPr>
          <w:p w14:paraId="3EAF14FD" w14:textId="77777777" w:rsidR="00F83E32" w:rsidRPr="00F83E32" w:rsidRDefault="00F83E32" w:rsidP="00403858">
            <w:pPr>
              <w:jc w:val="right"/>
              <w:rPr>
                <w:rFonts w:ascii="Times New Roman" w:eastAsia="Times New Roman" w:hAnsi="Times New Roman" w:cs="Times New Roman"/>
                <w:sz w:val="20"/>
                <w:szCs w:val="20"/>
                <w:lang w:val="en-GB" w:eastAsia="en-GB"/>
              </w:rPr>
            </w:pPr>
          </w:p>
        </w:tc>
        <w:tc>
          <w:tcPr>
            <w:tcW w:w="1243" w:type="dxa"/>
            <w:tcBorders>
              <w:top w:val="nil"/>
              <w:left w:val="nil"/>
              <w:bottom w:val="nil"/>
              <w:right w:val="nil"/>
            </w:tcBorders>
            <w:shd w:val="clear" w:color="auto" w:fill="auto"/>
            <w:vAlign w:val="center"/>
            <w:hideMark/>
          </w:tcPr>
          <w:p w14:paraId="5DC51143" w14:textId="77777777" w:rsidR="00F83E32" w:rsidRPr="00F83E32" w:rsidRDefault="00F83E32" w:rsidP="00403858">
            <w:pPr>
              <w:jc w:val="right"/>
              <w:rPr>
                <w:rFonts w:eastAsia="Times New Roman" w:cs="Arial"/>
                <w:color w:val="000000"/>
                <w:sz w:val="2"/>
                <w:szCs w:val="2"/>
                <w:lang w:val="en-GB" w:eastAsia="en-GB"/>
              </w:rPr>
            </w:pPr>
            <w:r w:rsidRPr="00F83E32">
              <w:rPr>
                <w:rFonts w:eastAsia="Times New Roman" w:cs="Arial"/>
                <w:color w:val="000000"/>
                <w:sz w:val="2"/>
                <w:szCs w:val="2"/>
                <w:lang w:val="en-GB" w:eastAsia="en-GB"/>
              </w:rPr>
              <w:t xml:space="preserve"> </w:t>
            </w:r>
          </w:p>
        </w:tc>
        <w:tc>
          <w:tcPr>
            <w:tcW w:w="3212" w:type="dxa"/>
            <w:tcBorders>
              <w:top w:val="nil"/>
              <w:left w:val="nil"/>
              <w:bottom w:val="nil"/>
              <w:right w:val="nil"/>
            </w:tcBorders>
            <w:shd w:val="clear" w:color="auto" w:fill="auto"/>
            <w:vAlign w:val="center"/>
            <w:hideMark/>
          </w:tcPr>
          <w:p w14:paraId="6C3431FF" w14:textId="77777777" w:rsidR="00F83E32" w:rsidRPr="00F83E32" w:rsidRDefault="00F83E32" w:rsidP="00F83E32">
            <w:pPr>
              <w:jc w:val="center"/>
              <w:rPr>
                <w:rFonts w:eastAsia="Times New Roman" w:cs="Arial"/>
                <w:color w:val="000000"/>
                <w:sz w:val="2"/>
                <w:szCs w:val="2"/>
                <w:lang w:val="en-GB" w:eastAsia="en-GB"/>
              </w:rPr>
            </w:pPr>
            <w:r w:rsidRPr="00F83E32">
              <w:rPr>
                <w:rFonts w:eastAsia="Times New Roman" w:cs="Arial"/>
                <w:color w:val="000000"/>
                <w:sz w:val="2"/>
                <w:szCs w:val="2"/>
                <w:lang w:val="en-GB" w:eastAsia="en-GB"/>
              </w:rPr>
              <w:t xml:space="preserve"> </w:t>
            </w:r>
          </w:p>
        </w:tc>
        <w:tc>
          <w:tcPr>
            <w:tcW w:w="1580" w:type="dxa"/>
            <w:tcBorders>
              <w:top w:val="nil"/>
              <w:left w:val="nil"/>
              <w:bottom w:val="nil"/>
              <w:right w:val="nil"/>
            </w:tcBorders>
            <w:shd w:val="clear" w:color="auto" w:fill="auto"/>
            <w:vAlign w:val="center"/>
            <w:hideMark/>
          </w:tcPr>
          <w:p w14:paraId="296EEABD" w14:textId="77777777" w:rsidR="00F83E32" w:rsidRPr="00F83E32" w:rsidRDefault="00F83E32" w:rsidP="00403858">
            <w:pPr>
              <w:jc w:val="right"/>
              <w:rPr>
                <w:rFonts w:eastAsia="Times New Roman" w:cs="Arial"/>
                <w:color w:val="000000"/>
                <w:sz w:val="2"/>
                <w:szCs w:val="2"/>
                <w:lang w:val="en-GB" w:eastAsia="en-GB"/>
              </w:rPr>
            </w:pPr>
          </w:p>
        </w:tc>
        <w:tc>
          <w:tcPr>
            <w:tcW w:w="1917" w:type="dxa"/>
            <w:tcBorders>
              <w:top w:val="nil"/>
              <w:left w:val="nil"/>
              <w:bottom w:val="nil"/>
              <w:right w:val="nil"/>
            </w:tcBorders>
            <w:shd w:val="clear" w:color="auto" w:fill="auto"/>
            <w:vAlign w:val="center"/>
            <w:hideMark/>
          </w:tcPr>
          <w:p w14:paraId="1F302C1B" w14:textId="77777777" w:rsidR="00F83E32" w:rsidRPr="00F83E32" w:rsidRDefault="00F83E32" w:rsidP="00403858">
            <w:pPr>
              <w:jc w:val="right"/>
              <w:rPr>
                <w:rFonts w:ascii="Times New Roman" w:eastAsia="Times New Roman" w:hAnsi="Times New Roman" w:cs="Times New Roman"/>
                <w:sz w:val="20"/>
                <w:szCs w:val="20"/>
                <w:lang w:val="en-GB" w:eastAsia="en-GB"/>
              </w:rPr>
            </w:pPr>
          </w:p>
        </w:tc>
        <w:tc>
          <w:tcPr>
            <w:tcW w:w="1243" w:type="dxa"/>
            <w:tcBorders>
              <w:top w:val="nil"/>
              <w:left w:val="nil"/>
              <w:bottom w:val="nil"/>
              <w:right w:val="nil"/>
            </w:tcBorders>
            <w:shd w:val="clear" w:color="auto" w:fill="auto"/>
            <w:vAlign w:val="center"/>
            <w:hideMark/>
          </w:tcPr>
          <w:p w14:paraId="1618BA50" w14:textId="77777777" w:rsidR="00F83E32" w:rsidRPr="00F83E32" w:rsidRDefault="00F83E32" w:rsidP="00403858">
            <w:pPr>
              <w:jc w:val="right"/>
              <w:rPr>
                <w:rFonts w:eastAsia="Times New Roman" w:cs="Arial"/>
                <w:color w:val="000000"/>
                <w:sz w:val="2"/>
                <w:szCs w:val="2"/>
                <w:lang w:val="en-GB" w:eastAsia="en-GB"/>
              </w:rPr>
            </w:pPr>
            <w:r w:rsidRPr="00F83E32">
              <w:rPr>
                <w:rFonts w:eastAsia="Times New Roman" w:cs="Arial"/>
                <w:color w:val="000000"/>
                <w:sz w:val="2"/>
                <w:szCs w:val="2"/>
                <w:lang w:val="en-GB" w:eastAsia="en-GB"/>
              </w:rPr>
              <w:t xml:space="preserve"> </w:t>
            </w:r>
          </w:p>
        </w:tc>
      </w:tr>
      <w:tr w:rsidR="00F83E32" w:rsidRPr="00F83E32" w14:paraId="11C043FE" w14:textId="77777777" w:rsidTr="00B06515">
        <w:trPr>
          <w:trHeight w:val="226"/>
          <w:jc w:val="center"/>
        </w:trPr>
        <w:tc>
          <w:tcPr>
            <w:tcW w:w="1580" w:type="dxa"/>
            <w:tcBorders>
              <w:top w:val="nil"/>
              <w:left w:val="nil"/>
              <w:bottom w:val="nil"/>
              <w:right w:val="nil"/>
            </w:tcBorders>
            <w:shd w:val="clear" w:color="auto" w:fill="auto"/>
            <w:vAlign w:val="center"/>
            <w:hideMark/>
          </w:tcPr>
          <w:p w14:paraId="00681D9E" w14:textId="77777777" w:rsidR="00F83E32" w:rsidRPr="00F83E32" w:rsidRDefault="00F83E32" w:rsidP="00403858">
            <w:pPr>
              <w:jc w:val="right"/>
              <w:rPr>
                <w:rFonts w:eastAsia="Times New Roman" w:cs="Arial"/>
                <w:color w:val="000000"/>
                <w:sz w:val="2"/>
                <w:szCs w:val="2"/>
                <w:lang w:val="en-GB" w:eastAsia="en-GB"/>
              </w:rPr>
            </w:pPr>
          </w:p>
        </w:tc>
        <w:tc>
          <w:tcPr>
            <w:tcW w:w="1917" w:type="dxa"/>
            <w:tcBorders>
              <w:top w:val="nil"/>
              <w:left w:val="nil"/>
              <w:bottom w:val="nil"/>
              <w:right w:val="nil"/>
            </w:tcBorders>
            <w:shd w:val="clear" w:color="auto" w:fill="auto"/>
            <w:vAlign w:val="center"/>
            <w:hideMark/>
          </w:tcPr>
          <w:p w14:paraId="3544D964" w14:textId="77777777" w:rsidR="00F83E32" w:rsidRPr="00F83E32" w:rsidRDefault="00F83E32" w:rsidP="00403858">
            <w:pPr>
              <w:jc w:val="right"/>
              <w:rPr>
                <w:rFonts w:ascii="Times New Roman" w:eastAsia="Times New Roman" w:hAnsi="Times New Roman" w:cs="Times New Roman"/>
                <w:sz w:val="20"/>
                <w:szCs w:val="20"/>
                <w:lang w:val="en-GB" w:eastAsia="en-GB"/>
              </w:rPr>
            </w:pPr>
          </w:p>
        </w:tc>
        <w:tc>
          <w:tcPr>
            <w:tcW w:w="1243" w:type="dxa"/>
            <w:tcBorders>
              <w:top w:val="nil"/>
              <w:left w:val="nil"/>
              <w:bottom w:val="nil"/>
              <w:right w:val="nil"/>
            </w:tcBorders>
            <w:shd w:val="clear" w:color="auto" w:fill="auto"/>
            <w:vAlign w:val="center"/>
            <w:hideMark/>
          </w:tcPr>
          <w:p w14:paraId="2D54A480" w14:textId="77777777" w:rsidR="00F83E32" w:rsidRPr="00F83E32" w:rsidRDefault="00F83E32" w:rsidP="00403858">
            <w:pPr>
              <w:jc w:val="right"/>
              <w:rPr>
                <w:rFonts w:eastAsia="Times New Roman" w:cs="Arial"/>
                <w:color w:val="000000"/>
                <w:sz w:val="2"/>
                <w:szCs w:val="2"/>
                <w:lang w:val="en-GB" w:eastAsia="en-GB"/>
              </w:rPr>
            </w:pPr>
            <w:r w:rsidRPr="00F83E32">
              <w:rPr>
                <w:rFonts w:eastAsia="Times New Roman" w:cs="Arial"/>
                <w:color w:val="000000"/>
                <w:sz w:val="2"/>
                <w:szCs w:val="2"/>
                <w:lang w:val="en-GB" w:eastAsia="en-GB"/>
              </w:rPr>
              <w:t xml:space="preserve"> </w:t>
            </w:r>
          </w:p>
        </w:tc>
        <w:tc>
          <w:tcPr>
            <w:tcW w:w="3212" w:type="dxa"/>
            <w:tcBorders>
              <w:top w:val="nil"/>
              <w:left w:val="nil"/>
              <w:bottom w:val="nil"/>
              <w:right w:val="nil"/>
            </w:tcBorders>
            <w:shd w:val="clear" w:color="auto" w:fill="auto"/>
            <w:vAlign w:val="center"/>
            <w:hideMark/>
          </w:tcPr>
          <w:p w14:paraId="23379C31" w14:textId="77777777" w:rsidR="00F83E32" w:rsidRPr="00F83E32" w:rsidRDefault="00F83E32" w:rsidP="00765F58">
            <w:pPr>
              <w:rPr>
                <w:rFonts w:eastAsia="Times New Roman" w:cs="Arial"/>
                <w:color w:val="000000"/>
                <w:sz w:val="16"/>
                <w:szCs w:val="16"/>
                <w:lang w:val="en-GB" w:eastAsia="en-GB"/>
              </w:rPr>
            </w:pPr>
            <w:r w:rsidRPr="00F83E32">
              <w:rPr>
                <w:rFonts w:eastAsia="Times New Roman" w:cs="Arial"/>
                <w:color w:val="000000"/>
                <w:sz w:val="16"/>
                <w:szCs w:val="16"/>
                <w:lang w:val="en-GB" w:eastAsia="en-GB"/>
              </w:rPr>
              <w:t>Comprising:</w:t>
            </w:r>
          </w:p>
        </w:tc>
        <w:tc>
          <w:tcPr>
            <w:tcW w:w="1580" w:type="dxa"/>
            <w:tcBorders>
              <w:top w:val="nil"/>
              <w:left w:val="nil"/>
              <w:bottom w:val="nil"/>
              <w:right w:val="nil"/>
            </w:tcBorders>
            <w:shd w:val="clear" w:color="auto" w:fill="auto"/>
            <w:vAlign w:val="center"/>
            <w:hideMark/>
          </w:tcPr>
          <w:p w14:paraId="276FC78A" w14:textId="77777777" w:rsidR="00F83E32" w:rsidRPr="00F83E32" w:rsidRDefault="00F83E32" w:rsidP="00403858">
            <w:pPr>
              <w:jc w:val="right"/>
              <w:rPr>
                <w:rFonts w:eastAsia="Times New Roman" w:cs="Arial"/>
                <w:color w:val="000000"/>
                <w:sz w:val="16"/>
                <w:szCs w:val="16"/>
                <w:lang w:val="en-GB" w:eastAsia="en-GB"/>
              </w:rPr>
            </w:pPr>
          </w:p>
        </w:tc>
        <w:tc>
          <w:tcPr>
            <w:tcW w:w="1917" w:type="dxa"/>
            <w:tcBorders>
              <w:top w:val="nil"/>
              <w:left w:val="nil"/>
              <w:bottom w:val="nil"/>
              <w:right w:val="nil"/>
            </w:tcBorders>
            <w:shd w:val="clear" w:color="auto" w:fill="auto"/>
            <w:vAlign w:val="center"/>
            <w:hideMark/>
          </w:tcPr>
          <w:p w14:paraId="0646B468" w14:textId="77777777" w:rsidR="00F83E32" w:rsidRPr="00F83E32" w:rsidRDefault="00F83E32" w:rsidP="00403858">
            <w:pPr>
              <w:jc w:val="right"/>
              <w:rPr>
                <w:rFonts w:ascii="Times New Roman" w:eastAsia="Times New Roman" w:hAnsi="Times New Roman" w:cs="Times New Roman"/>
                <w:sz w:val="20"/>
                <w:szCs w:val="20"/>
                <w:lang w:val="en-GB" w:eastAsia="en-GB"/>
              </w:rPr>
            </w:pPr>
          </w:p>
        </w:tc>
        <w:tc>
          <w:tcPr>
            <w:tcW w:w="1243" w:type="dxa"/>
            <w:tcBorders>
              <w:top w:val="nil"/>
              <w:left w:val="nil"/>
              <w:bottom w:val="nil"/>
              <w:right w:val="nil"/>
            </w:tcBorders>
            <w:shd w:val="clear" w:color="auto" w:fill="auto"/>
            <w:vAlign w:val="center"/>
            <w:hideMark/>
          </w:tcPr>
          <w:p w14:paraId="6183A0E4" w14:textId="77777777" w:rsidR="00F83E32" w:rsidRPr="00F83E32" w:rsidRDefault="00F83E32" w:rsidP="00403858">
            <w:pPr>
              <w:jc w:val="right"/>
              <w:rPr>
                <w:rFonts w:eastAsia="Times New Roman" w:cs="Arial"/>
                <w:color w:val="000000"/>
                <w:sz w:val="2"/>
                <w:szCs w:val="2"/>
                <w:lang w:val="en-GB" w:eastAsia="en-GB"/>
              </w:rPr>
            </w:pPr>
            <w:r w:rsidRPr="00F83E32">
              <w:rPr>
                <w:rFonts w:eastAsia="Times New Roman" w:cs="Arial"/>
                <w:color w:val="000000"/>
                <w:sz w:val="2"/>
                <w:szCs w:val="2"/>
                <w:lang w:val="en-GB" w:eastAsia="en-GB"/>
              </w:rPr>
              <w:t xml:space="preserve"> </w:t>
            </w:r>
          </w:p>
        </w:tc>
      </w:tr>
      <w:tr w:rsidR="00F83E32" w:rsidRPr="00F83E32" w14:paraId="7640A3A9" w14:textId="77777777" w:rsidTr="00B06515">
        <w:trPr>
          <w:trHeight w:val="226"/>
          <w:jc w:val="center"/>
        </w:trPr>
        <w:tc>
          <w:tcPr>
            <w:tcW w:w="1580" w:type="dxa"/>
            <w:tcBorders>
              <w:top w:val="nil"/>
              <w:left w:val="nil"/>
              <w:bottom w:val="nil"/>
              <w:right w:val="nil"/>
            </w:tcBorders>
            <w:shd w:val="clear" w:color="auto" w:fill="auto"/>
            <w:vAlign w:val="center"/>
            <w:hideMark/>
          </w:tcPr>
          <w:p w14:paraId="17FD0FBD"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4,919  </w:t>
            </w:r>
          </w:p>
        </w:tc>
        <w:tc>
          <w:tcPr>
            <w:tcW w:w="1917" w:type="dxa"/>
            <w:tcBorders>
              <w:top w:val="nil"/>
              <w:left w:val="nil"/>
              <w:bottom w:val="nil"/>
              <w:right w:val="nil"/>
            </w:tcBorders>
            <w:shd w:val="clear" w:color="auto" w:fill="auto"/>
            <w:vAlign w:val="center"/>
            <w:hideMark/>
          </w:tcPr>
          <w:p w14:paraId="62517C6E"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3,158  </w:t>
            </w:r>
          </w:p>
        </w:tc>
        <w:tc>
          <w:tcPr>
            <w:tcW w:w="1243" w:type="dxa"/>
            <w:tcBorders>
              <w:top w:val="nil"/>
              <w:left w:val="nil"/>
              <w:bottom w:val="nil"/>
              <w:right w:val="nil"/>
            </w:tcBorders>
            <w:shd w:val="clear" w:color="auto" w:fill="auto"/>
            <w:vAlign w:val="center"/>
            <w:hideMark/>
          </w:tcPr>
          <w:p w14:paraId="6B1F7FB2"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8,077  </w:t>
            </w:r>
          </w:p>
        </w:tc>
        <w:tc>
          <w:tcPr>
            <w:tcW w:w="3212" w:type="dxa"/>
            <w:tcBorders>
              <w:top w:val="nil"/>
              <w:left w:val="nil"/>
              <w:bottom w:val="nil"/>
              <w:right w:val="nil"/>
            </w:tcBorders>
            <w:shd w:val="clear" w:color="auto" w:fill="auto"/>
            <w:vAlign w:val="center"/>
            <w:hideMark/>
          </w:tcPr>
          <w:p w14:paraId="3272B38B" w14:textId="77777777" w:rsidR="00F83E32" w:rsidRPr="00F83E32" w:rsidRDefault="00765F58" w:rsidP="00765F58">
            <w:pPr>
              <w:rPr>
                <w:rFonts w:eastAsia="Times New Roman" w:cs="Arial"/>
                <w:color w:val="000000"/>
                <w:sz w:val="16"/>
                <w:szCs w:val="16"/>
                <w:lang w:val="en-GB" w:eastAsia="en-GB"/>
              </w:rPr>
            </w:pPr>
            <w:r>
              <w:rPr>
                <w:rFonts w:eastAsia="Times New Roman" w:cs="Arial"/>
                <w:color w:val="000000"/>
                <w:sz w:val="16"/>
                <w:szCs w:val="16"/>
                <w:lang w:val="en-GB" w:eastAsia="en-GB"/>
              </w:rPr>
              <w:t xml:space="preserve">  </w:t>
            </w:r>
            <w:r w:rsidR="00403858">
              <w:rPr>
                <w:rFonts w:eastAsia="Times New Roman" w:cs="Arial"/>
                <w:color w:val="000000"/>
                <w:sz w:val="16"/>
                <w:szCs w:val="16"/>
                <w:lang w:val="en-GB" w:eastAsia="en-GB"/>
              </w:rPr>
              <w:t>G</w:t>
            </w:r>
            <w:r w:rsidR="00F83E32" w:rsidRPr="00F83E32">
              <w:rPr>
                <w:rFonts w:eastAsia="Times New Roman" w:cs="Arial"/>
                <w:color w:val="000000"/>
                <w:sz w:val="16"/>
                <w:szCs w:val="16"/>
                <w:lang w:val="en-GB" w:eastAsia="en-GB"/>
              </w:rPr>
              <w:t>ross carrying amounts</w:t>
            </w:r>
          </w:p>
        </w:tc>
        <w:tc>
          <w:tcPr>
            <w:tcW w:w="1580" w:type="dxa"/>
            <w:tcBorders>
              <w:top w:val="nil"/>
              <w:left w:val="nil"/>
              <w:bottom w:val="nil"/>
              <w:right w:val="nil"/>
            </w:tcBorders>
            <w:shd w:val="clear" w:color="auto" w:fill="auto"/>
            <w:vAlign w:val="center"/>
            <w:hideMark/>
          </w:tcPr>
          <w:p w14:paraId="755EBA47"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8,260  </w:t>
            </w:r>
          </w:p>
        </w:tc>
        <w:tc>
          <w:tcPr>
            <w:tcW w:w="1917" w:type="dxa"/>
            <w:tcBorders>
              <w:top w:val="nil"/>
              <w:left w:val="nil"/>
              <w:bottom w:val="nil"/>
              <w:right w:val="nil"/>
            </w:tcBorders>
            <w:shd w:val="clear" w:color="auto" w:fill="auto"/>
            <w:vAlign w:val="center"/>
            <w:hideMark/>
          </w:tcPr>
          <w:p w14:paraId="4E1D2D61" w14:textId="77777777" w:rsidR="00F83E32" w:rsidRPr="00F83E32" w:rsidRDefault="00403858" w:rsidP="00403858">
            <w:pPr>
              <w:jc w:val="right"/>
              <w:rPr>
                <w:rFonts w:eastAsia="Times New Roman" w:cs="Arial"/>
                <w:color w:val="000000"/>
                <w:sz w:val="16"/>
                <w:szCs w:val="16"/>
                <w:lang w:val="en-GB" w:eastAsia="en-GB"/>
              </w:rPr>
            </w:pPr>
            <w:r>
              <w:rPr>
                <w:rFonts w:eastAsia="Times New Roman" w:cs="Arial"/>
                <w:color w:val="000000"/>
                <w:sz w:val="16"/>
                <w:szCs w:val="16"/>
                <w:lang w:val="en-GB" w:eastAsia="en-GB"/>
              </w:rPr>
              <w:t>98</w:t>
            </w:r>
            <w:r w:rsidR="00F83E32" w:rsidRPr="00F83E32">
              <w:rPr>
                <w:rFonts w:eastAsia="Times New Roman" w:cs="Arial"/>
                <w:color w:val="000000"/>
                <w:sz w:val="16"/>
                <w:szCs w:val="16"/>
                <w:lang w:val="en-GB" w:eastAsia="en-GB"/>
              </w:rPr>
              <w:t xml:space="preserve">  </w:t>
            </w:r>
          </w:p>
        </w:tc>
        <w:tc>
          <w:tcPr>
            <w:tcW w:w="1243" w:type="dxa"/>
            <w:tcBorders>
              <w:top w:val="nil"/>
              <w:left w:val="nil"/>
              <w:bottom w:val="nil"/>
              <w:right w:val="nil"/>
            </w:tcBorders>
            <w:shd w:val="clear" w:color="auto" w:fill="auto"/>
            <w:vAlign w:val="center"/>
            <w:hideMark/>
          </w:tcPr>
          <w:p w14:paraId="5062B82E" w14:textId="77777777" w:rsidR="00F83E32" w:rsidRPr="00F83E32" w:rsidRDefault="00403858" w:rsidP="00403858">
            <w:pPr>
              <w:jc w:val="right"/>
              <w:rPr>
                <w:rFonts w:eastAsia="Times New Roman" w:cs="Arial"/>
                <w:color w:val="000000"/>
                <w:sz w:val="16"/>
                <w:szCs w:val="16"/>
                <w:lang w:val="en-GB" w:eastAsia="en-GB"/>
              </w:rPr>
            </w:pPr>
            <w:r>
              <w:rPr>
                <w:rFonts w:eastAsia="Times New Roman" w:cs="Arial"/>
                <w:color w:val="000000"/>
                <w:sz w:val="16"/>
                <w:szCs w:val="16"/>
                <w:lang w:val="en-GB" w:eastAsia="en-GB"/>
              </w:rPr>
              <w:t>8,358</w:t>
            </w:r>
            <w:r w:rsidR="00F83E32" w:rsidRPr="00F83E32">
              <w:rPr>
                <w:rFonts w:eastAsia="Times New Roman" w:cs="Arial"/>
                <w:color w:val="000000"/>
                <w:sz w:val="16"/>
                <w:szCs w:val="16"/>
                <w:lang w:val="en-GB" w:eastAsia="en-GB"/>
              </w:rPr>
              <w:t xml:space="preserve">  </w:t>
            </w:r>
          </w:p>
        </w:tc>
      </w:tr>
      <w:tr w:rsidR="00F83E32" w:rsidRPr="00F83E32" w14:paraId="34D815CF" w14:textId="77777777" w:rsidTr="00B06515">
        <w:trPr>
          <w:trHeight w:val="236"/>
          <w:jc w:val="center"/>
        </w:trPr>
        <w:tc>
          <w:tcPr>
            <w:tcW w:w="1580" w:type="dxa"/>
            <w:tcBorders>
              <w:top w:val="nil"/>
              <w:left w:val="nil"/>
              <w:bottom w:val="nil"/>
              <w:right w:val="nil"/>
            </w:tcBorders>
            <w:shd w:val="clear" w:color="auto" w:fill="auto"/>
            <w:vAlign w:val="center"/>
            <w:hideMark/>
          </w:tcPr>
          <w:p w14:paraId="28D37A44"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(4,463) </w:t>
            </w:r>
          </w:p>
        </w:tc>
        <w:tc>
          <w:tcPr>
            <w:tcW w:w="1917" w:type="dxa"/>
            <w:tcBorders>
              <w:top w:val="nil"/>
              <w:left w:val="nil"/>
              <w:bottom w:val="nil"/>
              <w:right w:val="nil"/>
            </w:tcBorders>
            <w:shd w:val="clear" w:color="auto" w:fill="auto"/>
            <w:vAlign w:val="center"/>
            <w:hideMark/>
          </w:tcPr>
          <w:p w14:paraId="54063D85"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0  </w:t>
            </w:r>
          </w:p>
        </w:tc>
        <w:tc>
          <w:tcPr>
            <w:tcW w:w="1243" w:type="dxa"/>
            <w:tcBorders>
              <w:top w:val="nil"/>
              <w:left w:val="nil"/>
              <w:bottom w:val="nil"/>
              <w:right w:val="nil"/>
            </w:tcBorders>
            <w:shd w:val="clear" w:color="auto" w:fill="auto"/>
            <w:vAlign w:val="center"/>
            <w:hideMark/>
          </w:tcPr>
          <w:p w14:paraId="0E7307B6"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(4,463) </w:t>
            </w:r>
          </w:p>
        </w:tc>
        <w:tc>
          <w:tcPr>
            <w:tcW w:w="3212" w:type="dxa"/>
            <w:tcBorders>
              <w:top w:val="nil"/>
              <w:left w:val="nil"/>
              <w:bottom w:val="single" w:sz="8" w:space="0" w:color="000000"/>
              <w:right w:val="nil"/>
            </w:tcBorders>
            <w:shd w:val="clear" w:color="auto" w:fill="auto"/>
            <w:vAlign w:val="center"/>
            <w:hideMark/>
          </w:tcPr>
          <w:p w14:paraId="6DFB9646" w14:textId="77777777" w:rsidR="00F83E32" w:rsidRPr="00F83E32" w:rsidRDefault="00403858" w:rsidP="00765F58">
            <w:pPr>
              <w:rPr>
                <w:rFonts w:eastAsia="Times New Roman" w:cs="Arial"/>
                <w:color w:val="000000"/>
                <w:sz w:val="16"/>
                <w:szCs w:val="16"/>
                <w:lang w:val="en-GB" w:eastAsia="en-GB"/>
              </w:rPr>
            </w:pPr>
            <w:r>
              <w:rPr>
                <w:rFonts w:eastAsia="Times New Roman" w:cs="Arial"/>
                <w:color w:val="000000"/>
                <w:sz w:val="16"/>
                <w:szCs w:val="16"/>
                <w:lang w:val="en-GB" w:eastAsia="en-GB"/>
              </w:rPr>
              <w:t> </w:t>
            </w:r>
            <w:r w:rsidR="00765F58">
              <w:rPr>
                <w:rFonts w:eastAsia="Times New Roman" w:cs="Arial"/>
                <w:color w:val="000000"/>
                <w:sz w:val="16"/>
                <w:szCs w:val="16"/>
                <w:lang w:val="en-GB" w:eastAsia="en-GB"/>
              </w:rPr>
              <w:t xml:space="preserve"> </w:t>
            </w:r>
            <w:r w:rsidR="00F83E32" w:rsidRPr="00F83E32">
              <w:rPr>
                <w:rFonts w:eastAsia="Times New Roman" w:cs="Arial"/>
                <w:color w:val="000000"/>
                <w:sz w:val="16"/>
                <w:szCs w:val="16"/>
                <w:lang w:val="en-GB" w:eastAsia="en-GB"/>
              </w:rPr>
              <w:t>Accumulated amortisation</w:t>
            </w:r>
          </w:p>
        </w:tc>
        <w:tc>
          <w:tcPr>
            <w:tcW w:w="1580" w:type="dxa"/>
            <w:tcBorders>
              <w:top w:val="nil"/>
              <w:left w:val="nil"/>
              <w:bottom w:val="nil"/>
              <w:right w:val="nil"/>
            </w:tcBorders>
            <w:shd w:val="clear" w:color="auto" w:fill="auto"/>
            <w:vAlign w:val="center"/>
            <w:hideMark/>
          </w:tcPr>
          <w:p w14:paraId="67C0EE5E"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(3,532) </w:t>
            </w:r>
          </w:p>
        </w:tc>
        <w:tc>
          <w:tcPr>
            <w:tcW w:w="1917" w:type="dxa"/>
            <w:tcBorders>
              <w:top w:val="nil"/>
              <w:left w:val="nil"/>
              <w:bottom w:val="nil"/>
              <w:right w:val="nil"/>
            </w:tcBorders>
            <w:shd w:val="clear" w:color="auto" w:fill="auto"/>
            <w:vAlign w:val="center"/>
            <w:hideMark/>
          </w:tcPr>
          <w:p w14:paraId="6F857E90"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0  </w:t>
            </w:r>
          </w:p>
        </w:tc>
        <w:tc>
          <w:tcPr>
            <w:tcW w:w="1243" w:type="dxa"/>
            <w:tcBorders>
              <w:top w:val="nil"/>
              <w:left w:val="nil"/>
              <w:bottom w:val="nil"/>
              <w:right w:val="nil"/>
            </w:tcBorders>
            <w:shd w:val="clear" w:color="auto" w:fill="auto"/>
            <w:vAlign w:val="center"/>
            <w:hideMark/>
          </w:tcPr>
          <w:p w14:paraId="6F554229" w14:textId="77777777" w:rsidR="00F83E32" w:rsidRPr="00F83E32" w:rsidRDefault="00F83E32" w:rsidP="00403858">
            <w:pPr>
              <w:jc w:val="right"/>
              <w:rPr>
                <w:rFonts w:eastAsia="Times New Roman" w:cs="Arial"/>
                <w:color w:val="000000"/>
                <w:sz w:val="16"/>
                <w:szCs w:val="16"/>
                <w:lang w:val="en-GB" w:eastAsia="en-GB"/>
              </w:rPr>
            </w:pPr>
            <w:r w:rsidRPr="00F83E32">
              <w:rPr>
                <w:rFonts w:eastAsia="Times New Roman" w:cs="Arial"/>
                <w:color w:val="000000"/>
                <w:sz w:val="16"/>
                <w:szCs w:val="16"/>
                <w:lang w:val="en-GB" w:eastAsia="en-GB"/>
              </w:rPr>
              <w:t xml:space="preserve">(3,532) </w:t>
            </w:r>
          </w:p>
        </w:tc>
      </w:tr>
      <w:tr w:rsidR="00F83E32" w:rsidRPr="00F83E32" w14:paraId="58FA88E1" w14:textId="77777777" w:rsidTr="00B06515">
        <w:trPr>
          <w:trHeight w:val="236"/>
          <w:jc w:val="center"/>
        </w:trPr>
        <w:tc>
          <w:tcPr>
            <w:tcW w:w="1580" w:type="dxa"/>
            <w:tcBorders>
              <w:top w:val="single" w:sz="8" w:space="0" w:color="000000"/>
              <w:left w:val="nil"/>
              <w:bottom w:val="single" w:sz="12" w:space="0" w:color="000000"/>
              <w:right w:val="nil"/>
            </w:tcBorders>
            <w:shd w:val="clear" w:color="auto" w:fill="auto"/>
            <w:vAlign w:val="center"/>
            <w:hideMark/>
          </w:tcPr>
          <w:p w14:paraId="60C963DD" w14:textId="77777777" w:rsidR="00F83E32" w:rsidRPr="00F83E32" w:rsidRDefault="00F83E32" w:rsidP="00403858">
            <w:pPr>
              <w:jc w:val="right"/>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 xml:space="preserve">456  </w:t>
            </w:r>
          </w:p>
        </w:tc>
        <w:tc>
          <w:tcPr>
            <w:tcW w:w="1917" w:type="dxa"/>
            <w:tcBorders>
              <w:top w:val="single" w:sz="8" w:space="0" w:color="000000"/>
              <w:left w:val="nil"/>
              <w:bottom w:val="single" w:sz="12" w:space="0" w:color="000000"/>
              <w:right w:val="nil"/>
            </w:tcBorders>
            <w:shd w:val="clear" w:color="auto" w:fill="auto"/>
            <w:vAlign w:val="center"/>
            <w:hideMark/>
          </w:tcPr>
          <w:p w14:paraId="290901EF" w14:textId="77777777" w:rsidR="00F83E32" w:rsidRPr="00F83E32" w:rsidRDefault="00F83E32" w:rsidP="00403858">
            <w:pPr>
              <w:jc w:val="right"/>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 xml:space="preserve">3,158  </w:t>
            </w:r>
          </w:p>
        </w:tc>
        <w:tc>
          <w:tcPr>
            <w:tcW w:w="1243" w:type="dxa"/>
            <w:tcBorders>
              <w:top w:val="single" w:sz="8" w:space="0" w:color="000000"/>
              <w:left w:val="nil"/>
              <w:bottom w:val="single" w:sz="12" w:space="0" w:color="000000"/>
              <w:right w:val="nil"/>
            </w:tcBorders>
            <w:shd w:val="clear" w:color="auto" w:fill="auto"/>
            <w:vAlign w:val="center"/>
            <w:hideMark/>
          </w:tcPr>
          <w:p w14:paraId="599BEFD6" w14:textId="77777777" w:rsidR="00F83E32" w:rsidRPr="00F83E32" w:rsidRDefault="00F83E32" w:rsidP="00403858">
            <w:pPr>
              <w:jc w:val="right"/>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 xml:space="preserve">3,614  </w:t>
            </w:r>
          </w:p>
        </w:tc>
        <w:tc>
          <w:tcPr>
            <w:tcW w:w="3212" w:type="dxa"/>
            <w:tcBorders>
              <w:top w:val="nil"/>
              <w:left w:val="nil"/>
              <w:bottom w:val="single" w:sz="12" w:space="0" w:color="000000"/>
              <w:right w:val="nil"/>
            </w:tcBorders>
            <w:shd w:val="clear" w:color="auto" w:fill="auto"/>
            <w:vAlign w:val="center"/>
            <w:hideMark/>
          </w:tcPr>
          <w:p w14:paraId="4E4CBF8E" w14:textId="77777777" w:rsidR="00F83E32" w:rsidRPr="00F83E32" w:rsidRDefault="00F83E32" w:rsidP="00F83E32">
            <w:pPr>
              <w:jc w:val="center"/>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Total</w:t>
            </w:r>
          </w:p>
        </w:tc>
        <w:tc>
          <w:tcPr>
            <w:tcW w:w="1580" w:type="dxa"/>
            <w:tcBorders>
              <w:top w:val="single" w:sz="8" w:space="0" w:color="000000"/>
              <w:left w:val="nil"/>
              <w:bottom w:val="single" w:sz="12" w:space="0" w:color="000000"/>
              <w:right w:val="nil"/>
            </w:tcBorders>
            <w:shd w:val="clear" w:color="auto" w:fill="auto"/>
            <w:vAlign w:val="center"/>
            <w:hideMark/>
          </w:tcPr>
          <w:p w14:paraId="715D8A1E" w14:textId="77777777" w:rsidR="00F83E32" w:rsidRPr="00F83E32" w:rsidRDefault="00F83E32" w:rsidP="00403858">
            <w:pPr>
              <w:jc w:val="right"/>
              <w:rPr>
                <w:rFonts w:eastAsia="Times New Roman" w:cs="Arial"/>
                <w:b/>
                <w:bCs/>
                <w:color w:val="000000"/>
                <w:sz w:val="16"/>
                <w:szCs w:val="16"/>
                <w:lang w:val="en-GB" w:eastAsia="en-GB"/>
              </w:rPr>
            </w:pPr>
            <w:r w:rsidRPr="00F83E32">
              <w:rPr>
                <w:rFonts w:eastAsia="Times New Roman" w:cs="Arial"/>
                <w:b/>
                <w:bCs/>
                <w:color w:val="000000"/>
                <w:sz w:val="16"/>
                <w:szCs w:val="16"/>
                <w:lang w:val="en-GB" w:eastAsia="en-GB"/>
              </w:rPr>
              <w:t xml:space="preserve">4,728  </w:t>
            </w:r>
          </w:p>
        </w:tc>
        <w:tc>
          <w:tcPr>
            <w:tcW w:w="1917" w:type="dxa"/>
            <w:tcBorders>
              <w:top w:val="single" w:sz="8" w:space="0" w:color="000000"/>
              <w:left w:val="nil"/>
              <w:bottom w:val="single" w:sz="12" w:space="0" w:color="000000"/>
              <w:right w:val="nil"/>
            </w:tcBorders>
            <w:shd w:val="clear" w:color="auto" w:fill="auto"/>
            <w:vAlign w:val="center"/>
            <w:hideMark/>
          </w:tcPr>
          <w:p w14:paraId="2C889171" w14:textId="77777777" w:rsidR="00F83E32" w:rsidRPr="00F83E32" w:rsidRDefault="00403858" w:rsidP="00403858">
            <w:pPr>
              <w:jc w:val="right"/>
              <w:rPr>
                <w:rFonts w:eastAsia="Times New Roman" w:cs="Arial"/>
                <w:b/>
                <w:bCs/>
                <w:color w:val="000000"/>
                <w:sz w:val="16"/>
                <w:szCs w:val="16"/>
                <w:lang w:val="en-GB" w:eastAsia="en-GB"/>
              </w:rPr>
            </w:pPr>
            <w:r>
              <w:rPr>
                <w:rFonts w:eastAsia="Times New Roman" w:cs="Arial"/>
                <w:b/>
                <w:bCs/>
                <w:color w:val="000000"/>
                <w:sz w:val="16"/>
                <w:szCs w:val="16"/>
                <w:lang w:val="en-GB" w:eastAsia="en-GB"/>
              </w:rPr>
              <w:t>98</w:t>
            </w:r>
            <w:r w:rsidR="00F83E32" w:rsidRPr="00F83E32">
              <w:rPr>
                <w:rFonts w:eastAsia="Times New Roman" w:cs="Arial"/>
                <w:b/>
                <w:bCs/>
                <w:color w:val="000000"/>
                <w:sz w:val="16"/>
                <w:szCs w:val="16"/>
                <w:lang w:val="en-GB" w:eastAsia="en-GB"/>
              </w:rPr>
              <w:t xml:space="preserve">  </w:t>
            </w:r>
          </w:p>
        </w:tc>
        <w:tc>
          <w:tcPr>
            <w:tcW w:w="1243" w:type="dxa"/>
            <w:tcBorders>
              <w:top w:val="single" w:sz="8" w:space="0" w:color="000000"/>
              <w:left w:val="nil"/>
              <w:bottom w:val="single" w:sz="12" w:space="0" w:color="000000"/>
              <w:right w:val="nil"/>
            </w:tcBorders>
            <w:shd w:val="clear" w:color="auto" w:fill="auto"/>
            <w:vAlign w:val="center"/>
            <w:hideMark/>
          </w:tcPr>
          <w:p w14:paraId="0E406F4D" w14:textId="77777777" w:rsidR="00F83E32" w:rsidRPr="00F83E32" w:rsidRDefault="00403858" w:rsidP="00403858">
            <w:pPr>
              <w:jc w:val="right"/>
              <w:rPr>
                <w:rFonts w:eastAsia="Times New Roman" w:cs="Arial"/>
                <w:b/>
                <w:bCs/>
                <w:color w:val="000000"/>
                <w:sz w:val="16"/>
                <w:szCs w:val="16"/>
                <w:lang w:val="en-GB" w:eastAsia="en-GB"/>
              </w:rPr>
            </w:pPr>
            <w:r>
              <w:rPr>
                <w:rFonts w:eastAsia="Times New Roman" w:cs="Arial"/>
                <w:b/>
                <w:bCs/>
                <w:color w:val="000000"/>
                <w:sz w:val="16"/>
                <w:szCs w:val="16"/>
                <w:lang w:val="en-GB" w:eastAsia="en-GB"/>
              </w:rPr>
              <w:t>4,826</w:t>
            </w:r>
            <w:r w:rsidR="00F83E32" w:rsidRPr="00F83E32">
              <w:rPr>
                <w:rFonts w:eastAsia="Times New Roman" w:cs="Arial"/>
                <w:b/>
                <w:bCs/>
                <w:color w:val="000000"/>
                <w:sz w:val="16"/>
                <w:szCs w:val="16"/>
                <w:lang w:val="en-GB" w:eastAsia="en-GB"/>
              </w:rPr>
              <w:t xml:space="preserve">  </w:t>
            </w:r>
          </w:p>
        </w:tc>
      </w:tr>
    </w:tbl>
    <w:p w14:paraId="1E620A83" w14:textId="77777777" w:rsidR="00F10514" w:rsidRPr="003516A4" w:rsidRDefault="00F10514" w:rsidP="00CB1E4C">
      <w:pPr>
        <w:pStyle w:val="Normal0"/>
        <w:spacing w:after="160"/>
        <w:jc w:val="both"/>
        <w:rPr>
          <w:rFonts w:ascii="Verdana" w:eastAsia="Verdana" w:hAnsi="Verdana" w:cs="Verdana"/>
          <w:sz w:val="22"/>
          <w:szCs w:val="22"/>
          <w:highlight w:val="yellow"/>
          <w:lang w:val="en-GB"/>
        </w:rPr>
      </w:pPr>
    </w:p>
    <w:p w14:paraId="323A1736" w14:textId="77777777" w:rsidR="00F13F94" w:rsidRPr="003516A4" w:rsidRDefault="00F13F94">
      <w:pPr>
        <w:pStyle w:val="T1TableStyle"/>
        <w:rPr>
          <w:rFonts w:ascii="Verdana" w:eastAsia="Verdana" w:hAnsi="Verdana" w:cs="Verdana"/>
          <w:sz w:val="22"/>
          <w:highlight w:val="yellow"/>
          <w:lang w:val="en-GB"/>
        </w:rPr>
      </w:pPr>
    </w:p>
    <w:p w14:paraId="7999415D" w14:textId="77777777" w:rsidR="0070458A" w:rsidRPr="003516A4" w:rsidRDefault="0070458A" w:rsidP="0056279A">
      <w:pPr>
        <w:pStyle w:val="T1TableStyle"/>
        <w:jc w:val="center"/>
        <w:rPr>
          <w:rFonts w:ascii="Verdana" w:eastAsia="Verdana" w:hAnsi="Verdana" w:cs="Verdana"/>
          <w:sz w:val="22"/>
          <w:highlight w:val="yellow"/>
          <w:lang w:val="en-GB"/>
        </w:rPr>
      </w:pPr>
    </w:p>
    <w:p w14:paraId="076D8952" w14:textId="77777777" w:rsidR="0070458A" w:rsidRPr="003516A4" w:rsidRDefault="0070458A">
      <w:pPr>
        <w:pStyle w:val="T1TableStyle"/>
        <w:rPr>
          <w:rFonts w:ascii="Verdana" w:eastAsia="Verdana" w:hAnsi="Verdana" w:cs="Verdana"/>
          <w:sz w:val="22"/>
          <w:highlight w:val="yellow"/>
          <w:lang w:val="en-GB"/>
        </w:rPr>
      </w:pPr>
    </w:p>
    <w:p w14:paraId="1039BE12" w14:textId="77777777" w:rsidR="00E12C9E" w:rsidRPr="003516A4" w:rsidRDefault="00E12C9E">
      <w:pPr>
        <w:pStyle w:val="T1TableStyle"/>
        <w:rPr>
          <w:rFonts w:ascii="Verdana" w:eastAsia="Verdana" w:hAnsi="Verdana" w:cs="Verdana"/>
          <w:sz w:val="22"/>
          <w:highlight w:val="yellow"/>
          <w:lang w:val="en-GB"/>
        </w:rPr>
      </w:pPr>
    </w:p>
    <w:p w14:paraId="794435EF" w14:textId="77777777" w:rsidR="00B06515" w:rsidRDefault="00B06515">
      <w:pPr>
        <w:rPr>
          <w:rFonts w:asciiTheme="majorHAnsi" w:eastAsiaTheme="majorEastAsia" w:hAnsiTheme="majorHAnsi" w:cstheme="majorBidi"/>
          <w:color w:val="2E74B5" w:themeColor="accent1" w:themeShade="BF"/>
          <w:sz w:val="32"/>
          <w:szCs w:val="32"/>
          <w:lang w:val="pt-BR"/>
        </w:rPr>
      </w:pPr>
      <w:r>
        <w:br w:type="page"/>
      </w:r>
    </w:p>
    <w:p w14:paraId="123D839F" w14:textId="393D21BE" w:rsidR="00CA6653" w:rsidRPr="00BD4F4B" w:rsidRDefault="00CA6653" w:rsidP="00A31A9E">
      <w:pPr>
        <w:pStyle w:val="Heading1"/>
      </w:pPr>
      <w:bookmarkStart w:id="28" w:name="_Toc75122781"/>
      <w:r w:rsidRPr="00BD4F4B">
        <w:t>Note 13 - Debtors</w:t>
      </w:r>
      <w:bookmarkEnd w:id="28"/>
      <w:r w:rsidRPr="00BD4F4B">
        <w:t xml:space="preserve"> </w:t>
      </w:r>
    </w:p>
    <w:tbl>
      <w:tblPr>
        <w:tblW w:w="7983" w:type="dxa"/>
        <w:jc w:val="center"/>
        <w:tblLook w:val="04A0" w:firstRow="1" w:lastRow="0" w:firstColumn="1" w:lastColumn="0" w:noHBand="0" w:noVBand="1"/>
      </w:tblPr>
      <w:tblGrid>
        <w:gridCol w:w="1350"/>
        <w:gridCol w:w="1279"/>
        <w:gridCol w:w="2867"/>
        <w:gridCol w:w="1356"/>
        <w:gridCol w:w="1279"/>
      </w:tblGrid>
      <w:tr w:rsidR="00D94D3B" w:rsidRPr="00D94D3B" w14:paraId="485ECBB7" w14:textId="77777777" w:rsidTr="00D94D3B">
        <w:trPr>
          <w:trHeight w:val="210"/>
          <w:jc w:val="center"/>
        </w:trPr>
        <w:tc>
          <w:tcPr>
            <w:tcW w:w="2558" w:type="dxa"/>
            <w:gridSpan w:val="2"/>
            <w:tcBorders>
              <w:top w:val="nil"/>
              <w:left w:val="nil"/>
              <w:bottom w:val="nil"/>
              <w:right w:val="nil"/>
            </w:tcBorders>
            <w:shd w:val="clear" w:color="auto" w:fill="auto"/>
            <w:noWrap/>
            <w:vAlign w:val="bottom"/>
            <w:hideMark/>
          </w:tcPr>
          <w:p w14:paraId="2A0D3032"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31 March 2020 </w:t>
            </w:r>
          </w:p>
        </w:tc>
        <w:tc>
          <w:tcPr>
            <w:tcW w:w="2867" w:type="dxa"/>
            <w:tcBorders>
              <w:top w:val="nil"/>
              <w:left w:val="nil"/>
              <w:bottom w:val="nil"/>
              <w:right w:val="nil"/>
            </w:tcBorders>
            <w:shd w:val="clear" w:color="auto" w:fill="auto"/>
            <w:noWrap/>
            <w:vAlign w:val="bottom"/>
            <w:hideMark/>
          </w:tcPr>
          <w:p w14:paraId="56FEBC50" w14:textId="77777777" w:rsidR="00D94D3B" w:rsidRPr="00D94D3B" w:rsidRDefault="00D94D3B" w:rsidP="00D94D3B">
            <w:pPr>
              <w:jc w:val="center"/>
              <w:rPr>
                <w:rFonts w:eastAsia="Times New Roman" w:cs="Times New Roman"/>
                <w:b/>
                <w:bCs/>
                <w:color w:val="000000"/>
                <w:sz w:val="16"/>
                <w:szCs w:val="16"/>
                <w:lang w:val="en-GB" w:eastAsia="en-GB"/>
              </w:rPr>
            </w:pPr>
          </w:p>
        </w:tc>
        <w:tc>
          <w:tcPr>
            <w:tcW w:w="2558" w:type="dxa"/>
            <w:gridSpan w:val="2"/>
            <w:tcBorders>
              <w:top w:val="nil"/>
              <w:left w:val="nil"/>
              <w:bottom w:val="nil"/>
              <w:right w:val="nil"/>
            </w:tcBorders>
            <w:shd w:val="clear" w:color="auto" w:fill="auto"/>
            <w:noWrap/>
            <w:vAlign w:val="bottom"/>
            <w:hideMark/>
          </w:tcPr>
          <w:p w14:paraId="058B3437" w14:textId="43377FF7" w:rsidR="00D94D3B" w:rsidRPr="00D94D3B" w:rsidRDefault="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31 March 202</w:t>
            </w:r>
            <w:r w:rsidR="00652161">
              <w:rPr>
                <w:rFonts w:eastAsia="Times New Roman" w:cs="Times New Roman"/>
                <w:b/>
                <w:bCs/>
                <w:color w:val="000000"/>
                <w:sz w:val="16"/>
                <w:szCs w:val="16"/>
                <w:lang w:val="en-GB" w:eastAsia="en-GB"/>
              </w:rPr>
              <w:t>1</w:t>
            </w:r>
            <w:r w:rsidRPr="00D94D3B">
              <w:rPr>
                <w:rFonts w:eastAsia="Times New Roman" w:cs="Times New Roman"/>
                <w:b/>
                <w:bCs/>
                <w:color w:val="000000"/>
                <w:sz w:val="16"/>
                <w:szCs w:val="16"/>
                <w:lang w:val="en-GB" w:eastAsia="en-GB"/>
              </w:rPr>
              <w:t xml:space="preserve"> </w:t>
            </w:r>
          </w:p>
        </w:tc>
      </w:tr>
      <w:tr w:rsidR="00D94D3B" w:rsidRPr="00D94D3B" w14:paraId="6F10ACCB" w14:textId="77777777" w:rsidTr="00D94D3B">
        <w:trPr>
          <w:trHeight w:val="210"/>
          <w:jc w:val="center"/>
        </w:trPr>
        <w:tc>
          <w:tcPr>
            <w:tcW w:w="1279" w:type="dxa"/>
            <w:tcBorders>
              <w:top w:val="nil"/>
              <w:left w:val="nil"/>
              <w:bottom w:val="nil"/>
              <w:right w:val="nil"/>
            </w:tcBorders>
            <w:shd w:val="clear" w:color="auto" w:fill="auto"/>
            <w:noWrap/>
            <w:vAlign w:val="bottom"/>
            <w:hideMark/>
          </w:tcPr>
          <w:p w14:paraId="77BA0BFC"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PCC </w:t>
            </w:r>
          </w:p>
        </w:tc>
        <w:tc>
          <w:tcPr>
            <w:tcW w:w="1279" w:type="dxa"/>
            <w:tcBorders>
              <w:top w:val="nil"/>
              <w:left w:val="nil"/>
              <w:bottom w:val="nil"/>
              <w:right w:val="nil"/>
            </w:tcBorders>
            <w:shd w:val="clear" w:color="auto" w:fill="auto"/>
            <w:noWrap/>
            <w:vAlign w:val="bottom"/>
            <w:hideMark/>
          </w:tcPr>
          <w:p w14:paraId="376AC0F4"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Group </w:t>
            </w:r>
          </w:p>
        </w:tc>
        <w:tc>
          <w:tcPr>
            <w:tcW w:w="2867" w:type="dxa"/>
            <w:tcBorders>
              <w:top w:val="nil"/>
              <w:left w:val="nil"/>
              <w:bottom w:val="nil"/>
              <w:right w:val="nil"/>
            </w:tcBorders>
            <w:shd w:val="clear" w:color="auto" w:fill="auto"/>
            <w:noWrap/>
            <w:vAlign w:val="bottom"/>
            <w:hideMark/>
          </w:tcPr>
          <w:p w14:paraId="1579149A" w14:textId="77777777" w:rsidR="00D94D3B" w:rsidRPr="00D94D3B" w:rsidRDefault="00D94D3B" w:rsidP="00D94D3B">
            <w:pP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Category of Debtor </w:t>
            </w:r>
          </w:p>
        </w:tc>
        <w:tc>
          <w:tcPr>
            <w:tcW w:w="1279" w:type="dxa"/>
            <w:tcBorders>
              <w:top w:val="nil"/>
              <w:left w:val="nil"/>
              <w:bottom w:val="nil"/>
              <w:right w:val="nil"/>
            </w:tcBorders>
            <w:shd w:val="clear" w:color="auto" w:fill="auto"/>
            <w:noWrap/>
            <w:vAlign w:val="bottom"/>
            <w:hideMark/>
          </w:tcPr>
          <w:p w14:paraId="6118281E"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PCC </w:t>
            </w:r>
          </w:p>
        </w:tc>
        <w:tc>
          <w:tcPr>
            <w:tcW w:w="1279" w:type="dxa"/>
            <w:tcBorders>
              <w:top w:val="nil"/>
              <w:left w:val="nil"/>
              <w:bottom w:val="nil"/>
              <w:right w:val="nil"/>
            </w:tcBorders>
            <w:shd w:val="clear" w:color="auto" w:fill="auto"/>
            <w:noWrap/>
            <w:vAlign w:val="bottom"/>
            <w:hideMark/>
          </w:tcPr>
          <w:p w14:paraId="76C7EE5F"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Group </w:t>
            </w:r>
          </w:p>
        </w:tc>
      </w:tr>
      <w:tr w:rsidR="00D94D3B" w:rsidRPr="00D94D3B" w14:paraId="5142077C" w14:textId="77777777" w:rsidTr="00D94D3B">
        <w:trPr>
          <w:trHeight w:val="210"/>
          <w:jc w:val="center"/>
        </w:trPr>
        <w:tc>
          <w:tcPr>
            <w:tcW w:w="1279" w:type="dxa"/>
            <w:tcBorders>
              <w:top w:val="nil"/>
              <w:left w:val="nil"/>
              <w:bottom w:val="nil"/>
              <w:right w:val="nil"/>
            </w:tcBorders>
            <w:shd w:val="clear" w:color="auto" w:fill="auto"/>
            <w:noWrap/>
            <w:vAlign w:val="bottom"/>
            <w:hideMark/>
          </w:tcPr>
          <w:p w14:paraId="6DC1D25E"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£000 </w:t>
            </w:r>
          </w:p>
        </w:tc>
        <w:tc>
          <w:tcPr>
            <w:tcW w:w="1279" w:type="dxa"/>
            <w:tcBorders>
              <w:top w:val="nil"/>
              <w:left w:val="nil"/>
              <w:bottom w:val="nil"/>
              <w:right w:val="nil"/>
            </w:tcBorders>
            <w:shd w:val="clear" w:color="auto" w:fill="auto"/>
            <w:noWrap/>
            <w:vAlign w:val="bottom"/>
            <w:hideMark/>
          </w:tcPr>
          <w:p w14:paraId="3FB04C45"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£000 </w:t>
            </w:r>
          </w:p>
        </w:tc>
        <w:tc>
          <w:tcPr>
            <w:tcW w:w="2867" w:type="dxa"/>
            <w:tcBorders>
              <w:top w:val="nil"/>
              <w:left w:val="nil"/>
              <w:bottom w:val="nil"/>
              <w:right w:val="nil"/>
            </w:tcBorders>
            <w:shd w:val="clear" w:color="auto" w:fill="auto"/>
            <w:noWrap/>
            <w:vAlign w:val="bottom"/>
            <w:hideMark/>
          </w:tcPr>
          <w:p w14:paraId="696AD119" w14:textId="77777777" w:rsidR="00D94D3B" w:rsidRPr="00D94D3B" w:rsidRDefault="00D94D3B" w:rsidP="00D94D3B">
            <w:pPr>
              <w:jc w:val="center"/>
              <w:rPr>
                <w:rFonts w:eastAsia="Times New Roman" w:cs="Times New Roman"/>
                <w:b/>
                <w:bCs/>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41E4AAB6"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£000 </w:t>
            </w:r>
          </w:p>
        </w:tc>
        <w:tc>
          <w:tcPr>
            <w:tcW w:w="1279" w:type="dxa"/>
            <w:tcBorders>
              <w:top w:val="nil"/>
              <w:left w:val="nil"/>
              <w:bottom w:val="nil"/>
              <w:right w:val="nil"/>
            </w:tcBorders>
            <w:shd w:val="clear" w:color="auto" w:fill="auto"/>
            <w:noWrap/>
            <w:vAlign w:val="bottom"/>
            <w:hideMark/>
          </w:tcPr>
          <w:p w14:paraId="7C75E0E7"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£000 </w:t>
            </w:r>
          </w:p>
        </w:tc>
      </w:tr>
      <w:tr w:rsidR="00D94D3B" w:rsidRPr="00D94D3B" w14:paraId="13993CCE" w14:textId="77777777" w:rsidTr="00D94D3B">
        <w:trPr>
          <w:trHeight w:val="210"/>
          <w:jc w:val="center"/>
        </w:trPr>
        <w:tc>
          <w:tcPr>
            <w:tcW w:w="1279" w:type="dxa"/>
            <w:tcBorders>
              <w:top w:val="nil"/>
              <w:left w:val="nil"/>
              <w:bottom w:val="nil"/>
              <w:right w:val="nil"/>
            </w:tcBorders>
            <w:shd w:val="clear" w:color="auto" w:fill="auto"/>
            <w:noWrap/>
            <w:vAlign w:val="bottom"/>
            <w:hideMark/>
          </w:tcPr>
          <w:p w14:paraId="6D260CC4" w14:textId="77777777" w:rsidR="00D94D3B" w:rsidRPr="00D94D3B" w:rsidRDefault="00D94D3B" w:rsidP="0041394A">
            <w:pPr>
              <w:jc w:val="right"/>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751 </w:t>
            </w:r>
          </w:p>
        </w:tc>
        <w:tc>
          <w:tcPr>
            <w:tcW w:w="1279" w:type="dxa"/>
            <w:tcBorders>
              <w:top w:val="nil"/>
              <w:left w:val="nil"/>
              <w:bottom w:val="nil"/>
              <w:right w:val="nil"/>
            </w:tcBorders>
            <w:shd w:val="clear" w:color="auto" w:fill="auto"/>
            <w:noWrap/>
            <w:vAlign w:val="bottom"/>
            <w:hideMark/>
          </w:tcPr>
          <w:p w14:paraId="67C4AA8B" w14:textId="77777777" w:rsidR="00D94D3B" w:rsidRPr="00D94D3B" w:rsidRDefault="00D94D3B" w:rsidP="00D94D3B">
            <w:pP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751 </w:t>
            </w:r>
          </w:p>
        </w:tc>
        <w:tc>
          <w:tcPr>
            <w:tcW w:w="2867" w:type="dxa"/>
            <w:tcBorders>
              <w:top w:val="nil"/>
              <w:left w:val="nil"/>
              <w:bottom w:val="nil"/>
              <w:right w:val="nil"/>
            </w:tcBorders>
            <w:shd w:val="clear" w:color="auto" w:fill="auto"/>
            <w:noWrap/>
            <w:vAlign w:val="bottom"/>
            <w:hideMark/>
          </w:tcPr>
          <w:p w14:paraId="7ECF93B3" w14:textId="77777777" w:rsidR="00D94D3B" w:rsidRPr="00D94D3B" w:rsidRDefault="00D94D3B" w:rsidP="00D94D3B">
            <w:pP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Trade Receivables </w:t>
            </w:r>
          </w:p>
        </w:tc>
        <w:tc>
          <w:tcPr>
            <w:tcW w:w="1279" w:type="dxa"/>
            <w:tcBorders>
              <w:top w:val="nil"/>
              <w:left w:val="nil"/>
              <w:bottom w:val="nil"/>
              <w:right w:val="nil"/>
            </w:tcBorders>
            <w:shd w:val="clear" w:color="auto" w:fill="auto"/>
            <w:noWrap/>
            <w:vAlign w:val="bottom"/>
            <w:hideMark/>
          </w:tcPr>
          <w:p w14:paraId="7C6227DE" w14:textId="77777777" w:rsidR="00D94D3B" w:rsidRPr="00D94D3B" w:rsidRDefault="00D94D3B" w:rsidP="0041394A">
            <w:pPr>
              <w:jc w:val="right"/>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545 </w:t>
            </w:r>
          </w:p>
        </w:tc>
        <w:tc>
          <w:tcPr>
            <w:tcW w:w="1279" w:type="dxa"/>
            <w:tcBorders>
              <w:top w:val="nil"/>
              <w:left w:val="nil"/>
              <w:bottom w:val="nil"/>
              <w:right w:val="nil"/>
            </w:tcBorders>
            <w:shd w:val="clear" w:color="auto" w:fill="auto"/>
            <w:noWrap/>
            <w:vAlign w:val="bottom"/>
            <w:hideMark/>
          </w:tcPr>
          <w:p w14:paraId="5CA07AF0" w14:textId="77777777" w:rsidR="00D94D3B" w:rsidRPr="00D94D3B" w:rsidRDefault="00D94D3B" w:rsidP="0041394A">
            <w:pPr>
              <w:jc w:val="right"/>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545 </w:t>
            </w:r>
          </w:p>
        </w:tc>
      </w:tr>
      <w:tr w:rsidR="00D94D3B" w:rsidRPr="00D94D3B" w14:paraId="300EA944" w14:textId="77777777" w:rsidTr="00D94D3B">
        <w:trPr>
          <w:trHeight w:val="210"/>
          <w:jc w:val="center"/>
        </w:trPr>
        <w:tc>
          <w:tcPr>
            <w:tcW w:w="1279" w:type="dxa"/>
            <w:tcBorders>
              <w:top w:val="nil"/>
              <w:left w:val="nil"/>
              <w:bottom w:val="nil"/>
              <w:right w:val="nil"/>
            </w:tcBorders>
            <w:shd w:val="clear" w:color="auto" w:fill="auto"/>
            <w:noWrap/>
            <w:vAlign w:val="bottom"/>
            <w:hideMark/>
          </w:tcPr>
          <w:p w14:paraId="78BE68B9" w14:textId="77777777" w:rsidR="00D94D3B" w:rsidRPr="00D94D3B" w:rsidRDefault="00D94D3B" w:rsidP="0041394A">
            <w:pPr>
              <w:jc w:val="right"/>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7,213 </w:t>
            </w:r>
          </w:p>
        </w:tc>
        <w:tc>
          <w:tcPr>
            <w:tcW w:w="1279" w:type="dxa"/>
            <w:tcBorders>
              <w:top w:val="nil"/>
              <w:left w:val="nil"/>
              <w:bottom w:val="nil"/>
              <w:right w:val="nil"/>
            </w:tcBorders>
            <w:shd w:val="clear" w:color="auto" w:fill="auto"/>
            <w:noWrap/>
            <w:vAlign w:val="bottom"/>
            <w:hideMark/>
          </w:tcPr>
          <w:p w14:paraId="3BC482C2" w14:textId="77777777" w:rsidR="00D94D3B" w:rsidRPr="00D94D3B" w:rsidRDefault="00D94D3B" w:rsidP="00D94D3B">
            <w:pP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7,213 </w:t>
            </w:r>
          </w:p>
        </w:tc>
        <w:tc>
          <w:tcPr>
            <w:tcW w:w="2867" w:type="dxa"/>
            <w:tcBorders>
              <w:top w:val="nil"/>
              <w:left w:val="nil"/>
              <w:bottom w:val="nil"/>
              <w:right w:val="nil"/>
            </w:tcBorders>
            <w:shd w:val="clear" w:color="auto" w:fill="auto"/>
            <w:noWrap/>
            <w:vAlign w:val="bottom"/>
            <w:hideMark/>
          </w:tcPr>
          <w:p w14:paraId="7CD9288F" w14:textId="77777777" w:rsidR="00D94D3B" w:rsidRPr="00D94D3B" w:rsidRDefault="00D94D3B" w:rsidP="00D94D3B">
            <w:pP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Prepayments </w:t>
            </w:r>
          </w:p>
        </w:tc>
        <w:tc>
          <w:tcPr>
            <w:tcW w:w="1279" w:type="dxa"/>
            <w:tcBorders>
              <w:top w:val="nil"/>
              <w:left w:val="nil"/>
              <w:bottom w:val="nil"/>
              <w:right w:val="nil"/>
            </w:tcBorders>
            <w:shd w:val="clear" w:color="auto" w:fill="auto"/>
            <w:noWrap/>
            <w:vAlign w:val="bottom"/>
            <w:hideMark/>
          </w:tcPr>
          <w:p w14:paraId="31F5FF38" w14:textId="77777777" w:rsidR="00D94D3B" w:rsidRPr="00D94D3B" w:rsidRDefault="00D94D3B" w:rsidP="0041394A">
            <w:pPr>
              <w:jc w:val="right"/>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5,500 </w:t>
            </w:r>
          </w:p>
        </w:tc>
        <w:tc>
          <w:tcPr>
            <w:tcW w:w="1279" w:type="dxa"/>
            <w:tcBorders>
              <w:top w:val="nil"/>
              <w:left w:val="nil"/>
              <w:bottom w:val="nil"/>
              <w:right w:val="nil"/>
            </w:tcBorders>
            <w:shd w:val="clear" w:color="auto" w:fill="auto"/>
            <w:noWrap/>
            <w:vAlign w:val="bottom"/>
            <w:hideMark/>
          </w:tcPr>
          <w:p w14:paraId="454CD831" w14:textId="77777777" w:rsidR="00D94D3B" w:rsidRPr="00D94D3B" w:rsidRDefault="00D94D3B" w:rsidP="0041394A">
            <w:pPr>
              <w:jc w:val="right"/>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5,500 </w:t>
            </w:r>
          </w:p>
        </w:tc>
      </w:tr>
      <w:tr w:rsidR="00D94D3B" w:rsidRPr="00D94D3B" w14:paraId="355590C9" w14:textId="77777777" w:rsidTr="00D94D3B">
        <w:trPr>
          <w:trHeight w:val="210"/>
          <w:jc w:val="center"/>
        </w:trPr>
        <w:tc>
          <w:tcPr>
            <w:tcW w:w="1279" w:type="dxa"/>
            <w:tcBorders>
              <w:top w:val="nil"/>
              <w:left w:val="nil"/>
              <w:bottom w:val="nil"/>
              <w:right w:val="nil"/>
            </w:tcBorders>
            <w:shd w:val="clear" w:color="auto" w:fill="auto"/>
            <w:noWrap/>
            <w:vAlign w:val="bottom"/>
            <w:hideMark/>
          </w:tcPr>
          <w:p w14:paraId="3D806AE6" w14:textId="43350477" w:rsidR="00D94D3B" w:rsidRPr="00D94D3B" w:rsidRDefault="00652161" w:rsidP="0041394A">
            <w:pPr>
              <w:jc w:val="right"/>
              <w:rPr>
                <w:rFonts w:eastAsia="Times New Roman" w:cs="Times New Roman"/>
                <w:color w:val="000000"/>
                <w:sz w:val="16"/>
                <w:szCs w:val="16"/>
                <w:lang w:val="en-GB" w:eastAsia="en-GB"/>
              </w:rPr>
            </w:pPr>
            <w:r>
              <w:rPr>
                <w:rFonts w:eastAsia="Times New Roman" w:cs="Times New Roman"/>
                <w:color w:val="000000"/>
                <w:sz w:val="16"/>
                <w:szCs w:val="16"/>
                <w:lang w:val="en-GB" w:eastAsia="en-GB"/>
              </w:rPr>
              <w:t>13,356</w:t>
            </w:r>
            <w:r w:rsidR="00D94D3B" w:rsidRPr="00D94D3B">
              <w:rPr>
                <w:rFonts w:eastAsia="Times New Roman" w:cs="Times New Roman"/>
                <w:color w:val="000000"/>
                <w:sz w:val="16"/>
                <w:szCs w:val="16"/>
                <w:lang w:val="en-GB" w:eastAsia="en-GB"/>
              </w:rPr>
              <w:t xml:space="preserve"> </w:t>
            </w:r>
            <w:r>
              <w:rPr>
                <w:rFonts w:eastAsia="Times New Roman" w:cs="Times New Roman"/>
                <w:color w:val="000000"/>
                <w:sz w:val="16"/>
                <w:szCs w:val="16"/>
                <w:lang w:val="en-GB" w:eastAsia="en-GB"/>
              </w:rPr>
              <w:t xml:space="preserve"> </w:t>
            </w:r>
          </w:p>
        </w:tc>
        <w:tc>
          <w:tcPr>
            <w:tcW w:w="1279" w:type="dxa"/>
            <w:tcBorders>
              <w:top w:val="nil"/>
              <w:left w:val="nil"/>
              <w:bottom w:val="nil"/>
              <w:right w:val="nil"/>
            </w:tcBorders>
            <w:shd w:val="clear" w:color="auto" w:fill="auto"/>
            <w:noWrap/>
            <w:vAlign w:val="bottom"/>
            <w:hideMark/>
          </w:tcPr>
          <w:p w14:paraId="0291C131" w14:textId="77777777" w:rsidR="00D94D3B" w:rsidRPr="00D94D3B" w:rsidRDefault="00D94D3B" w:rsidP="00D94D3B">
            <w:pP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16,466 </w:t>
            </w:r>
          </w:p>
        </w:tc>
        <w:tc>
          <w:tcPr>
            <w:tcW w:w="2867" w:type="dxa"/>
            <w:tcBorders>
              <w:top w:val="nil"/>
              <w:left w:val="nil"/>
              <w:bottom w:val="nil"/>
              <w:right w:val="nil"/>
            </w:tcBorders>
            <w:shd w:val="clear" w:color="auto" w:fill="auto"/>
            <w:noWrap/>
            <w:vAlign w:val="bottom"/>
            <w:hideMark/>
          </w:tcPr>
          <w:p w14:paraId="2CAD1ACA" w14:textId="77777777" w:rsidR="00D94D3B" w:rsidRPr="00D94D3B" w:rsidRDefault="00D94D3B" w:rsidP="00D94D3B">
            <w:pP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Other Receivable Amounts </w:t>
            </w:r>
          </w:p>
        </w:tc>
        <w:tc>
          <w:tcPr>
            <w:tcW w:w="1279" w:type="dxa"/>
            <w:tcBorders>
              <w:top w:val="nil"/>
              <w:left w:val="nil"/>
              <w:bottom w:val="nil"/>
              <w:right w:val="nil"/>
            </w:tcBorders>
            <w:shd w:val="clear" w:color="auto" w:fill="auto"/>
            <w:noWrap/>
            <w:vAlign w:val="bottom"/>
            <w:hideMark/>
          </w:tcPr>
          <w:p w14:paraId="07E994C0" w14:textId="63F92BFC" w:rsidR="00D94D3B" w:rsidRPr="00D94D3B" w:rsidRDefault="00D94D3B" w:rsidP="0041394A">
            <w:pPr>
              <w:jc w:val="right"/>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16,</w:t>
            </w:r>
            <w:r w:rsidR="00652161">
              <w:rPr>
                <w:rFonts w:eastAsia="Times New Roman" w:cs="Times New Roman"/>
                <w:color w:val="000000"/>
                <w:sz w:val="16"/>
                <w:szCs w:val="16"/>
                <w:lang w:val="en-GB" w:eastAsia="en-GB"/>
              </w:rPr>
              <w:t>2</w:t>
            </w:r>
            <w:r w:rsidR="00760723">
              <w:rPr>
                <w:rFonts w:eastAsia="Times New Roman" w:cs="Times New Roman"/>
                <w:color w:val="000000"/>
                <w:sz w:val="16"/>
                <w:szCs w:val="16"/>
                <w:lang w:val="en-GB" w:eastAsia="en-GB"/>
              </w:rPr>
              <w:t>69</w:t>
            </w:r>
            <w:r w:rsidRPr="00D94D3B">
              <w:rPr>
                <w:rFonts w:eastAsia="Times New Roman" w:cs="Times New Roman"/>
                <w:color w:val="000000"/>
                <w:sz w:val="16"/>
                <w:szCs w:val="16"/>
                <w:lang w:val="en-GB" w:eastAsia="en-GB"/>
              </w:rPr>
              <w:t xml:space="preserve"> </w:t>
            </w:r>
          </w:p>
        </w:tc>
        <w:tc>
          <w:tcPr>
            <w:tcW w:w="1279" w:type="dxa"/>
            <w:tcBorders>
              <w:top w:val="nil"/>
              <w:left w:val="nil"/>
              <w:bottom w:val="nil"/>
              <w:right w:val="nil"/>
            </w:tcBorders>
            <w:shd w:val="clear" w:color="auto" w:fill="auto"/>
            <w:noWrap/>
            <w:vAlign w:val="bottom"/>
            <w:hideMark/>
          </w:tcPr>
          <w:p w14:paraId="26FC3A4E" w14:textId="69194BD2" w:rsidR="00D94D3B" w:rsidRPr="00D94D3B" w:rsidRDefault="00D94D3B" w:rsidP="0041394A">
            <w:pPr>
              <w:jc w:val="right"/>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16,</w:t>
            </w:r>
            <w:r w:rsidR="00652161">
              <w:rPr>
                <w:rFonts w:eastAsia="Times New Roman" w:cs="Times New Roman"/>
                <w:color w:val="000000"/>
                <w:sz w:val="16"/>
                <w:szCs w:val="16"/>
                <w:lang w:val="en-GB" w:eastAsia="en-GB"/>
              </w:rPr>
              <w:t>379</w:t>
            </w:r>
            <w:r w:rsidRPr="00D94D3B">
              <w:rPr>
                <w:rFonts w:eastAsia="Times New Roman" w:cs="Times New Roman"/>
                <w:color w:val="000000"/>
                <w:sz w:val="16"/>
                <w:szCs w:val="16"/>
                <w:lang w:val="en-GB" w:eastAsia="en-GB"/>
              </w:rPr>
              <w:t xml:space="preserve"> </w:t>
            </w:r>
          </w:p>
        </w:tc>
      </w:tr>
      <w:tr w:rsidR="00D94D3B" w:rsidRPr="00D94D3B" w14:paraId="5B22C12A" w14:textId="77777777" w:rsidTr="00D94D3B">
        <w:trPr>
          <w:trHeight w:val="225"/>
          <w:jc w:val="center"/>
        </w:trPr>
        <w:tc>
          <w:tcPr>
            <w:tcW w:w="1279" w:type="dxa"/>
            <w:tcBorders>
              <w:top w:val="single" w:sz="4" w:space="0" w:color="auto"/>
              <w:left w:val="nil"/>
              <w:bottom w:val="single" w:sz="8" w:space="0" w:color="auto"/>
              <w:right w:val="nil"/>
            </w:tcBorders>
            <w:shd w:val="clear" w:color="auto" w:fill="auto"/>
            <w:noWrap/>
            <w:vAlign w:val="bottom"/>
            <w:hideMark/>
          </w:tcPr>
          <w:p w14:paraId="2EA04FAE" w14:textId="0A7E9900" w:rsidR="00D94D3B" w:rsidRPr="00D94D3B" w:rsidRDefault="00652161" w:rsidP="0041394A">
            <w:pPr>
              <w:jc w:val="right"/>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21,320</w:t>
            </w:r>
            <w:r w:rsidR="00D94D3B" w:rsidRPr="00D94D3B">
              <w:rPr>
                <w:rFonts w:eastAsia="Times New Roman" w:cs="Times New Roman"/>
                <w:b/>
                <w:bCs/>
                <w:color w:val="000000"/>
                <w:sz w:val="16"/>
                <w:szCs w:val="16"/>
                <w:lang w:val="en-GB" w:eastAsia="en-GB"/>
              </w:rPr>
              <w:t xml:space="preserve">        </w:t>
            </w:r>
          </w:p>
        </w:tc>
        <w:tc>
          <w:tcPr>
            <w:tcW w:w="1279" w:type="dxa"/>
            <w:tcBorders>
              <w:top w:val="single" w:sz="4" w:space="0" w:color="auto"/>
              <w:left w:val="nil"/>
              <w:bottom w:val="single" w:sz="8" w:space="0" w:color="auto"/>
              <w:right w:val="nil"/>
            </w:tcBorders>
            <w:shd w:val="clear" w:color="auto" w:fill="auto"/>
            <w:noWrap/>
            <w:vAlign w:val="bottom"/>
            <w:hideMark/>
          </w:tcPr>
          <w:p w14:paraId="571D85D3" w14:textId="77777777" w:rsidR="00D94D3B" w:rsidRPr="00D94D3B" w:rsidRDefault="00D94D3B" w:rsidP="00D94D3B">
            <w:pP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24,430 </w:t>
            </w:r>
          </w:p>
        </w:tc>
        <w:tc>
          <w:tcPr>
            <w:tcW w:w="2867" w:type="dxa"/>
            <w:tcBorders>
              <w:top w:val="single" w:sz="4" w:space="0" w:color="auto"/>
              <w:left w:val="nil"/>
              <w:bottom w:val="single" w:sz="8" w:space="0" w:color="auto"/>
              <w:right w:val="nil"/>
            </w:tcBorders>
            <w:shd w:val="clear" w:color="auto" w:fill="auto"/>
            <w:noWrap/>
            <w:vAlign w:val="bottom"/>
            <w:hideMark/>
          </w:tcPr>
          <w:p w14:paraId="22A3D1A9" w14:textId="326F98E4" w:rsidR="00D94D3B" w:rsidRPr="00D94D3B" w:rsidRDefault="00D94D3B" w:rsidP="00D94D3B">
            <w:pP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TOTAL </w:t>
            </w:r>
            <w:r w:rsidR="00B06515">
              <w:rPr>
                <w:rFonts w:eastAsia="Times New Roman" w:cs="Times New Roman"/>
                <w:b/>
                <w:bCs/>
                <w:color w:val="000000"/>
                <w:sz w:val="16"/>
                <w:szCs w:val="16"/>
                <w:lang w:val="en-GB" w:eastAsia="en-GB"/>
              </w:rPr>
              <w:t>DEBTORS</w:t>
            </w:r>
          </w:p>
        </w:tc>
        <w:tc>
          <w:tcPr>
            <w:tcW w:w="1279" w:type="dxa"/>
            <w:tcBorders>
              <w:top w:val="single" w:sz="4" w:space="0" w:color="auto"/>
              <w:left w:val="nil"/>
              <w:bottom w:val="single" w:sz="8" w:space="0" w:color="auto"/>
              <w:right w:val="nil"/>
            </w:tcBorders>
            <w:shd w:val="clear" w:color="auto" w:fill="auto"/>
            <w:noWrap/>
            <w:vAlign w:val="bottom"/>
            <w:hideMark/>
          </w:tcPr>
          <w:p w14:paraId="01AF0A5A" w14:textId="35C04315" w:rsidR="00D94D3B" w:rsidRPr="00D94D3B" w:rsidRDefault="00D94D3B" w:rsidP="0041394A">
            <w:pPr>
              <w:jc w:val="right"/>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2</w:t>
            </w:r>
            <w:r w:rsidR="00652161">
              <w:rPr>
                <w:rFonts w:eastAsia="Times New Roman" w:cs="Times New Roman"/>
                <w:b/>
                <w:bCs/>
                <w:color w:val="000000"/>
                <w:sz w:val="16"/>
                <w:szCs w:val="16"/>
                <w:lang w:val="en-GB" w:eastAsia="en-GB"/>
              </w:rPr>
              <w:t>2,31</w:t>
            </w:r>
            <w:r w:rsidR="00760723">
              <w:rPr>
                <w:rFonts w:eastAsia="Times New Roman" w:cs="Times New Roman"/>
                <w:b/>
                <w:bCs/>
                <w:color w:val="000000"/>
                <w:sz w:val="16"/>
                <w:szCs w:val="16"/>
                <w:lang w:val="en-GB" w:eastAsia="en-GB"/>
              </w:rPr>
              <w:t>4</w:t>
            </w:r>
            <w:r w:rsidRPr="00D94D3B">
              <w:rPr>
                <w:rFonts w:eastAsia="Times New Roman" w:cs="Times New Roman"/>
                <w:b/>
                <w:bCs/>
                <w:color w:val="000000"/>
                <w:sz w:val="16"/>
                <w:szCs w:val="16"/>
                <w:lang w:val="en-GB" w:eastAsia="en-GB"/>
              </w:rPr>
              <w:t xml:space="preserve"> </w:t>
            </w:r>
          </w:p>
        </w:tc>
        <w:tc>
          <w:tcPr>
            <w:tcW w:w="1279" w:type="dxa"/>
            <w:tcBorders>
              <w:top w:val="single" w:sz="4" w:space="0" w:color="auto"/>
              <w:left w:val="nil"/>
              <w:bottom w:val="single" w:sz="8" w:space="0" w:color="auto"/>
              <w:right w:val="nil"/>
            </w:tcBorders>
            <w:shd w:val="clear" w:color="auto" w:fill="auto"/>
            <w:noWrap/>
            <w:vAlign w:val="bottom"/>
            <w:hideMark/>
          </w:tcPr>
          <w:p w14:paraId="332CDCE3" w14:textId="2BDA4B4E" w:rsidR="00D94D3B" w:rsidRPr="00D94D3B" w:rsidRDefault="00D94D3B" w:rsidP="0041394A">
            <w:pPr>
              <w:jc w:val="right"/>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22,</w:t>
            </w:r>
            <w:r w:rsidR="00652161">
              <w:rPr>
                <w:rFonts w:eastAsia="Times New Roman" w:cs="Times New Roman"/>
                <w:b/>
                <w:bCs/>
                <w:color w:val="000000"/>
                <w:sz w:val="16"/>
                <w:szCs w:val="16"/>
                <w:lang w:val="en-GB" w:eastAsia="en-GB"/>
              </w:rPr>
              <w:t>424</w:t>
            </w:r>
            <w:r w:rsidRPr="00D94D3B">
              <w:rPr>
                <w:rFonts w:eastAsia="Times New Roman" w:cs="Times New Roman"/>
                <w:b/>
                <w:bCs/>
                <w:color w:val="000000"/>
                <w:sz w:val="16"/>
                <w:szCs w:val="16"/>
                <w:lang w:val="en-GB" w:eastAsia="en-GB"/>
              </w:rPr>
              <w:t xml:space="preserve"> </w:t>
            </w:r>
          </w:p>
        </w:tc>
      </w:tr>
    </w:tbl>
    <w:p w14:paraId="01D07260" w14:textId="77777777" w:rsidR="00DA65B0" w:rsidRPr="0041394A" w:rsidRDefault="00DA65B0">
      <w:pPr>
        <w:pStyle w:val="Normal0"/>
        <w:spacing w:after="160"/>
        <w:rPr>
          <w:rFonts w:ascii="Verdana" w:eastAsia="Verdana" w:hAnsi="Verdana" w:cs="Verdana"/>
          <w:sz w:val="4"/>
          <w:szCs w:val="4"/>
          <w:lang w:val="en-GB"/>
        </w:rPr>
      </w:pPr>
    </w:p>
    <w:p w14:paraId="75A3374F" w14:textId="064DB000" w:rsidR="00D94D3B" w:rsidRDefault="00D94D3B">
      <w:pPr>
        <w:pStyle w:val="Normal0"/>
        <w:spacing w:after="160"/>
        <w:rPr>
          <w:rFonts w:ascii="Verdana" w:eastAsia="Verdana" w:hAnsi="Verdana" w:cs="Verdana"/>
          <w:sz w:val="22"/>
          <w:szCs w:val="22"/>
          <w:lang w:val="en-GB"/>
        </w:rPr>
      </w:pPr>
      <w:r>
        <w:rPr>
          <w:rFonts w:ascii="Verdana" w:eastAsia="Verdana" w:hAnsi="Verdana" w:cs="Verdana"/>
          <w:sz w:val="22"/>
          <w:szCs w:val="22"/>
          <w:lang w:val="en-GB"/>
        </w:rPr>
        <w:t>The following tables provide further detail on items included within the debtor categories above.</w:t>
      </w:r>
    </w:p>
    <w:p w14:paraId="6D65A246" w14:textId="5E2BCAD3" w:rsidR="00D94D3B" w:rsidRPr="00B06515" w:rsidRDefault="00D94D3B">
      <w:pPr>
        <w:pStyle w:val="Normal0"/>
        <w:spacing w:after="160"/>
        <w:rPr>
          <w:rFonts w:ascii="Verdana" w:eastAsia="Verdana" w:hAnsi="Verdana" w:cs="Verdana"/>
          <w:sz w:val="22"/>
          <w:szCs w:val="22"/>
          <w:lang w:val="en-GB"/>
        </w:rPr>
      </w:pPr>
      <w:r w:rsidRPr="00B06515">
        <w:rPr>
          <w:rFonts w:ascii="Verdana" w:eastAsia="Verdana" w:hAnsi="Verdana" w:cs="Verdana"/>
          <w:sz w:val="22"/>
          <w:szCs w:val="22"/>
          <w:lang w:val="en-GB"/>
        </w:rPr>
        <w:t>Analysis of Other Receivable Amounts:</w:t>
      </w:r>
    </w:p>
    <w:tbl>
      <w:tblPr>
        <w:tblW w:w="9109" w:type="dxa"/>
        <w:jc w:val="center"/>
        <w:tblLook w:val="04A0" w:firstRow="1" w:lastRow="0" w:firstColumn="1" w:lastColumn="0" w:noHBand="0" w:noVBand="1"/>
      </w:tblPr>
      <w:tblGrid>
        <w:gridCol w:w="1422"/>
        <w:gridCol w:w="1423"/>
        <w:gridCol w:w="3419"/>
        <w:gridCol w:w="1422"/>
        <w:gridCol w:w="1423"/>
      </w:tblGrid>
      <w:tr w:rsidR="00D94D3B" w:rsidRPr="00D94D3B" w14:paraId="3FB9104D" w14:textId="77777777" w:rsidTr="00D94D3B">
        <w:trPr>
          <w:trHeight w:val="159"/>
          <w:jc w:val="center"/>
        </w:trPr>
        <w:tc>
          <w:tcPr>
            <w:tcW w:w="2845" w:type="dxa"/>
            <w:gridSpan w:val="2"/>
            <w:tcBorders>
              <w:top w:val="nil"/>
              <w:left w:val="nil"/>
              <w:bottom w:val="nil"/>
              <w:right w:val="nil"/>
            </w:tcBorders>
            <w:shd w:val="clear" w:color="auto" w:fill="auto"/>
            <w:noWrap/>
            <w:vAlign w:val="bottom"/>
            <w:hideMark/>
          </w:tcPr>
          <w:p w14:paraId="2C42FD7B" w14:textId="77777777" w:rsidR="00D94D3B" w:rsidRPr="00B06515" w:rsidRDefault="00D94D3B" w:rsidP="00D94D3B">
            <w:pPr>
              <w:jc w:val="center"/>
              <w:rPr>
                <w:rFonts w:eastAsia="Times New Roman" w:cs="Times New Roman"/>
                <w:b/>
                <w:bCs/>
                <w:color w:val="000000"/>
                <w:sz w:val="16"/>
                <w:szCs w:val="16"/>
                <w:lang w:val="en-GB" w:eastAsia="en-GB"/>
              </w:rPr>
            </w:pPr>
            <w:r w:rsidRPr="00B06515">
              <w:rPr>
                <w:rFonts w:eastAsia="Times New Roman" w:cs="Times New Roman"/>
                <w:b/>
                <w:bCs/>
                <w:color w:val="000000"/>
                <w:sz w:val="16"/>
                <w:szCs w:val="16"/>
                <w:lang w:val="en-GB" w:eastAsia="en-GB"/>
              </w:rPr>
              <w:t xml:space="preserve">31 March 2020 </w:t>
            </w:r>
          </w:p>
        </w:tc>
        <w:tc>
          <w:tcPr>
            <w:tcW w:w="3419" w:type="dxa"/>
            <w:tcBorders>
              <w:top w:val="nil"/>
              <w:left w:val="nil"/>
              <w:bottom w:val="nil"/>
              <w:right w:val="nil"/>
            </w:tcBorders>
            <w:shd w:val="clear" w:color="auto" w:fill="auto"/>
            <w:noWrap/>
            <w:vAlign w:val="bottom"/>
            <w:hideMark/>
          </w:tcPr>
          <w:p w14:paraId="21032C94" w14:textId="77777777" w:rsidR="00D94D3B" w:rsidRPr="00B06515" w:rsidRDefault="00D94D3B" w:rsidP="00D94D3B">
            <w:pPr>
              <w:jc w:val="center"/>
              <w:rPr>
                <w:rFonts w:eastAsia="Times New Roman" w:cs="Times New Roman"/>
                <w:b/>
                <w:bCs/>
                <w:color w:val="000000"/>
                <w:sz w:val="16"/>
                <w:szCs w:val="16"/>
                <w:lang w:val="en-GB" w:eastAsia="en-GB"/>
              </w:rPr>
            </w:pPr>
          </w:p>
        </w:tc>
        <w:tc>
          <w:tcPr>
            <w:tcW w:w="2845" w:type="dxa"/>
            <w:gridSpan w:val="2"/>
            <w:tcBorders>
              <w:top w:val="nil"/>
              <w:left w:val="nil"/>
              <w:bottom w:val="nil"/>
              <w:right w:val="nil"/>
            </w:tcBorders>
            <w:shd w:val="clear" w:color="auto" w:fill="auto"/>
            <w:noWrap/>
            <w:vAlign w:val="bottom"/>
            <w:hideMark/>
          </w:tcPr>
          <w:p w14:paraId="11D1FBE4" w14:textId="7087BE88" w:rsidR="00D94D3B" w:rsidRPr="00B06515" w:rsidRDefault="00D94D3B">
            <w:pPr>
              <w:jc w:val="center"/>
              <w:rPr>
                <w:rFonts w:eastAsia="Times New Roman" w:cs="Times New Roman"/>
                <w:b/>
                <w:bCs/>
                <w:color w:val="000000"/>
                <w:sz w:val="16"/>
                <w:szCs w:val="16"/>
                <w:lang w:val="en-GB" w:eastAsia="en-GB"/>
              </w:rPr>
            </w:pPr>
            <w:r w:rsidRPr="00B06515">
              <w:rPr>
                <w:rFonts w:eastAsia="Times New Roman" w:cs="Times New Roman"/>
                <w:b/>
                <w:bCs/>
                <w:color w:val="000000"/>
                <w:sz w:val="16"/>
                <w:szCs w:val="16"/>
                <w:lang w:val="en-GB" w:eastAsia="en-GB"/>
              </w:rPr>
              <w:t xml:space="preserve"> 31 March 202</w:t>
            </w:r>
            <w:r w:rsidR="00652161">
              <w:rPr>
                <w:rFonts w:eastAsia="Times New Roman" w:cs="Times New Roman"/>
                <w:b/>
                <w:bCs/>
                <w:color w:val="000000"/>
                <w:sz w:val="16"/>
                <w:szCs w:val="16"/>
                <w:lang w:val="en-GB" w:eastAsia="en-GB"/>
              </w:rPr>
              <w:t>1</w:t>
            </w:r>
            <w:r w:rsidRPr="00B06515">
              <w:rPr>
                <w:rFonts w:eastAsia="Times New Roman" w:cs="Times New Roman"/>
                <w:b/>
                <w:bCs/>
                <w:color w:val="000000"/>
                <w:sz w:val="16"/>
                <w:szCs w:val="16"/>
                <w:lang w:val="en-GB" w:eastAsia="en-GB"/>
              </w:rPr>
              <w:t xml:space="preserve"> </w:t>
            </w:r>
          </w:p>
        </w:tc>
      </w:tr>
      <w:tr w:rsidR="00D94D3B" w:rsidRPr="00D94D3B" w14:paraId="0C78BB0B" w14:textId="77777777" w:rsidTr="00D94D3B">
        <w:trPr>
          <w:trHeight w:val="159"/>
          <w:jc w:val="center"/>
        </w:trPr>
        <w:tc>
          <w:tcPr>
            <w:tcW w:w="1422" w:type="dxa"/>
            <w:tcBorders>
              <w:top w:val="nil"/>
              <w:left w:val="nil"/>
              <w:bottom w:val="nil"/>
              <w:right w:val="nil"/>
            </w:tcBorders>
            <w:shd w:val="clear" w:color="auto" w:fill="auto"/>
            <w:noWrap/>
            <w:vAlign w:val="bottom"/>
            <w:hideMark/>
          </w:tcPr>
          <w:p w14:paraId="39B335D6" w14:textId="77777777" w:rsidR="00D94D3B" w:rsidRPr="00B06515" w:rsidRDefault="00D94D3B" w:rsidP="00D94D3B">
            <w:pPr>
              <w:jc w:val="center"/>
              <w:rPr>
                <w:rFonts w:eastAsia="Times New Roman" w:cs="Times New Roman"/>
                <w:b/>
                <w:bCs/>
                <w:color w:val="000000"/>
                <w:sz w:val="16"/>
                <w:szCs w:val="16"/>
                <w:lang w:val="en-GB" w:eastAsia="en-GB"/>
              </w:rPr>
            </w:pPr>
            <w:r w:rsidRPr="00B06515">
              <w:rPr>
                <w:rFonts w:eastAsia="Times New Roman" w:cs="Times New Roman"/>
                <w:b/>
                <w:bCs/>
                <w:color w:val="000000"/>
                <w:sz w:val="16"/>
                <w:szCs w:val="16"/>
                <w:lang w:val="en-GB" w:eastAsia="en-GB"/>
              </w:rPr>
              <w:t xml:space="preserve"> PCC </w:t>
            </w:r>
          </w:p>
        </w:tc>
        <w:tc>
          <w:tcPr>
            <w:tcW w:w="1422" w:type="dxa"/>
            <w:tcBorders>
              <w:top w:val="nil"/>
              <w:left w:val="nil"/>
              <w:bottom w:val="nil"/>
              <w:right w:val="nil"/>
            </w:tcBorders>
            <w:shd w:val="clear" w:color="auto" w:fill="auto"/>
            <w:noWrap/>
            <w:vAlign w:val="bottom"/>
            <w:hideMark/>
          </w:tcPr>
          <w:p w14:paraId="2B2520BE" w14:textId="77777777" w:rsidR="00D94D3B" w:rsidRPr="00B06515" w:rsidRDefault="00D94D3B" w:rsidP="00D94D3B">
            <w:pPr>
              <w:jc w:val="center"/>
              <w:rPr>
                <w:rFonts w:eastAsia="Times New Roman" w:cs="Times New Roman"/>
                <w:b/>
                <w:bCs/>
                <w:color w:val="000000"/>
                <w:sz w:val="16"/>
                <w:szCs w:val="16"/>
                <w:lang w:val="en-GB" w:eastAsia="en-GB"/>
              </w:rPr>
            </w:pPr>
            <w:r w:rsidRPr="00B06515">
              <w:rPr>
                <w:rFonts w:eastAsia="Times New Roman" w:cs="Times New Roman"/>
                <w:b/>
                <w:bCs/>
                <w:color w:val="000000"/>
                <w:sz w:val="16"/>
                <w:szCs w:val="16"/>
                <w:lang w:val="en-GB" w:eastAsia="en-GB"/>
              </w:rPr>
              <w:t xml:space="preserve"> Group </w:t>
            </w:r>
          </w:p>
        </w:tc>
        <w:tc>
          <w:tcPr>
            <w:tcW w:w="3419" w:type="dxa"/>
            <w:tcBorders>
              <w:top w:val="nil"/>
              <w:left w:val="nil"/>
              <w:bottom w:val="nil"/>
              <w:right w:val="nil"/>
            </w:tcBorders>
            <w:shd w:val="clear" w:color="auto" w:fill="auto"/>
            <w:noWrap/>
            <w:vAlign w:val="bottom"/>
            <w:hideMark/>
          </w:tcPr>
          <w:p w14:paraId="4A65F63C" w14:textId="77777777" w:rsidR="00D94D3B" w:rsidRPr="00B06515" w:rsidRDefault="00D94D3B" w:rsidP="00D94D3B">
            <w:pPr>
              <w:jc w:val="center"/>
              <w:rPr>
                <w:rFonts w:eastAsia="Times New Roman" w:cs="Times New Roman"/>
                <w:b/>
                <w:bCs/>
                <w:color w:val="000000"/>
                <w:sz w:val="16"/>
                <w:szCs w:val="16"/>
                <w:lang w:val="en-GB" w:eastAsia="en-GB"/>
              </w:rPr>
            </w:pPr>
          </w:p>
        </w:tc>
        <w:tc>
          <w:tcPr>
            <w:tcW w:w="1422" w:type="dxa"/>
            <w:tcBorders>
              <w:top w:val="nil"/>
              <w:left w:val="nil"/>
              <w:bottom w:val="nil"/>
              <w:right w:val="nil"/>
            </w:tcBorders>
            <w:shd w:val="clear" w:color="auto" w:fill="auto"/>
            <w:noWrap/>
            <w:vAlign w:val="bottom"/>
            <w:hideMark/>
          </w:tcPr>
          <w:p w14:paraId="44A43423" w14:textId="77777777" w:rsidR="00D94D3B" w:rsidRPr="00B06515" w:rsidRDefault="00D94D3B" w:rsidP="00D94D3B">
            <w:pPr>
              <w:jc w:val="center"/>
              <w:rPr>
                <w:rFonts w:eastAsia="Times New Roman" w:cs="Times New Roman"/>
                <w:b/>
                <w:bCs/>
                <w:color w:val="000000"/>
                <w:sz w:val="16"/>
                <w:szCs w:val="16"/>
                <w:lang w:val="en-GB" w:eastAsia="en-GB"/>
              </w:rPr>
            </w:pPr>
            <w:r w:rsidRPr="00B06515">
              <w:rPr>
                <w:rFonts w:eastAsia="Times New Roman" w:cs="Times New Roman"/>
                <w:b/>
                <w:bCs/>
                <w:color w:val="000000"/>
                <w:sz w:val="16"/>
                <w:szCs w:val="16"/>
                <w:lang w:val="en-GB" w:eastAsia="en-GB"/>
              </w:rPr>
              <w:t xml:space="preserve"> PCC </w:t>
            </w:r>
          </w:p>
        </w:tc>
        <w:tc>
          <w:tcPr>
            <w:tcW w:w="1422" w:type="dxa"/>
            <w:tcBorders>
              <w:top w:val="nil"/>
              <w:left w:val="nil"/>
              <w:bottom w:val="nil"/>
              <w:right w:val="nil"/>
            </w:tcBorders>
            <w:shd w:val="clear" w:color="auto" w:fill="auto"/>
            <w:noWrap/>
            <w:vAlign w:val="bottom"/>
            <w:hideMark/>
          </w:tcPr>
          <w:p w14:paraId="6A710279" w14:textId="77777777" w:rsidR="00D94D3B" w:rsidRPr="00B06515" w:rsidRDefault="00D94D3B" w:rsidP="00D94D3B">
            <w:pPr>
              <w:jc w:val="center"/>
              <w:rPr>
                <w:rFonts w:eastAsia="Times New Roman" w:cs="Times New Roman"/>
                <w:b/>
                <w:bCs/>
                <w:color w:val="000000"/>
                <w:sz w:val="16"/>
                <w:szCs w:val="16"/>
                <w:lang w:val="en-GB" w:eastAsia="en-GB"/>
              </w:rPr>
            </w:pPr>
            <w:r w:rsidRPr="00B06515">
              <w:rPr>
                <w:rFonts w:eastAsia="Times New Roman" w:cs="Times New Roman"/>
                <w:b/>
                <w:bCs/>
                <w:color w:val="000000"/>
                <w:sz w:val="16"/>
                <w:szCs w:val="16"/>
                <w:lang w:val="en-GB" w:eastAsia="en-GB"/>
              </w:rPr>
              <w:t xml:space="preserve"> Group </w:t>
            </w:r>
          </w:p>
        </w:tc>
      </w:tr>
      <w:tr w:rsidR="00D94D3B" w:rsidRPr="00D94D3B" w14:paraId="21FB13FB" w14:textId="77777777" w:rsidTr="00D94D3B">
        <w:trPr>
          <w:trHeight w:val="159"/>
          <w:jc w:val="center"/>
        </w:trPr>
        <w:tc>
          <w:tcPr>
            <w:tcW w:w="1422" w:type="dxa"/>
            <w:tcBorders>
              <w:top w:val="nil"/>
              <w:left w:val="nil"/>
              <w:bottom w:val="nil"/>
              <w:right w:val="nil"/>
            </w:tcBorders>
            <w:shd w:val="clear" w:color="auto" w:fill="auto"/>
            <w:noWrap/>
            <w:vAlign w:val="bottom"/>
            <w:hideMark/>
          </w:tcPr>
          <w:p w14:paraId="0EAC5BBB" w14:textId="77777777" w:rsidR="00D94D3B" w:rsidRPr="00B06515" w:rsidRDefault="00D94D3B" w:rsidP="00D94D3B">
            <w:pPr>
              <w:jc w:val="center"/>
              <w:rPr>
                <w:rFonts w:eastAsia="Times New Roman" w:cs="Times New Roman"/>
                <w:b/>
                <w:bCs/>
                <w:color w:val="000000"/>
                <w:sz w:val="16"/>
                <w:szCs w:val="16"/>
                <w:lang w:val="en-GB" w:eastAsia="en-GB"/>
              </w:rPr>
            </w:pPr>
            <w:r w:rsidRPr="00B06515">
              <w:rPr>
                <w:rFonts w:eastAsia="Times New Roman" w:cs="Times New Roman"/>
                <w:b/>
                <w:bCs/>
                <w:color w:val="000000"/>
                <w:sz w:val="16"/>
                <w:szCs w:val="16"/>
                <w:lang w:val="en-GB" w:eastAsia="en-GB"/>
              </w:rPr>
              <w:t xml:space="preserve"> £000 </w:t>
            </w:r>
          </w:p>
        </w:tc>
        <w:tc>
          <w:tcPr>
            <w:tcW w:w="1422" w:type="dxa"/>
            <w:tcBorders>
              <w:top w:val="nil"/>
              <w:left w:val="nil"/>
              <w:bottom w:val="nil"/>
              <w:right w:val="nil"/>
            </w:tcBorders>
            <w:shd w:val="clear" w:color="auto" w:fill="auto"/>
            <w:noWrap/>
            <w:vAlign w:val="bottom"/>
            <w:hideMark/>
          </w:tcPr>
          <w:p w14:paraId="0547DA65" w14:textId="77777777" w:rsidR="00D94D3B" w:rsidRPr="00B06515" w:rsidRDefault="00D94D3B" w:rsidP="00D94D3B">
            <w:pPr>
              <w:jc w:val="center"/>
              <w:rPr>
                <w:rFonts w:eastAsia="Times New Roman" w:cs="Times New Roman"/>
                <w:b/>
                <w:bCs/>
                <w:color w:val="000000"/>
                <w:sz w:val="16"/>
                <w:szCs w:val="16"/>
                <w:lang w:val="en-GB" w:eastAsia="en-GB"/>
              </w:rPr>
            </w:pPr>
            <w:r w:rsidRPr="00B06515">
              <w:rPr>
                <w:rFonts w:eastAsia="Times New Roman" w:cs="Times New Roman"/>
                <w:b/>
                <w:bCs/>
                <w:color w:val="000000"/>
                <w:sz w:val="16"/>
                <w:szCs w:val="16"/>
                <w:lang w:val="en-GB" w:eastAsia="en-GB"/>
              </w:rPr>
              <w:t xml:space="preserve"> £000 </w:t>
            </w:r>
          </w:p>
        </w:tc>
        <w:tc>
          <w:tcPr>
            <w:tcW w:w="3419" w:type="dxa"/>
            <w:tcBorders>
              <w:top w:val="nil"/>
              <w:left w:val="nil"/>
              <w:bottom w:val="nil"/>
              <w:right w:val="nil"/>
            </w:tcBorders>
            <w:shd w:val="clear" w:color="auto" w:fill="auto"/>
            <w:noWrap/>
            <w:vAlign w:val="bottom"/>
            <w:hideMark/>
          </w:tcPr>
          <w:p w14:paraId="309216C8" w14:textId="77777777" w:rsidR="00D94D3B" w:rsidRPr="00B06515" w:rsidRDefault="00D94D3B" w:rsidP="00D94D3B">
            <w:pPr>
              <w:jc w:val="center"/>
              <w:rPr>
                <w:rFonts w:eastAsia="Times New Roman" w:cs="Times New Roman"/>
                <w:b/>
                <w:bCs/>
                <w:color w:val="000000"/>
                <w:sz w:val="16"/>
                <w:szCs w:val="16"/>
                <w:lang w:val="en-GB" w:eastAsia="en-GB"/>
              </w:rPr>
            </w:pPr>
          </w:p>
        </w:tc>
        <w:tc>
          <w:tcPr>
            <w:tcW w:w="1422" w:type="dxa"/>
            <w:tcBorders>
              <w:top w:val="nil"/>
              <w:left w:val="nil"/>
              <w:bottom w:val="nil"/>
              <w:right w:val="nil"/>
            </w:tcBorders>
            <w:shd w:val="clear" w:color="auto" w:fill="auto"/>
            <w:noWrap/>
            <w:vAlign w:val="bottom"/>
            <w:hideMark/>
          </w:tcPr>
          <w:p w14:paraId="6F80B212" w14:textId="77777777" w:rsidR="00D94D3B" w:rsidRPr="00B06515" w:rsidRDefault="00D94D3B" w:rsidP="00D94D3B">
            <w:pPr>
              <w:jc w:val="center"/>
              <w:rPr>
                <w:rFonts w:eastAsia="Times New Roman" w:cs="Times New Roman"/>
                <w:b/>
                <w:bCs/>
                <w:color w:val="000000"/>
                <w:sz w:val="16"/>
                <w:szCs w:val="16"/>
                <w:lang w:val="en-GB" w:eastAsia="en-GB"/>
              </w:rPr>
            </w:pPr>
            <w:r w:rsidRPr="00B06515">
              <w:rPr>
                <w:rFonts w:eastAsia="Times New Roman" w:cs="Times New Roman"/>
                <w:b/>
                <w:bCs/>
                <w:color w:val="000000"/>
                <w:sz w:val="16"/>
                <w:szCs w:val="16"/>
                <w:lang w:val="en-GB" w:eastAsia="en-GB"/>
              </w:rPr>
              <w:t xml:space="preserve"> £000 </w:t>
            </w:r>
          </w:p>
        </w:tc>
        <w:tc>
          <w:tcPr>
            <w:tcW w:w="1422" w:type="dxa"/>
            <w:tcBorders>
              <w:top w:val="nil"/>
              <w:left w:val="nil"/>
              <w:bottom w:val="nil"/>
              <w:right w:val="nil"/>
            </w:tcBorders>
            <w:shd w:val="clear" w:color="auto" w:fill="auto"/>
            <w:noWrap/>
            <w:vAlign w:val="bottom"/>
            <w:hideMark/>
          </w:tcPr>
          <w:p w14:paraId="373C5E51" w14:textId="77777777" w:rsidR="00D94D3B" w:rsidRPr="00B06515" w:rsidRDefault="00D94D3B" w:rsidP="00D94D3B">
            <w:pPr>
              <w:jc w:val="center"/>
              <w:rPr>
                <w:rFonts w:eastAsia="Times New Roman" w:cs="Times New Roman"/>
                <w:b/>
                <w:bCs/>
                <w:color w:val="000000"/>
                <w:sz w:val="16"/>
                <w:szCs w:val="16"/>
                <w:lang w:val="en-GB" w:eastAsia="en-GB"/>
              </w:rPr>
            </w:pPr>
            <w:r w:rsidRPr="00B06515">
              <w:rPr>
                <w:rFonts w:eastAsia="Times New Roman" w:cs="Times New Roman"/>
                <w:b/>
                <w:bCs/>
                <w:color w:val="000000"/>
                <w:sz w:val="16"/>
                <w:szCs w:val="16"/>
                <w:lang w:val="en-GB" w:eastAsia="en-GB"/>
              </w:rPr>
              <w:t xml:space="preserve"> £000 </w:t>
            </w:r>
          </w:p>
        </w:tc>
      </w:tr>
      <w:tr w:rsidR="00D94D3B" w:rsidRPr="00D94D3B" w14:paraId="77CB9A60" w14:textId="77777777" w:rsidTr="00D94D3B">
        <w:trPr>
          <w:trHeight w:val="159"/>
          <w:jc w:val="center"/>
        </w:trPr>
        <w:tc>
          <w:tcPr>
            <w:tcW w:w="1422" w:type="dxa"/>
            <w:tcBorders>
              <w:top w:val="nil"/>
              <w:left w:val="nil"/>
              <w:bottom w:val="nil"/>
              <w:right w:val="nil"/>
            </w:tcBorders>
            <w:shd w:val="clear" w:color="auto" w:fill="auto"/>
            <w:noWrap/>
            <w:vAlign w:val="bottom"/>
            <w:hideMark/>
          </w:tcPr>
          <w:p w14:paraId="383A53C2"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889 </w:t>
            </w:r>
          </w:p>
        </w:tc>
        <w:tc>
          <w:tcPr>
            <w:tcW w:w="1422" w:type="dxa"/>
            <w:tcBorders>
              <w:top w:val="nil"/>
              <w:left w:val="nil"/>
              <w:bottom w:val="nil"/>
              <w:right w:val="nil"/>
            </w:tcBorders>
            <w:shd w:val="clear" w:color="auto" w:fill="auto"/>
            <w:noWrap/>
            <w:vAlign w:val="bottom"/>
            <w:hideMark/>
          </w:tcPr>
          <w:p w14:paraId="30AC0F92"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889 </w:t>
            </w:r>
          </w:p>
        </w:tc>
        <w:tc>
          <w:tcPr>
            <w:tcW w:w="3419" w:type="dxa"/>
            <w:tcBorders>
              <w:top w:val="nil"/>
              <w:left w:val="nil"/>
              <w:bottom w:val="nil"/>
              <w:right w:val="nil"/>
            </w:tcBorders>
            <w:shd w:val="clear" w:color="auto" w:fill="auto"/>
            <w:noWrap/>
            <w:vAlign w:val="bottom"/>
            <w:hideMark/>
          </w:tcPr>
          <w:p w14:paraId="53DE2290" w14:textId="77777777" w:rsidR="00D94D3B" w:rsidRPr="00B06515" w:rsidRDefault="00D94D3B" w:rsidP="00D94D3B">
            <w:pPr>
              <w:rPr>
                <w:rFonts w:eastAsia="Times New Roman" w:cs="Calibri"/>
                <w:color w:val="000000"/>
                <w:sz w:val="16"/>
                <w:szCs w:val="16"/>
                <w:lang w:val="en-GB" w:eastAsia="en-GB"/>
              </w:rPr>
            </w:pPr>
            <w:r w:rsidRPr="00B06515">
              <w:rPr>
                <w:rFonts w:eastAsia="Times New Roman" w:cs="Calibri"/>
                <w:color w:val="000000"/>
                <w:sz w:val="16"/>
                <w:szCs w:val="16"/>
                <w:lang w:val="en-GB" w:eastAsia="en-GB"/>
              </w:rPr>
              <w:t xml:space="preserve"> Collaboration </w:t>
            </w:r>
          </w:p>
        </w:tc>
        <w:tc>
          <w:tcPr>
            <w:tcW w:w="1422" w:type="dxa"/>
            <w:tcBorders>
              <w:top w:val="nil"/>
              <w:left w:val="nil"/>
              <w:bottom w:val="nil"/>
              <w:right w:val="nil"/>
            </w:tcBorders>
            <w:shd w:val="clear" w:color="auto" w:fill="auto"/>
            <w:noWrap/>
            <w:vAlign w:val="bottom"/>
            <w:hideMark/>
          </w:tcPr>
          <w:p w14:paraId="0BE0D5F1"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4,062 </w:t>
            </w:r>
          </w:p>
        </w:tc>
        <w:tc>
          <w:tcPr>
            <w:tcW w:w="1422" w:type="dxa"/>
            <w:tcBorders>
              <w:top w:val="nil"/>
              <w:left w:val="nil"/>
              <w:bottom w:val="nil"/>
              <w:right w:val="nil"/>
            </w:tcBorders>
            <w:shd w:val="clear" w:color="auto" w:fill="auto"/>
            <w:noWrap/>
            <w:vAlign w:val="bottom"/>
            <w:hideMark/>
          </w:tcPr>
          <w:p w14:paraId="4B7C3A0B"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4,062 </w:t>
            </w:r>
          </w:p>
        </w:tc>
      </w:tr>
      <w:tr w:rsidR="00D94D3B" w:rsidRPr="00D94D3B" w14:paraId="609DB7C0" w14:textId="77777777" w:rsidTr="00D94D3B">
        <w:trPr>
          <w:trHeight w:val="159"/>
          <w:jc w:val="center"/>
        </w:trPr>
        <w:tc>
          <w:tcPr>
            <w:tcW w:w="1422" w:type="dxa"/>
            <w:tcBorders>
              <w:top w:val="nil"/>
              <w:left w:val="nil"/>
              <w:bottom w:val="nil"/>
              <w:right w:val="nil"/>
            </w:tcBorders>
            <w:shd w:val="clear" w:color="auto" w:fill="auto"/>
            <w:noWrap/>
            <w:vAlign w:val="bottom"/>
            <w:hideMark/>
          </w:tcPr>
          <w:p w14:paraId="58EE41AB"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2,553 </w:t>
            </w:r>
          </w:p>
        </w:tc>
        <w:tc>
          <w:tcPr>
            <w:tcW w:w="1422" w:type="dxa"/>
            <w:tcBorders>
              <w:top w:val="nil"/>
              <w:left w:val="nil"/>
              <w:bottom w:val="nil"/>
              <w:right w:val="nil"/>
            </w:tcBorders>
            <w:shd w:val="clear" w:color="auto" w:fill="auto"/>
            <w:noWrap/>
            <w:vAlign w:val="bottom"/>
            <w:hideMark/>
          </w:tcPr>
          <w:p w14:paraId="475A336F"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2,553 </w:t>
            </w:r>
          </w:p>
        </w:tc>
        <w:tc>
          <w:tcPr>
            <w:tcW w:w="3419" w:type="dxa"/>
            <w:tcBorders>
              <w:top w:val="nil"/>
              <w:left w:val="nil"/>
              <w:bottom w:val="nil"/>
              <w:right w:val="nil"/>
            </w:tcBorders>
            <w:shd w:val="clear" w:color="auto" w:fill="auto"/>
            <w:noWrap/>
            <w:vAlign w:val="bottom"/>
            <w:hideMark/>
          </w:tcPr>
          <w:p w14:paraId="6A73FBE5" w14:textId="77777777" w:rsidR="00D94D3B" w:rsidRPr="00B06515" w:rsidRDefault="00D94D3B" w:rsidP="00D94D3B">
            <w:pPr>
              <w:rPr>
                <w:rFonts w:eastAsia="Times New Roman" w:cs="Calibri"/>
                <w:color w:val="000000"/>
                <w:sz w:val="16"/>
                <w:szCs w:val="16"/>
                <w:lang w:val="en-GB" w:eastAsia="en-GB"/>
              </w:rPr>
            </w:pPr>
            <w:r w:rsidRPr="00B06515">
              <w:rPr>
                <w:rFonts w:eastAsia="Times New Roman" w:cs="Calibri"/>
                <w:color w:val="000000"/>
                <w:sz w:val="16"/>
                <w:szCs w:val="16"/>
                <w:lang w:val="en-GB" w:eastAsia="en-GB"/>
              </w:rPr>
              <w:t xml:space="preserve"> Council Tax Debtors </w:t>
            </w:r>
          </w:p>
        </w:tc>
        <w:tc>
          <w:tcPr>
            <w:tcW w:w="1422" w:type="dxa"/>
            <w:tcBorders>
              <w:top w:val="nil"/>
              <w:left w:val="nil"/>
              <w:bottom w:val="nil"/>
              <w:right w:val="nil"/>
            </w:tcBorders>
            <w:shd w:val="clear" w:color="auto" w:fill="auto"/>
            <w:noWrap/>
            <w:vAlign w:val="bottom"/>
            <w:hideMark/>
          </w:tcPr>
          <w:p w14:paraId="7E936079" w14:textId="22A56763" w:rsidR="00D94D3B" w:rsidRPr="00B06515" w:rsidRDefault="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2,</w:t>
            </w:r>
            <w:r w:rsidR="00652161">
              <w:rPr>
                <w:rFonts w:eastAsia="Times New Roman" w:cs="Times New Roman"/>
                <w:color w:val="000000"/>
                <w:sz w:val="16"/>
                <w:szCs w:val="16"/>
                <w:lang w:val="en-GB" w:eastAsia="en-GB"/>
              </w:rPr>
              <w:t>275</w:t>
            </w:r>
            <w:r w:rsidRPr="00B06515">
              <w:rPr>
                <w:rFonts w:eastAsia="Times New Roman" w:cs="Times New Roman"/>
                <w:color w:val="000000"/>
                <w:sz w:val="16"/>
                <w:szCs w:val="16"/>
                <w:lang w:val="en-GB" w:eastAsia="en-GB"/>
              </w:rPr>
              <w:t xml:space="preserve"> </w:t>
            </w:r>
          </w:p>
        </w:tc>
        <w:tc>
          <w:tcPr>
            <w:tcW w:w="1422" w:type="dxa"/>
            <w:tcBorders>
              <w:top w:val="nil"/>
              <w:left w:val="nil"/>
              <w:bottom w:val="nil"/>
              <w:right w:val="nil"/>
            </w:tcBorders>
            <w:shd w:val="clear" w:color="auto" w:fill="auto"/>
            <w:noWrap/>
            <w:vAlign w:val="bottom"/>
            <w:hideMark/>
          </w:tcPr>
          <w:p w14:paraId="76E8EB74" w14:textId="3E7BFDBB" w:rsidR="00D94D3B" w:rsidRPr="00B06515" w:rsidRDefault="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2,</w:t>
            </w:r>
            <w:r w:rsidR="00652161">
              <w:rPr>
                <w:rFonts w:eastAsia="Times New Roman" w:cs="Times New Roman"/>
                <w:color w:val="000000"/>
                <w:sz w:val="16"/>
                <w:szCs w:val="16"/>
                <w:lang w:val="en-GB" w:eastAsia="en-GB"/>
              </w:rPr>
              <w:t>275</w:t>
            </w:r>
            <w:r w:rsidRPr="00B06515">
              <w:rPr>
                <w:rFonts w:eastAsia="Times New Roman" w:cs="Times New Roman"/>
                <w:color w:val="000000"/>
                <w:sz w:val="16"/>
                <w:szCs w:val="16"/>
                <w:lang w:val="en-GB" w:eastAsia="en-GB"/>
              </w:rPr>
              <w:t xml:space="preserve"> </w:t>
            </w:r>
          </w:p>
        </w:tc>
      </w:tr>
      <w:tr w:rsidR="00D94D3B" w:rsidRPr="00D94D3B" w14:paraId="075702DF" w14:textId="77777777" w:rsidTr="00D94D3B">
        <w:trPr>
          <w:trHeight w:val="159"/>
          <w:jc w:val="center"/>
        </w:trPr>
        <w:tc>
          <w:tcPr>
            <w:tcW w:w="1422" w:type="dxa"/>
            <w:tcBorders>
              <w:top w:val="nil"/>
              <w:left w:val="nil"/>
              <w:bottom w:val="nil"/>
              <w:right w:val="nil"/>
            </w:tcBorders>
            <w:shd w:val="clear" w:color="auto" w:fill="auto"/>
            <w:noWrap/>
            <w:vAlign w:val="bottom"/>
            <w:hideMark/>
          </w:tcPr>
          <w:p w14:paraId="1D9F2F46"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877 </w:t>
            </w:r>
          </w:p>
        </w:tc>
        <w:tc>
          <w:tcPr>
            <w:tcW w:w="1422" w:type="dxa"/>
            <w:tcBorders>
              <w:top w:val="nil"/>
              <w:left w:val="nil"/>
              <w:bottom w:val="nil"/>
              <w:right w:val="nil"/>
            </w:tcBorders>
            <w:shd w:val="clear" w:color="auto" w:fill="auto"/>
            <w:noWrap/>
            <w:vAlign w:val="bottom"/>
            <w:hideMark/>
          </w:tcPr>
          <w:p w14:paraId="7EE540D4"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877 </w:t>
            </w:r>
          </w:p>
        </w:tc>
        <w:tc>
          <w:tcPr>
            <w:tcW w:w="3419" w:type="dxa"/>
            <w:tcBorders>
              <w:top w:val="nil"/>
              <w:left w:val="nil"/>
              <w:bottom w:val="nil"/>
              <w:right w:val="nil"/>
            </w:tcBorders>
            <w:shd w:val="clear" w:color="auto" w:fill="auto"/>
            <w:noWrap/>
            <w:vAlign w:val="bottom"/>
            <w:hideMark/>
          </w:tcPr>
          <w:p w14:paraId="3BF51242" w14:textId="77777777" w:rsidR="00D94D3B" w:rsidRPr="00B06515" w:rsidRDefault="00D94D3B" w:rsidP="00D94D3B">
            <w:pPr>
              <w:rPr>
                <w:rFonts w:eastAsia="Times New Roman" w:cs="Calibri"/>
                <w:color w:val="000000"/>
                <w:sz w:val="16"/>
                <w:szCs w:val="16"/>
                <w:lang w:val="en-GB" w:eastAsia="en-GB"/>
              </w:rPr>
            </w:pPr>
            <w:r w:rsidRPr="00B06515">
              <w:rPr>
                <w:rFonts w:eastAsia="Times New Roman" w:cs="Calibri"/>
                <w:color w:val="000000"/>
                <w:sz w:val="16"/>
                <w:szCs w:val="16"/>
                <w:lang w:val="en-GB" w:eastAsia="en-GB"/>
              </w:rPr>
              <w:t xml:space="preserve"> Other </w:t>
            </w:r>
          </w:p>
        </w:tc>
        <w:tc>
          <w:tcPr>
            <w:tcW w:w="1422" w:type="dxa"/>
            <w:tcBorders>
              <w:top w:val="nil"/>
              <w:left w:val="nil"/>
              <w:bottom w:val="nil"/>
              <w:right w:val="nil"/>
            </w:tcBorders>
            <w:shd w:val="clear" w:color="auto" w:fill="auto"/>
            <w:noWrap/>
            <w:vAlign w:val="bottom"/>
            <w:hideMark/>
          </w:tcPr>
          <w:p w14:paraId="43CA3097" w14:textId="35C1D4B0" w:rsidR="00D94D3B" w:rsidRPr="00B06515" w:rsidRDefault="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w:t>
            </w:r>
            <w:r w:rsidR="00652161">
              <w:rPr>
                <w:rFonts w:eastAsia="Times New Roman" w:cs="Times New Roman"/>
                <w:color w:val="000000"/>
                <w:sz w:val="16"/>
                <w:szCs w:val="16"/>
                <w:lang w:val="en-GB" w:eastAsia="en-GB"/>
              </w:rPr>
              <w:t>800</w:t>
            </w:r>
            <w:r w:rsidR="00652161" w:rsidRPr="00B06515">
              <w:rPr>
                <w:rFonts w:eastAsia="Times New Roman" w:cs="Times New Roman"/>
                <w:color w:val="000000"/>
                <w:sz w:val="16"/>
                <w:szCs w:val="16"/>
                <w:lang w:val="en-GB" w:eastAsia="en-GB"/>
              </w:rPr>
              <w:t xml:space="preserve"> </w:t>
            </w:r>
          </w:p>
        </w:tc>
        <w:tc>
          <w:tcPr>
            <w:tcW w:w="1422" w:type="dxa"/>
            <w:tcBorders>
              <w:top w:val="nil"/>
              <w:left w:val="nil"/>
              <w:bottom w:val="nil"/>
              <w:right w:val="nil"/>
            </w:tcBorders>
            <w:shd w:val="clear" w:color="auto" w:fill="auto"/>
            <w:noWrap/>
            <w:vAlign w:val="bottom"/>
            <w:hideMark/>
          </w:tcPr>
          <w:p w14:paraId="3EB6D6B0" w14:textId="68093109" w:rsidR="00D94D3B" w:rsidRPr="00B06515" w:rsidRDefault="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w:t>
            </w:r>
            <w:r w:rsidR="00652161">
              <w:rPr>
                <w:rFonts w:eastAsia="Times New Roman" w:cs="Times New Roman"/>
                <w:color w:val="000000"/>
                <w:sz w:val="16"/>
                <w:szCs w:val="16"/>
                <w:lang w:val="en-GB" w:eastAsia="en-GB"/>
              </w:rPr>
              <w:t>800</w:t>
            </w:r>
            <w:r w:rsidRPr="00B06515">
              <w:rPr>
                <w:rFonts w:eastAsia="Times New Roman" w:cs="Times New Roman"/>
                <w:color w:val="000000"/>
                <w:sz w:val="16"/>
                <w:szCs w:val="16"/>
                <w:lang w:val="en-GB" w:eastAsia="en-GB"/>
              </w:rPr>
              <w:t xml:space="preserve"> </w:t>
            </w:r>
          </w:p>
        </w:tc>
      </w:tr>
      <w:tr w:rsidR="00D94D3B" w:rsidRPr="00D94D3B" w14:paraId="030501B1" w14:textId="77777777" w:rsidTr="00D94D3B">
        <w:trPr>
          <w:trHeight w:val="159"/>
          <w:jc w:val="center"/>
        </w:trPr>
        <w:tc>
          <w:tcPr>
            <w:tcW w:w="1422" w:type="dxa"/>
            <w:tcBorders>
              <w:top w:val="nil"/>
              <w:left w:val="nil"/>
              <w:bottom w:val="nil"/>
              <w:right w:val="nil"/>
            </w:tcBorders>
            <w:shd w:val="clear" w:color="auto" w:fill="auto"/>
            <w:noWrap/>
            <w:vAlign w:val="bottom"/>
            <w:hideMark/>
          </w:tcPr>
          <w:p w14:paraId="3015CBD3"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   </w:t>
            </w:r>
          </w:p>
        </w:tc>
        <w:tc>
          <w:tcPr>
            <w:tcW w:w="1422" w:type="dxa"/>
            <w:tcBorders>
              <w:top w:val="nil"/>
              <w:left w:val="nil"/>
              <w:bottom w:val="nil"/>
              <w:right w:val="nil"/>
            </w:tcBorders>
            <w:shd w:val="clear" w:color="auto" w:fill="auto"/>
            <w:noWrap/>
            <w:vAlign w:val="bottom"/>
            <w:hideMark/>
          </w:tcPr>
          <w:p w14:paraId="4F393AF0"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110 </w:t>
            </w:r>
          </w:p>
        </w:tc>
        <w:tc>
          <w:tcPr>
            <w:tcW w:w="3419" w:type="dxa"/>
            <w:tcBorders>
              <w:top w:val="nil"/>
              <w:left w:val="nil"/>
              <w:bottom w:val="nil"/>
              <w:right w:val="nil"/>
            </w:tcBorders>
            <w:shd w:val="clear" w:color="auto" w:fill="auto"/>
            <w:noWrap/>
            <w:vAlign w:val="bottom"/>
            <w:hideMark/>
          </w:tcPr>
          <w:p w14:paraId="6196E87F" w14:textId="323C255A" w:rsidR="00D94D3B" w:rsidRPr="00B06515" w:rsidRDefault="0048184E" w:rsidP="00D94D3B">
            <w:pPr>
              <w:rPr>
                <w:rFonts w:eastAsia="Times New Roman" w:cs="Calibri"/>
                <w:color w:val="000000"/>
                <w:sz w:val="16"/>
                <w:szCs w:val="16"/>
                <w:lang w:val="en-GB" w:eastAsia="en-GB"/>
              </w:rPr>
            </w:pPr>
            <w:r>
              <w:rPr>
                <w:rFonts w:eastAsia="Times New Roman" w:cs="Calibri"/>
                <w:color w:val="000000"/>
                <w:sz w:val="16"/>
                <w:szCs w:val="16"/>
                <w:lang w:val="en-GB" w:eastAsia="en-GB"/>
              </w:rPr>
              <w:t xml:space="preserve"> Restructuring P</w:t>
            </w:r>
            <w:r w:rsidR="00D94D3B" w:rsidRPr="00B06515">
              <w:rPr>
                <w:rFonts w:eastAsia="Times New Roman" w:cs="Calibri"/>
                <w:color w:val="000000"/>
                <w:sz w:val="16"/>
                <w:szCs w:val="16"/>
                <w:lang w:val="en-GB" w:eastAsia="en-GB"/>
              </w:rPr>
              <w:t xml:space="preserve">rovision </w:t>
            </w:r>
          </w:p>
        </w:tc>
        <w:tc>
          <w:tcPr>
            <w:tcW w:w="1422" w:type="dxa"/>
            <w:tcBorders>
              <w:top w:val="nil"/>
              <w:left w:val="nil"/>
              <w:bottom w:val="nil"/>
              <w:right w:val="nil"/>
            </w:tcBorders>
            <w:shd w:val="clear" w:color="auto" w:fill="auto"/>
            <w:noWrap/>
            <w:vAlign w:val="bottom"/>
            <w:hideMark/>
          </w:tcPr>
          <w:p w14:paraId="75622BC5"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   </w:t>
            </w:r>
          </w:p>
        </w:tc>
        <w:tc>
          <w:tcPr>
            <w:tcW w:w="1422" w:type="dxa"/>
            <w:tcBorders>
              <w:top w:val="nil"/>
              <w:left w:val="nil"/>
              <w:bottom w:val="nil"/>
              <w:right w:val="nil"/>
            </w:tcBorders>
            <w:shd w:val="clear" w:color="auto" w:fill="auto"/>
            <w:noWrap/>
            <w:vAlign w:val="bottom"/>
            <w:hideMark/>
          </w:tcPr>
          <w:p w14:paraId="52362A63" w14:textId="43AB22F3"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1</w:t>
            </w:r>
            <w:r w:rsidR="009B5226">
              <w:rPr>
                <w:rFonts w:eastAsia="Times New Roman" w:cs="Times New Roman"/>
                <w:color w:val="000000"/>
                <w:sz w:val="16"/>
                <w:szCs w:val="16"/>
                <w:lang w:val="en-GB" w:eastAsia="en-GB"/>
              </w:rPr>
              <w:t>09</w:t>
            </w:r>
            <w:r w:rsidRPr="00B06515">
              <w:rPr>
                <w:rFonts w:eastAsia="Times New Roman" w:cs="Times New Roman"/>
                <w:color w:val="000000"/>
                <w:sz w:val="16"/>
                <w:szCs w:val="16"/>
                <w:lang w:val="en-GB" w:eastAsia="en-GB"/>
              </w:rPr>
              <w:t xml:space="preserve"> </w:t>
            </w:r>
          </w:p>
        </w:tc>
      </w:tr>
      <w:tr w:rsidR="00D94D3B" w:rsidRPr="00D94D3B" w14:paraId="2585141A" w14:textId="77777777" w:rsidTr="00D94D3B">
        <w:trPr>
          <w:trHeight w:val="159"/>
          <w:jc w:val="center"/>
        </w:trPr>
        <w:tc>
          <w:tcPr>
            <w:tcW w:w="1422" w:type="dxa"/>
            <w:tcBorders>
              <w:top w:val="nil"/>
              <w:left w:val="nil"/>
              <w:bottom w:val="nil"/>
              <w:right w:val="nil"/>
            </w:tcBorders>
            <w:shd w:val="clear" w:color="auto" w:fill="auto"/>
            <w:noWrap/>
            <w:vAlign w:val="bottom"/>
            <w:hideMark/>
          </w:tcPr>
          <w:p w14:paraId="721EA217"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428 </w:t>
            </w:r>
          </w:p>
        </w:tc>
        <w:tc>
          <w:tcPr>
            <w:tcW w:w="1422" w:type="dxa"/>
            <w:tcBorders>
              <w:top w:val="nil"/>
              <w:left w:val="nil"/>
              <w:bottom w:val="nil"/>
              <w:right w:val="nil"/>
            </w:tcBorders>
            <w:shd w:val="clear" w:color="auto" w:fill="auto"/>
            <w:noWrap/>
            <w:vAlign w:val="bottom"/>
            <w:hideMark/>
          </w:tcPr>
          <w:p w14:paraId="1C3D2E71"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428 </w:t>
            </w:r>
          </w:p>
        </w:tc>
        <w:tc>
          <w:tcPr>
            <w:tcW w:w="3419" w:type="dxa"/>
            <w:tcBorders>
              <w:top w:val="nil"/>
              <w:left w:val="nil"/>
              <w:bottom w:val="nil"/>
              <w:right w:val="nil"/>
            </w:tcBorders>
            <w:shd w:val="clear" w:color="auto" w:fill="auto"/>
            <w:noWrap/>
            <w:vAlign w:val="bottom"/>
            <w:hideMark/>
          </w:tcPr>
          <w:p w14:paraId="722B669C" w14:textId="77777777" w:rsidR="00D94D3B" w:rsidRPr="00B06515" w:rsidRDefault="00D94D3B" w:rsidP="00D94D3B">
            <w:pPr>
              <w:rPr>
                <w:rFonts w:eastAsia="Times New Roman" w:cs="Calibri"/>
                <w:color w:val="000000"/>
                <w:sz w:val="16"/>
                <w:szCs w:val="16"/>
                <w:lang w:val="en-GB" w:eastAsia="en-GB"/>
              </w:rPr>
            </w:pPr>
            <w:r w:rsidRPr="00B06515">
              <w:rPr>
                <w:rFonts w:eastAsia="Times New Roman" w:cs="Calibri"/>
                <w:color w:val="000000"/>
                <w:sz w:val="16"/>
                <w:szCs w:val="16"/>
                <w:lang w:val="en-GB" w:eastAsia="en-GB"/>
              </w:rPr>
              <w:t xml:space="preserve"> Partnership Monies </w:t>
            </w:r>
          </w:p>
        </w:tc>
        <w:tc>
          <w:tcPr>
            <w:tcW w:w="1422" w:type="dxa"/>
            <w:tcBorders>
              <w:top w:val="nil"/>
              <w:left w:val="nil"/>
              <w:bottom w:val="nil"/>
              <w:right w:val="nil"/>
            </w:tcBorders>
            <w:shd w:val="clear" w:color="auto" w:fill="auto"/>
            <w:noWrap/>
            <w:vAlign w:val="bottom"/>
            <w:hideMark/>
          </w:tcPr>
          <w:p w14:paraId="060C6C68"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566 </w:t>
            </w:r>
          </w:p>
        </w:tc>
        <w:tc>
          <w:tcPr>
            <w:tcW w:w="1422" w:type="dxa"/>
            <w:tcBorders>
              <w:top w:val="nil"/>
              <w:left w:val="nil"/>
              <w:bottom w:val="nil"/>
              <w:right w:val="nil"/>
            </w:tcBorders>
            <w:shd w:val="clear" w:color="auto" w:fill="auto"/>
            <w:noWrap/>
            <w:vAlign w:val="bottom"/>
            <w:hideMark/>
          </w:tcPr>
          <w:p w14:paraId="25A77D77"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566 </w:t>
            </w:r>
          </w:p>
        </w:tc>
      </w:tr>
      <w:tr w:rsidR="00D94D3B" w:rsidRPr="00D94D3B" w14:paraId="576F39D1" w14:textId="77777777" w:rsidTr="00D94D3B">
        <w:trPr>
          <w:trHeight w:val="159"/>
          <w:jc w:val="center"/>
        </w:trPr>
        <w:tc>
          <w:tcPr>
            <w:tcW w:w="1422" w:type="dxa"/>
            <w:tcBorders>
              <w:top w:val="nil"/>
              <w:left w:val="nil"/>
              <w:bottom w:val="nil"/>
              <w:right w:val="nil"/>
            </w:tcBorders>
            <w:shd w:val="clear" w:color="auto" w:fill="auto"/>
            <w:noWrap/>
            <w:vAlign w:val="bottom"/>
            <w:hideMark/>
          </w:tcPr>
          <w:p w14:paraId="7D60E310" w14:textId="1768A7B6" w:rsidR="00D94D3B" w:rsidRPr="00B06515" w:rsidRDefault="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w:t>
            </w:r>
            <w:r w:rsidR="00652161">
              <w:rPr>
                <w:rFonts w:eastAsia="Times New Roman" w:cs="Times New Roman"/>
                <w:color w:val="000000"/>
                <w:sz w:val="16"/>
                <w:szCs w:val="16"/>
                <w:lang w:val="en-GB" w:eastAsia="en-GB"/>
              </w:rPr>
              <w:t>5</w:t>
            </w:r>
            <w:r w:rsidRPr="00B06515">
              <w:rPr>
                <w:rFonts w:eastAsia="Times New Roman" w:cs="Times New Roman"/>
                <w:color w:val="000000"/>
                <w:sz w:val="16"/>
                <w:szCs w:val="16"/>
                <w:lang w:val="en-GB" w:eastAsia="en-GB"/>
              </w:rPr>
              <w:t xml:space="preserve">,293 </w:t>
            </w:r>
          </w:p>
        </w:tc>
        <w:tc>
          <w:tcPr>
            <w:tcW w:w="1422" w:type="dxa"/>
            <w:tcBorders>
              <w:top w:val="nil"/>
              <w:left w:val="nil"/>
              <w:bottom w:val="nil"/>
              <w:right w:val="nil"/>
            </w:tcBorders>
            <w:shd w:val="clear" w:color="auto" w:fill="auto"/>
            <w:noWrap/>
            <w:vAlign w:val="bottom"/>
            <w:hideMark/>
          </w:tcPr>
          <w:p w14:paraId="08F3D0CE"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8,293 </w:t>
            </w:r>
          </w:p>
        </w:tc>
        <w:tc>
          <w:tcPr>
            <w:tcW w:w="3419" w:type="dxa"/>
            <w:tcBorders>
              <w:top w:val="nil"/>
              <w:left w:val="nil"/>
              <w:bottom w:val="nil"/>
              <w:right w:val="nil"/>
            </w:tcBorders>
            <w:shd w:val="clear" w:color="auto" w:fill="auto"/>
            <w:noWrap/>
            <w:vAlign w:val="bottom"/>
            <w:hideMark/>
          </w:tcPr>
          <w:p w14:paraId="0C9E2935" w14:textId="77777777" w:rsidR="00D94D3B" w:rsidRPr="00B06515" w:rsidRDefault="00D94D3B" w:rsidP="00D94D3B">
            <w:pPr>
              <w:rPr>
                <w:rFonts w:eastAsia="Times New Roman" w:cs="Calibri"/>
                <w:color w:val="000000"/>
                <w:sz w:val="16"/>
                <w:szCs w:val="16"/>
                <w:lang w:val="en-GB" w:eastAsia="en-GB"/>
              </w:rPr>
            </w:pPr>
            <w:r w:rsidRPr="00B06515">
              <w:rPr>
                <w:rFonts w:eastAsia="Times New Roman" w:cs="Calibri"/>
                <w:color w:val="000000"/>
                <w:sz w:val="16"/>
                <w:szCs w:val="16"/>
                <w:lang w:val="en-GB" w:eastAsia="en-GB"/>
              </w:rPr>
              <w:t xml:space="preserve"> Payroll/Pension </w:t>
            </w:r>
          </w:p>
        </w:tc>
        <w:tc>
          <w:tcPr>
            <w:tcW w:w="1422" w:type="dxa"/>
            <w:tcBorders>
              <w:top w:val="nil"/>
              <w:left w:val="nil"/>
              <w:bottom w:val="nil"/>
              <w:right w:val="nil"/>
            </w:tcBorders>
            <w:shd w:val="clear" w:color="auto" w:fill="auto"/>
            <w:noWrap/>
            <w:vAlign w:val="bottom"/>
            <w:hideMark/>
          </w:tcPr>
          <w:p w14:paraId="2A9F9CD7"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3,055 </w:t>
            </w:r>
          </w:p>
        </w:tc>
        <w:tc>
          <w:tcPr>
            <w:tcW w:w="1422" w:type="dxa"/>
            <w:tcBorders>
              <w:top w:val="nil"/>
              <w:left w:val="nil"/>
              <w:bottom w:val="nil"/>
              <w:right w:val="nil"/>
            </w:tcBorders>
            <w:shd w:val="clear" w:color="auto" w:fill="auto"/>
            <w:noWrap/>
            <w:vAlign w:val="bottom"/>
            <w:hideMark/>
          </w:tcPr>
          <w:p w14:paraId="48509BA1"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3,055 </w:t>
            </w:r>
          </w:p>
        </w:tc>
      </w:tr>
      <w:tr w:rsidR="00D94D3B" w:rsidRPr="00D94D3B" w14:paraId="2422117A" w14:textId="77777777" w:rsidTr="00D94D3B">
        <w:trPr>
          <w:trHeight w:val="159"/>
          <w:jc w:val="center"/>
        </w:trPr>
        <w:tc>
          <w:tcPr>
            <w:tcW w:w="1422" w:type="dxa"/>
            <w:tcBorders>
              <w:top w:val="nil"/>
              <w:left w:val="nil"/>
              <w:bottom w:val="nil"/>
              <w:right w:val="nil"/>
            </w:tcBorders>
            <w:shd w:val="clear" w:color="auto" w:fill="auto"/>
            <w:noWrap/>
            <w:vAlign w:val="bottom"/>
            <w:hideMark/>
          </w:tcPr>
          <w:p w14:paraId="6109E7F5"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780 </w:t>
            </w:r>
          </w:p>
        </w:tc>
        <w:tc>
          <w:tcPr>
            <w:tcW w:w="1422" w:type="dxa"/>
            <w:tcBorders>
              <w:top w:val="nil"/>
              <w:left w:val="nil"/>
              <w:bottom w:val="nil"/>
              <w:right w:val="nil"/>
            </w:tcBorders>
            <w:shd w:val="clear" w:color="auto" w:fill="auto"/>
            <w:noWrap/>
            <w:vAlign w:val="bottom"/>
            <w:hideMark/>
          </w:tcPr>
          <w:p w14:paraId="54148475"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780 </w:t>
            </w:r>
          </w:p>
        </w:tc>
        <w:tc>
          <w:tcPr>
            <w:tcW w:w="3419" w:type="dxa"/>
            <w:tcBorders>
              <w:top w:val="nil"/>
              <w:left w:val="nil"/>
              <w:bottom w:val="nil"/>
              <w:right w:val="nil"/>
            </w:tcBorders>
            <w:shd w:val="clear" w:color="auto" w:fill="auto"/>
            <w:noWrap/>
            <w:vAlign w:val="bottom"/>
            <w:hideMark/>
          </w:tcPr>
          <w:p w14:paraId="322A7045" w14:textId="77777777" w:rsidR="00D94D3B" w:rsidRPr="00B06515" w:rsidRDefault="00D94D3B" w:rsidP="00D94D3B">
            <w:pPr>
              <w:rPr>
                <w:rFonts w:eastAsia="Times New Roman" w:cs="Calibri"/>
                <w:color w:val="000000"/>
                <w:sz w:val="16"/>
                <w:szCs w:val="16"/>
                <w:lang w:val="en-GB" w:eastAsia="en-GB"/>
              </w:rPr>
            </w:pPr>
            <w:r w:rsidRPr="00B06515">
              <w:rPr>
                <w:rFonts w:eastAsia="Times New Roman" w:cs="Calibri"/>
                <w:color w:val="000000"/>
                <w:sz w:val="16"/>
                <w:szCs w:val="16"/>
                <w:lang w:val="en-GB" w:eastAsia="en-GB"/>
              </w:rPr>
              <w:t xml:space="preserve"> Secondments </w:t>
            </w:r>
          </w:p>
        </w:tc>
        <w:tc>
          <w:tcPr>
            <w:tcW w:w="1422" w:type="dxa"/>
            <w:tcBorders>
              <w:top w:val="nil"/>
              <w:left w:val="nil"/>
              <w:bottom w:val="nil"/>
              <w:right w:val="nil"/>
            </w:tcBorders>
            <w:shd w:val="clear" w:color="auto" w:fill="auto"/>
            <w:noWrap/>
            <w:vAlign w:val="bottom"/>
            <w:hideMark/>
          </w:tcPr>
          <w:p w14:paraId="2121D2E5"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37 </w:t>
            </w:r>
          </w:p>
        </w:tc>
        <w:tc>
          <w:tcPr>
            <w:tcW w:w="1422" w:type="dxa"/>
            <w:tcBorders>
              <w:top w:val="nil"/>
              <w:left w:val="nil"/>
              <w:bottom w:val="nil"/>
              <w:right w:val="nil"/>
            </w:tcBorders>
            <w:shd w:val="clear" w:color="auto" w:fill="auto"/>
            <w:noWrap/>
            <w:vAlign w:val="bottom"/>
            <w:hideMark/>
          </w:tcPr>
          <w:p w14:paraId="29A46E24"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37 </w:t>
            </w:r>
          </w:p>
        </w:tc>
      </w:tr>
      <w:tr w:rsidR="00D94D3B" w:rsidRPr="00D94D3B" w14:paraId="56E91A23" w14:textId="77777777" w:rsidTr="00D94D3B">
        <w:trPr>
          <w:trHeight w:val="159"/>
          <w:jc w:val="center"/>
        </w:trPr>
        <w:tc>
          <w:tcPr>
            <w:tcW w:w="1422" w:type="dxa"/>
            <w:tcBorders>
              <w:top w:val="nil"/>
              <w:left w:val="nil"/>
              <w:bottom w:val="nil"/>
              <w:right w:val="nil"/>
            </w:tcBorders>
            <w:shd w:val="clear" w:color="auto" w:fill="auto"/>
            <w:noWrap/>
            <w:vAlign w:val="bottom"/>
            <w:hideMark/>
          </w:tcPr>
          <w:p w14:paraId="4A054A37"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2,536 </w:t>
            </w:r>
          </w:p>
        </w:tc>
        <w:tc>
          <w:tcPr>
            <w:tcW w:w="1422" w:type="dxa"/>
            <w:tcBorders>
              <w:top w:val="nil"/>
              <w:left w:val="nil"/>
              <w:bottom w:val="nil"/>
              <w:right w:val="nil"/>
            </w:tcBorders>
            <w:shd w:val="clear" w:color="auto" w:fill="auto"/>
            <w:noWrap/>
            <w:vAlign w:val="bottom"/>
            <w:hideMark/>
          </w:tcPr>
          <w:p w14:paraId="47FCF21A"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2,536 </w:t>
            </w:r>
          </w:p>
        </w:tc>
        <w:tc>
          <w:tcPr>
            <w:tcW w:w="3419" w:type="dxa"/>
            <w:tcBorders>
              <w:top w:val="nil"/>
              <w:left w:val="nil"/>
              <w:bottom w:val="nil"/>
              <w:right w:val="nil"/>
            </w:tcBorders>
            <w:shd w:val="clear" w:color="auto" w:fill="auto"/>
            <w:noWrap/>
            <w:vAlign w:val="bottom"/>
            <w:hideMark/>
          </w:tcPr>
          <w:p w14:paraId="4DE0AC48" w14:textId="77777777" w:rsidR="00D94D3B" w:rsidRPr="00B06515" w:rsidRDefault="00D94D3B" w:rsidP="00D94D3B">
            <w:pPr>
              <w:rPr>
                <w:rFonts w:eastAsia="Times New Roman" w:cs="Calibri"/>
                <w:color w:val="000000"/>
                <w:sz w:val="16"/>
                <w:szCs w:val="16"/>
                <w:lang w:val="en-GB" w:eastAsia="en-GB"/>
              </w:rPr>
            </w:pPr>
            <w:r w:rsidRPr="00B06515">
              <w:rPr>
                <w:rFonts w:eastAsia="Times New Roman" w:cs="Calibri"/>
                <w:color w:val="000000"/>
                <w:sz w:val="16"/>
                <w:szCs w:val="16"/>
                <w:lang w:val="en-GB" w:eastAsia="en-GB"/>
              </w:rPr>
              <w:t xml:space="preserve"> VAT </w:t>
            </w:r>
          </w:p>
        </w:tc>
        <w:tc>
          <w:tcPr>
            <w:tcW w:w="1422" w:type="dxa"/>
            <w:tcBorders>
              <w:top w:val="nil"/>
              <w:left w:val="nil"/>
              <w:bottom w:val="nil"/>
              <w:right w:val="nil"/>
            </w:tcBorders>
            <w:shd w:val="clear" w:color="auto" w:fill="auto"/>
            <w:noWrap/>
            <w:vAlign w:val="bottom"/>
            <w:hideMark/>
          </w:tcPr>
          <w:p w14:paraId="3F3E2205"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2,017 </w:t>
            </w:r>
          </w:p>
        </w:tc>
        <w:tc>
          <w:tcPr>
            <w:tcW w:w="1422" w:type="dxa"/>
            <w:tcBorders>
              <w:top w:val="nil"/>
              <w:left w:val="nil"/>
              <w:bottom w:val="nil"/>
              <w:right w:val="nil"/>
            </w:tcBorders>
            <w:shd w:val="clear" w:color="auto" w:fill="auto"/>
            <w:noWrap/>
            <w:vAlign w:val="bottom"/>
            <w:hideMark/>
          </w:tcPr>
          <w:p w14:paraId="4DABE7D1"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2,017 </w:t>
            </w:r>
          </w:p>
        </w:tc>
      </w:tr>
      <w:tr w:rsidR="00D94D3B" w:rsidRPr="00D94D3B" w14:paraId="318F4857" w14:textId="77777777" w:rsidTr="0041394A">
        <w:trPr>
          <w:trHeight w:val="159"/>
          <w:jc w:val="center"/>
        </w:trPr>
        <w:tc>
          <w:tcPr>
            <w:tcW w:w="1422" w:type="dxa"/>
            <w:tcBorders>
              <w:top w:val="nil"/>
              <w:left w:val="nil"/>
              <w:right w:val="nil"/>
            </w:tcBorders>
            <w:shd w:val="clear" w:color="auto" w:fill="auto"/>
            <w:noWrap/>
            <w:vAlign w:val="bottom"/>
            <w:hideMark/>
          </w:tcPr>
          <w:p w14:paraId="479C890E"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   </w:t>
            </w:r>
          </w:p>
        </w:tc>
        <w:tc>
          <w:tcPr>
            <w:tcW w:w="1422" w:type="dxa"/>
            <w:tcBorders>
              <w:top w:val="nil"/>
              <w:left w:val="nil"/>
              <w:right w:val="nil"/>
            </w:tcBorders>
            <w:shd w:val="clear" w:color="auto" w:fill="auto"/>
            <w:noWrap/>
            <w:vAlign w:val="bottom"/>
            <w:hideMark/>
          </w:tcPr>
          <w:p w14:paraId="5B42BDD8" w14:textId="77777777" w:rsidR="00D94D3B" w:rsidRPr="00B06515" w:rsidRDefault="00D94D3B" w:rsidP="00D94D3B">
            <w:pPr>
              <w:jc w:val="center"/>
              <w:rPr>
                <w:rFonts w:eastAsia="Times New Roman" w:cs="Times New Roman"/>
                <w:color w:val="000000"/>
                <w:sz w:val="16"/>
                <w:szCs w:val="16"/>
                <w:lang w:val="en-GB" w:eastAsia="en-GB"/>
              </w:rPr>
            </w:pPr>
          </w:p>
        </w:tc>
        <w:tc>
          <w:tcPr>
            <w:tcW w:w="3419" w:type="dxa"/>
            <w:tcBorders>
              <w:top w:val="nil"/>
              <w:left w:val="nil"/>
              <w:right w:val="nil"/>
            </w:tcBorders>
            <w:shd w:val="clear" w:color="auto" w:fill="auto"/>
            <w:noWrap/>
            <w:vAlign w:val="bottom"/>
            <w:hideMark/>
          </w:tcPr>
          <w:p w14:paraId="2A79E68E" w14:textId="77777777" w:rsidR="00D94D3B" w:rsidRPr="00B06515" w:rsidRDefault="00D94D3B" w:rsidP="00D94D3B">
            <w:pP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Property Sale </w:t>
            </w:r>
          </w:p>
        </w:tc>
        <w:tc>
          <w:tcPr>
            <w:tcW w:w="1422" w:type="dxa"/>
            <w:tcBorders>
              <w:top w:val="nil"/>
              <w:left w:val="nil"/>
              <w:right w:val="nil"/>
            </w:tcBorders>
            <w:shd w:val="clear" w:color="auto" w:fill="auto"/>
            <w:noWrap/>
            <w:vAlign w:val="bottom"/>
            <w:hideMark/>
          </w:tcPr>
          <w:p w14:paraId="218E9C52"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2,500 </w:t>
            </w:r>
          </w:p>
        </w:tc>
        <w:tc>
          <w:tcPr>
            <w:tcW w:w="1422" w:type="dxa"/>
            <w:tcBorders>
              <w:top w:val="nil"/>
              <w:left w:val="nil"/>
              <w:right w:val="nil"/>
            </w:tcBorders>
            <w:shd w:val="clear" w:color="auto" w:fill="auto"/>
            <w:noWrap/>
            <w:vAlign w:val="bottom"/>
            <w:hideMark/>
          </w:tcPr>
          <w:p w14:paraId="770FBB3F"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2,500 </w:t>
            </w:r>
          </w:p>
        </w:tc>
      </w:tr>
      <w:tr w:rsidR="00D94D3B" w:rsidRPr="00D94D3B" w14:paraId="68F3AF57" w14:textId="77777777" w:rsidTr="0041394A">
        <w:trPr>
          <w:trHeight w:val="159"/>
          <w:jc w:val="center"/>
        </w:trPr>
        <w:tc>
          <w:tcPr>
            <w:tcW w:w="1422" w:type="dxa"/>
            <w:tcBorders>
              <w:top w:val="nil"/>
              <w:left w:val="nil"/>
              <w:right w:val="nil"/>
            </w:tcBorders>
            <w:shd w:val="clear" w:color="auto" w:fill="auto"/>
            <w:noWrap/>
            <w:vAlign w:val="bottom"/>
            <w:hideMark/>
          </w:tcPr>
          <w:p w14:paraId="60D6ED2C" w14:textId="77777777"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   </w:t>
            </w:r>
          </w:p>
        </w:tc>
        <w:tc>
          <w:tcPr>
            <w:tcW w:w="1422" w:type="dxa"/>
            <w:tcBorders>
              <w:top w:val="nil"/>
              <w:left w:val="nil"/>
              <w:right w:val="nil"/>
            </w:tcBorders>
            <w:shd w:val="clear" w:color="auto" w:fill="auto"/>
            <w:noWrap/>
            <w:vAlign w:val="bottom"/>
            <w:hideMark/>
          </w:tcPr>
          <w:p w14:paraId="30559A56" w14:textId="77777777" w:rsidR="00D94D3B" w:rsidRPr="00B06515" w:rsidRDefault="00D94D3B" w:rsidP="00D94D3B">
            <w:pPr>
              <w:jc w:val="center"/>
              <w:rPr>
                <w:rFonts w:eastAsia="Times New Roman" w:cs="Times New Roman"/>
                <w:color w:val="000000"/>
                <w:sz w:val="16"/>
                <w:szCs w:val="16"/>
                <w:lang w:val="en-GB" w:eastAsia="en-GB"/>
              </w:rPr>
            </w:pPr>
          </w:p>
        </w:tc>
        <w:tc>
          <w:tcPr>
            <w:tcW w:w="3419" w:type="dxa"/>
            <w:tcBorders>
              <w:top w:val="nil"/>
              <w:left w:val="nil"/>
              <w:right w:val="nil"/>
            </w:tcBorders>
            <w:shd w:val="clear" w:color="auto" w:fill="auto"/>
            <w:noWrap/>
            <w:vAlign w:val="bottom"/>
            <w:hideMark/>
          </w:tcPr>
          <w:p w14:paraId="5F0E978D" w14:textId="77777777" w:rsidR="00D94D3B" w:rsidRPr="00B06515" w:rsidRDefault="00D94D3B" w:rsidP="00D94D3B">
            <w:pP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Home Office Grants </w:t>
            </w:r>
          </w:p>
        </w:tc>
        <w:tc>
          <w:tcPr>
            <w:tcW w:w="1422" w:type="dxa"/>
            <w:tcBorders>
              <w:top w:val="nil"/>
              <w:left w:val="nil"/>
              <w:right w:val="nil"/>
            </w:tcBorders>
            <w:shd w:val="clear" w:color="auto" w:fill="auto"/>
            <w:noWrap/>
            <w:vAlign w:val="bottom"/>
            <w:hideMark/>
          </w:tcPr>
          <w:p w14:paraId="4DD8F2E9" w14:textId="24F6A605" w:rsidR="00D94D3B" w:rsidRPr="00B06515" w:rsidRDefault="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w:t>
            </w:r>
            <w:r w:rsidR="00652161">
              <w:rPr>
                <w:rFonts w:eastAsia="Times New Roman" w:cs="Times New Roman"/>
                <w:color w:val="000000"/>
                <w:sz w:val="16"/>
                <w:szCs w:val="16"/>
                <w:lang w:val="en-GB" w:eastAsia="en-GB"/>
              </w:rPr>
              <w:t>958</w:t>
            </w:r>
            <w:r w:rsidRPr="00B06515">
              <w:rPr>
                <w:rFonts w:eastAsia="Times New Roman" w:cs="Times New Roman"/>
                <w:color w:val="000000"/>
                <w:sz w:val="16"/>
                <w:szCs w:val="16"/>
                <w:lang w:val="en-GB" w:eastAsia="en-GB"/>
              </w:rPr>
              <w:t xml:space="preserve"> </w:t>
            </w:r>
          </w:p>
        </w:tc>
        <w:tc>
          <w:tcPr>
            <w:tcW w:w="1422" w:type="dxa"/>
            <w:tcBorders>
              <w:top w:val="nil"/>
              <w:left w:val="nil"/>
              <w:right w:val="nil"/>
            </w:tcBorders>
            <w:shd w:val="clear" w:color="auto" w:fill="auto"/>
            <w:noWrap/>
            <w:vAlign w:val="bottom"/>
            <w:hideMark/>
          </w:tcPr>
          <w:p w14:paraId="16EBA3B2" w14:textId="254BCA6F" w:rsidR="00D94D3B" w:rsidRPr="00B06515" w:rsidRDefault="00D94D3B" w:rsidP="00D94D3B">
            <w:pPr>
              <w:jc w:val="center"/>
              <w:rPr>
                <w:rFonts w:eastAsia="Times New Roman" w:cs="Times New Roman"/>
                <w:color w:val="000000"/>
                <w:sz w:val="16"/>
                <w:szCs w:val="16"/>
                <w:lang w:val="en-GB" w:eastAsia="en-GB"/>
              </w:rPr>
            </w:pPr>
            <w:r w:rsidRPr="00B06515">
              <w:rPr>
                <w:rFonts w:eastAsia="Times New Roman" w:cs="Times New Roman"/>
                <w:color w:val="000000"/>
                <w:sz w:val="16"/>
                <w:szCs w:val="16"/>
                <w:lang w:val="en-GB" w:eastAsia="en-GB"/>
              </w:rPr>
              <w:t xml:space="preserve">             </w:t>
            </w:r>
            <w:r w:rsidR="00652161">
              <w:rPr>
                <w:rFonts w:eastAsia="Times New Roman" w:cs="Times New Roman"/>
                <w:color w:val="000000"/>
                <w:sz w:val="16"/>
                <w:szCs w:val="16"/>
                <w:lang w:val="en-GB" w:eastAsia="en-GB"/>
              </w:rPr>
              <w:t>958</w:t>
            </w:r>
            <w:r w:rsidRPr="00B06515">
              <w:rPr>
                <w:rFonts w:eastAsia="Times New Roman" w:cs="Times New Roman"/>
                <w:color w:val="000000"/>
                <w:sz w:val="16"/>
                <w:szCs w:val="16"/>
                <w:lang w:val="en-GB" w:eastAsia="en-GB"/>
              </w:rPr>
              <w:t xml:space="preserve"> </w:t>
            </w:r>
          </w:p>
        </w:tc>
      </w:tr>
      <w:tr w:rsidR="00760723" w:rsidRPr="00D94D3B" w14:paraId="441A132D" w14:textId="77777777" w:rsidTr="0041394A">
        <w:trPr>
          <w:trHeight w:val="171"/>
          <w:jc w:val="center"/>
        </w:trPr>
        <w:tc>
          <w:tcPr>
            <w:tcW w:w="1422" w:type="dxa"/>
            <w:tcBorders>
              <w:left w:val="nil"/>
              <w:bottom w:val="single" w:sz="4" w:space="0" w:color="auto"/>
              <w:right w:val="nil"/>
            </w:tcBorders>
            <w:shd w:val="clear" w:color="auto" w:fill="auto"/>
            <w:noWrap/>
            <w:vAlign w:val="bottom"/>
          </w:tcPr>
          <w:p w14:paraId="0396D1EB" w14:textId="77777777" w:rsidR="00760723" w:rsidRPr="00B06515" w:rsidRDefault="00760723">
            <w:pPr>
              <w:jc w:val="center"/>
              <w:rPr>
                <w:rFonts w:eastAsia="Times New Roman" w:cs="Times New Roman"/>
                <w:b/>
                <w:bCs/>
                <w:color w:val="000000"/>
                <w:sz w:val="16"/>
                <w:szCs w:val="16"/>
                <w:lang w:val="en-GB" w:eastAsia="en-GB"/>
              </w:rPr>
            </w:pPr>
          </w:p>
        </w:tc>
        <w:tc>
          <w:tcPr>
            <w:tcW w:w="1422" w:type="dxa"/>
            <w:tcBorders>
              <w:left w:val="nil"/>
              <w:bottom w:val="single" w:sz="4" w:space="0" w:color="auto"/>
              <w:right w:val="nil"/>
            </w:tcBorders>
            <w:shd w:val="clear" w:color="auto" w:fill="auto"/>
            <w:noWrap/>
            <w:vAlign w:val="bottom"/>
          </w:tcPr>
          <w:p w14:paraId="4BFFDED1" w14:textId="77777777" w:rsidR="00760723" w:rsidRPr="00B06515" w:rsidRDefault="00760723" w:rsidP="00D94D3B">
            <w:pPr>
              <w:jc w:val="center"/>
              <w:rPr>
                <w:rFonts w:eastAsia="Times New Roman" w:cs="Times New Roman"/>
                <w:b/>
                <w:bCs/>
                <w:color w:val="000000"/>
                <w:sz w:val="16"/>
                <w:szCs w:val="16"/>
                <w:lang w:val="en-GB" w:eastAsia="en-GB"/>
              </w:rPr>
            </w:pPr>
          </w:p>
        </w:tc>
        <w:tc>
          <w:tcPr>
            <w:tcW w:w="3419" w:type="dxa"/>
            <w:tcBorders>
              <w:left w:val="nil"/>
              <w:bottom w:val="single" w:sz="4" w:space="0" w:color="auto"/>
              <w:right w:val="nil"/>
            </w:tcBorders>
            <w:shd w:val="clear" w:color="auto" w:fill="auto"/>
            <w:noWrap/>
            <w:vAlign w:val="bottom"/>
          </w:tcPr>
          <w:p w14:paraId="3213C57A" w14:textId="331FD9D9" w:rsidR="00760723" w:rsidRPr="0041394A" w:rsidRDefault="00760723" w:rsidP="00D94D3B">
            <w:pPr>
              <w:rPr>
                <w:rFonts w:eastAsia="Times New Roman" w:cs="Times New Roman"/>
                <w:bCs/>
                <w:color w:val="000000"/>
                <w:sz w:val="16"/>
                <w:szCs w:val="16"/>
                <w:lang w:val="en-GB" w:eastAsia="en-GB"/>
              </w:rPr>
            </w:pPr>
            <w:r>
              <w:rPr>
                <w:rFonts w:eastAsia="Times New Roman" w:cs="Times New Roman"/>
                <w:b/>
                <w:bCs/>
                <w:color w:val="000000"/>
                <w:sz w:val="16"/>
                <w:szCs w:val="16"/>
                <w:lang w:val="en-GB" w:eastAsia="en-GB"/>
              </w:rPr>
              <w:t xml:space="preserve"> </w:t>
            </w:r>
            <w:r w:rsidRPr="0041394A">
              <w:rPr>
                <w:rFonts w:eastAsia="Times New Roman" w:cs="Times New Roman"/>
                <w:bCs/>
                <w:color w:val="000000"/>
                <w:sz w:val="16"/>
                <w:szCs w:val="16"/>
                <w:lang w:val="en-GB" w:eastAsia="en-GB"/>
              </w:rPr>
              <w:t>Rounding</w:t>
            </w:r>
          </w:p>
        </w:tc>
        <w:tc>
          <w:tcPr>
            <w:tcW w:w="1422" w:type="dxa"/>
            <w:tcBorders>
              <w:left w:val="nil"/>
              <w:bottom w:val="single" w:sz="4" w:space="0" w:color="auto"/>
              <w:right w:val="nil"/>
            </w:tcBorders>
            <w:shd w:val="clear" w:color="auto" w:fill="auto"/>
            <w:noWrap/>
            <w:vAlign w:val="bottom"/>
          </w:tcPr>
          <w:p w14:paraId="3B8BB316" w14:textId="3A14449E" w:rsidR="00760723" w:rsidRPr="0041394A" w:rsidRDefault="00760723" w:rsidP="00D94D3B">
            <w:pPr>
              <w:jc w:val="center"/>
              <w:rPr>
                <w:rFonts w:eastAsia="Times New Roman" w:cs="Times New Roman"/>
                <w:bCs/>
                <w:color w:val="000000"/>
                <w:sz w:val="16"/>
                <w:szCs w:val="16"/>
                <w:lang w:val="en-GB" w:eastAsia="en-GB"/>
              </w:rPr>
            </w:pPr>
            <w:r>
              <w:rPr>
                <w:rFonts w:eastAsia="Times New Roman" w:cs="Times New Roman"/>
                <w:bCs/>
                <w:color w:val="000000"/>
                <w:sz w:val="16"/>
                <w:szCs w:val="16"/>
                <w:lang w:val="en-GB" w:eastAsia="en-GB"/>
              </w:rPr>
              <w:t xml:space="preserve">               </w:t>
            </w:r>
            <w:r w:rsidRPr="0041394A">
              <w:rPr>
                <w:rFonts w:eastAsia="Times New Roman" w:cs="Times New Roman"/>
                <w:bCs/>
                <w:color w:val="000000"/>
                <w:sz w:val="16"/>
                <w:szCs w:val="16"/>
                <w:lang w:val="en-GB" w:eastAsia="en-GB"/>
              </w:rPr>
              <w:t>(1)</w:t>
            </w:r>
          </w:p>
        </w:tc>
        <w:tc>
          <w:tcPr>
            <w:tcW w:w="1422" w:type="dxa"/>
            <w:tcBorders>
              <w:left w:val="nil"/>
              <w:bottom w:val="single" w:sz="4" w:space="0" w:color="auto"/>
              <w:right w:val="nil"/>
            </w:tcBorders>
            <w:shd w:val="clear" w:color="auto" w:fill="auto"/>
            <w:noWrap/>
            <w:vAlign w:val="bottom"/>
          </w:tcPr>
          <w:p w14:paraId="79621DB1" w14:textId="77777777" w:rsidR="00760723" w:rsidRPr="00B06515" w:rsidRDefault="00760723">
            <w:pPr>
              <w:jc w:val="center"/>
              <w:rPr>
                <w:rFonts w:eastAsia="Times New Roman" w:cs="Times New Roman"/>
                <w:b/>
                <w:bCs/>
                <w:color w:val="000000"/>
                <w:sz w:val="16"/>
                <w:szCs w:val="16"/>
                <w:lang w:val="en-GB" w:eastAsia="en-GB"/>
              </w:rPr>
            </w:pPr>
          </w:p>
        </w:tc>
      </w:tr>
      <w:tr w:rsidR="00D94D3B" w:rsidRPr="00D94D3B" w14:paraId="574C7CA6" w14:textId="77777777" w:rsidTr="0041394A">
        <w:trPr>
          <w:trHeight w:val="171"/>
          <w:jc w:val="center"/>
        </w:trPr>
        <w:tc>
          <w:tcPr>
            <w:tcW w:w="1422" w:type="dxa"/>
            <w:tcBorders>
              <w:top w:val="single" w:sz="4" w:space="0" w:color="auto"/>
              <w:left w:val="nil"/>
              <w:bottom w:val="single" w:sz="8" w:space="0" w:color="auto"/>
              <w:right w:val="nil"/>
            </w:tcBorders>
            <w:shd w:val="clear" w:color="auto" w:fill="auto"/>
            <w:noWrap/>
            <w:vAlign w:val="bottom"/>
            <w:hideMark/>
          </w:tcPr>
          <w:p w14:paraId="679A87FA" w14:textId="67A1DC23" w:rsidR="00D94D3B" w:rsidRPr="00B06515" w:rsidRDefault="00D94D3B">
            <w:pPr>
              <w:jc w:val="center"/>
              <w:rPr>
                <w:rFonts w:eastAsia="Times New Roman" w:cs="Times New Roman"/>
                <w:b/>
                <w:bCs/>
                <w:color w:val="000000"/>
                <w:sz w:val="16"/>
                <w:szCs w:val="16"/>
                <w:lang w:val="en-GB" w:eastAsia="en-GB"/>
              </w:rPr>
            </w:pPr>
            <w:r w:rsidRPr="00B06515">
              <w:rPr>
                <w:rFonts w:eastAsia="Times New Roman" w:cs="Times New Roman"/>
                <w:b/>
                <w:bCs/>
                <w:color w:val="000000"/>
                <w:sz w:val="16"/>
                <w:szCs w:val="16"/>
                <w:lang w:val="en-GB" w:eastAsia="en-GB"/>
              </w:rPr>
              <w:t xml:space="preserve">       1</w:t>
            </w:r>
            <w:r w:rsidR="00652161">
              <w:rPr>
                <w:rFonts w:eastAsia="Times New Roman" w:cs="Times New Roman"/>
                <w:b/>
                <w:bCs/>
                <w:color w:val="000000"/>
                <w:sz w:val="16"/>
                <w:szCs w:val="16"/>
                <w:lang w:val="en-GB" w:eastAsia="en-GB"/>
              </w:rPr>
              <w:t>3</w:t>
            </w:r>
            <w:r w:rsidRPr="00B06515">
              <w:rPr>
                <w:rFonts w:eastAsia="Times New Roman" w:cs="Times New Roman"/>
                <w:b/>
                <w:bCs/>
                <w:color w:val="000000"/>
                <w:sz w:val="16"/>
                <w:szCs w:val="16"/>
                <w:lang w:val="en-GB" w:eastAsia="en-GB"/>
              </w:rPr>
              <w:t xml:space="preserve">,356 </w:t>
            </w:r>
          </w:p>
        </w:tc>
        <w:tc>
          <w:tcPr>
            <w:tcW w:w="1422" w:type="dxa"/>
            <w:tcBorders>
              <w:top w:val="single" w:sz="4" w:space="0" w:color="auto"/>
              <w:left w:val="nil"/>
              <w:bottom w:val="single" w:sz="8" w:space="0" w:color="auto"/>
              <w:right w:val="nil"/>
            </w:tcBorders>
            <w:shd w:val="clear" w:color="auto" w:fill="auto"/>
            <w:noWrap/>
            <w:vAlign w:val="bottom"/>
            <w:hideMark/>
          </w:tcPr>
          <w:p w14:paraId="2E5F66D3" w14:textId="77777777" w:rsidR="00D94D3B" w:rsidRPr="00B06515" w:rsidRDefault="00D94D3B" w:rsidP="00D94D3B">
            <w:pPr>
              <w:jc w:val="center"/>
              <w:rPr>
                <w:rFonts w:eastAsia="Times New Roman" w:cs="Times New Roman"/>
                <w:b/>
                <w:bCs/>
                <w:color w:val="000000"/>
                <w:sz w:val="16"/>
                <w:szCs w:val="16"/>
                <w:lang w:val="en-GB" w:eastAsia="en-GB"/>
              </w:rPr>
            </w:pPr>
            <w:r w:rsidRPr="00B06515">
              <w:rPr>
                <w:rFonts w:eastAsia="Times New Roman" w:cs="Times New Roman"/>
                <w:b/>
                <w:bCs/>
                <w:color w:val="000000"/>
                <w:sz w:val="16"/>
                <w:szCs w:val="16"/>
                <w:lang w:val="en-GB" w:eastAsia="en-GB"/>
              </w:rPr>
              <w:t xml:space="preserve">       16,466 </w:t>
            </w:r>
          </w:p>
        </w:tc>
        <w:tc>
          <w:tcPr>
            <w:tcW w:w="3419" w:type="dxa"/>
            <w:tcBorders>
              <w:top w:val="single" w:sz="4" w:space="0" w:color="auto"/>
              <w:left w:val="nil"/>
              <w:bottom w:val="single" w:sz="8" w:space="0" w:color="auto"/>
              <w:right w:val="nil"/>
            </w:tcBorders>
            <w:shd w:val="clear" w:color="auto" w:fill="auto"/>
            <w:noWrap/>
            <w:vAlign w:val="bottom"/>
            <w:hideMark/>
          </w:tcPr>
          <w:p w14:paraId="1CF880CD" w14:textId="77777777" w:rsidR="00D94D3B" w:rsidRPr="00B06515" w:rsidRDefault="00D94D3B" w:rsidP="00D94D3B">
            <w:pPr>
              <w:rPr>
                <w:rFonts w:eastAsia="Times New Roman" w:cs="Times New Roman"/>
                <w:b/>
                <w:bCs/>
                <w:color w:val="000000"/>
                <w:sz w:val="16"/>
                <w:szCs w:val="16"/>
                <w:lang w:val="en-GB" w:eastAsia="en-GB"/>
              </w:rPr>
            </w:pPr>
            <w:r w:rsidRPr="00B06515">
              <w:rPr>
                <w:rFonts w:eastAsia="Times New Roman" w:cs="Times New Roman"/>
                <w:b/>
                <w:bCs/>
                <w:color w:val="000000"/>
                <w:sz w:val="16"/>
                <w:szCs w:val="16"/>
                <w:lang w:val="en-GB" w:eastAsia="en-GB"/>
              </w:rPr>
              <w:t xml:space="preserve"> Total Other Receivable Amounts </w:t>
            </w:r>
          </w:p>
        </w:tc>
        <w:tc>
          <w:tcPr>
            <w:tcW w:w="1422" w:type="dxa"/>
            <w:tcBorders>
              <w:top w:val="single" w:sz="4" w:space="0" w:color="auto"/>
              <w:left w:val="nil"/>
              <w:bottom w:val="single" w:sz="8" w:space="0" w:color="auto"/>
              <w:right w:val="nil"/>
            </w:tcBorders>
            <w:shd w:val="clear" w:color="auto" w:fill="auto"/>
            <w:noWrap/>
            <w:vAlign w:val="bottom"/>
            <w:hideMark/>
          </w:tcPr>
          <w:p w14:paraId="0471EB47" w14:textId="4787266C" w:rsidR="00D94D3B" w:rsidRPr="00B06515" w:rsidRDefault="00D94D3B">
            <w:pPr>
              <w:jc w:val="center"/>
              <w:rPr>
                <w:rFonts w:eastAsia="Times New Roman" w:cs="Times New Roman"/>
                <w:b/>
                <w:bCs/>
                <w:color w:val="000000"/>
                <w:sz w:val="16"/>
                <w:szCs w:val="16"/>
                <w:lang w:val="en-GB" w:eastAsia="en-GB"/>
              </w:rPr>
            </w:pPr>
            <w:r w:rsidRPr="00B06515">
              <w:rPr>
                <w:rFonts w:eastAsia="Times New Roman" w:cs="Times New Roman"/>
                <w:b/>
                <w:bCs/>
                <w:color w:val="000000"/>
                <w:sz w:val="16"/>
                <w:szCs w:val="16"/>
                <w:lang w:val="en-GB" w:eastAsia="en-GB"/>
              </w:rPr>
              <w:t xml:space="preserve">       16,</w:t>
            </w:r>
            <w:r w:rsidR="00652161">
              <w:rPr>
                <w:rFonts w:eastAsia="Times New Roman" w:cs="Times New Roman"/>
                <w:b/>
                <w:bCs/>
                <w:color w:val="000000"/>
                <w:sz w:val="16"/>
                <w:szCs w:val="16"/>
                <w:lang w:val="en-GB" w:eastAsia="en-GB"/>
              </w:rPr>
              <w:t>2</w:t>
            </w:r>
            <w:r w:rsidR="00760723">
              <w:rPr>
                <w:rFonts w:eastAsia="Times New Roman" w:cs="Times New Roman"/>
                <w:b/>
                <w:bCs/>
                <w:color w:val="000000"/>
                <w:sz w:val="16"/>
                <w:szCs w:val="16"/>
                <w:lang w:val="en-GB" w:eastAsia="en-GB"/>
              </w:rPr>
              <w:t>69</w:t>
            </w:r>
            <w:r w:rsidRPr="00B06515">
              <w:rPr>
                <w:rFonts w:eastAsia="Times New Roman" w:cs="Times New Roman"/>
                <w:b/>
                <w:bCs/>
                <w:color w:val="000000"/>
                <w:sz w:val="16"/>
                <w:szCs w:val="16"/>
                <w:lang w:val="en-GB" w:eastAsia="en-GB"/>
              </w:rPr>
              <w:t xml:space="preserve"> </w:t>
            </w:r>
          </w:p>
        </w:tc>
        <w:tc>
          <w:tcPr>
            <w:tcW w:w="1422" w:type="dxa"/>
            <w:tcBorders>
              <w:top w:val="single" w:sz="4" w:space="0" w:color="auto"/>
              <w:left w:val="nil"/>
              <w:bottom w:val="single" w:sz="8" w:space="0" w:color="auto"/>
              <w:right w:val="nil"/>
            </w:tcBorders>
            <w:shd w:val="clear" w:color="auto" w:fill="auto"/>
            <w:noWrap/>
            <w:vAlign w:val="bottom"/>
            <w:hideMark/>
          </w:tcPr>
          <w:p w14:paraId="215BBC1E" w14:textId="26D9D2CE" w:rsidR="00D94D3B" w:rsidRPr="00B06515" w:rsidRDefault="00D94D3B">
            <w:pPr>
              <w:jc w:val="center"/>
              <w:rPr>
                <w:rFonts w:eastAsia="Times New Roman" w:cs="Times New Roman"/>
                <w:b/>
                <w:bCs/>
                <w:color w:val="000000"/>
                <w:sz w:val="16"/>
                <w:szCs w:val="16"/>
                <w:lang w:val="en-GB" w:eastAsia="en-GB"/>
              </w:rPr>
            </w:pPr>
            <w:r w:rsidRPr="00B06515">
              <w:rPr>
                <w:rFonts w:eastAsia="Times New Roman" w:cs="Times New Roman"/>
                <w:b/>
                <w:bCs/>
                <w:color w:val="000000"/>
                <w:sz w:val="16"/>
                <w:szCs w:val="16"/>
                <w:lang w:val="en-GB" w:eastAsia="en-GB"/>
              </w:rPr>
              <w:t xml:space="preserve">       16,</w:t>
            </w:r>
            <w:r w:rsidR="00652161">
              <w:rPr>
                <w:rFonts w:eastAsia="Times New Roman" w:cs="Times New Roman"/>
                <w:b/>
                <w:bCs/>
                <w:color w:val="000000"/>
                <w:sz w:val="16"/>
                <w:szCs w:val="16"/>
                <w:lang w:val="en-GB" w:eastAsia="en-GB"/>
              </w:rPr>
              <w:t>379</w:t>
            </w:r>
            <w:r w:rsidRPr="00B06515">
              <w:rPr>
                <w:rFonts w:eastAsia="Times New Roman" w:cs="Times New Roman"/>
                <w:b/>
                <w:bCs/>
                <w:color w:val="000000"/>
                <w:sz w:val="16"/>
                <w:szCs w:val="16"/>
                <w:lang w:val="en-GB" w:eastAsia="en-GB"/>
              </w:rPr>
              <w:t xml:space="preserve"> </w:t>
            </w:r>
          </w:p>
        </w:tc>
      </w:tr>
    </w:tbl>
    <w:p w14:paraId="477A97C5" w14:textId="77777777" w:rsidR="00D94D3B" w:rsidRDefault="00D94D3B">
      <w:pPr>
        <w:pStyle w:val="Normal0"/>
        <w:spacing w:after="160"/>
        <w:rPr>
          <w:rFonts w:ascii="Verdana" w:eastAsia="Verdana" w:hAnsi="Verdana" w:cs="Verdana"/>
          <w:b/>
          <w:sz w:val="22"/>
          <w:szCs w:val="22"/>
          <w:lang w:val="en-GB"/>
        </w:rPr>
      </w:pPr>
    </w:p>
    <w:p w14:paraId="64794126" w14:textId="091FA7A6" w:rsidR="00D94D3B" w:rsidRPr="00B06515" w:rsidRDefault="00D94D3B">
      <w:pPr>
        <w:pStyle w:val="Normal0"/>
        <w:spacing w:after="160"/>
        <w:rPr>
          <w:rFonts w:ascii="Verdana" w:eastAsia="Verdana" w:hAnsi="Verdana" w:cs="Verdana"/>
          <w:sz w:val="22"/>
          <w:szCs w:val="22"/>
          <w:lang w:val="en-GB"/>
        </w:rPr>
      </w:pPr>
      <w:r w:rsidRPr="00B06515">
        <w:rPr>
          <w:rFonts w:ascii="Verdana" w:eastAsia="Verdana" w:hAnsi="Verdana" w:cs="Verdana"/>
          <w:sz w:val="22"/>
          <w:szCs w:val="22"/>
          <w:lang w:val="en-GB"/>
        </w:rPr>
        <w:t>Analysis of Prepayments:</w:t>
      </w:r>
    </w:p>
    <w:tbl>
      <w:tblPr>
        <w:tblW w:w="9213" w:type="dxa"/>
        <w:jc w:val="center"/>
        <w:tblLook w:val="04A0" w:firstRow="1" w:lastRow="0" w:firstColumn="1" w:lastColumn="0" w:noHBand="0" w:noVBand="1"/>
      </w:tblPr>
      <w:tblGrid>
        <w:gridCol w:w="1475"/>
        <w:gridCol w:w="1477"/>
        <w:gridCol w:w="3309"/>
        <w:gridCol w:w="1475"/>
        <w:gridCol w:w="1477"/>
      </w:tblGrid>
      <w:tr w:rsidR="00D94D3B" w:rsidRPr="00D94D3B" w14:paraId="134F7635" w14:textId="77777777" w:rsidTr="00D94D3B">
        <w:trPr>
          <w:trHeight w:val="100"/>
          <w:jc w:val="center"/>
        </w:trPr>
        <w:tc>
          <w:tcPr>
            <w:tcW w:w="2952" w:type="dxa"/>
            <w:gridSpan w:val="2"/>
            <w:tcBorders>
              <w:top w:val="nil"/>
              <w:left w:val="nil"/>
              <w:bottom w:val="nil"/>
              <w:right w:val="nil"/>
            </w:tcBorders>
            <w:shd w:val="clear" w:color="auto" w:fill="auto"/>
            <w:noWrap/>
            <w:vAlign w:val="bottom"/>
            <w:hideMark/>
          </w:tcPr>
          <w:p w14:paraId="4EE2C087"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31 March 2020 </w:t>
            </w:r>
          </w:p>
        </w:tc>
        <w:tc>
          <w:tcPr>
            <w:tcW w:w="3309" w:type="dxa"/>
            <w:tcBorders>
              <w:top w:val="nil"/>
              <w:left w:val="nil"/>
              <w:bottom w:val="nil"/>
              <w:right w:val="nil"/>
            </w:tcBorders>
            <w:shd w:val="clear" w:color="auto" w:fill="auto"/>
            <w:noWrap/>
            <w:vAlign w:val="bottom"/>
            <w:hideMark/>
          </w:tcPr>
          <w:p w14:paraId="6C00EDAE" w14:textId="77777777" w:rsidR="00D94D3B" w:rsidRPr="00D94D3B" w:rsidRDefault="00D94D3B" w:rsidP="00D94D3B">
            <w:pPr>
              <w:jc w:val="center"/>
              <w:rPr>
                <w:rFonts w:eastAsia="Times New Roman" w:cs="Times New Roman"/>
                <w:b/>
                <w:bCs/>
                <w:color w:val="000000"/>
                <w:sz w:val="16"/>
                <w:szCs w:val="16"/>
                <w:lang w:val="en-GB" w:eastAsia="en-GB"/>
              </w:rPr>
            </w:pPr>
          </w:p>
        </w:tc>
        <w:tc>
          <w:tcPr>
            <w:tcW w:w="2952" w:type="dxa"/>
            <w:gridSpan w:val="2"/>
            <w:tcBorders>
              <w:top w:val="nil"/>
              <w:left w:val="nil"/>
              <w:bottom w:val="nil"/>
              <w:right w:val="nil"/>
            </w:tcBorders>
            <w:shd w:val="clear" w:color="auto" w:fill="auto"/>
            <w:noWrap/>
            <w:vAlign w:val="bottom"/>
            <w:hideMark/>
          </w:tcPr>
          <w:p w14:paraId="7AAB28F7" w14:textId="0D78ECF3" w:rsidR="00D94D3B" w:rsidRPr="00D94D3B" w:rsidRDefault="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31 March 202</w:t>
            </w:r>
            <w:r w:rsidR="00652161">
              <w:rPr>
                <w:rFonts w:eastAsia="Times New Roman" w:cs="Times New Roman"/>
                <w:b/>
                <w:bCs/>
                <w:color w:val="000000"/>
                <w:sz w:val="16"/>
                <w:szCs w:val="16"/>
                <w:lang w:val="en-GB" w:eastAsia="en-GB"/>
              </w:rPr>
              <w:t>1</w:t>
            </w:r>
            <w:r w:rsidRPr="00D94D3B">
              <w:rPr>
                <w:rFonts w:eastAsia="Times New Roman" w:cs="Times New Roman"/>
                <w:b/>
                <w:bCs/>
                <w:color w:val="000000"/>
                <w:sz w:val="16"/>
                <w:szCs w:val="16"/>
                <w:lang w:val="en-GB" w:eastAsia="en-GB"/>
              </w:rPr>
              <w:t xml:space="preserve"> </w:t>
            </w:r>
          </w:p>
        </w:tc>
      </w:tr>
      <w:tr w:rsidR="00D94D3B" w:rsidRPr="00D94D3B" w14:paraId="325978B3" w14:textId="77777777" w:rsidTr="00D94D3B">
        <w:trPr>
          <w:trHeight w:val="100"/>
          <w:jc w:val="center"/>
        </w:trPr>
        <w:tc>
          <w:tcPr>
            <w:tcW w:w="1475" w:type="dxa"/>
            <w:tcBorders>
              <w:top w:val="nil"/>
              <w:left w:val="nil"/>
              <w:bottom w:val="nil"/>
              <w:right w:val="nil"/>
            </w:tcBorders>
            <w:shd w:val="clear" w:color="auto" w:fill="auto"/>
            <w:noWrap/>
            <w:vAlign w:val="bottom"/>
            <w:hideMark/>
          </w:tcPr>
          <w:p w14:paraId="6A768713"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PCC </w:t>
            </w:r>
          </w:p>
        </w:tc>
        <w:tc>
          <w:tcPr>
            <w:tcW w:w="1477" w:type="dxa"/>
            <w:tcBorders>
              <w:top w:val="nil"/>
              <w:left w:val="nil"/>
              <w:bottom w:val="nil"/>
              <w:right w:val="nil"/>
            </w:tcBorders>
            <w:shd w:val="clear" w:color="auto" w:fill="auto"/>
            <w:noWrap/>
            <w:vAlign w:val="bottom"/>
            <w:hideMark/>
          </w:tcPr>
          <w:p w14:paraId="6028CA1A"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Group </w:t>
            </w:r>
          </w:p>
        </w:tc>
        <w:tc>
          <w:tcPr>
            <w:tcW w:w="3309" w:type="dxa"/>
            <w:tcBorders>
              <w:top w:val="nil"/>
              <w:left w:val="nil"/>
              <w:bottom w:val="nil"/>
              <w:right w:val="nil"/>
            </w:tcBorders>
            <w:shd w:val="clear" w:color="auto" w:fill="auto"/>
            <w:noWrap/>
            <w:vAlign w:val="bottom"/>
            <w:hideMark/>
          </w:tcPr>
          <w:p w14:paraId="17DE3E5C" w14:textId="77777777" w:rsidR="00D94D3B" w:rsidRPr="00D94D3B" w:rsidRDefault="00D94D3B" w:rsidP="00D94D3B">
            <w:pPr>
              <w:jc w:val="center"/>
              <w:rPr>
                <w:rFonts w:eastAsia="Times New Roman" w:cs="Times New Roman"/>
                <w:b/>
                <w:bCs/>
                <w:color w:val="000000"/>
                <w:sz w:val="16"/>
                <w:szCs w:val="16"/>
                <w:lang w:val="en-GB" w:eastAsia="en-GB"/>
              </w:rPr>
            </w:pPr>
          </w:p>
        </w:tc>
        <w:tc>
          <w:tcPr>
            <w:tcW w:w="1475" w:type="dxa"/>
            <w:tcBorders>
              <w:top w:val="nil"/>
              <w:left w:val="nil"/>
              <w:bottom w:val="nil"/>
              <w:right w:val="nil"/>
            </w:tcBorders>
            <w:shd w:val="clear" w:color="auto" w:fill="auto"/>
            <w:noWrap/>
            <w:vAlign w:val="bottom"/>
            <w:hideMark/>
          </w:tcPr>
          <w:p w14:paraId="440B0D03"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PCC </w:t>
            </w:r>
          </w:p>
        </w:tc>
        <w:tc>
          <w:tcPr>
            <w:tcW w:w="1477" w:type="dxa"/>
            <w:tcBorders>
              <w:top w:val="nil"/>
              <w:left w:val="nil"/>
              <w:bottom w:val="nil"/>
              <w:right w:val="nil"/>
            </w:tcBorders>
            <w:shd w:val="clear" w:color="auto" w:fill="auto"/>
            <w:noWrap/>
            <w:vAlign w:val="bottom"/>
            <w:hideMark/>
          </w:tcPr>
          <w:p w14:paraId="76FF11C4"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Group </w:t>
            </w:r>
          </w:p>
        </w:tc>
      </w:tr>
      <w:tr w:rsidR="00D94D3B" w:rsidRPr="00D94D3B" w14:paraId="26A61F9E" w14:textId="77777777" w:rsidTr="00D94D3B">
        <w:trPr>
          <w:trHeight w:val="100"/>
          <w:jc w:val="center"/>
        </w:trPr>
        <w:tc>
          <w:tcPr>
            <w:tcW w:w="1475" w:type="dxa"/>
            <w:tcBorders>
              <w:top w:val="nil"/>
              <w:left w:val="nil"/>
              <w:bottom w:val="nil"/>
              <w:right w:val="nil"/>
            </w:tcBorders>
            <w:shd w:val="clear" w:color="auto" w:fill="auto"/>
            <w:noWrap/>
            <w:vAlign w:val="bottom"/>
            <w:hideMark/>
          </w:tcPr>
          <w:p w14:paraId="2D784578"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£000 </w:t>
            </w:r>
          </w:p>
        </w:tc>
        <w:tc>
          <w:tcPr>
            <w:tcW w:w="1477" w:type="dxa"/>
            <w:tcBorders>
              <w:top w:val="nil"/>
              <w:left w:val="nil"/>
              <w:bottom w:val="nil"/>
              <w:right w:val="nil"/>
            </w:tcBorders>
            <w:shd w:val="clear" w:color="auto" w:fill="auto"/>
            <w:noWrap/>
            <w:vAlign w:val="bottom"/>
            <w:hideMark/>
          </w:tcPr>
          <w:p w14:paraId="7A0DC948"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£000 </w:t>
            </w:r>
          </w:p>
        </w:tc>
        <w:tc>
          <w:tcPr>
            <w:tcW w:w="3309" w:type="dxa"/>
            <w:tcBorders>
              <w:top w:val="nil"/>
              <w:left w:val="nil"/>
              <w:bottom w:val="nil"/>
              <w:right w:val="nil"/>
            </w:tcBorders>
            <w:shd w:val="clear" w:color="auto" w:fill="auto"/>
            <w:noWrap/>
            <w:vAlign w:val="bottom"/>
            <w:hideMark/>
          </w:tcPr>
          <w:p w14:paraId="7DEFD44D" w14:textId="77777777" w:rsidR="00D94D3B" w:rsidRPr="00D94D3B" w:rsidRDefault="00D94D3B" w:rsidP="00D94D3B">
            <w:pPr>
              <w:jc w:val="center"/>
              <w:rPr>
                <w:rFonts w:eastAsia="Times New Roman" w:cs="Times New Roman"/>
                <w:b/>
                <w:bCs/>
                <w:color w:val="000000"/>
                <w:sz w:val="16"/>
                <w:szCs w:val="16"/>
                <w:lang w:val="en-GB" w:eastAsia="en-GB"/>
              </w:rPr>
            </w:pPr>
          </w:p>
        </w:tc>
        <w:tc>
          <w:tcPr>
            <w:tcW w:w="1475" w:type="dxa"/>
            <w:tcBorders>
              <w:top w:val="nil"/>
              <w:left w:val="nil"/>
              <w:bottom w:val="nil"/>
              <w:right w:val="nil"/>
            </w:tcBorders>
            <w:shd w:val="clear" w:color="auto" w:fill="auto"/>
            <w:noWrap/>
            <w:vAlign w:val="bottom"/>
            <w:hideMark/>
          </w:tcPr>
          <w:p w14:paraId="74B085A1"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£000 </w:t>
            </w:r>
          </w:p>
        </w:tc>
        <w:tc>
          <w:tcPr>
            <w:tcW w:w="1477" w:type="dxa"/>
            <w:tcBorders>
              <w:top w:val="nil"/>
              <w:left w:val="nil"/>
              <w:bottom w:val="nil"/>
              <w:right w:val="nil"/>
            </w:tcBorders>
            <w:shd w:val="clear" w:color="auto" w:fill="auto"/>
            <w:noWrap/>
            <w:vAlign w:val="bottom"/>
            <w:hideMark/>
          </w:tcPr>
          <w:p w14:paraId="330374D7"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£000 </w:t>
            </w:r>
          </w:p>
        </w:tc>
      </w:tr>
      <w:tr w:rsidR="00D94D3B" w:rsidRPr="00D94D3B" w14:paraId="730212A1" w14:textId="77777777" w:rsidTr="00D94D3B">
        <w:trPr>
          <w:trHeight w:val="100"/>
          <w:jc w:val="center"/>
        </w:trPr>
        <w:tc>
          <w:tcPr>
            <w:tcW w:w="1475" w:type="dxa"/>
            <w:tcBorders>
              <w:top w:val="nil"/>
              <w:left w:val="nil"/>
              <w:bottom w:val="nil"/>
              <w:right w:val="nil"/>
            </w:tcBorders>
            <w:shd w:val="clear" w:color="auto" w:fill="auto"/>
            <w:noWrap/>
            <w:vAlign w:val="bottom"/>
            <w:hideMark/>
          </w:tcPr>
          <w:p w14:paraId="4E17BD20"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2,081 </w:t>
            </w:r>
          </w:p>
        </w:tc>
        <w:tc>
          <w:tcPr>
            <w:tcW w:w="1477" w:type="dxa"/>
            <w:tcBorders>
              <w:top w:val="nil"/>
              <w:left w:val="nil"/>
              <w:bottom w:val="nil"/>
              <w:right w:val="nil"/>
            </w:tcBorders>
            <w:shd w:val="clear" w:color="auto" w:fill="auto"/>
            <w:noWrap/>
            <w:vAlign w:val="bottom"/>
            <w:hideMark/>
          </w:tcPr>
          <w:p w14:paraId="7FBF4E76"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2,081 </w:t>
            </w:r>
          </w:p>
        </w:tc>
        <w:tc>
          <w:tcPr>
            <w:tcW w:w="3309" w:type="dxa"/>
            <w:tcBorders>
              <w:top w:val="nil"/>
              <w:left w:val="nil"/>
              <w:bottom w:val="nil"/>
              <w:right w:val="nil"/>
            </w:tcBorders>
            <w:shd w:val="clear" w:color="auto" w:fill="auto"/>
            <w:noWrap/>
            <w:vAlign w:val="bottom"/>
            <w:hideMark/>
          </w:tcPr>
          <w:p w14:paraId="6931FCE6" w14:textId="77777777" w:rsidR="00D94D3B" w:rsidRPr="00D94D3B" w:rsidRDefault="00D94D3B" w:rsidP="00D94D3B">
            <w:pP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Estates </w:t>
            </w:r>
          </w:p>
        </w:tc>
        <w:tc>
          <w:tcPr>
            <w:tcW w:w="1475" w:type="dxa"/>
            <w:tcBorders>
              <w:top w:val="nil"/>
              <w:left w:val="nil"/>
              <w:bottom w:val="nil"/>
              <w:right w:val="nil"/>
            </w:tcBorders>
            <w:shd w:val="clear" w:color="auto" w:fill="auto"/>
            <w:noWrap/>
            <w:vAlign w:val="bottom"/>
            <w:hideMark/>
          </w:tcPr>
          <w:p w14:paraId="3DC00375"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94 </w:t>
            </w:r>
          </w:p>
        </w:tc>
        <w:tc>
          <w:tcPr>
            <w:tcW w:w="1477" w:type="dxa"/>
            <w:tcBorders>
              <w:top w:val="nil"/>
              <w:left w:val="nil"/>
              <w:bottom w:val="nil"/>
              <w:right w:val="nil"/>
            </w:tcBorders>
            <w:shd w:val="clear" w:color="auto" w:fill="auto"/>
            <w:noWrap/>
            <w:vAlign w:val="bottom"/>
            <w:hideMark/>
          </w:tcPr>
          <w:p w14:paraId="0A517BAB"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94 </w:t>
            </w:r>
          </w:p>
        </w:tc>
      </w:tr>
      <w:tr w:rsidR="00D94D3B" w:rsidRPr="00D94D3B" w14:paraId="31F73A3E" w14:textId="77777777" w:rsidTr="00D94D3B">
        <w:trPr>
          <w:trHeight w:val="100"/>
          <w:jc w:val="center"/>
        </w:trPr>
        <w:tc>
          <w:tcPr>
            <w:tcW w:w="1475" w:type="dxa"/>
            <w:tcBorders>
              <w:top w:val="nil"/>
              <w:left w:val="nil"/>
              <w:bottom w:val="nil"/>
              <w:right w:val="nil"/>
            </w:tcBorders>
            <w:shd w:val="clear" w:color="auto" w:fill="auto"/>
            <w:noWrap/>
            <w:vAlign w:val="bottom"/>
            <w:hideMark/>
          </w:tcPr>
          <w:p w14:paraId="31919D94"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937 </w:t>
            </w:r>
          </w:p>
        </w:tc>
        <w:tc>
          <w:tcPr>
            <w:tcW w:w="1477" w:type="dxa"/>
            <w:tcBorders>
              <w:top w:val="nil"/>
              <w:left w:val="nil"/>
              <w:bottom w:val="nil"/>
              <w:right w:val="nil"/>
            </w:tcBorders>
            <w:shd w:val="clear" w:color="auto" w:fill="auto"/>
            <w:noWrap/>
            <w:vAlign w:val="bottom"/>
            <w:hideMark/>
          </w:tcPr>
          <w:p w14:paraId="3A57109B"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937 </w:t>
            </w:r>
          </w:p>
        </w:tc>
        <w:tc>
          <w:tcPr>
            <w:tcW w:w="3309" w:type="dxa"/>
            <w:tcBorders>
              <w:top w:val="nil"/>
              <w:left w:val="nil"/>
              <w:bottom w:val="nil"/>
              <w:right w:val="nil"/>
            </w:tcBorders>
            <w:shd w:val="clear" w:color="auto" w:fill="auto"/>
            <w:noWrap/>
            <w:vAlign w:val="bottom"/>
            <w:hideMark/>
          </w:tcPr>
          <w:p w14:paraId="3924DBFB" w14:textId="77777777" w:rsidR="00D94D3B" w:rsidRPr="00D94D3B" w:rsidRDefault="00D94D3B" w:rsidP="00D94D3B">
            <w:pP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Insurance/Legal/Property </w:t>
            </w:r>
          </w:p>
        </w:tc>
        <w:tc>
          <w:tcPr>
            <w:tcW w:w="1475" w:type="dxa"/>
            <w:tcBorders>
              <w:top w:val="nil"/>
              <w:left w:val="nil"/>
              <w:bottom w:val="nil"/>
              <w:right w:val="nil"/>
            </w:tcBorders>
            <w:shd w:val="clear" w:color="auto" w:fill="auto"/>
            <w:noWrap/>
            <w:vAlign w:val="bottom"/>
            <w:hideMark/>
          </w:tcPr>
          <w:p w14:paraId="56180592"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730 </w:t>
            </w:r>
          </w:p>
        </w:tc>
        <w:tc>
          <w:tcPr>
            <w:tcW w:w="1477" w:type="dxa"/>
            <w:tcBorders>
              <w:top w:val="nil"/>
              <w:left w:val="nil"/>
              <w:bottom w:val="nil"/>
              <w:right w:val="nil"/>
            </w:tcBorders>
            <w:shd w:val="clear" w:color="auto" w:fill="auto"/>
            <w:noWrap/>
            <w:vAlign w:val="bottom"/>
            <w:hideMark/>
          </w:tcPr>
          <w:p w14:paraId="729AA6A0"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730 </w:t>
            </w:r>
          </w:p>
        </w:tc>
      </w:tr>
      <w:tr w:rsidR="00D94D3B" w:rsidRPr="00D94D3B" w14:paraId="67231EB8" w14:textId="77777777" w:rsidTr="00D94D3B">
        <w:trPr>
          <w:trHeight w:val="100"/>
          <w:jc w:val="center"/>
        </w:trPr>
        <w:tc>
          <w:tcPr>
            <w:tcW w:w="1475" w:type="dxa"/>
            <w:tcBorders>
              <w:top w:val="nil"/>
              <w:left w:val="nil"/>
              <w:bottom w:val="nil"/>
              <w:right w:val="nil"/>
            </w:tcBorders>
            <w:shd w:val="clear" w:color="auto" w:fill="auto"/>
            <w:noWrap/>
            <w:vAlign w:val="bottom"/>
            <w:hideMark/>
          </w:tcPr>
          <w:p w14:paraId="74822893"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732 </w:t>
            </w:r>
          </w:p>
        </w:tc>
        <w:tc>
          <w:tcPr>
            <w:tcW w:w="1477" w:type="dxa"/>
            <w:tcBorders>
              <w:top w:val="nil"/>
              <w:left w:val="nil"/>
              <w:bottom w:val="nil"/>
              <w:right w:val="nil"/>
            </w:tcBorders>
            <w:shd w:val="clear" w:color="auto" w:fill="auto"/>
            <w:noWrap/>
            <w:vAlign w:val="bottom"/>
            <w:hideMark/>
          </w:tcPr>
          <w:p w14:paraId="405B7741"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732 </w:t>
            </w:r>
          </w:p>
        </w:tc>
        <w:tc>
          <w:tcPr>
            <w:tcW w:w="3309" w:type="dxa"/>
            <w:tcBorders>
              <w:top w:val="nil"/>
              <w:left w:val="nil"/>
              <w:bottom w:val="nil"/>
              <w:right w:val="nil"/>
            </w:tcBorders>
            <w:shd w:val="clear" w:color="auto" w:fill="auto"/>
            <w:noWrap/>
            <w:vAlign w:val="bottom"/>
            <w:hideMark/>
          </w:tcPr>
          <w:p w14:paraId="0FFAC92A" w14:textId="77777777" w:rsidR="00D94D3B" w:rsidRPr="00D94D3B" w:rsidRDefault="00D94D3B" w:rsidP="00D94D3B">
            <w:pP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Other </w:t>
            </w:r>
          </w:p>
        </w:tc>
        <w:tc>
          <w:tcPr>
            <w:tcW w:w="1475" w:type="dxa"/>
            <w:tcBorders>
              <w:top w:val="nil"/>
              <w:left w:val="nil"/>
              <w:bottom w:val="nil"/>
              <w:right w:val="nil"/>
            </w:tcBorders>
            <w:shd w:val="clear" w:color="auto" w:fill="auto"/>
            <w:noWrap/>
            <w:vAlign w:val="bottom"/>
            <w:hideMark/>
          </w:tcPr>
          <w:p w14:paraId="23040DDA"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249 </w:t>
            </w:r>
          </w:p>
        </w:tc>
        <w:tc>
          <w:tcPr>
            <w:tcW w:w="1477" w:type="dxa"/>
            <w:tcBorders>
              <w:top w:val="nil"/>
              <w:left w:val="nil"/>
              <w:bottom w:val="nil"/>
              <w:right w:val="nil"/>
            </w:tcBorders>
            <w:shd w:val="clear" w:color="auto" w:fill="auto"/>
            <w:noWrap/>
            <w:vAlign w:val="bottom"/>
            <w:hideMark/>
          </w:tcPr>
          <w:p w14:paraId="6D942382"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249 </w:t>
            </w:r>
          </w:p>
        </w:tc>
      </w:tr>
      <w:tr w:rsidR="00D94D3B" w:rsidRPr="00D94D3B" w14:paraId="4010EC5E" w14:textId="77777777" w:rsidTr="00D94D3B">
        <w:trPr>
          <w:trHeight w:val="100"/>
          <w:jc w:val="center"/>
        </w:trPr>
        <w:tc>
          <w:tcPr>
            <w:tcW w:w="1475" w:type="dxa"/>
            <w:tcBorders>
              <w:top w:val="nil"/>
              <w:left w:val="nil"/>
              <w:bottom w:val="nil"/>
              <w:right w:val="nil"/>
            </w:tcBorders>
            <w:shd w:val="clear" w:color="auto" w:fill="auto"/>
            <w:noWrap/>
            <w:vAlign w:val="bottom"/>
            <w:hideMark/>
          </w:tcPr>
          <w:p w14:paraId="495E79A5"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3,463 </w:t>
            </w:r>
          </w:p>
        </w:tc>
        <w:tc>
          <w:tcPr>
            <w:tcW w:w="1477" w:type="dxa"/>
            <w:tcBorders>
              <w:top w:val="nil"/>
              <w:left w:val="nil"/>
              <w:bottom w:val="nil"/>
              <w:right w:val="nil"/>
            </w:tcBorders>
            <w:shd w:val="clear" w:color="auto" w:fill="auto"/>
            <w:noWrap/>
            <w:vAlign w:val="bottom"/>
            <w:hideMark/>
          </w:tcPr>
          <w:p w14:paraId="486D91FF"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3,463 </w:t>
            </w:r>
          </w:p>
        </w:tc>
        <w:tc>
          <w:tcPr>
            <w:tcW w:w="3309" w:type="dxa"/>
            <w:tcBorders>
              <w:top w:val="nil"/>
              <w:left w:val="nil"/>
              <w:bottom w:val="nil"/>
              <w:right w:val="nil"/>
            </w:tcBorders>
            <w:shd w:val="clear" w:color="auto" w:fill="auto"/>
            <w:noWrap/>
            <w:vAlign w:val="bottom"/>
            <w:hideMark/>
          </w:tcPr>
          <w:p w14:paraId="2E86C26C" w14:textId="77777777" w:rsidR="00D94D3B" w:rsidRPr="00D94D3B" w:rsidRDefault="00D94D3B" w:rsidP="00D94D3B">
            <w:pP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Payroll/Pension </w:t>
            </w:r>
          </w:p>
        </w:tc>
        <w:tc>
          <w:tcPr>
            <w:tcW w:w="1475" w:type="dxa"/>
            <w:tcBorders>
              <w:top w:val="nil"/>
              <w:left w:val="nil"/>
              <w:bottom w:val="nil"/>
              <w:right w:val="nil"/>
            </w:tcBorders>
            <w:shd w:val="clear" w:color="auto" w:fill="auto"/>
            <w:noWrap/>
            <w:vAlign w:val="bottom"/>
            <w:hideMark/>
          </w:tcPr>
          <w:p w14:paraId="02DD7A76"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3,535 </w:t>
            </w:r>
          </w:p>
        </w:tc>
        <w:tc>
          <w:tcPr>
            <w:tcW w:w="1477" w:type="dxa"/>
            <w:tcBorders>
              <w:top w:val="nil"/>
              <w:left w:val="nil"/>
              <w:bottom w:val="nil"/>
              <w:right w:val="nil"/>
            </w:tcBorders>
            <w:shd w:val="clear" w:color="auto" w:fill="auto"/>
            <w:noWrap/>
            <w:vAlign w:val="bottom"/>
            <w:hideMark/>
          </w:tcPr>
          <w:p w14:paraId="05AFB073"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3,535 </w:t>
            </w:r>
          </w:p>
        </w:tc>
      </w:tr>
      <w:tr w:rsidR="00D94D3B" w:rsidRPr="00D94D3B" w14:paraId="15EB23C7" w14:textId="77777777" w:rsidTr="00D94D3B">
        <w:trPr>
          <w:trHeight w:val="112"/>
          <w:jc w:val="center"/>
        </w:trPr>
        <w:tc>
          <w:tcPr>
            <w:tcW w:w="1475" w:type="dxa"/>
            <w:tcBorders>
              <w:top w:val="nil"/>
              <w:left w:val="nil"/>
              <w:bottom w:val="nil"/>
              <w:right w:val="nil"/>
            </w:tcBorders>
            <w:shd w:val="clear" w:color="auto" w:fill="auto"/>
            <w:noWrap/>
            <w:vAlign w:val="bottom"/>
            <w:hideMark/>
          </w:tcPr>
          <w:p w14:paraId="6448B2A5"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   </w:t>
            </w:r>
          </w:p>
        </w:tc>
        <w:tc>
          <w:tcPr>
            <w:tcW w:w="1477" w:type="dxa"/>
            <w:tcBorders>
              <w:top w:val="nil"/>
              <w:left w:val="nil"/>
              <w:bottom w:val="nil"/>
              <w:right w:val="nil"/>
            </w:tcBorders>
            <w:shd w:val="clear" w:color="auto" w:fill="auto"/>
            <w:noWrap/>
            <w:vAlign w:val="bottom"/>
            <w:hideMark/>
          </w:tcPr>
          <w:p w14:paraId="53FA530F"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   </w:t>
            </w:r>
          </w:p>
        </w:tc>
        <w:tc>
          <w:tcPr>
            <w:tcW w:w="3309" w:type="dxa"/>
            <w:tcBorders>
              <w:top w:val="nil"/>
              <w:left w:val="nil"/>
              <w:bottom w:val="nil"/>
              <w:right w:val="nil"/>
            </w:tcBorders>
            <w:shd w:val="clear" w:color="auto" w:fill="auto"/>
            <w:noWrap/>
            <w:vAlign w:val="bottom"/>
            <w:hideMark/>
          </w:tcPr>
          <w:p w14:paraId="45514E99" w14:textId="70DDA8EB" w:rsidR="00D94D3B" w:rsidRPr="00D94D3B" w:rsidRDefault="00D94D3B" w:rsidP="00D94D3B">
            <w:pP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IT Costs-Leases  </w:t>
            </w:r>
          </w:p>
        </w:tc>
        <w:tc>
          <w:tcPr>
            <w:tcW w:w="1475" w:type="dxa"/>
            <w:tcBorders>
              <w:top w:val="nil"/>
              <w:left w:val="nil"/>
              <w:bottom w:val="nil"/>
              <w:right w:val="nil"/>
            </w:tcBorders>
            <w:shd w:val="clear" w:color="auto" w:fill="auto"/>
            <w:noWrap/>
            <w:vAlign w:val="bottom"/>
            <w:hideMark/>
          </w:tcPr>
          <w:p w14:paraId="5B412FDA"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892 </w:t>
            </w:r>
          </w:p>
        </w:tc>
        <w:tc>
          <w:tcPr>
            <w:tcW w:w="1477" w:type="dxa"/>
            <w:tcBorders>
              <w:top w:val="nil"/>
              <w:left w:val="nil"/>
              <w:bottom w:val="nil"/>
              <w:right w:val="nil"/>
            </w:tcBorders>
            <w:shd w:val="clear" w:color="auto" w:fill="auto"/>
            <w:noWrap/>
            <w:vAlign w:val="bottom"/>
            <w:hideMark/>
          </w:tcPr>
          <w:p w14:paraId="6ED5AA17" w14:textId="77777777" w:rsidR="00D94D3B" w:rsidRPr="00D94D3B" w:rsidRDefault="00D94D3B" w:rsidP="00D94D3B">
            <w:pPr>
              <w:jc w:val="center"/>
              <w:rPr>
                <w:rFonts w:eastAsia="Times New Roman" w:cs="Times New Roman"/>
                <w:color w:val="000000"/>
                <w:sz w:val="16"/>
                <w:szCs w:val="16"/>
                <w:lang w:val="en-GB" w:eastAsia="en-GB"/>
              </w:rPr>
            </w:pPr>
            <w:r w:rsidRPr="00D94D3B">
              <w:rPr>
                <w:rFonts w:eastAsia="Times New Roman" w:cs="Times New Roman"/>
                <w:color w:val="000000"/>
                <w:sz w:val="16"/>
                <w:szCs w:val="16"/>
                <w:lang w:val="en-GB" w:eastAsia="en-GB"/>
              </w:rPr>
              <w:t xml:space="preserve">             892 </w:t>
            </w:r>
          </w:p>
        </w:tc>
      </w:tr>
      <w:tr w:rsidR="00D94D3B" w:rsidRPr="00D94D3B" w14:paraId="49A11AEC" w14:textId="77777777" w:rsidTr="00D94D3B">
        <w:trPr>
          <w:trHeight w:val="97"/>
          <w:jc w:val="center"/>
        </w:trPr>
        <w:tc>
          <w:tcPr>
            <w:tcW w:w="1475" w:type="dxa"/>
            <w:tcBorders>
              <w:top w:val="single" w:sz="4" w:space="0" w:color="auto"/>
              <w:left w:val="nil"/>
              <w:bottom w:val="single" w:sz="8" w:space="0" w:color="auto"/>
              <w:right w:val="nil"/>
            </w:tcBorders>
            <w:shd w:val="clear" w:color="auto" w:fill="auto"/>
            <w:noWrap/>
            <w:vAlign w:val="bottom"/>
            <w:hideMark/>
          </w:tcPr>
          <w:p w14:paraId="78C840A9"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7,213 </w:t>
            </w:r>
          </w:p>
        </w:tc>
        <w:tc>
          <w:tcPr>
            <w:tcW w:w="1477" w:type="dxa"/>
            <w:tcBorders>
              <w:top w:val="single" w:sz="4" w:space="0" w:color="auto"/>
              <w:left w:val="nil"/>
              <w:bottom w:val="single" w:sz="8" w:space="0" w:color="auto"/>
              <w:right w:val="nil"/>
            </w:tcBorders>
            <w:shd w:val="clear" w:color="auto" w:fill="auto"/>
            <w:noWrap/>
            <w:vAlign w:val="bottom"/>
            <w:hideMark/>
          </w:tcPr>
          <w:p w14:paraId="35659C84"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7,213 </w:t>
            </w:r>
          </w:p>
        </w:tc>
        <w:tc>
          <w:tcPr>
            <w:tcW w:w="3309" w:type="dxa"/>
            <w:tcBorders>
              <w:top w:val="single" w:sz="4" w:space="0" w:color="auto"/>
              <w:left w:val="nil"/>
              <w:bottom w:val="single" w:sz="8" w:space="0" w:color="auto"/>
              <w:right w:val="nil"/>
            </w:tcBorders>
            <w:shd w:val="clear" w:color="auto" w:fill="auto"/>
            <w:noWrap/>
            <w:vAlign w:val="bottom"/>
            <w:hideMark/>
          </w:tcPr>
          <w:p w14:paraId="16323704" w14:textId="7E493CAA" w:rsidR="00D94D3B" w:rsidRPr="00D94D3B" w:rsidRDefault="00D94D3B" w:rsidP="00D94D3B">
            <w:pP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w:t>
            </w:r>
            <w:r w:rsidR="00B06515">
              <w:rPr>
                <w:rFonts w:eastAsia="Times New Roman" w:cs="Times New Roman"/>
                <w:b/>
                <w:bCs/>
                <w:color w:val="000000"/>
                <w:sz w:val="16"/>
                <w:szCs w:val="16"/>
                <w:lang w:val="en-GB" w:eastAsia="en-GB"/>
              </w:rPr>
              <w:t>Total Prepayments</w:t>
            </w:r>
          </w:p>
        </w:tc>
        <w:tc>
          <w:tcPr>
            <w:tcW w:w="1475" w:type="dxa"/>
            <w:tcBorders>
              <w:top w:val="single" w:sz="4" w:space="0" w:color="auto"/>
              <w:left w:val="nil"/>
              <w:bottom w:val="single" w:sz="8" w:space="0" w:color="auto"/>
              <w:right w:val="nil"/>
            </w:tcBorders>
            <w:shd w:val="clear" w:color="auto" w:fill="auto"/>
            <w:noWrap/>
            <w:vAlign w:val="bottom"/>
            <w:hideMark/>
          </w:tcPr>
          <w:p w14:paraId="1F755DBC"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5,500 </w:t>
            </w:r>
          </w:p>
        </w:tc>
        <w:tc>
          <w:tcPr>
            <w:tcW w:w="1477" w:type="dxa"/>
            <w:tcBorders>
              <w:top w:val="single" w:sz="4" w:space="0" w:color="auto"/>
              <w:left w:val="nil"/>
              <w:bottom w:val="single" w:sz="8" w:space="0" w:color="auto"/>
              <w:right w:val="nil"/>
            </w:tcBorders>
            <w:shd w:val="clear" w:color="auto" w:fill="auto"/>
            <w:noWrap/>
            <w:vAlign w:val="bottom"/>
            <w:hideMark/>
          </w:tcPr>
          <w:p w14:paraId="7499C17F" w14:textId="77777777" w:rsidR="00D94D3B" w:rsidRPr="00D94D3B" w:rsidRDefault="00D94D3B" w:rsidP="00D94D3B">
            <w:pPr>
              <w:jc w:val="center"/>
              <w:rPr>
                <w:rFonts w:eastAsia="Times New Roman" w:cs="Times New Roman"/>
                <w:b/>
                <w:bCs/>
                <w:color w:val="000000"/>
                <w:sz w:val="16"/>
                <w:szCs w:val="16"/>
                <w:lang w:val="en-GB" w:eastAsia="en-GB"/>
              </w:rPr>
            </w:pPr>
            <w:r w:rsidRPr="00D94D3B">
              <w:rPr>
                <w:rFonts w:eastAsia="Times New Roman" w:cs="Times New Roman"/>
                <w:b/>
                <w:bCs/>
                <w:color w:val="000000"/>
                <w:sz w:val="16"/>
                <w:szCs w:val="16"/>
                <w:lang w:val="en-GB" w:eastAsia="en-GB"/>
              </w:rPr>
              <w:t xml:space="preserve">         5,500 </w:t>
            </w:r>
          </w:p>
        </w:tc>
      </w:tr>
    </w:tbl>
    <w:p w14:paraId="100F232F" w14:textId="77777777" w:rsidR="00CA6653" w:rsidRPr="00DC47DB" w:rsidRDefault="00CA6653" w:rsidP="00A31A9E">
      <w:pPr>
        <w:pStyle w:val="Heading1"/>
      </w:pPr>
      <w:bookmarkStart w:id="29" w:name="_Toc75122782"/>
      <w:r w:rsidRPr="00DC47DB">
        <w:t>Note 14 - Cash and Cash Equivalents</w:t>
      </w:r>
      <w:bookmarkEnd w:id="29"/>
      <w:r w:rsidRPr="00DC47DB">
        <w:t xml:space="preserve"> </w:t>
      </w:r>
    </w:p>
    <w:p w14:paraId="2FC5880F" w14:textId="77777777" w:rsidR="00CA6653" w:rsidRPr="00DC47DB" w:rsidRDefault="00CA6653" w:rsidP="00CA6653">
      <w:pPr>
        <w:pStyle w:val="Normal0"/>
        <w:spacing w:after="160" w:line="259" w:lineRule="auto"/>
        <w:rPr>
          <w:rFonts w:ascii="Verdana" w:hAnsi="Verdana"/>
          <w:sz w:val="22"/>
          <w:szCs w:val="22"/>
          <w:lang w:val="en-GB"/>
        </w:rPr>
      </w:pPr>
      <w:r w:rsidRPr="00DC47DB">
        <w:rPr>
          <w:rFonts w:ascii="Verdana" w:hAnsi="Verdana"/>
          <w:sz w:val="22"/>
          <w:szCs w:val="22"/>
          <w:lang w:val="en-GB"/>
        </w:rPr>
        <w:t xml:space="preserve">The balance of Cash and Cash Equivalents is made up of the following elements: </w:t>
      </w:r>
    </w:p>
    <w:tbl>
      <w:tblPr>
        <w:tblW w:w="6681" w:type="dxa"/>
        <w:tblInd w:w="3795" w:type="dxa"/>
        <w:tblLook w:val="04A0" w:firstRow="1" w:lastRow="0" w:firstColumn="1" w:lastColumn="0" w:noHBand="0" w:noVBand="1"/>
      </w:tblPr>
      <w:tblGrid>
        <w:gridCol w:w="1554"/>
        <w:gridCol w:w="222"/>
        <w:gridCol w:w="3347"/>
        <w:gridCol w:w="1558"/>
      </w:tblGrid>
      <w:tr w:rsidR="00DC47DB" w:rsidRPr="00DC47DB" w14:paraId="2700C24E" w14:textId="77777777" w:rsidTr="00DC47DB">
        <w:trPr>
          <w:trHeight w:val="420"/>
        </w:trPr>
        <w:tc>
          <w:tcPr>
            <w:tcW w:w="1554" w:type="dxa"/>
            <w:tcBorders>
              <w:top w:val="nil"/>
              <w:left w:val="nil"/>
              <w:bottom w:val="nil"/>
              <w:right w:val="nil"/>
            </w:tcBorders>
            <w:shd w:val="clear" w:color="auto" w:fill="auto"/>
            <w:vAlign w:val="center"/>
            <w:hideMark/>
          </w:tcPr>
          <w:p w14:paraId="480173F3" w14:textId="77777777" w:rsidR="00DC47DB" w:rsidRPr="00DC47DB" w:rsidRDefault="00DC47DB" w:rsidP="00DC47DB">
            <w:pPr>
              <w:jc w:val="center"/>
              <w:rPr>
                <w:rFonts w:eastAsia="Times New Roman" w:cs="Calibri"/>
                <w:b/>
                <w:bCs/>
                <w:color w:val="000000"/>
                <w:sz w:val="16"/>
                <w:szCs w:val="16"/>
                <w:lang w:val="en-GB" w:eastAsia="en-GB"/>
              </w:rPr>
            </w:pPr>
            <w:r w:rsidRPr="00DC47DB">
              <w:rPr>
                <w:rFonts w:eastAsia="Times New Roman" w:cs="Calibri"/>
                <w:b/>
                <w:bCs/>
                <w:color w:val="000000"/>
                <w:sz w:val="16"/>
                <w:szCs w:val="16"/>
                <w:lang w:val="en-GB" w:eastAsia="en-GB"/>
              </w:rPr>
              <w:t>31 Mar 2020</w:t>
            </w:r>
          </w:p>
        </w:tc>
        <w:tc>
          <w:tcPr>
            <w:tcW w:w="222" w:type="dxa"/>
            <w:tcBorders>
              <w:top w:val="nil"/>
              <w:left w:val="nil"/>
              <w:bottom w:val="nil"/>
              <w:right w:val="nil"/>
            </w:tcBorders>
            <w:shd w:val="clear" w:color="auto" w:fill="auto"/>
            <w:vAlign w:val="center"/>
            <w:hideMark/>
          </w:tcPr>
          <w:p w14:paraId="7ACA1C92" w14:textId="77777777" w:rsidR="00DC47DB" w:rsidRPr="00DC47DB" w:rsidRDefault="00DC47DB" w:rsidP="00DC47DB">
            <w:pPr>
              <w:jc w:val="center"/>
              <w:rPr>
                <w:rFonts w:eastAsia="Times New Roman" w:cs="Calibri"/>
                <w:b/>
                <w:bCs/>
                <w:color w:val="000000"/>
                <w:sz w:val="2"/>
                <w:szCs w:val="2"/>
                <w:lang w:val="en-GB" w:eastAsia="en-GB"/>
              </w:rPr>
            </w:pPr>
            <w:r w:rsidRPr="00DC47DB">
              <w:rPr>
                <w:rFonts w:eastAsia="Times New Roman" w:cs="Calibri"/>
                <w:b/>
                <w:bCs/>
                <w:color w:val="000000"/>
                <w:sz w:val="2"/>
                <w:szCs w:val="2"/>
                <w:lang w:val="en-GB" w:eastAsia="en-GB"/>
              </w:rPr>
              <w:t xml:space="preserve"> </w:t>
            </w:r>
          </w:p>
        </w:tc>
        <w:tc>
          <w:tcPr>
            <w:tcW w:w="3347" w:type="dxa"/>
            <w:tcBorders>
              <w:top w:val="nil"/>
              <w:left w:val="nil"/>
              <w:bottom w:val="nil"/>
              <w:right w:val="nil"/>
            </w:tcBorders>
            <w:shd w:val="clear" w:color="auto" w:fill="auto"/>
            <w:vAlign w:val="center"/>
            <w:hideMark/>
          </w:tcPr>
          <w:p w14:paraId="36B71170" w14:textId="77777777" w:rsidR="00DC47DB" w:rsidRPr="00DC47DB" w:rsidRDefault="00DC47DB" w:rsidP="00DC47DB">
            <w:pPr>
              <w:jc w:val="center"/>
              <w:rPr>
                <w:rFonts w:eastAsia="Times New Roman" w:cs="Calibri"/>
                <w:b/>
                <w:bCs/>
                <w:color w:val="000000"/>
                <w:sz w:val="2"/>
                <w:szCs w:val="2"/>
                <w:lang w:val="en-GB" w:eastAsia="en-GB"/>
              </w:rPr>
            </w:pPr>
            <w:r w:rsidRPr="00DC47DB">
              <w:rPr>
                <w:rFonts w:eastAsia="Times New Roman" w:cs="Calibri"/>
                <w:b/>
                <w:bCs/>
                <w:color w:val="000000"/>
                <w:sz w:val="2"/>
                <w:szCs w:val="2"/>
                <w:lang w:val="en-GB" w:eastAsia="en-GB"/>
              </w:rPr>
              <w:t xml:space="preserve"> </w:t>
            </w:r>
          </w:p>
        </w:tc>
        <w:tc>
          <w:tcPr>
            <w:tcW w:w="1558" w:type="dxa"/>
            <w:tcBorders>
              <w:top w:val="nil"/>
              <w:left w:val="nil"/>
              <w:bottom w:val="nil"/>
              <w:right w:val="nil"/>
            </w:tcBorders>
            <w:shd w:val="clear" w:color="auto" w:fill="auto"/>
            <w:vAlign w:val="center"/>
            <w:hideMark/>
          </w:tcPr>
          <w:p w14:paraId="2824CE08" w14:textId="77777777" w:rsidR="00DC47DB" w:rsidRPr="00DC47DB" w:rsidRDefault="00DC47DB" w:rsidP="00DC47DB">
            <w:pPr>
              <w:jc w:val="center"/>
              <w:rPr>
                <w:rFonts w:eastAsia="Times New Roman" w:cs="Calibri"/>
                <w:b/>
                <w:bCs/>
                <w:color w:val="000000"/>
                <w:sz w:val="16"/>
                <w:szCs w:val="16"/>
                <w:lang w:val="en-GB" w:eastAsia="en-GB"/>
              </w:rPr>
            </w:pPr>
            <w:r w:rsidRPr="00DC47DB">
              <w:rPr>
                <w:rFonts w:eastAsia="Times New Roman" w:cs="Calibri"/>
                <w:b/>
                <w:bCs/>
                <w:color w:val="000000"/>
                <w:sz w:val="16"/>
                <w:szCs w:val="16"/>
                <w:lang w:val="en-GB" w:eastAsia="en-GB"/>
              </w:rPr>
              <w:t>31 Mar 2021</w:t>
            </w:r>
          </w:p>
        </w:tc>
      </w:tr>
      <w:tr w:rsidR="00DC47DB" w:rsidRPr="00DC47DB" w14:paraId="478FD936" w14:textId="77777777" w:rsidTr="00DC47DB">
        <w:trPr>
          <w:trHeight w:val="315"/>
        </w:trPr>
        <w:tc>
          <w:tcPr>
            <w:tcW w:w="1554" w:type="dxa"/>
            <w:tcBorders>
              <w:top w:val="nil"/>
              <w:left w:val="nil"/>
              <w:bottom w:val="single" w:sz="8" w:space="0" w:color="000000"/>
              <w:right w:val="nil"/>
            </w:tcBorders>
            <w:shd w:val="clear" w:color="auto" w:fill="auto"/>
            <w:vAlign w:val="center"/>
            <w:hideMark/>
          </w:tcPr>
          <w:p w14:paraId="632AE30E" w14:textId="77777777" w:rsidR="00DC47DB" w:rsidRPr="00DC47DB" w:rsidRDefault="00DC47DB" w:rsidP="00DC47DB">
            <w:pPr>
              <w:jc w:val="right"/>
              <w:rPr>
                <w:rFonts w:eastAsia="Times New Roman" w:cs="Calibri"/>
                <w:b/>
                <w:bCs/>
                <w:color w:val="000000"/>
                <w:sz w:val="16"/>
                <w:szCs w:val="16"/>
                <w:lang w:val="en-GB" w:eastAsia="en-GB"/>
              </w:rPr>
            </w:pPr>
            <w:r w:rsidRPr="00DC47DB">
              <w:rPr>
                <w:rFonts w:eastAsia="Times New Roman" w:cs="Calibri"/>
                <w:b/>
                <w:bCs/>
                <w:color w:val="000000"/>
                <w:sz w:val="16"/>
                <w:szCs w:val="16"/>
                <w:lang w:val="en-GB" w:eastAsia="en-GB"/>
              </w:rPr>
              <w:t>£000</w:t>
            </w:r>
          </w:p>
        </w:tc>
        <w:tc>
          <w:tcPr>
            <w:tcW w:w="222" w:type="dxa"/>
            <w:tcBorders>
              <w:top w:val="nil"/>
              <w:left w:val="nil"/>
              <w:bottom w:val="single" w:sz="8" w:space="0" w:color="000000"/>
              <w:right w:val="nil"/>
            </w:tcBorders>
            <w:shd w:val="clear" w:color="auto" w:fill="auto"/>
            <w:vAlign w:val="center"/>
            <w:hideMark/>
          </w:tcPr>
          <w:p w14:paraId="7F557D2E" w14:textId="77777777" w:rsidR="00DC47DB" w:rsidRPr="00DC47DB" w:rsidRDefault="00DC47DB" w:rsidP="00DC47DB">
            <w:pPr>
              <w:jc w:val="right"/>
              <w:rPr>
                <w:rFonts w:eastAsia="Times New Roman" w:cs="Calibri"/>
                <w:b/>
                <w:bCs/>
                <w:color w:val="000000"/>
                <w:sz w:val="2"/>
                <w:szCs w:val="2"/>
                <w:lang w:val="en-GB" w:eastAsia="en-GB"/>
              </w:rPr>
            </w:pPr>
            <w:r w:rsidRPr="00DC47DB">
              <w:rPr>
                <w:rFonts w:eastAsia="Times New Roman" w:cs="Calibri"/>
                <w:b/>
                <w:bCs/>
                <w:color w:val="000000"/>
                <w:sz w:val="2"/>
                <w:szCs w:val="2"/>
                <w:lang w:val="en-GB" w:eastAsia="en-GB"/>
              </w:rPr>
              <w:t xml:space="preserve"> </w:t>
            </w:r>
          </w:p>
        </w:tc>
        <w:tc>
          <w:tcPr>
            <w:tcW w:w="3347" w:type="dxa"/>
            <w:tcBorders>
              <w:top w:val="nil"/>
              <w:left w:val="nil"/>
              <w:bottom w:val="single" w:sz="8" w:space="0" w:color="000000"/>
              <w:right w:val="nil"/>
            </w:tcBorders>
            <w:shd w:val="clear" w:color="auto" w:fill="auto"/>
            <w:vAlign w:val="center"/>
            <w:hideMark/>
          </w:tcPr>
          <w:p w14:paraId="0DB03989" w14:textId="77777777" w:rsidR="00DC47DB" w:rsidRPr="00DC47DB" w:rsidRDefault="00DC47DB" w:rsidP="00DC47DB">
            <w:pPr>
              <w:jc w:val="right"/>
              <w:rPr>
                <w:rFonts w:eastAsia="Times New Roman" w:cs="Calibri"/>
                <w:b/>
                <w:bCs/>
                <w:color w:val="000000"/>
                <w:sz w:val="2"/>
                <w:szCs w:val="2"/>
                <w:lang w:val="en-GB" w:eastAsia="en-GB"/>
              </w:rPr>
            </w:pPr>
            <w:r w:rsidRPr="00DC47DB">
              <w:rPr>
                <w:rFonts w:eastAsia="Times New Roman" w:cs="Calibri"/>
                <w:b/>
                <w:bCs/>
                <w:color w:val="000000"/>
                <w:sz w:val="2"/>
                <w:szCs w:val="2"/>
                <w:lang w:val="en-GB" w:eastAsia="en-GB"/>
              </w:rPr>
              <w:t xml:space="preserve"> </w:t>
            </w:r>
          </w:p>
        </w:tc>
        <w:tc>
          <w:tcPr>
            <w:tcW w:w="1558" w:type="dxa"/>
            <w:tcBorders>
              <w:top w:val="nil"/>
              <w:left w:val="nil"/>
              <w:bottom w:val="single" w:sz="8" w:space="0" w:color="000000"/>
              <w:right w:val="nil"/>
            </w:tcBorders>
            <w:shd w:val="clear" w:color="auto" w:fill="auto"/>
            <w:vAlign w:val="center"/>
            <w:hideMark/>
          </w:tcPr>
          <w:p w14:paraId="3C9BFEEF" w14:textId="77777777" w:rsidR="00DC47DB" w:rsidRPr="00DC47DB" w:rsidRDefault="00DC47DB" w:rsidP="00DC47DB">
            <w:pPr>
              <w:jc w:val="right"/>
              <w:rPr>
                <w:rFonts w:eastAsia="Times New Roman" w:cs="Calibri"/>
                <w:b/>
                <w:bCs/>
                <w:color w:val="000000"/>
                <w:sz w:val="16"/>
                <w:szCs w:val="16"/>
                <w:lang w:val="en-GB" w:eastAsia="en-GB"/>
              </w:rPr>
            </w:pPr>
            <w:r w:rsidRPr="00DC47DB">
              <w:rPr>
                <w:rFonts w:eastAsia="Times New Roman" w:cs="Calibri"/>
                <w:b/>
                <w:bCs/>
                <w:color w:val="000000"/>
                <w:sz w:val="16"/>
                <w:szCs w:val="16"/>
                <w:lang w:val="en-GB" w:eastAsia="en-GB"/>
              </w:rPr>
              <w:t>£000</w:t>
            </w:r>
          </w:p>
        </w:tc>
      </w:tr>
      <w:tr w:rsidR="00DC47DB" w:rsidRPr="00DC47DB" w14:paraId="0ADECCD3" w14:textId="77777777" w:rsidTr="00DC47DB">
        <w:trPr>
          <w:trHeight w:val="300"/>
        </w:trPr>
        <w:tc>
          <w:tcPr>
            <w:tcW w:w="1554" w:type="dxa"/>
            <w:tcBorders>
              <w:top w:val="nil"/>
              <w:left w:val="nil"/>
              <w:bottom w:val="nil"/>
              <w:right w:val="nil"/>
            </w:tcBorders>
            <w:shd w:val="clear" w:color="auto" w:fill="auto"/>
            <w:vAlign w:val="center"/>
            <w:hideMark/>
          </w:tcPr>
          <w:p w14:paraId="748CC3E8" w14:textId="77777777" w:rsidR="00DC47DB" w:rsidRPr="00DC47DB" w:rsidRDefault="00DC47DB" w:rsidP="00DC47DB">
            <w:pPr>
              <w:jc w:val="right"/>
              <w:rPr>
                <w:rFonts w:eastAsia="Times New Roman" w:cs="Calibri"/>
                <w:color w:val="000000"/>
                <w:sz w:val="16"/>
                <w:szCs w:val="16"/>
                <w:lang w:val="en-GB" w:eastAsia="en-GB"/>
              </w:rPr>
            </w:pPr>
            <w:r w:rsidRPr="00DC47DB">
              <w:rPr>
                <w:rFonts w:eastAsia="Times New Roman" w:cs="Calibri"/>
                <w:color w:val="000000"/>
                <w:sz w:val="16"/>
                <w:szCs w:val="16"/>
                <w:lang w:val="en-GB" w:eastAsia="en-GB"/>
              </w:rPr>
              <w:t>(5,023)</w:t>
            </w:r>
          </w:p>
        </w:tc>
        <w:tc>
          <w:tcPr>
            <w:tcW w:w="222" w:type="dxa"/>
            <w:tcBorders>
              <w:top w:val="nil"/>
              <w:left w:val="nil"/>
              <w:bottom w:val="nil"/>
              <w:right w:val="nil"/>
            </w:tcBorders>
            <w:shd w:val="clear" w:color="auto" w:fill="auto"/>
            <w:vAlign w:val="center"/>
            <w:hideMark/>
          </w:tcPr>
          <w:p w14:paraId="57448C92" w14:textId="77777777" w:rsidR="00DC47DB" w:rsidRPr="00DC47DB" w:rsidRDefault="00DC47DB" w:rsidP="00DC47DB">
            <w:pPr>
              <w:jc w:val="center"/>
              <w:rPr>
                <w:rFonts w:eastAsia="Times New Roman" w:cs="Calibri"/>
                <w:color w:val="000000"/>
                <w:sz w:val="2"/>
                <w:szCs w:val="2"/>
                <w:lang w:val="en-GB" w:eastAsia="en-GB"/>
              </w:rPr>
            </w:pPr>
            <w:r w:rsidRPr="00DC47DB">
              <w:rPr>
                <w:rFonts w:eastAsia="Times New Roman" w:cs="Calibri"/>
                <w:color w:val="000000"/>
                <w:sz w:val="2"/>
                <w:szCs w:val="2"/>
                <w:lang w:val="en-GB" w:eastAsia="en-GB"/>
              </w:rPr>
              <w:t xml:space="preserve"> </w:t>
            </w:r>
          </w:p>
        </w:tc>
        <w:tc>
          <w:tcPr>
            <w:tcW w:w="3347" w:type="dxa"/>
            <w:tcBorders>
              <w:top w:val="nil"/>
              <w:left w:val="nil"/>
              <w:bottom w:val="nil"/>
              <w:right w:val="nil"/>
            </w:tcBorders>
            <w:shd w:val="clear" w:color="auto" w:fill="auto"/>
            <w:vAlign w:val="center"/>
            <w:hideMark/>
          </w:tcPr>
          <w:p w14:paraId="7BD1AF74" w14:textId="77777777" w:rsidR="00DC47DB" w:rsidRPr="00DC47DB" w:rsidRDefault="00DC47DB" w:rsidP="00DC47DB">
            <w:pPr>
              <w:rPr>
                <w:rFonts w:eastAsia="Times New Roman" w:cs="Calibri"/>
                <w:color w:val="000000"/>
                <w:sz w:val="16"/>
                <w:szCs w:val="16"/>
                <w:lang w:val="en-GB" w:eastAsia="en-GB"/>
              </w:rPr>
            </w:pPr>
            <w:r w:rsidRPr="00DC47DB">
              <w:rPr>
                <w:rFonts w:eastAsia="Times New Roman" w:cs="Calibri"/>
                <w:color w:val="000000"/>
                <w:sz w:val="16"/>
                <w:szCs w:val="16"/>
                <w:lang w:val="en-GB" w:eastAsia="en-GB"/>
              </w:rPr>
              <w:t>Cash and Bank balances</w:t>
            </w:r>
          </w:p>
        </w:tc>
        <w:tc>
          <w:tcPr>
            <w:tcW w:w="1558" w:type="dxa"/>
            <w:tcBorders>
              <w:top w:val="nil"/>
              <w:left w:val="nil"/>
              <w:bottom w:val="nil"/>
              <w:right w:val="nil"/>
            </w:tcBorders>
            <w:shd w:val="clear" w:color="auto" w:fill="auto"/>
            <w:vAlign w:val="center"/>
            <w:hideMark/>
          </w:tcPr>
          <w:p w14:paraId="3644DCFE" w14:textId="77777777" w:rsidR="00DC47DB" w:rsidRPr="00DC47DB" w:rsidRDefault="00DC47DB" w:rsidP="00DC47DB">
            <w:pPr>
              <w:jc w:val="right"/>
              <w:rPr>
                <w:rFonts w:eastAsia="Times New Roman" w:cs="Calibri"/>
                <w:color w:val="000000"/>
                <w:sz w:val="16"/>
                <w:szCs w:val="16"/>
                <w:lang w:val="en-GB" w:eastAsia="en-GB"/>
              </w:rPr>
            </w:pPr>
            <w:r w:rsidRPr="00DC47DB">
              <w:rPr>
                <w:rFonts w:eastAsia="Times New Roman" w:cs="Calibri"/>
                <w:color w:val="000000"/>
                <w:sz w:val="16"/>
                <w:szCs w:val="16"/>
                <w:lang w:val="en-GB" w:eastAsia="en-GB"/>
              </w:rPr>
              <w:t xml:space="preserve">1,038 </w:t>
            </w:r>
          </w:p>
        </w:tc>
      </w:tr>
      <w:tr w:rsidR="00DC47DB" w:rsidRPr="00DC47DB" w14:paraId="66131174" w14:textId="77777777" w:rsidTr="00DC47DB">
        <w:trPr>
          <w:trHeight w:val="315"/>
        </w:trPr>
        <w:tc>
          <w:tcPr>
            <w:tcW w:w="1554" w:type="dxa"/>
            <w:tcBorders>
              <w:top w:val="nil"/>
              <w:left w:val="nil"/>
              <w:bottom w:val="nil"/>
              <w:right w:val="nil"/>
            </w:tcBorders>
            <w:shd w:val="clear" w:color="auto" w:fill="auto"/>
            <w:vAlign w:val="center"/>
            <w:hideMark/>
          </w:tcPr>
          <w:p w14:paraId="2064783F" w14:textId="77777777" w:rsidR="00DC47DB" w:rsidRPr="00DC47DB" w:rsidRDefault="00DC47DB" w:rsidP="00DC47DB">
            <w:pPr>
              <w:jc w:val="right"/>
              <w:rPr>
                <w:rFonts w:eastAsia="Times New Roman" w:cs="Calibri"/>
                <w:color w:val="000000"/>
                <w:sz w:val="16"/>
                <w:szCs w:val="16"/>
                <w:lang w:val="en-GB" w:eastAsia="en-GB"/>
              </w:rPr>
            </w:pPr>
            <w:r w:rsidRPr="00DC47DB">
              <w:rPr>
                <w:rFonts w:eastAsia="Times New Roman" w:cs="Calibri"/>
                <w:color w:val="000000"/>
                <w:sz w:val="16"/>
                <w:szCs w:val="16"/>
                <w:lang w:val="en-GB" w:eastAsia="en-GB"/>
              </w:rPr>
              <w:t>17,431</w:t>
            </w:r>
          </w:p>
        </w:tc>
        <w:tc>
          <w:tcPr>
            <w:tcW w:w="222" w:type="dxa"/>
            <w:tcBorders>
              <w:top w:val="nil"/>
              <w:left w:val="nil"/>
              <w:bottom w:val="nil"/>
              <w:right w:val="nil"/>
            </w:tcBorders>
            <w:shd w:val="clear" w:color="auto" w:fill="auto"/>
            <w:vAlign w:val="center"/>
            <w:hideMark/>
          </w:tcPr>
          <w:p w14:paraId="4965C833" w14:textId="77777777" w:rsidR="00DC47DB" w:rsidRPr="00DC47DB" w:rsidRDefault="00DC47DB" w:rsidP="00DC47DB">
            <w:pPr>
              <w:jc w:val="center"/>
              <w:rPr>
                <w:rFonts w:eastAsia="Times New Roman" w:cs="Calibri"/>
                <w:color w:val="000000"/>
                <w:sz w:val="2"/>
                <w:szCs w:val="2"/>
                <w:lang w:val="en-GB" w:eastAsia="en-GB"/>
              </w:rPr>
            </w:pPr>
            <w:r w:rsidRPr="00DC47DB">
              <w:rPr>
                <w:rFonts w:eastAsia="Times New Roman" w:cs="Calibri"/>
                <w:color w:val="000000"/>
                <w:sz w:val="2"/>
                <w:szCs w:val="2"/>
                <w:lang w:val="en-GB" w:eastAsia="en-GB"/>
              </w:rPr>
              <w:t xml:space="preserve"> </w:t>
            </w:r>
          </w:p>
        </w:tc>
        <w:tc>
          <w:tcPr>
            <w:tcW w:w="3347" w:type="dxa"/>
            <w:tcBorders>
              <w:top w:val="nil"/>
              <w:left w:val="nil"/>
              <w:bottom w:val="nil"/>
              <w:right w:val="nil"/>
            </w:tcBorders>
            <w:shd w:val="clear" w:color="auto" w:fill="auto"/>
            <w:vAlign w:val="center"/>
            <w:hideMark/>
          </w:tcPr>
          <w:p w14:paraId="60BE3906" w14:textId="77777777" w:rsidR="00DC47DB" w:rsidRPr="00DC47DB" w:rsidRDefault="00DC47DB" w:rsidP="00DC47DB">
            <w:pPr>
              <w:rPr>
                <w:rFonts w:eastAsia="Times New Roman" w:cs="Calibri"/>
                <w:color w:val="000000"/>
                <w:sz w:val="16"/>
                <w:szCs w:val="16"/>
                <w:lang w:val="en-GB" w:eastAsia="en-GB"/>
              </w:rPr>
            </w:pPr>
            <w:r w:rsidRPr="00DC47DB">
              <w:rPr>
                <w:rFonts w:eastAsia="Times New Roman" w:cs="Calibri"/>
                <w:color w:val="000000"/>
                <w:sz w:val="16"/>
                <w:szCs w:val="16"/>
                <w:lang w:val="en-GB" w:eastAsia="en-GB"/>
              </w:rPr>
              <w:t xml:space="preserve">Short Term Investments </w:t>
            </w:r>
          </w:p>
        </w:tc>
        <w:tc>
          <w:tcPr>
            <w:tcW w:w="1558" w:type="dxa"/>
            <w:tcBorders>
              <w:top w:val="nil"/>
              <w:left w:val="nil"/>
              <w:bottom w:val="nil"/>
              <w:right w:val="nil"/>
            </w:tcBorders>
            <w:shd w:val="clear" w:color="auto" w:fill="auto"/>
            <w:vAlign w:val="center"/>
            <w:hideMark/>
          </w:tcPr>
          <w:p w14:paraId="7C9E759D" w14:textId="77777777" w:rsidR="00DC47DB" w:rsidRPr="00DC47DB" w:rsidRDefault="00DC47DB" w:rsidP="00DC47DB">
            <w:pPr>
              <w:jc w:val="right"/>
              <w:rPr>
                <w:rFonts w:eastAsia="Times New Roman" w:cs="Calibri"/>
                <w:color w:val="000000"/>
                <w:sz w:val="16"/>
                <w:szCs w:val="16"/>
                <w:lang w:val="en-GB" w:eastAsia="en-GB"/>
              </w:rPr>
            </w:pPr>
            <w:r w:rsidRPr="00DC47DB">
              <w:rPr>
                <w:rFonts w:eastAsia="Times New Roman" w:cs="Calibri"/>
                <w:color w:val="000000"/>
                <w:sz w:val="16"/>
                <w:szCs w:val="16"/>
                <w:lang w:val="en-GB" w:eastAsia="en-GB"/>
              </w:rPr>
              <w:t xml:space="preserve">11,642 </w:t>
            </w:r>
          </w:p>
        </w:tc>
      </w:tr>
      <w:tr w:rsidR="00DC47DB" w:rsidRPr="00DC47DB" w14:paraId="43E135B5" w14:textId="77777777" w:rsidTr="00DC47DB">
        <w:trPr>
          <w:trHeight w:val="315"/>
        </w:trPr>
        <w:tc>
          <w:tcPr>
            <w:tcW w:w="1554" w:type="dxa"/>
            <w:tcBorders>
              <w:top w:val="single" w:sz="8" w:space="0" w:color="000000"/>
              <w:left w:val="nil"/>
              <w:bottom w:val="single" w:sz="12" w:space="0" w:color="000000"/>
              <w:right w:val="nil"/>
            </w:tcBorders>
            <w:shd w:val="clear" w:color="auto" w:fill="auto"/>
            <w:vAlign w:val="center"/>
            <w:hideMark/>
          </w:tcPr>
          <w:p w14:paraId="04916E14" w14:textId="77777777" w:rsidR="00DC47DB" w:rsidRPr="00DC47DB" w:rsidRDefault="00DC47DB" w:rsidP="00DC47DB">
            <w:pPr>
              <w:jc w:val="right"/>
              <w:rPr>
                <w:rFonts w:eastAsia="Times New Roman" w:cs="Calibri"/>
                <w:b/>
                <w:bCs/>
                <w:color w:val="000000"/>
                <w:sz w:val="16"/>
                <w:szCs w:val="16"/>
                <w:lang w:val="en-GB" w:eastAsia="en-GB"/>
              </w:rPr>
            </w:pPr>
            <w:r w:rsidRPr="00DC47DB">
              <w:rPr>
                <w:rFonts w:eastAsia="Times New Roman" w:cs="Calibri"/>
                <w:b/>
                <w:bCs/>
                <w:color w:val="000000"/>
                <w:sz w:val="16"/>
                <w:szCs w:val="16"/>
                <w:lang w:val="en-GB" w:eastAsia="en-GB"/>
              </w:rPr>
              <w:t>12,408</w:t>
            </w:r>
          </w:p>
        </w:tc>
        <w:tc>
          <w:tcPr>
            <w:tcW w:w="222" w:type="dxa"/>
            <w:tcBorders>
              <w:top w:val="single" w:sz="8" w:space="0" w:color="000000"/>
              <w:left w:val="nil"/>
              <w:bottom w:val="single" w:sz="12" w:space="0" w:color="000000"/>
              <w:right w:val="nil"/>
            </w:tcBorders>
            <w:shd w:val="clear" w:color="auto" w:fill="auto"/>
            <w:vAlign w:val="center"/>
            <w:hideMark/>
          </w:tcPr>
          <w:p w14:paraId="5A38AE0F" w14:textId="77777777" w:rsidR="00DC47DB" w:rsidRPr="00DC47DB" w:rsidRDefault="00DC47DB" w:rsidP="00DC47DB">
            <w:pPr>
              <w:jc w:val="center"/>
              <w:rPr>
                <w:rFonts w:eastAsia="Times New Roman" w:cs="Calibri"/>
                <w:b/>
                <w:bCs/>
                <w:color w:val="000000"/>
                <w:sz w:val="2"/>
                <w:szCs w:val="2"/>
                <w:lang w:val="en-GB" w:eastAsia="en-GB"/>
              </w:rPr>
            </w:pPr>
            <w:r w:rsidRPr="00DC47DB">
              <w:rPr>
                <w:rFonts w:eastAsia="Times New Roman" w:cs="Calibri"/>
                <w:b/>
                <w:bCs/>
                <w:color w:val="000000"/>
                <w:sz w:val="2"/>
                <w:szCs w:val="2"/>
                <w:lang w:val="en-GB" w:eastAsia="en-GB"/>
              </w:rPr>
              <w:t xml:space="preserve"> </w:t>
            </w:r>
          </w:p>
        </w:tc>
        <w:tc>
          <w:tcPr>
            <w:tcW w:w="3347" w:type="dxa"/>
            <w:tcBorders>
              <w:top w:val="single" w:sz="8" w:space="0" w:color="000000"/>
              <w:left w:val="nil"/>
              <w:bottom w:val="single" w:sz="12" w:space="0" w:color="000000"/>
              <w:right w:val="nil"/>
            </w:tcBorders>
            <w:shd w:val="clear" w:color="auto" w:fill="auto"/>
            <w:vAlign w:val="center"/>
            <w:hideMark/>
          </w:tcPr>
          <w:p w14:paraId="4B7A6983" w14:textId="77777777" w:rsidR="00DC47DB" w:rsidRPr="00DC47DB" w:rsidRDefault="00DC47DB" w:rsidP="00DC47DB">
            <w:pPr>
              <w:rPr>
                <w:rFonts w:eastAsia="Times New Roman" w:cs="Calibri"/>
                <w:b/>
                <w:bCs/>
                <w:color w:val="000000"/>
                <w:sz w:val="16"/>
                <w:szCs w:val="16"/>
                <w:lang w:val="en-GB" w:eastAsia="en-GB"/>
              </w:rPr>
            </w:pPr>
            <w:r w:rsidRPr="00DC47DB">
              <w:rPr>
                <w:rFonts w:eastAsia="Times New Roman" w:cs="Calibri"/>
                <w:b/>
                <w:bCs/>
                <w:color w:val="000000"/>
                <w:sz w:val="16"/>
                <w:szCs w:val="16"/>
                <w:lang w:val="en-GB" w:eastAsia="en-GB"/>
              </w:rPr>
              <w:t>Total Cash and Cash Equivalents</w:t>
            </w:r>
          </w:p>
        </w:tc>
        <w:tc>
          <w:tcPr>
            <w:tcW w:w="1558" w:type="dxa"/>
            <w:tcBorders>
              <w:top w:val="single" w:sz="8" w:space="0" w:color="000000"/>
              <w:left w:val="nil"/>
              <w:bottom w:val="single" w:sz="12" w:space="0" w:color="000000"/>
              <w:right w:val="nil"/>
            </w:tcBorders>
            <w:shd w:val="clear" w:color="auto" w:fill="auto"/>
            <w:vAlign w:val="center"/>
            <w:hideMark/>
          </w:tcPr>
          <w:p w14:paraId="322EAE4B" w14:textId="77777777" w:rsidR="00DC47DB" w:rsidRPr="00DC47DB" w:rsidRDefault="00DC47DB" w:rsidP="00DC47DB">
            <w:pPr>
              <w:jc w:val="right"/>
              <w:rPr>
                <w:rFonts w:eastAsia="Times New Roman" w:cs="Calibri"/>
                <w:b/>
                <w:bCs/>
                <w:color w:val="000000"/>
                <w:sz w:val="16"/>
                <w:szCs w:val="16"/>
                <w:lang w:val="en-GB" w:eastAsia="en-GB"/>
              </w:rPr>
            </w:pPr>
            <w:r w:rsidRPr="00DC47DB">
              <w:rPr>
                <w:rFonts w:eastAsia="Times New Roman" w:cs="Calibri"/>
                <w:b/>
                <w:bCs/>
                <w:color w:val="000000"/>
                <w:sz w:val="16"/>
                <w:szCs w:val="16"/>
                <w:lang w:val="en-GB" w:eastAsia="en-GB"/>
              </w:rPr>
              <w:t xml:space="preserve">12,680 </w:t>
            </w:r>
          </w:p>
        </w:tc>
      </w:tr>
    </w:tbl>
    <w:p w14:paraId="31D63F04" w14:textId="77777777" w:rsidR="00CA6653" w:rsidRPr="00DC47DB" w:rsidRDefault="00CA6653">
      <w:pPr>
        <w:pStyle w:val="T1TableStyle"/>
        <w:rPr>
          <w:lang w:val="en-GB"/>
        </w:rPr>
      </w:pPr>
    </w:p>
    <w:p w14:paraId="033C4344" w14:textId="77777777" w:rsidR="00CA6653" w:rsidRPr="00DC47DB" w:rsidRDefault="00CA6653" w:rsidP="00CA3B69">
      <w:pPr>
        <w:pStyle w:val="Normal0"/>
        <w:spacing w:after="160" w:line="259" w:lineRule="auto"/>
        <w:jc w:val="both"/>
        <w:rPr>
          <w:rFonts w:ascii="Verdana" w:hAnsi="Verdana"/>
          <w:sz w:val="22"/>
          <w:szCs w:val="22"/>
          <w:lang w:val="en-GB"/>
        </w:rPr>
      </w:pPr>
      <w:r w:rsidRPr="00DC47DB">
        <w:rPr>
          <w:rFonts w:ascii="Verdana" w:hAnsi="Verdana"/>
          <w:sz w:val="22"/>
          <w:szCs w:val="22"/>
          <w:lang w:val="en-GB"/>
        </w:rPr>
        <w:t>The Group’s treasury management function is carried out in conjunction with Surrey County Council. Daily transfers of cash are made between the PCC and Surrey County Council in the form of loans.</w:t>
      </w:r>
    </w:p>
    <w:p w14:paraId="39ED2DC4" w14:textId="77777777" w:rsidR="009439C7" w:rsidRPr="003516A4" w:rsidRDefault="009439C7">
      <w:pPr>
        <w:rPr>
          <w:rFonts w:asciiTheme="majorHAnsi" w:eastAsiaTheme="majorEastAsia" w:hAnsiTheme="majorHAnsi" w:cstheme="majorBidi"/>
          <w:color w:val="2E74B5" w:themeColor="accent1" w:themeShade="BF"/>
          <w:sz w:val="32"/>
          <w:szCs w:val="32"/>
          <w:highlight w:val="yellow"/>
          <w:lang w:val="pt-BR"/>
        </w:rPr>
      </w:pPr>
    </w:p>
    <w:p w14:paraId="5B019C88" w14:textId="77777777" w:rsidR="00CA6653" w:rsidRPr="0050677A" w:rsidRDefault="00CA6653" w:rsidP="00A31A9E">
      <w:pPr>
        <w:pStyle w:val="Heading1"/>
      </w:pPr>
      <w:bookmarkStart w:id="30" w:name="_Toc75122783"/>
      <w:r w:rsidRPr="0050677A">
        <w:t>Note 15 - Assets Held for Sale</w:t>
      </w:r>
      <w:bookmarkEnd w:id="30"/>
    </w:p>
    <w:p w14:paraId="67DF0690" w14:textId="77777777" w:rsidR="008B5874" w:rsidRPr="0050677A" w:rsidRDefault="00351103" w:rsidP="00D91109">
      <w:pPr>
        <w:pStyle w:val="Normal0"/>
        <w:spacing w:after="160" w:line="259" w:lineRule="auto"/>
        <w:jc w:val="both"/>
        <w:rPr>
          <w:rFonts w:ascii="Verdana" w:eastAsia="Calibri" w:hAnsi="Verdana" w:cs="Arial"/>
          <w:sz w:val="22"/>
          <w:szCs w:val="22"/>
          <w:lang w:val="pt-BR"/>
        </w:rPr>
      </w:pPr>
      <w:r w:rsidRPr="0050677A">
        <w:rPr>
          <w:rFonts w:ascii="Verdana" w:eastAsia="Calibri" w:hAnsi="Verdana" w:cs="Arial"/>
          <w:sz w:val="22"/>
          <w:szCs w:val="22"/>
          <w:lang w:val="pt-BR"/>
        </w:rPr>
        <w:t>During the year, 2 properties (2 police houses</w:t>
      </w:r>
      <w:r w:rsidR="008B5874" w:rsidRPr="0050677A">
        <w:rPr>
          <w:rFonts w:ascii="Verdana" w:eastAsia="Calibri" w:hAnsi="Verdana" w:cs="Arial"/>
          <w:sz w:val="22"/>
          <w:szCs w:val="22"/>
          <w:lang w:val="pt-BR"/>
        </w:rPr>
        <w:t xml:space="preserve">) were </w:t>
      </w:r>
      <w:r w:rsidRPr="0050677A">
        <w:rPr>
          <w:rFonts w:ascii="Verdana" w:eastAsia="Calibri" w:hAnsi="Verdana" w:cs="Arial"/>
          <w:sz w:val="22"/>
          <w:szCs w:val="22"/>
          <w:lang w:val="pt-BR"/>
        </w:rPr>
        <w:t>sold within the asset held for sale and one plot of land was reclassified as investment property as the land was decided to be retained as an investment property. The following chart summarises the transactions that took placed</w:t>
      </w:r>
      <w:r w:rsidR="0050677A" w:rsidRPr="0050677A">
        <w:rPr>
          <w:rFonts w:ascii="Verdana" w:eastAsia="Calibri" w:hAnsi="Verdana" w:cs="Arial"/>
          <w:sz w:val="22"/>
          <w:szCs w:val="22"/>
          <w:lang w:val="pt-BR"/>
        </w:rPr>
        <w:t xml:space="preserve"> in 2020/21 and the chart shows the closing balance </w:t>
      </w:r>
      <w:r w:rsidR="008B5874" w:rsidRPr="0050677A">
        <w:rPr>
          <w:rFonts w:ascii="Verdana" w:eastAsia="Calibri" w:hAnsi="Verdana" w:cs="Arial"/>
          <w:sz w:val="22"/>
          <w:szCs w:val="22"/>
          <w:lang w:val="pt-BR"/>
        </w:rPr>
        <w:t xml:space="preserve"> as of 31 March 202</w:t>
      </w:r>
      <w:r w:rsidRPr="0050677A">
        <w:rPr>
          <w:rFonts w:ascii="Verdana" w:eastAsia="Calibri" w:hAnsi="Verdana" w:cs="Arial"/>
          <w:sz w:val="22"/>
          <w:szCs w:val="22"/>
          <w:lang w:val="pt-BR"/>
        </w:rPr>
        <w:t>1</w:t>
      </w:r>
      <w:r w:rsidR="008B5874" w:rsidRPr="0050677A">
        <w:rPr>
          <w:rFonts w:ascii="Verdana" w:eastAsia="Calibri" w:hAnsi="Verdana" w:cs="Arial"/>
          <w:sz w:val="22"/>
          <w:szCs w:val="22"/>
          <w:lang w:val="pt-BR"/>
        </w:rPr>
        <w:t xml:space="preserve">:   </w:t>
      </w:r>
    </w:p>
    <w:tbl>
      <w:tblPr>
        <w:tblW w:w="9072" w:type="dxa"/>
        <w:jc w:val="center"/>
        <w:tblLook w:val="04A0" w:firstRow="1" w:lastRow="0" w:firstColumn="1" w:lastColumn="0" w:noHBand="0" w:noVBand="1"/>
      </w:tblPr>
      <w:tblGrid>
        <w:gridCol w:w="2377"/>
        <w:gridCol w:w="4437"/>
        <w:gridCol w:w="2258"/>
      </w:tblGrid>
      <w:tr w:rsidR="00F83E32" w:rsidRPr="00F83E32" w14:paraId="3A71F40D" w14:textId="77777777" w:rsidTr="00994564">
        <w:trPr>
          <w:trHeight w:val="245"/>
          <w:jc w:val="center"/>
        </w:trPr>
        <w:tc>
          <w:tcPr>
            <w:tcW w:w="2377" w:type="dxa"/>
            <w:tcBorders>
              <w:top w:val="nil"/>
              <w:left w:val="nil"/>
              <w:bottom w:val="nil"/>
              <w:right w:val="nil"/>
            </w:tcBorders>
            <w:shd w:val="clear" w:color="auto" w:fill="auto"/>
            <w:noWrap/>
            <w:vAlign w:val="bottom"/>
            <w:hideMark/>
          </w:tcPr>
          <w:p w14:paraId="3F699DE8" w14:textId="77777777" w:rsidR="00F83E32" w:rsidRPr="00F83E32" w:rsidRDefault="00F83E32" w:rsidP="00F83E32">
            <w:pPr>
              <w:jc w:val="right"/>
              <w:rPr>
                <w:rFonts w:eastAsia="Times New Roman" w:cs="Arial"/>
                <w:b/>
                <w:bCs/>
                <w:sz w:val="16"/>
                <w:szCs w:val="16"/>
                <w:lang w:val="en-GB" w:eastAsia="en-GB"/>
              </w:rPr>
            </w:pPr>
            <w:r w:rsidRPr="00F83E32">
              <w:rPr>
                <w:rFonts w:eastAsia="Times New Roman" w:cs="Arial"/>
                <w:b/>
                <w:bCs/>
                <w:sz w:val="16"/>
                <w:szCs w:val="16"/>
                <w:lang w:val="en-GB" w:eastAsia="en-GB"/>
              </w:rPr>
              <w:t>31-Mar-20</w:t>
            </w:r>
          </w:p>
        </w:tc>
        <w:tc>
          <w:tcPr>
            <w:tcW w:w="4437" w:type="dxa"/>
            <w:tcBorders>
              <w:top w:val="nil"/>
              <w:left w:val="nil"/>
              <w:bottom w:val="nil"/>
              <w:right w:val="nil"/>
            </w:tcBorders>
            <w:shd w:val="clear" w:color="auto" w:fill="auto"/>
            <w:noWrap/>
            <w:vAlign w:val="bottom"/>
            <w:hideMark/>
          </w:tcPr>
          <w:p w14:paraId="51DB9B95" w14:textId="77777777" w:rsidR="00F83E32" w:rsidRPr="00F83E32" w:rsidRDefault="00F83E32" w:rsidP="00F83E32">
            <w:pPr>
              <w:jc w:val="right"/>
              <w:rPr>
                <w:rFonts w:eastAsia="Times New Roman" w:cs="Arial"/>
                <w:b/>
                <w:bCs/>
                <w:sz w:val="16"/>
                <w:szCs w:val="16"/>
                <w:lang w:val="en-GB" w:eastAsia="en-GB"/>
              </w:rPr>
            </w:pPr>
          </w:p>
        </w:tc>
        <w:tc>
          <w:tcPr>
            <w:tcW w:w="2258" w:type="dxa"/>
            <w:tcBorders>
              <w:top w:val="nil"/>
              <w:left w:val="nil"/>
              <w:bottom w:val="nil"/>
              <w:right w:val="nil"/>
            </w:tcBorders>
            <w:shd w:val="clear" w:color="auto" w:fill="auto"/>
            <w:noWrap/>
            <w:vAlign w:val="bottom"/>
            <w:hideMark/>
          </w:tcPr>
          <w:p w14:paraId="70EC75D9" w14:textId="77777777" w:rsidR="00F83E32" w:rsidRPr="00F83E32" w:rsidRDefault="00F83E32" w:rsidP="00F83E32">
            <w:pPr>
              <w:jc w:val="right"/>
              <w:rPr>
                <w:rFonts w:eastAsia="Times New Roman" w:cs="Arial"/>
                <w:b/>
                <w:bCs/>
                <w:sz w:val="16"/>
                <w:szCs w:val="16"/>
                <w:lang w:val="en-GB" w:eastAsia="en-GB"/>
              </w:rPr>
            </w:pPr>
            <w:r w:rsidRPr="00F83E32">
              <w:rPr>
                <w:rFonts w:eastAsia="Times New Roman" w:cs="Arial"/>
                <w:b/>
                <w:bCs/>
                <w:sz w:val="16"/>
                <w:szCs w:val="16"/>
                <w:lang w:val="en-GB" w:eastAsia="en-GB"/>
              </w:rPr>
              <w:t>31-Mar-21</w:t>
            </w:r>
          </w:p>
        </w:tc>
      </w:tr>
      <w:tr w:rsidR="00F83E32" w:rsidRPr="00F83E32" w14:paraId="21FB42B1" w14:textId="77777777" w:rsidTr="00994564">
        <w:trPr>
          <w:trHeight w:val="245"/>
          <w:jc w:val="center"/>
        </w:trPr>
        <w:tc>
          <w:tcPr>
            <w:tcW w:w="2377" w:type="dxa"/>
            <w:tcBorders>
              <w:top w:val="nil"/>
              <w:left w:val="nil"/>
              <w:bottom w:val="single" w:sz="4" w:space="0" w:color="auto"/>
              <w:right w:val="nil"/>
            </w:tcBorders>
            <w:shd w:val="clear" w:color="auto" w:fill="auto"/>
            <w:noWrap/>
            <w:vAlign w:val="bottom"/>
            <w:hideMark/>
          </w:tcPr>
          <w:p w14:paraId="40AC780E" w14:textId="77777777" w:rsidR="00F83E32" w:rsidRPr="00F83E32" w:rsidRDefault="00F83E32" w:rsidP="00F83E32">
            <w:pPr>
              <w:jc w:val="center"/>
              <w:rPr>
                <w:rFonts w:eastAsia="Times New Roman" w:cs="Arial"/>
                <w:b/>
                <w:bCs/>
                <w:sz w:val="16"/>
                <w:szCs w:val="16"/>
                <w:lang w:val="en-GB" w:eastAsia="en-GB"/>
              </w:rPr>
            </w:pPr>
            <w:r w:rsidRPr="00F83E32">
              <w:rPr>
                <w:rFonts w:eastAsia="Times New Roman" w:cs="Arial"/>
                <w:b/>
                <w:bCs/>
                <w:sz w:val="16"/>
                <w:szCs w:val="16"/>
                <w:lang w:val="en-GB" w:eastAsia="en-GB"/>
              </w:rPr>
              <w:t>£000</w:t>
            </w:r>
          </w:p>
        </w:tc>
        <w:tc>
          <w:tcPr>
            <w:tcW w:w="4437" w:type="dxa"/>
            <w:tcBorders>
              <w:top w:val="nil"/>
              <w:left w:val="nil"/>
              <w:bottom w:val="single" w:sz="4" w:space="0" w:color="auto"/>
              <w:right w:val="nil"/>
            </w:tcBorders>
            <w:shd w:val="clear" w:color="auto" w:fill="auto"/>
            <w:noWrap/>
            <w:vAlign w:val="bottom"/>
            <w:hideMark/>
          </w:tcPr>
          <w:p w14:paraId="3386890E" w14:textId="77777777" w:rsidR="00F83E32" w:rsidRPr="00F83E32" w:rsidRDefault="00F83E32" w:rsidP="00F83E32">
            <w:pPr>
              <w:jc w:val="center"/>
              <w:rPr>
                <w:rFonts w:eastAsia="Times New Roman" w:cs="Arial"/>
                <w:b/>
                <w:bCs/>
                <w:sz w:val="16"/>
                <w:szCs w:val="16"/>
                <w:lang w:val="en-GB" w:eastAsia="en-GB"/>
              </w:rPr>
            </w:pPr>
            <w:r w:rsidRPr="00F83E32">
              <w:rPr>
                <w:rFonts w:eastAsia="Times New Roman" w:cs="Arial"/>
                <w:b/>
                <w:bCs/>
                <w:sz w:val="16"/>
                <w:szCs w:val="16"/>
                <w:lang w:val="en-GB" w:eastAsia="en-GB"/>
              </w:rPr>
              <w:t> </w:t>
            </w:r>
          </w:p>
        </w:tc>
        <w:tc>
          <w:tcPr>
            <w:tcW w:w="2258" w:type="dxa"/>
            <w:tcBorders>
              <w:top w:val="nil"/>
              <w:left w:val="nil"/>
              <w:bottom w:val="single" w:sz="4" w:space="0" w:color="auto"/>
              <w:right w:val="nil"/>
            </w:tcBorders>
            <w:shd w:val="clear" w:color="auto" w:fill="auto"/>
            <w:noWrap/>
            <w:vAlign w:val="bottom"/>
            <w:hideMark/>
          </w:tcPr>
          <w:p w14:paraId="4B449B01" w14:textId="77777777" w:rsidR="00F83E32" w:rsidRPr="00F83E32" w:rsidRDefault="00F83E32" w:rsidP="00F83E32">
            <w:pPr>
              <w:jc w:val="center"/>
              <w:rPr>
                <w:rFonts w:eastAsia="Times New Roman" w:cs="Arial"/>
                <w:b/>
                <w:bCs/>
                <w:sz w:val="16"/>
                <w:szCs w:val="16"/>
                <w:lang w:val="en-GB" w:eastAsia="en-GB"/>
              </w:rPr>
            </w:pPr>
            <w:r w:rsidRPr="00F83E32">
              <w:rPr>
                <w:rFonts w:eastAsia="Times New Roman" w:cs="Arial"/>
                <w:b/>
                <w:bCs/>
                <w:sz w:val="16"/>
                <w:szCs w:val="16"/>
                <w:lang w:val="en-GB" w:eastAsia="en-GB"/>
              </w:rPr>
              <w:t>£000</w:t>
            </w:r>
          </w:p>
        </w:tc>
      </w:tr>
      <w:tr w:rsidR="00F83E32" w:rsidRPr="00F83E32" w14:paraId="08F16588" w14:textId="77777777" w:rsidTr="00994564">
        <w:trPr>
          <w:trHeight w:val="318"/>
          <w:jc w:val="center"/>
        </w:trPr>
        <w:tc>
          <w:tcPr>
            <w:tcW w:w="2377" w:type="dxa"/>
            <w:tcBorders>
              <w:top w:val="nil"/>
              <w:left w:val="nil"/>
              <w:bottom w:val="nil"/>
              <w:right w:val="nil"/>
            </w:tcBorders>
            <w:shd w:val="clear" w:color="auto" w:fill="auto"/>
            <w:noWrap/>
            <w:vAlign w:val="bottom"/>
            <w:hideMark/>
          </w:tcPr>
          <w:p w14:paraId="3F3A4529"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0</w:t>
            </w:r>
          </w:p>
        </w:tc>
        <w:tc>
          <w:tcPr>
            <w:tcW w:w="4437" w:type="dxa"/>
            <w:tcBorders>
              <w:top w:val="nil"/>
              <w:left w:val="nil"/>
              <w:bottom w:val="nil"/>
              <w:right w:val="nil"/>
            </w:tcBorders>
            <w:shd w:val="clear" w:color="auto" w:fill="auto"/>
            <w:vAlign w:val="bottom"/>
            <w:hideMark/>
          </w:tcPr>
          <w:p w14:paraId="397C0CF6" w14:textId="77777777" w:rsidR="00F83E32" w:rsidRPr="00F83E32" w:rsidRDefault="00F83E32" w:rsidP="00F83E32">
            <w:pPr>
              <w:jc w:val="center"/>
              <w:rPr>
                <w:rFonts w:eastAsia="Times New Roman" w:cs="Arial"/>
                <w:sz w:val="16"/>
                <w:szCs w:val="16"/>
                <w:lang w:val="en-GB" w:eastAsia="en-GB"/>
              </w:rPr>
            </w:pPr>
            <w:r w:rsidRPr="00F83E32">
              <w:rPr>
                <w:rFonts w:eastAsia="Times New Roman" w:cs="Arial"/>
                <w:sz w:val="16"/>
                <w:szCs w:val="16"/>
                <w:lang w:val="en-GB" w:eastAsia="en-GB"/>
              </w:rPr>
              <w:t>Balance ou</w:t>
            </w:r>
            <w:r w:rsidR="00EF23FC">
              <w:rPr>
                <w:rFonts w:eastAsia="Times New Roman" w:cs="Arial"/>
                <w:sz w:val="16"/>
                <w:szCs w:val="16"/>
                <w:lang w:val="en-GB" w:eastAsia="en-GB"/>
              </w:rPr>
              <w:t>t</w:t>
            </w:r>
            <w:r w:rsidRPr="00F83E32">
              <w:rPr>
                <w:rFonts w:eastAsia="Times New Roman" w:cs="Arial"/>
                <w:sz w:val="16"/>
                <w:szCs w:val="16"/>
                <w:lang w:val="en-GB" w:eastAsia="en-GB"/>
              </w:rPr>
              <w:t>standing at start of year</w:t>
            </w:r>
          </w:p>
        </w:tc>
        <w:tc>
          <w:tcPr>
            <w:tcW w:w="2258" w:type="dxa"/>
            <w:tcBorders>
              <w:top w:val="nil"/>
              <w:left w:val="nil"/>
              <w:bottom w:val="nil"/>
              <w:right w:val="nil"/>
            </w:tcBorders>
            <w:shd w:val="clear" w:color="auto" w:fill="auto"/>
            <w:noWrap/>
            <w:vAlign w:val="bottom"/>
            <w:hideMark/>
          </w:tcPr>
          <w:p w14:paraId="670A15C0"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964</w:t>
            </w:r>
          </w:p>
        </w:tc>
      </w:tr>
      <w:tr w:rsidR="00F83E32" w:rsidRPr="00F83E32" w14:paraId="48658BF7" w14:textId="77777777" w:rsidTr="00994564">
        <w:trPr>
          <w:trHeight w:val="74"/>
          <w:jc w:val="center"/>
        </w:trPr>
        <w:tc>
          <w:tcPr>
            <w:tcW w:w="2377" w:type="dxa"/>
            <w:tcBorders>
              <w:top w:val="nil"/>
              <w:left w:val="nil"/>
              <w:bottom w:val="nil"/>
              <w:right w:val="nil"/>
            </w:tcBorders>
            <w:shd w:val="clear" w:color="auto" w:fill="auto"/>
            <w:noWrap/>
            <w:vAlign w:val="bottom"/>
            <w:hideMark/>
          </w:tcPr>
          <w:p w14:paraId="2FD0D2C5" w14:textId="77777777" w:rsidR="00F83E32" w:rsidRPr="00F83E32" w:rsidRDefault="00F83E32" w:rsidP="00F83E32">
            <w:pPr>
              <w:jc w:val="right"/>
              <w:rPr>
                <w:rFonts w:eastAsia="Times New Roman" w:cs="Arial"/>
                <w:sz w:val="16"/>
                <w:szCs w:val="16"/>
                <w:lang w:val="en-GB" w:eastAsia="en-GB"/>
              </w:rPr>
            </w:pPr>
          </w:p>
        </w:tc>
        <w:tc>
          <w:tcPr>
            <w:tcW w:w="4437" w:type="dxa"/>
            <w:tcBorders>
              <w:top w:val="nil"/>
              <w:left w:val="nil"/>
              <w:bottom w:val="nil"/>
              <w:right w:val="nil"/>
            </w:tcBorders>
            <w:shd w:val="clear" w:color="auto" w:fill="auto"/>
            <w:noWrap/>
            <w:vAlign w:val="bottom"/>
            <w:hideMark/>
          </w:tcPr>
          <w:p w14:paraId="7932AA87" w14:textId="77777777" w:rsidR="00F83E32" w:rsidRPr="00F83E32" w:rsidRDefault="00F83E32" w:rsidP="00F83E32">
            <w:pPr>
              <w:rPr>
                <w:rFonts w:ascii="Times New Roman" w:eastAsia="Times New Roman" w:hAnsi="Times New Roman" w:cs="Times New Roman"/>
                <w:sz w:val="20"/>
                <w:szCs w:val="20"/>
                <w:lang w:val="en-GB" w:eastAsia="en-GB"/>
              </w:rPr>
            </w:pPr>
          </w:p>
        </w:tc>
        <w:tc>
          <w:tcPr>
            <w:tcW w:w="2258" w:type="dxa"/>
            <w:tcBorders>
              <w:top w:val="nil"/>
              <w:left w:val="nil"/>
              <w:bottom w:val="nil"/>
              <w:right w:val="nil"/>
            </w:tcBorders>
            <w:shd w:val="clear" w:color="auto" w:fill="auto"/>
            <w:noWrap/>
            <w:vAlign w:val="bottom"/>
            <w:hideMark/>
          </w:tcPr>
          <w:p w14:paraId="27C4EA84" w14:textId="77777777" w:rsidR="00F83E32" w:rsidRPr="00F83E32" w:rsidRDefault="00F83E32" w:rsidP="00F83E32">
            <w:pPr>
              <w:jc w:val="center"/>
              <w:rPr>
                <w:rFonts w:ascii="Times New Roman" w:eastAsia="Times New Roman" w:hAnsi="Times New Roman" w:cs="Times New Roman"/>
                <w:sz w:val="20"/>
                <w:szCs w:val="20"/>
                <w:lang w:val="en-GB" w:eastAsia="en-GB"/>
              </w:rPr>
            </w:pPr>
          </w:p>
        </w:tc>
      </w:tr>
      <w:tr w:rsidR="00F83E32" w:rsidRPr="00F83E32" w14:paraId="4B4D0CF5" w14:textId="77777777" w:rsidTr="00994564">
        <w:trPr>
          <w:trHeight w:val="245"/>
          <w:jc w:val="center"/>
        </w:trPr>
        <w:tc>
          <w:tcPr>
            <w:tcW w:w="2377" w:type="dxa"/>
            <w:tcBorders>
              <w:top w:val="nil"/>
              <w:left w:val="nil"/>
              <w:bottom w:val="nil"/>
              <w:right w:val="nil"/>
            </w:tcBorders>
            <w:shd w:val="clear" w:color="auto" w:fill="auto"/>
            <w:noWrap/>
            <w:vAlign w:val="bottom"/>
            <w:hideMark/>
          </w:tcPr>
          <w:p w14:paraId="7AB75D8A" w14:textId="77777777" w:rsidR="00F83E32" w:rsidRPr="00F83E32" w:rsidRDefault="00F83E32" w:rsidP="00F83E32">
            <w:pPr>
              <w:rPr>
                <w:rFonts w:ascii="Times New Roman" w:eastAsia="Times New Roman" w:hAnsi="Times New Roman" w:cs="Times New Roman"/>
                <w:sz w:val="20"/>
                <w:szCs w:val="20"/>
                <w:lang w:val="en-GB" w:eastAsia="en-GB"/>
              </w:rPr>
            </w:pPr>
          </w:p>
        </w:tc>
        <w:tc>
          <w:tcPr>
            <w:tcW w:w="4437" w:type="dxa"/>
            <w:tcBorders>
              <w:top w:val="nil"/>
              <w:left w:val="nil"/>
              <w:bottom w:val="nil"/>
              <w:right w:val="nil"/>
            </w:tcBorders>
            <w:shd w:val="clear" w:color="auto" w:fill="auto"/>
            <w:noWrap/>
            <w:vAlign w:val="bottom"/>
            <w:hideMark/>
          </w:tcPr>
          <w:p w14:paraId="678C7D07" w14:textId="77777777" w:rsidR="00F83E32" w:rsidRPr="00F83E32" w:rsidRDefault="00F83E32" w:rsidP="00F83E32">
            <w:pPr>
              <w:jc w:val="center"/>
              <w:rPr>
                <w:rFonts w:eastAsia="Times New Roman" w:cs="Arial"/>
                <w:sz w:val="16"/>
                <w:szCs w:val="16"/>
                <w:lang w:val="en-GB" w:eastAsia="en-GB"/>
              </w:rPr>
            </w:pPr>
            <w:r w:rsidRPr="00F83E32">
              <w:rPr>
                <w:rFonts w:eastAsia="Times New Roman" w:cs="Arial"/>
                <w:sz w:val="16"/>
                <w:szCs w:val="16"/>
                <w:lang w:val="en-GB" w:eastAsia="en-GB"/>
              </w:rPr>
              <w:t>Assets newly classified as held for sale:</w:t>
            </w:r>
          </w:p>
        </w:tc>
        <w:tc>
          <w:tcPr>
            <w:tcW w:w="2258" w:type="dxa"/>
            <w:tcBorders>
              <w:top w:val="nil"/>
              <w:left w:val="nil"/>
              <w:bottom w:val="nil"/>
              <w:right w:val="nil"/>
            </w:tcBorders>
            <w:shd w:val="clear" w:color="auto" w:fill="auto"/>
            <w:noWrap/>
            <w:vAlign w:val="bottom"/>
            <w:hideMark/>
          </w:tcPr>
          <w:p w14:paraId="13A5662A" w14:textId="77777777" w:rsidR="00F83E32" w:rsidRPr="00F83E32" w:rsidRDefault="00F83E32" w:rsidP="00F83E32">
            <w:pPr>
              <w:jc w:val="center"/>
              <w:rPr>
                <w:rFonts w:eastAsia="Times New Roman" w:cs="Arial"/>
                <w:sz w:val="16"/>
                <w:szCs w:val="16"/>
                <w:lang w:val="en-GB" w:eastAsia="en-GB"/>
              </w:rPr>
            </w:pPr>
          </w:p>
        </w:tc>
      </w:tr>
      <w:tr w:rsidR="00F83E32" w:rsidRPr="00F83E32" w14:paraId="43BDDE4A" w14:textId="77777777" w:rsidTr="00994564">
        <w:trPr>
          <w:trHeight w:val="74"/>
          <w:jc w:val="center"/>
        </w:trPr>
        <w:tc>
          <w:tcPr>
            <w:tcW w:w="2377" w:type="dxa"/>
            <w:tcBorders>
              <w:top w:val="nil"/>
              <w:left w:val="nil"/>
              <w:bottom w:val="nil"/>
              <w:right w:val="nil"/>
            </w:tcBorders>
            <w:shd w:val="clear" w:color="auto" w:fill="auto"/>
            <w:noWrap/>
            <w:vAlign w:val="bottom"/>
            <w:hideMark/>
          </w:tcPr>
          <w:p w14:paraId="65F6F994" w14:textId="77777777" w:rsidR="00F83E32" w:rsidRPr="00F83E32" w:rsidRDefault="00F83E32" w:rsidP="00F83E32">
            <w:pPr>
              <w:rPr>
                <w:rFonts w:ascii="Times New Roman" w:eastAsia="Times New Roman" w:hAnsi="Times New Roman" w:cs="Times New Roman"/>
                <w:sz w:val="20"/>
                <w:szCs w:val="20"/>
                <w:lang w:val="en-GB" w:eastAsia="en-GB"/>
              </w:rPr>
            </w:pPr>
          </w:p>
        </w:tc>
        <w:tc>
          <w:tcPr>
            <w:tcW w:w="4437" w:type="dxa"/>
            <w:tcBorders>
              <w:top w:val="nil"/>
              <w:left w:val="nil"/>
              <w:bottom w:val="nil"/>
              <w:right w:val="nil"/>
            </w:tcBorders>
            <w:shd w:val="clear" w:color="auto" w:fill="auto"/>
            <w:noWrap/>
            <w:vAlign w:val="bottom"/>
            <w:hideMark/>
          </w:tcPr>
          <w:p w14:paraId="4ED19628" w14:textId="77777777" w:rsidR="00F83E32" w:rsidRPr="00F83E32" w:rsidRDefault="00F83E32" w:rsidP="00F83E32">
            <w:pPr>
              <w:rPr>
                <w:rFonts w:ascii="Times New Roman" w:eastAsia="Times New Roman" w:hAnsi="Times New Roman" w:cs="Times New Roman"/>
                <w:sz w:val="20"/>
                <w:szCs w:val="20"/>
                <w:lang w:val="en-GB" w:eastAsia="en-GB"/>
              </w:rPr>
            </w:pPr>
          </w:p>
        </w:tc>
        <w:tc>
          <w:tcPr>
            <w:tcW w:w="2258" w:type="dxa"/>
            <w:tcBorders>
              <w:top w:val="nil"/>
              <w:left w:val="nil"/>
              <w:bottom w:val="nil"/>
              <w:right w:val="nil"/>
            </w:tcBorders>
            <w:shd w:val="clear" w:color="auto" w:fill="auto"/>
            <w:noWrap/>
            <w:vAlign w:val="bottom"/>
            <w:hideMark/>
          </w:tcPr>
          <w:p w14:paraId="597A4BE1" w14:textId="77777777" w:rsidR="00F83E32" w:rsidRPr="00F83E32" w:rsidRDefault="00F83E32" w:rsidP="00F83E32">
            <w:pPr>
              <w:jc w:val="center"/>
              <w:rPr>
                <w:rFonts w:ascii="Times New Roman" w:eastAsia="Times New Roman" w:hAnsi="Times New Roman" w:cs="Times New Roman"/>
                <w:sz w:val="20"/>
                <w:szCs w:val="20"/>
                <w:lang w:val="en-GB" w:eastAsia="en-GB"/>
              </w:rPr>
            </w:pPr>
          </w:p>
        </w:tc>
      </w:tr>
      <w:tr w:rsidR="00F83E32" w:rsidRPr="00F83E32" w14:paraId="46B11821" w14:textId="77777777" w:rsidTr="00994564">
        <w:trPr>
          <w:trHeight w:val="245"/>
          <w:jc w:val="center"/>
        </w:trPr>
        <w:tc>
          <w:tcPr>
            <w:tcW w:w="2377" w:type="dxa"/>
            <w:tcBorders>
              <w:top w:val="nil"/>
              <w:left w:val="nil"/>
              <w:bottom w:val="nil"/>
              <w:right w:val="nil"/>
            </w:tcBorders>
            <w:shd w:val="clear" w:color="auto" w:fill="auto"/>
            <w:noWrap/>
            <w:vAlign w:val="bottom"/>
            <w:hideMark/>
          </w:tcPr>
          <w:p w14:paraId="660597C5"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964</w:t>
            </w:r>
          </w:p>
        </w:tc>
        <w:tc>
          <w:tcPr>
            <w:tcW w:w="4437" w:type="dxa"/>
            <w:tcBorders>
              <w:top w:val="nil"/>
              <w:left w:val="nil"/>
              <w:bottom w:val="nil"/>
              <w:right w:val="nil"/>
            </w:tcBorders>
            <w:shd w:val="clear" w:color="auto" w:fill="auto"/>
            <w:noWrap/>
            <w:vAlign w:val="bottom"/>
            <w:hideMark/>
          </w:tcPr>
          <w:p w14:paraId="7F9C4711" w14:textId="77777777" w:rsidR="00F83E32" w:rsidRPr="00F83E32" w:rsidRDefault="00F83E32" w:rsidP="00F83E32">
            <w:pPr>
              <w:jc w:val="center"/>
              <w:rPr>
                <w:rFonts w:eastAsia="Times New Roman" w:cs="Arial"/>
                <w:sz w:val="16"/>
                <w:szCs w:val="16"/>
                <w:lang w:val="en-GB" w:eastAsia="en-GB"/>
              </w:rPr>
            </w:pPr>
            <w:r w:rsidRPr="00F83E32">
              <w:rPr>
                <w:rFonts w:eastAsia="Times New Roman" w:cs="Arial"/>
                <w:sz w:val="16"/>
                <w:szCs w:val="16"/>
                <w:lang w:val="en-GB" w:eastAsia="en-GB"/>
              </w:rPr>
              <w:t>Property, plant and equipment</w:t>
            </w:r>
          </w:p>
        </w:tc>
        <w:tc>
          <w:tcPr>
            <w:tcW w:w="2258" w:type="dxa"/>
            <w:tcBorders>
              <w:top w:val="nil"/>
              <w:left w:val="nil"/>
              <w:bottom w:val="nil"/>
              <w:right w:val="nil"/>
            </w:tcBorders>
            <w:shd w:val="clear" w:color="auto" w:fill="auto"/>
            <w:noWrap/>
            <w:vAlign w:val="bottom"/>
            <w:hideMark/>
          </w:tcPr>
          <w:p w14:paraId="295F4399"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0</w:t>
            </w:r>
          </w:p>
        </w:tc>
      </w:tr>
      <w:tr w:rsidR="00F83E32" w:rsidRPr="00F83E32" w14:paraId="10E4EDE1" w14:textId="77777777" w:rsidTr="00994564">
        <w:trPr>
          <w:trHeight w:val="74"/>
          <w:jc w:val="center"/>
        </w:trPr>
        <w:tc>
          <w:tcPr>
            <w:tcW w:w="2377" w:type="dxa"/>
            <w:tcBorders>
              <w:top w:val="nil"/>
              <w:left w:val="nil"/>
              <w:bottom w:val="nil"/>
              <w:right w:val="nil"/>
            </w:tcBorders>
            <w:shd w:val="clear" w:color="auto" w:fill="auto"/>
            <w:noWrap/>
            <w:vAlign w:val="bottom"/>
            <w:hideMark/>
          </w:tcPr>
          <w:p w14:paraId="12F771C6" w14:textId="77777777" w:rsidR="00F83E32" w:rsidRPr="00F83E32" w:rsidRDefault="00F83E32" w:rsidP="00F83E32">
            <w:pPr>
              <w:jc w:val="right"/>
              <w:rPr>
                <w:rFonts w:eastAsia="Times New Roman" w:cs="Arial"/>
                <w:sz w:val="16"/>
                <w:szCs w:val="16"/>
                <w:lang w:val="en-GB" w:eastAsia="en-GB"/>
              </w:rPr>
            </w:pPr>
          </w:p>
        </w:tc>
        <w:tc>
          <w:tcPr>
            <w:tcW w:w="4437" w:type="dxa"/>
            <w:tcBorders>
              <w:top w:val="nil"/>
              <w:left w:val="nil"/>
              <w:bottom w:val="nil"/>
              <w:right w:val="nil"/>
            </w:tcBorders>
            <w:shd w:val="clear" w:color="auto" w:fill="auto"/>
            <w:noWrap/>
            <w:vAlign w:val="bottom"/>
            <w:hideMark/>
          </w:tcPr>
          <w:p w14:paraId="39D46CDB" w14:textId="77777777" w:rsidR="00F83E32" w:rsidRPr="00F83E32" w:rsidRDefault="00F83E32" w:rsidP="00F83E32">
            <w:pPr>
              <w:rPr>
                <w:rFonts w:ascii="Times New Roman" w:eastAsia="Times New Roman" w:hAnsi="Times New Roman" w:cs="Times New Roman"/>
                <w:sz w:val="20"/>
                <w:szCs w:val="20"/>
                <w:lang w:val="en-GB" w:eastAsia="en-GB"/>
              </w:rPr>
            </w:pPr>
          </w:p>
        </w:tc>
        <w:tc>
          <w:tcPr>
            <w:tcW w:w="2258" w:type="dxa"/>
            <w:tcBorders>
              <w:top w:val="nil"/>
              <w:left w:val="nil"/>
              <w:bottom w:val="nil"/>
              <w:right w:val="nil"/>
            </w:tcBorders>
            <w:shd w:val="clear" w:color="auto" w:fill="auto"/>
            <w:noWrap/>
            <w:vAlign w:val="bottom"/>
            <w:hideMark/>
          </w:tcPr>
          <w:p w14:paraId="2560E2AE" w14:textId="77777777" w:rsidR="00F83E32" w:rsidRPr="00F83E32" w:rsidRDefault="00F83E32" w:rsidP="00F83E32">
            <w:pPr>
              <w:jc w:val="center"/>
              <w:rPr>
                <w:rFonts w:ascii="Times New Roman" w:eastAsia="Times New Roman" w:hAnsi="Times New Roman" w:cs="Times New Roman"/>
                <w:sz w:val="20"/>
                <w:szCs w:val="20"/>
                <w:lang w:val="en-GB" w:eastAsia="en-GB"/>
              </w:rPr>
            </w:pPr>
          </w:p>
        </w:tc>
      </w:tr>
      <w:tr w:rsidR="00F83E32" w:rsidRPr="00F83E32" w14:paraId="7E2A9F53" w14:textId="77777777" w:rsidTr="00994564">
        <w:trPr>
          <w:trHeight w:val="74"/>
          <w:jc w:val="center"/>
        </w:trPr>
        <w:tc>
          <w:tcPr>
            <w:tcW w:w="2377" w:type="dxa"/>
            <w:tcBorders>
              <w:top w:val="nil"/>
              <w:left w:val="nil"/>
              <w:bottom w:val="nil"/>
              <w:right w:val="nil"/>
            </w:tcBorders>
            <w:shd w:val="clear" w:color="auto" w:fill="auto"/>
            <w:noWrap/>
            <w:vAlign w:val="bottom"/>
            <w:hideMark/>
          </w:tcPr>
          <w:p w14:paraId="39867AD9"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0</w:t>
            </w:r>
          </w:p>
        </w:tc>
        <w:tc>
          <w:tcPr>
            <w:tcW w:w="4437" w:type="dxa"/>
            <w:tcBorders>
              <w:top w:val="nil"/>
              <w:left w:val="nil"/>
              <w:bottom w:val="nil"/>
              <w:right w:val="nil"/>
            </w:tcBorders>
            <w:shd w:val="clear" w:color="auto" w:fill="auto"/>
            <w:vAlign w:val="bottom"/>
            <w:hideMark/>
          </w:tcPr>
          <w:p w14:paraId="7723B3D1" w14:textId="77777777" w:rsidR="00F83E32" w:rsidRPr="00F83E32" w:rsidRDefault="00F83E32" w:rsidP="00F83E32">
            <w:pPr>
              <w:jc w:val="center"/>
              <w:rPr>
                <w:rFonts w:eastAsia="Times New Roman" w:cs="Arial"/>
                <w:sz w:val="16"/>
                <w:szCs w:val="16"/>
                <w:lang w:val="en-GB" w:eastAsia="en-GB"/>
              </w:rPr>
            </w:pPr>
            <w:r w:rsidRPr="00F83E32">
              <w:rPr>
                <w:rFonts w:eastAsia="Times New Roman" w:cs="Arial"/>
                <w:sz w:val="16"/>
                <w:szCs w:val="16"/>
                <w:lang w:val="en-GB" w:eastAsia="en-GB"/>
              </w:rPr>
              <w:t>Net gains/losses from fair value adjustments</w:t>
            </w:r>
          </w:p>
        </w:tc>
        <w:tc>
          <w:tcPr>
            <w:tcW w:w="2258" w:type="dxa"/>
            <w:tcBorders>
              <w:top w:val="nil"/>
              <w:left w:val="nil"/>
              <w:bottom w:val="nil"/>
              <w:right w:val="nil"/>
            </w:tcBorders>
            <w:shd w:val="clear" w:color="auto" w:fill="auto"/>
            <w:noWrap/>
            <w:vAlign w:val="bottom"/>
            <w:hideMark/>
          </w:tcPr>
          <w:p w14:paraId="2FB642BA"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(2)</w:t>
            </w:r>
          </w:p>
        </w:tc>
      </w:tr>
      <w:tr w:rsidR="00F83E32" w:rsidRPr="00F83E32" w14:paraId="352B6350" w14:textId="77777777" w:rsidTr="00994564">
        <w:trPr>
          <w:trHeight w:val="245"/>
          <w:jc w:val="center"/>
        </w:trPr>
        <w:tc>
          <w:tcPr>
            <w:tcW w:w="2377" w:type="dxa"/>
            <w:tcBorders>
              <w:top w:val="nil"/>
              <w:left w:val="nil"/>
              <w:right w:val="nil"/>
            </w:tcBorders>
            <w:shd w:val="clear" w:color="auto" w:fill="auto"/>
            <w:noWrap/>
            <w:vAlign w:val="bottom"/>
            <w:hideMark/>
          </w:tcPr>
          <w:p w14:paraId="442F377A"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0</w:t>
            </w:r>
          </w:p>
        </w:tc>
        <w:tc>
          <w:tcPr>
            <w:tcW w:w="4437" w:type="dxa"/>
            <w:tcBorders>
              <w:top w:val="nil"/>
              <w:left w:val="nil"/>
              <w:right w:val="nil"/>
            </w:tcBorders>
            <w:shd w:val="clear" w:color="auto" w:fill="auto"/>
            <w:noWrap/>
            <w:vAlign w:val="bottom"/>
            <w:hideMark/>
          </w:tcPr>
          <w:p w14:paraId="627014C4" w14:textId="77777777" w:rsidR="00F83E32" w:rsidRPr="00F83E32" w:rsidRDefault="00F83E32" w:rsidP="00F83E32">
            <w:pPr>
              <w:jc w:val="center"/>
              <w:rPr>
                <w:rFonts w:eastAsia="Times New Roman" w:cs="Arial"/>
                <w:sz w:val="16"/>
                <w:szCs w:val="16"/>
                <w:lang w:val="en-GB" w:eastAsia="en-GB"/>
              </w:rPr>
            </w:pPr>
            <w:r w:rsidRPr="00F83E32">
              <w:rPr>
                <w:rFonts w:eastAsia="Times New Roman" w:cs="Arial"/>
                <w:sz w:val="16"/>
                <w:szCs w:val="16"/>
                <w:lang w:val="en-GB" w:eastAsia="en-GB"/>
              </w:rPr>
              <w:t>Asset sold</w:t>
            </w:r>
          </w:p>
        </w:tc>
        <w:tc>
          <w:tcPr>
            <w:tcW w:w="2258" w:type="dxa"/>
            <w:tcBorders>
              <w:top w:val="nil"/>
              <w:left w:val="nil"/>
              <w:right w:val="nil"/>
            </w:tcBorders>
            <w:shd w:val="clear" w:color="auto" w:fill="auto"/>
            <w:noWrap/>
            <w:vAlign w:val="bottom"/>
            <w:hideMark/>
          </w:tcPr>
          <w:p w14:paraId="00D98E0E"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(822)</w:t>
            </w:r>
          </w:p>
        </w:tc>
      </w:tr>
      <w:tr w:rsidR="00F83E32" w:rsidRPr="00F83E32" w14:paraId="78EA0E19" w14:textId="77777777" w:rsidTr="00994564">
        <w:trPr>
          <w:trHeight w:val="245"/>
          <w:jc w:val="center"/>
        </w:trPr>
        <w:tc>
          <w:tcPr>
            <w:tcW w:w="2377" w:type="dxa"/>
            <w:tcBorders>
              <w:top w:val="nil"/>
              <w:left w:val="nil"/>
              <w:bottom w:val="single" w:sz="4" w:space="0" w:color="auto"/>
              <w:right w:val="nil"/>
            </w:tcBorders>
            <w:shd w:val="clear" w:color="auto" w:fill="auto"/>
            <w:noWrap/>
            <w:vAlign w:val="bottom"/>
            <w:hideMark/>
          </w:tcPr>
          <w:p w14:paraId="5C8DBEB1"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0</w:t>
            </w:r>
          </w:p>
        </w:tc>
        <w:tc>
          <w:tcPr>
            <w:tcW w:w="4437" w:type="dxa"/>
            <w:tcBorders>
              <w:top w:val="nil"/>
              <w:left w:val="nil"/>
              <w:bottom w:val="single" w:sz="4" w:space="0" w:color="auto"/>
              <w:right w:val="nil"/>
            </w:tcBorders>
            <w:shd w:val="clear" w:color="auto" w:fill="auto"/>
            <w:noWrap/>
            <w:vAlign w:val="bottom"/>
            <w:hideMark/>
          </w:tcPr>
          <w:p w14:paraId="44D96E58" w14:textId="77777777" w:rsidR="00F83E32" w:rsidRPr="00F83E32" w:rsidRDefault="00F83E32" w:rsidP="00F83E32">
            <w:pPr>
              <w:jc w:val="center"/>
              <w:rPr>
                <w:rFonts w:eastAsia="Times New Roman" w:cs="Arial"/>
                <w:sz w:val="16"/>
                <w:szCs w:val="16"/>
                <w:lang w:val="en-GB" w:eastAsia="en-GB"/>
              </w:rPr>
            </w:pPr>
            <w:r w:rsidRPr="00F83E32">
              <w:rPr>
                <w:rFonts w:eastAsia="Times New Roman" w:cs="Arial"/>
                <w:sz w:val="16"/>
                <w:szCs w:val="16"/>
                <w:lang w:val="en-GB" w:eastAsia="en-GB"/>
              </w:rPr>
              <w:t>Transfer</w:t>
            </w:r>
          </w:p>
        </w:tc>
        <w:tc>
          <w:tcPr>
            <w:tcW w:w="2258" w:type="dxa"/>
            <w:tcBorders>
              <w:top w:val="nil"/>
              <w:left w:val="nil"/>
              <w:bottom w:val="single" w:sz="4" w:space="0" w:color="auto"/>
              <w:right w:val="nil"/>
            </w:tcBorders>
            <w:shd w:val="clear" w:color="auto" w:fill="auto"/>
            <w:noWrap/>
            <w:vAlign w:val="bottom"/>
            <w:hideMark/>
          </w:tcPr>
          <w:p w14:paraId="646B06A0"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(140)</w:t>
            </w:r>
          </w:p>
        </w:tc>
      </w:tr>
      <w:tr w:rsidR="00F83E32" w:rsidRPr="00F83E32" w14:paraId="6D86D403" w14:textId="77777777" w:rsidTr="00994564">
        <w:trPr>
          <w:trHeight w:val="64"/>
          <w:jc w:val="center"/>
        </w:trPr>
        <w:tc>
          <w:tcPr>
            <w:tcW w:w="2377" w:type="dxa"/>
            <w:tcBorders>
              <w:top w:val="single" w:sz="4" w:space="0" w:color="auto"/>
              <w:left w:val="nil"/>
              <w:bottom w:val="single" w:sz="8" w:space="0" w:color="auto"/>
              <w:right w:val="nil"/>
            </w:tcBorders>
            <w:shd w:val="clear" w:color="auto" w:fill="auto"/>
            <w:noWrap/>
            <w:vAlign w:val="bottom"/>
            <w:hideMark/>
          </w:tcPr>
          <w:p w14:paraId="05098185" w14:textId="77777777" w:rsidR="00F83E32" w:rsidRPr="00F83E32" w:rsidRDefault="00F83E32" w:rsidP="00F83E32">
            <w:pPr>
              <w:jc w:val="right"/>
              <w:rPr>
                <w:rFonts w:eastAsia="Times New Roman" w:cs="Arial"/>
                <w:b/>
                <w:bCs/>
                <w:sz w:val="16"/>
                <w:szCs w:val="16"/>
                <w:lang w:val="en-GB" w:eastAsia="en-GB"/>
              </w:rPr>
            </w:pPr>
            <w:r w:rsidRPr="00F83E32">
              <w:rPr>
                <w:rFonts w:eastAsia="Times New Roman" w:cs="Arial"/>
                <w:b/>
                <w:bCs/>
                <w:sz w:val="16"/>
                <w:szCs w:val="16"/>
                <w:lang w:val="en-GB" w:eastAsia="en-GB"/>
              </w:rPr>
              <w:t>964</w:t>
            </w:r>
          </w:p>
        </w:tc>
        <w:tc>
          <w:tcPr>
            <w:tcW w:w="4437" w:type="dxa"/>
            <w:tcBorders>
              <w:top w:val="single" w:sz="4" w:space="0" w:color="auto"/>
              <w:left w:val="nil"/>
              <w:bottom w:val="single" w:sz="8" w:space="0" w:color="auto"/>
              <w:right w:val="nil"/>
            </w:tcBorders>
            <w:shd w:val="clear" w:color="auto" w:fill="auto"/>
            <w:vAlign w:val="bottom"/>
            <w:hideMark/>
          </w:tcPr>
          <w:p w14:paraId="58BA8263" w14:textId="77777777" w:rsidR="00F83E32" w:rsidRPr="00F83E32" w:rsidRDefault="00F83E32" w:rsidP="00F83E32">
            <w:pPr>
              <w:jc w:val="center"/>
              <w:rPr>
                <w:rFonts w:eastAsia="Times New Roman" w:cs="Arial"/>
                <w:b/>
                <w:bCs/>
                <w:sz w:val="16"/>
                <w:szCs w:val="16"/>
                <w:lang w:val="en-GB" w:eastAsia="en-GB"/>
              </w:rPr>
            </w:pPr>
            <w:r w:rsidRPr="00F83E32">
              <w:rPr>
                <w:rFonts w:eastAsia="Times New Roman" w:cs="Arial"/>
                <w:b/>
                <w:bCs/>
                <w:sz w:val="16"/>
                <w:szCs w:val="16"/>
                <w:lang w:val="en-GB" w:eastAsia="en-GB"/>
              </w:rPr>
              <w:t>Balance ou</w:t>
            </w:r>
            <w:r w:rsidR="00EF23FC">
              <w:rPr>
                <w:rFonts w:eastAsia="Times New Roman" w:cs="Arial"/>
                <w:b/>
                <w:bCs/>
                <w:sz w:val="16"/>
                <w:szCs w:val="16"/>
                <w:lang w:val="en-GB" w:eastAsia="en-GB"/>
              </w:rPr>
              <w:t>t</w:t>
            </w:r>
            <w:r w:rsidRPr="00F83E32">
              <w:rPr>
                <w:rFonts w:eastAsia="Times New Roman" w:cs="Arial"/>
                <w:b/>
                <w:bCs/>
                <w:sz w:val="16"/>
                <w:szCs w:val="16"/>
                <w:lang w:val="en-GB" w:eastAsia="en-GB"/>
              </w:rPr>
              <w:t>standing at start of year</w:t>
            </w:r>
          </w:p>
        </w:tc>
        <w:tc>
          <w:tcPr>
            <w:tcW w:w="2258" w:type="dxa"/>
            <w:tcBorders>
              <w:top w:val="single" w:sz="4" w:space="0" w:color="auto"/>
              <w:left w:val="nil"/>
              <w:bottom w:val="single" w:sz="8" w:space="0" w:color="auto"/>
              <w:right w:val="nil"/>
            </w:tcBorders>
            <w:shd w:val="clear" w:color="auto" w:fill="auto"/>
            <w:noWrap/>
            <w:vAlign w:val="bottom"/>
            <w:hideMark/>
          </w:tcPr>
          <w:p w14:paraId="0628FD37" w14:textId="77777777" w:rsidR="00F83E32" w:rsidRPr="00F83E32" w:rsidRDefault="00F83E32" w:rsidP="00F83E32">
            <w:pPr>
              <w:jc w:val="right"/>
              <w:rPr>
                <w:rFonts w:eastAsia="Times New Roman" w:cs="Arial"/>
                <w:b/>
                <w:bCs/>
                <w:sz w:val="16"/>
                <w:szCs w:val="16"/>
                <w:lang w:val="en-GB" w:eastAsia="en-GB"/>
              </w:rPr>
            </w:pPr>
            <w:r w:rsidRPr="00F83E32">
              <w:rPr>
                <w:rFonts w:eastAsia="Times New Roman" w:cs="Arial"/>
                <w:b/>
                <w:bCs/>
                <w:sz w:val="16"/>
                <w:szCs w:val="16"/>
                <w:lang w:val="en-GB" w:eastAsia="en-GB"/>
              </w:rPr>
              <w:t>0</w:t>
            </w:r>
          </w:p>
        </w:tc>
      </w:tr>
    </w:tbl>
    <w:p w14:paraId="6880574C" w14:textId="77777777" w:rsidR="00F83E32" w:rsidRDefault="00F83E32" w:rsidP="00F83E32">
      <w:pPr>
        <w:pStyle w:val="Normal0"/>
        <w:spacing w:after="160" w:line="259" w:lineRule="auto"/>
        <w:jc w:val="center"/>
        <w:rPr>
          <w:rFonts w:ascii="Verdana" w:eastAsia="Calibri" w:hAnsi="Verdana" w:cs="Arial"/>
          <w:sz w:val="22"/>
          <w:szCs w:val="22"/>
          <w:highlight w:val="yellow"/>
          <w:lang w:val="pt-BR"/>
        </w:rPr>
      </w:pPr>
    </w:p>
    <w:p w14:paraId="29CDA55E" w14:textId="77777777" w:rsidR="00836BA0" w:rsidRPr="00D62A4B" w:rsidRDefault="00836BA0" w:rsidP="00A31A9E">
      <w:pPr>
        <w:pStyle w:val="Heading1"/>
      </w:pPr>
      <w:bookmarkStart w:id="31" w:name="_Toc75122784"/>
      <w:r w:rsidRPr="00D62A4B">
        <w:t xml:space="preserve">Note 16 </w:t>
      </w:r>
      <w:r w:rsidR="00F32EC6" w:rsidRPr="00D62A4B">
        <w:t>–</w:t>
      </w:r>
      <w:r w:rsidR="00586F0D" w:rsidRPr="00D62A4B">
        <w:t xml:space="preserve"> Investment</w:t>
      </w:r>
      <w:r w:rsidR="00F32EC6" w:rsidRPr="00D62A4B">
        <w:t xml:space="preserve"> Properties</w:t>
      </w:r>
      <w:bookmarkEnd w:id="31"/>
    </w:p>
    <w:p w14:paraId="514DE063" w14:textId="77777777" w:rsidR="008B5874" w:rsidRPr="00D62A4B" w:rsidRDefault="008B5874" w:rsidP="009439C7">
      <w:pPr>
        <w:jc w:val="both"/>
        <w:rPr>
          <w:lang w:val="pt-BR"/>
        </w:rPr>
      </w:pPr>
      <w:r w:rsidRPr="00D62A4B">
        <w:rPr>
          <w:lang w:val="pt-BR"/>
        </w:rPr>
        <w:t xml:space="preserve">Surrey Police </w:t>
      </w:r>
      <w:r w:rsidR="00D62A4B" w:rsidRPr="00D62A4B">
        <w:rPr>
          <w:lang w:val="pt-BR"/>
        </w:rPr>
        <w:t>sold 1</w:t>
      </w:r>
      <w:r w:rsidRPr="00D62A4B">
        <w:rPr>
          <w:lang w:val="pt-BR"/>
        </w:rPr>
        <w:t xml:space="preserve"> propert</w:t>
      </w:r>
      <w:r w:rsidR="00D62A4B" w:rsidRPr="00D62A4B">
        <w:rPr>
          <w:lang w:val="pt-BR"/>
        </w:rPr>
        <w:t>y (1</w:t>
      </w:r>
      <w:r w:rsidRPr="00D62A4B">
        <w:rPr>
          <w:lang w:val="pt-BR"/>
        </w:rPr>
        <w:t xml:space="preserve"> </w:t>
      </w:r>
      <w:r w:rsidR="00D62A4B" w:rsidRPr="00D62A4B">
        <w:rPr>
          <w:lang w:val="pt-BR"/>
        </w:rPr>
        <w:t>plot of land</w:t>
      </w:r>
      <w:r w:rsidR="00D62A4B">
        <w:rPr>
          <w:lang w:val="pt-BR"/>
        </w:rPr>
        <w:t xml:space="preserve"> - </w:t>
      </w:r>
      <w:r w:rsidR="00D62A4B" w:rsidRPr="00D62A4B">
        <w:rPr>
          <w:lang w:val="pt-BR"/>
        </w:rPr>
        <w:t>Land at Regional Control Centre, Fosterdown Godstone</w:t>
      </w:r>
      <w:r w:rsidRPr="00D62A4B">
        <w:rPr>
          <w:lang w:val="pt-BR"/>
        </w:rPr>
        <w:t xml:space="preserve">) from </w:t>
      </w:r>
      <w:r w:rsidR="00D62A4B" w:rsidRPr="00D62A4B">
        <w:rPr>
          <w:lang w:val="pt-BR"/>
        </w:rPr>
        <w:t xml:space="preserve">its investment properties, therefore these properties are held for </w:t>
      </w:r>
      <w:r w:rsidRPr="00D62A4B">
        <w:rPr>
          <w:lang w:val="pt-BR"/>
        </w:rPr>
        <w:t>:</w:t>
      </w:r>
    </w:p>
    <w:p w14:paraId="33A61C9E" w14:textId="77777777" w:rsidR="008B5874" w:rsidRPr="00D62A4B" w:rsidRDefault="008B5874" w:rsidP="009439C7">
      <w:pPr>
        <w:jc w:val="both"/>
        <w:rPr>
          <w:lang w:val="pt-BR"/>
        </w:rPr>
      </w:pPr>
    </w:p>
    <w:p w14:paraId="06A4AD66" w14:textId="77777777" w:rsidR="008B5874" w:rsidRPr="00D62A4B" w:rsidRDefault="008B5874" w:rsidP="00D62A4B">
      <w:pPr>
        <w:ind w:left="720" w:hanging="720"/>
        <w:jc w:val="both"/>
        <w:rPr>
          <w:lang w:val="pt-BR"/>
        </w:rPr>
      </w:pPr>
      <w:r w:rsidRPr="00D62A4B">
        <w:rPr>
          <w:lang w:val="pt-BR"/>
        </w:rPr>
        <w:t>•</w:t>
      </w:r>
      <w:r w:rsidRPr="00D62A4B">
        <w:rPr>
          <w:lang w:val="pt-BR"/>
        </w:rPr>
        <w:tab/>
      </w:r>
      <w:r w:rsidR="00D62A4B" w:rsidRPr="00D62A4B">
        <w:rPr>
          <w:lang w:val="pt-BR"/>
        </w:rPr>
        <w:t>U</w:t>
      </w:r>
      <w:r w:rsidR="00D62A4B">
        <w:rPr>
          <w:lang w:val="pt-BR"/>
        </w:rPr>
        <w:t>sed for capital appreciation</w:t>
      </w:r>
      <w:r w:rsidR="00D62A4B" w:rsidRPr="00D62A4B">
        <w:rPr>
          <w:lang w:val="pt-BR"/>
        </w:rPr>
        <w:t>.</w:t>
      </w:r>
      <w:r w:rsidR="00D62A4B">
        <w:rPr>
          <w:lang w:val="pt-BR"/>
        </w:rPr>
        <w:t xml:space="preserve"> </w:t>
      </w:r>
      <w:r w:rsidR="00D62A4B" w:rsidRPr="00D62A4B">
        <w:rPr>
          <w:lang w:val="pt-BR"/>
        </w:rPr>
        <w:t xml:space="preserve"> </w:t>
      </w:r>
      <w:r w:rsidR="00D62A4B">
        <w:rPr>
          <w:lang w:val="pt-BR"/>
        </w:rPr>
        <w:t xml:space="preserve">Therefore they fall under the definition of investment properties as per the CIPFA code of Practice: </w:t>
      </w:r>
      <w:r w:rsidR="00D62A4B" w:rsidRPr="00D62A4B">
        <w:rPr>
          <w:lang w:val="pt-BR"/>
        </w:rPr>
        <w:t>is one that is</w:t>
      </w:r>
      <w:r w:rsidR="00D62A4B">
        <w:rPr>
          <w:lang w:val="pt-BR"/>
        </w:rPr>
        <w:t xml:space="preserve"> used solely to earn rentals o </w:t>
      </w:r>
      <w:r w:rsidR="00D62A4B" w:rsidRPr="00D62A4B">
        <w:rPr>
          <w:lang w:val="pt-BR"/>
        </w:rPr>
        <w:t>for capital appreciation or both.</w:t>
      </w:r>
    </w:p>
    <w:p w14:paraId="769CC6EB" w14:textId="77777777" w:rsidR="008B5874" w:rsidRPr="00D62A4B" w:rsidRDefault="008B5874" w:rsidP="009439C7">
      <w:pPr>
        <w:jc w:val="both"/>
        <w:rPr>
          <w:lang w:val="pt-BR"/>
        </w:rPr>
      </w:pPr>
    </w:p>
    <w:p w14:paraId="3972F40D" w14:textId="77777777" w:rsidR="00386BAD" w:rsidRPr="00D62A4B" w:rsidRDefault="008B5874" w:rsidP="009439C7">
      <w:pPr>
        <w:jc w:val="both"/>
        <w:rPr>
          <w:lang w:val="pt-BR"/>
        </w:rPr>
      </w:pPr>
      <w:r w:rsidRPr="00D62A4B">
        <w:rPr>
          <w:lang w:val="pt-BR"/>
        </w:rPr>
        <w:t xml:space="preserve">The following table summarises the </w:t>
      </w:r>
      <w:r w:rsidR="00D62A4B" w:rsidRPr="00D62A4B">
        <w:rPr>
          <w:lang w:val="pt-BR"/>
        </w:rPr>
        <w:t>movements within the</w:t>
      </w:r>
      <w:r w:rsidRPr="00D62A4B">
        <w:rPr>
          <w:lang w:val="pt-BR"/>
        </w:rPr>
        <w:t xml:space="preserve"> investment properties as of 31 March 202</w:t>
      </w:r>
      <w:r w:rsidR="00D62A4B" w:rsidRPr="00D62A4B">
        <w:rPr>
          <w:lang w:val="pt-BR"/>
        </w:rPr>
        <w:t>1</w:t>
      </w:r>
      <w:r w:rsidR="009439C7" w:rsidRPr="00D62A4B">
        <w:rPr>
          <w:lang w:val="pt-BR"/>
        </w:rPr>
        <w:t>.</w:t>
      </w:r>
    </w:p>
    <w:p w14:paraId="43D7C771" w14:textId="77777777" w:rsidR="00F83E32" w:rsidRDefault="00F83E32" w:rsidP="009439C7">
      <w:pPr>
        <w:jc w:val="both"/>
        <w:rPr>
          <w:highlight w:val="yellow"/>
          <w:lang w:val="pt-BR"/>
        </w:rPr>
      </w:pPr>
    </w:p>
    <w:tbl>
      <w:tblPr>
        <w:tblW w:w="7901" w:type="dxa"/>
        <w:jc w:val="center"/>
        <w:tblLook w:val="04A0" w:firstRow="1" w:lastRow="0" w:firstColumn="1" w:lastColumn="0" w:noHBand="0" w:noVBand="1"/>
      </w:tblPr>
      <w:tblGrid>
        <w:gridCol w:w="1693"/>
        <w:gridCol w:w="4241"/>
        <w:gridCol w:w="1967"/>
      </w:tblGrid>
      <w:tr w:rsidR="00F83E32" w:rsidRPr="00F83E32" w14:paraId="53723548" w14:textId="77777777" w:rsidTr="00994564">
        <w:trPr>
          <w:trHeight w:val="207"/>
          <w:jc w:val="center"/>
        </w:trPr>
        <w:tc>
          <w:tcPr>
            <w:tcW w:w="1693" w:type="dxa"/>
            <w:tcBorders>
              <w:top w:val="nil"/>
              <w:left w:val="nil"/>
              <w:bottom w:val="nil"/>
              <w:right w:val="nil"/>
            </w:tcBorders>
            <w:shd w:val="clear" w:color="auto" w:fill="auto"/>
            <w:noWrap/>
            <w:vAlign w:val="bottom"/>
            <w:hideMark/>
          </w:tcPr>
          <w:p w14:paraId="37ABFF9B" w14:textId="5C79B5A6" w:rsidR="00994564" w:rsidRDefault="00994564" w:rsidP="00994564">
            <w:pPr>
              <w:jc w:val="center"/>
              <w:rPr>
                <w:rFonts w:eastAsia="Times New Roman" w:cs="Arial"/>
                <w:b/>
                <w:bCs/>
                <w:sz w:val="16"/>
                <w:szCs w:val="16"/>
                <w:lang w:val="en-GB" w:eastAsia="en-GB"/>
              </w:rPr>
            </w:pPr>
            <w:r>
              <w:rPr>
                <w:rFonts w:eastAsia="Times New Roman" w:cs="Arial"/>
                <w:b/>
                <w:bCs/>
                <w:sz w:val="16"/>
                <w:szCs w:val="16"/>
                <w:lang w:val="en-GB" w:eastAsia="en-GB"/>
              </w:rPr>
              <w:t>Current</w:t>
            </w:r>
          </w:p>
          <w:p w14:paraId="1A5BEC27" w14:textId="77777777" w:rsidR="00994564" w:rsidRDefault="00994564" w:rsidP="00994564">
            <w:pPr>
              <w:jc w:val="center"/>
              <w:rPr>
                <w:rFonts w:eastAsia="Times New Roman" w:cs="Arial"/>
                <w:b/>
                <w:bCs/>
                <w:sz w:val="16"/>
                <w:szCs w:val="16"/>
                <w:lang w:val="en-GB" w:eastAsia="en-GB"/>
              </w:rPr>
            </w:pPr>
          </w:p>
          <w:p w14:paraId="480B0474" w14:textId="69A3C7DD" w:rsidR="00F83E32" w:rsidRPr="00F83E32" w:rsidRDefault="00994564" w:rsidP="00F83E32">
            <w:pPr>
              <w:jc w:val="right"/>
              <w:rPr>
                <w:rFonts w:eastAsia="Times New Roman" w:cs="Arial"/>
                <w:b/>
                <w:bCs/>
                <w:sz w:val="16"/>
                <w:szCs w:val="16"/>
                <w:lang w:val="en-GB" w:eastAsia="en-GB"/>
              </w:rPr>
            </w:pPr>
            <w:r>
              <w:rPr>
                <w:rFonts w:eastAsia="Times New Roman" w:cs="Arial"/>
                <w:b/>
                <w:bCs/>
                <w:sz w:val="16"/>
                <w:szCs w:val="16"/>
                <w:lang w:val="en-GB" w:eastAsia="en-GB"/>
              </w:rPr>
              <w:t xml:space="preserve">31 March </w:t>
            </w:r>
            <w:r w:rsidR="00F83E32" w:rsidRPr="00F83E32">
              <w:rPr>
                <w:rFonts w:eastAsia="Times New Roman" w:cs="Arial"/>
                <w:b/>
                <w:bCs/>
                <w:sz w:val="16"/>
                <w:szCs w:val="16"/>
                <w:lang w:val="en-GB" w:eastAsia="en-GB"/>
              </w:rPr>
              <w:t>20</w:t>
            </w:r>
            <w:r>
              <w:rPr>
                <w:rFonts w:eastAsia="Times New Roman" w:cs="Arial"/>
                <w:b/>
                <w:bCs/>
                <w:sz w:val="16"/>
                <w:szCs w:val="16"/>
                <w:lang w:val="en-GB" w:eastAsia="en-GB"/>
              </w:rPr>
              <w:t>20</w:t>
            </w:r>
          </w:p>
        </w:tc>
        <w:tc>
          <w:tcPr>
            <w:tcW w:w="4241" w:type="dxa"/>
            <w:tcBorders>
              <w:top w:val="nil"/>
              <w:left w:val="nil"/>
              <w:bottom w:val="nil"/>
              <w:right w:val="nil"/>
            </w:tcBorders>
            <w:shd w:val="clear" w:color="auto" w:fill="auto"/>
            <w:noWrap/>
            <w:vAlign w:val="bottom"/>
            <w:hideMark/>
          </w:tcPr>
          <w:p w14:paraId="69B6BE24" w14:textId="77777777" w:rsidR="00F83E32" w:rsidRPr="00F83E32" w:rsidRDefault="00F83E32" w:rsidP="00F83E32">
            <w:pPr>
              <w:jc w:val="right"/>
              <w:rPr>
                <w:rFonts w:eastAsia="Times New Roman" w:cs="Arial"/>
                <w:b/>
                <w:bCs/>
                <w:sz w:val="16"/>
                <w:szCs w:val="16"/>
                <w:lang w:val="en-GB" w:eastAsia="en-GB"/>
              </w:rPr>
            </w:pPr>
          </w:p>
        </w:tc>
        <w:tc>
          <w:tcPr>
            <w:tcW w:w="1967" w:type="dxa"/>
            <w:tcBorders>
              <w:top w:val="nil"/>
              <w:left w:val="nil"/>
              <w:bottom w:val="nil"/>
              <w:right w:val="nil"/>
            </w:tcBorders>
            <w:shd w:val="clear" w:color="auto" w:fill="auto"/>
            <w:noWrap/>
            <w:vAlign w:val="bottom"/>
            <w:hideMark/>
          </w:tcPr>
          <w:p w14:paraId="08DE57F6" w14:textId="70E31180" w:rsidR="00994564" w:rsidRDefault="00994564" w:rsidP="00994564">
            <w:pPr>
              <w:jc w:val="center"/>
              <w:rPr>
                <w:rFonts w:eastAsia="Times New Roman" w:cs="Arial"/>
                <w:b/>
                <w:bCs/>
                <w:sz w:val="16"/>
                <w:szCs w:val="16"/>
                <w:lang w:val="en-GB" w:eastAsia="en-GB"/>
              </w:rPr>
            </w:pPr>
            <w:r>
              <w:rPr>
                <w:rFonts w:eastAsia="Times New Roman" w:cs="Arial"/>
                <w:b/>
                <w:bCs/>
                <w:sz w:val="16"/>
                <w:szCs w:val="16"/>
                <w:lang w:val="en-GB" w:eastAsia="en-GB"/>
              </w:rPr>
              <w:t>Current</w:t>
            </w:r>
          </w:p>
          <w:p w14:paraId="2A4B006C" w14:textId="77777777" w:rsidR="00994564" w:rsidRDefault="00994564" w:rsidP="00994564">
            <w:pPr>
              <w:jc w:val="center"/>
              <w:rPr>
                <w:rFonts w:eastAsia="Times New Roman" w:cs="Arial"/>
                <w:b/>
                <w:bCs/>
                <w:sz w:val="16"/>
                <w:szCs w:val="16"/>
                <w:lang w:val="en-GB" w:eastAsia="en-GB"/>
              </w:rPr>
            </w:pPr>
          </w:p>
          <w:p w14:paraId="22A9496A" w14:textId="3F7F11E5" w:rsidR="00F83E32" w:rsidRPr="00F83E32" w:rsidRDefault="00994564" w:rsidP="00F83E32">
            <w:pPr>
              <w:jc w:val="right"/>
              <w:rPr>
                <w:rFonts w:eastAsia="Times New Roman" w:cs="Arial"/>
                <w:b/>
                <w:bCs/>
                <w:sz w:val="16"/>
                <w:szCs w:val="16"/>
                <w:lang w:val="en-GB" w:eastAsia="en-GB"/>
              </w:rPr>
            </w:pPr>
            <w:r>
              <w:rPr>
                <w:rFonts w:eastAsia="Times New Roman" w:cs="Arial"/>
                <w:b/>
                <w:bCs/>
                <w:sz w:val="16"/>
                <w:szCs w:val="16"/>
                <w:lang w:val="en-GB" w:eastAsia="en-GB"/>
              </w:rPr>
              <w:t>31 March 20</w:t>
            </w:r>
            <w:r w:rsidR="00F83E32" w:rsidRPr="00F83E32">
              <w:rPr>
                <w:rFonts w:eastAsia="Times New Roman" w:cs="Arial"/>
                <w:b/>
                <w:bCs/>
                <w:sz w:val="16"/>
                <w:szCs w:val="16"/>
                <w:lang w:val="en-GB" w:eastAsia="en-GB"/>
              </w:rPr>
              <w:t>21</w:t>
            </w:r>
          </w:p>
        </w:tc>
      </w:tr>
      <w:tr w:rsidR="00F83E32" w:rsidRPr="00F83E32" w14:paraId="3D5F04F3" w14:textId="77777777" w:rsidTr="00994564">
        <w:trPr>
          <w:trHeight w:val="207"/>
          <w:jc w:val="center"/>
        </w:trPr>
        <w:tc>
          <w:tcPr>
            <w:tcW w:w="1693" w:type="dxa"/>
            <w:tcBorders>
              <w:top w:val="nil"/>
              <w:left w:val="nil"/>
              <w:bottom w:val="single" w:sz="4" w:space="0" w:color="auto"/>
              <w:right w:val="nil"/>
            </w:tcBorders>
            <w:shd w:val="clear" w:color="auto" w:fill="auto"/>
            <w:noWrap/>
            <w:vAlign w:val="bottom"/>
            <w:hideMark/>
          </w:tcPr>
          <w:p w14:paraId="5F72F9D3" w14:textId="77777777" w:rsidR="00F83E32" w:rsidRPr="00F83E32" w:rsidRDefault="00F83E32" w:rsidP="00994564">
            <w:pPr>
              <w:jc w:val="right"/>
              <w:rPr>
                <w:rFonts w:eastAsia="Times New Roman" w:cs="Arial"/>
                <w:b/>
                <w:bCs/>
                <w:sz w:val="16"/>
                <w:szCs w:val="16"/>
                <w:lang w:val="en-GB" w:eastAsia="en-GB"/>
              </w:rPr>
            </w:pPr>
            <w:r w:rsidRPr="00F83E32">
              <w:rPr>
                <w:rFonts w:eastAsia="Times New Roman" w:cs="Arial"/>
                <w:b/>
                <w:bCs/>
                <w:sz w:val="16"/>
                <w:szCs w:val="16"/>
                <w:lang w:val="en-GB" w:eastAsia="en-GB"/>
              </w:rPr>
              <w:t>£000</w:t>
            </w:r>
          </w:p>
        </w:tc>
        <w:tc>
          <w:tcPr>
            <w:tcW w:w="4241" w:type="dxa"/>
            <w:tcBorders>
              <w:top w:val="nil"/>
              <w:left w:val="nil"/>
              <w:bottom w:val="single" w:sz="4" w:space="0" w:color="auto"/>
              <w:right w:val="nil"/>
            </w:tcBorders>
            <w:shd w:val="clear" w:color="auto" w:fill="auto"/>
            <w:noWrap/>
            <w:vAlign w:val="bottom"/>
            <w:hideMark/>
          </w:tcPr>
          <w:p w14:paraId="58E6F85B" w14:textId="77777777" w:rsidR="00F83E32" w:rsidRPr="00F83E32" w:rsidRDefault="00F83E32" w:rsidP="00F83E32">
            <w:pPr>
              <w:jc w:val="center"/>
              <w:rPr>
                <w:rFonts w:eastAsia="Times New Roman" w:cs="Arial"/>
                <w:sz w:val="16"/>
                <w:szCs w:val="16"/>
                <w:lang w:val="en-GB" w:eastAsia="en-GB"/>
              </w:rPr>
            </w:pPr>
            <w:r w:rsidRPr="00F83E32">
              <w:rPr>
                <w:rFonts w:eastAsia="Times New Roman" w:cs="Arial"/>
                <w:sz w:val="16"/>
                <w:szCs w:val="16"/>
                <w:lang w:val="en-GB" w:eastAsia="en-GB"/>
              </w:rPr>
              <w:t> </w:t>
            </w:r>
          </w:p>
        </w:tc>
        <w:tc>
          <w:tcPr>
            <w:tcW w:w="1967" w:type="dxa"/>
            <w:tcBorders>
              <w:top w:val="nil"/>
              <w:left w:val="nil"/>
              <w:bottom w:val="single" w:sz="4" w:space="0" w:color="auto"/>
              <w:right w:val="nil"/>
            </w:tcBorders>
            <w:shd w:val="clear" w:color="auto" w:fill="auto"/>
            <w:noWrap/>
            <w:vAlign w:val="bottom"/>
            <w:hideMark/>
          </w:tcPr>
          <w:p w14:paraId="2FD299B2" w14:textId="77777777" w:rsidR="00F83E32" w:rsidRPr="00F83E32" w:rsidRDefault="00F83E32" w:rsidP="00994564">
            <w:pPr>
              <w:jc w:val="right"/>
              <w:rPr>
                <w:rFonts w:eastAsia="Times New Roman" w:cs="Arial"/>
                <w:b/>
                <w:bCs/>
                <w:sz w:val="16"/>
                <w:szCs w:val="16"/>
                <w:lang w:val="en-GB" w:eastAsia="en-GB"/>
              </w:rPr>
            </w:pPr>
            <w:r w:rsidRPr="00F83E32">
              <w:rPr>
                <w:rFonts w:eastAsia="Times New Roman" w:cs="Arial"/>
                <w:b/>
                <w:bCs/>
                <w:sz w:val="16"/>
                <w:szCs w:val="16"/>
                <w:lang w:val="en-GB" w:eastAsia="en-GB"/>
              </w:rPr>
              <w:t>£000</w:t>
            </w:r>
          </w:p>
        </w:tc>
      </w:tr>
      <w:tr w:rsidR="00F83E32" w:rsidRPr="00F83E32" w14:paraId="7C8D7B72" w14:textId="77777777" w:rsidTr="00994564">
        <w:trPr>
          <w:trHeight w:val="268"/>
          <w:jc w:val="center"/>
        </w:trPr>
        <w:tc>
          <w:tcPr>
            <w:tcW w:w="1693" w:type="dxa"/>
            <w:tcBorders>
              <w:top w:val="nil"/>
              <w:left w:val="nil"/>
              <w:bottom w:val="nil"/>
              <w:right w:val="nil"/>
            </w:tcBorders>
            <w:shd w:val="clear" w:color="auto" w:fill="auto"/>
            <w:noWrap/>
            <w:vAlign w:val="bottom"/>
            <w:hideMark/>
          </w:tcPr>
          <w:p w14:paraId="014DBC77"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0</w:t>
            </w:r>
          </w:p>
        </w:tc>
        <w:tc>
          <w:tcPr>
            <w:tcW w:w="4241" w:type="dxa"/>
            <w:tcBorders>
              <w:top w:val="nil"/>
              <w:left w:val="nil"/>
              <w:bottom w:val="nil"/>
              <w:right w:val="nil"/>
            </w:tcBorders>
            <w:shd w:val="clear" w:color="auto" w:fill="auto"/>
            <w:vAlign w:val="bottom"/>
            <w:hideMark/>
          </w:tcPr>
          <w:p w14:paraId="1E43E112" w14:textId="77777777" w:rsidR="00F83E32" w:rsidRPr="00F83E32" w:rsidRDefault="00F83E32" w:rsidP="00F83E32">
            <w:pPr>
              <w:jc w:val="center"/>
              <w:rPr>
                <w:rFonts w:eastAsia="Times New Roman" w:cs="Arial"/>
                <w:sz w:val="16"/>
                <w:szCs w:val="16"/>
                <w:lang w:val="en-GB" w:eastAsia="en-GB"/>
              </w:rPr>
            </w:pPr>
            <w:r w:rsidRPr="00F83E32">
              <w:rPr>
                <w:rFonts w:eastAsia="Times New Roman" w:cs="Arial"/>
                <w:sz w:val="16"/>
                <w:szCs w:val="16"/>
                <w:lang w:val="en-GB" w:eastAsia="en-GB"/>
              </w:rPr>
              <w:t>Balance ou</w:t>
            </w:r>
            <w:r w:rsidR="00CA7BB8">
              <w:rPr>
                <w:rFonts w:eastAsia="Times New Roman" w:cs="Arial"/>
                <w:sz w:val="16"/>
                <w:szCs w:val="16"/>
                <w:lang w:val="en-GB" w:eastAsia="en-GB"/>
              </w:rPr>
              <w:t>t</w:t>
            </w:r>
            <w:r w:rsidRPr="00F83E32">
              <w:rPr>
                <w:rFonts w:eastAsia="Times New Roman" w:cs="Arial"/>
                <w:sz w:val="16"/>
                <w:szCs w:val="16"/>
                <w:lang w:val="en-GB" w:eastAsia="en-GB"/>
              </w:rPr>
              <w:t>standing at start of year</w:t>
            </w:r>
          </w:p>
        </w:tc>
        <w:tc>
          <w:tcPr>
            <w:tcW w:w="1967" w:type="dxa"/>
            <w:tcBorders>
              <w:top w:val="nil"/>
              <w:left w:val="nil"/>
              <w:bottom w:val="nil"/>
              <w:right w:val="nil"/>
            </w:tcBorders>
            <w:shd w:val="clear" w:color="auto" w:fill="auto"/>
            <w:noWrap/>
            <w:vAlign w:val="bottom"/>
            <w:hideMark/>
          </w:tcPr>
          <w:p w14:paraId="2D1E4017"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1,355</w:t>
            </w:r>
          </w:p>
        </w:tc>
      </w:tr>
      <w:tr w:rsidR="00F83E32" w:rsidRPr="00F83E32" w14:paraId="6E897988" w14:textId="77777777" w:rsidTr="00994564">
        <w:trPr>
          <w:trHeight w:val="74"/>
          <w:jc w:val="center"/>
        </w:trPr>
        <w:tc>
          <w:tcPr>
            <w:tcW w:w="1693" w:type="dxa"/>
            <w:tcBorders>
              <w:top w:val="nil"/>
              <w:left w:val="nil"/>
              <w:bottom w:val="nil"/>
              <w:right w:val="nil"/>
            </w:tcBorders>
            <w:shd w:val="clear" w:color="auto" w:fill="auto"/>
            <w:noWrap/>
            <w:vAlign w:val="bottom"/>
            <w:hideMark/>
          </w:tcPr>
          <w:p w14:paraId="5AC5B8BD" w14:textId="77777777" w:rsidR="00F83E32" w:rsidRPr="00F83E32" w:rsidRDefault="00F83E32" w:rsidP="00F83E32">
            <w:pPr>
              <w:jc w:val="right"/>
              <w:rPr>
                <w:rFonts w:eastAsia="Times New Roman" w:cs="Arial"/>
                <w:sz w:val="16"/>
                <w:szCs w:val="16"/>
                <w:lang w:val="en-GB" w:eastAsia="en-GB"/>
              </w:rPr>
            </w:pPr>
          </w:p>
        </w:tc>
        <w:tc>
          <w:tcPr>
            <w:tcW w:w="4241" w:type="dxa"/>
            <w:tcBorders>
              <w:top w:val="nil"/>
              <w:left w:val="nil"/>
              <w:bottom w:val="nil"/>
              <w:right w:val="nil"/>
            </w:tcBorders>
            <w:shd w:val="clear" w:color="auto" w:fill="auto"/>
            <w:noWrap/>
            <w:vAlign w:val="bottom"/>
            <w:hideMark/>
          </w:tcPr>
          <w:p w14:paraId="6E4D17AE" w14:textId="77777777" w:rsidR="00F83E32" w:rsidRPr="00F83E32" w:rsidRDefault="00F83E32" w:rsidP="00F83E32">
            <w:pPr>
              <w:rPr>
                <w:rFonts w:ascii="Times New Roman" w:eastAsia="Times New Roman" w:hAnsi="Times New Roman" w:cs="Times New Roman"/>
                <w:sz w:val="20"/>
                <w:szCs w:val="20"/>
                <w:lang w:val="en-GB" w:eastAsia="en-GB"/>
              </w:rPr>
            </w:pPr>
          </w:p>
        </w:tc>
        <w:tc>
          <w:tcPr>
            <w:tcW w:w="1967" w:type="dxa"/>
            <w:tcBorders>
              <w:top w:val="nil"/>
              <w:left w:val="nil"/>
              <w:bottom w:val="nil"/>
              <w:right w:val="nil"/>
            </w:tcBorders>
            <w:shd w:val="clear" w:color="auto" w:fill="auto"/>
            <w:noWrap/>
            <w:vAlign w:val="bottom"/>
            <w:hideMark/>
          </w:tcPr>
          <w:p w14:paraId="1E925311" w14:textId="77777777" w:rsidR="00F83E32" w:rsidRPr="00F83E32" w:rsidRDefault="00F83E32" w:rsidP="00F83E32">
            <w:pPr>
              <w:jc w:val="center"/>
              <w:rPr>
                <w:rFonts w:ascii="Times New Roman" w:eastAsia="Times New Roman" w:hAnsi="Times New Roman" w:cs="Times New Roman"/>
                <w:sz w:val="20"/>
                <w:szCs w:val="20"/>
                <w:lang w:val="en-GB" w:eastAsia="en-GB"/>
              </w:rPr>
            </w:pPr>
          </w:p>
        </w:tc>
      </w:tr>
      <w:tr w:rsidR="00F83E32" w:rsidRPr="00F83E32" w14:paraId="5A0F22F4" w14:textId="77777777" w:rsidTr="00994564">
        <w:trPr>
          <w:trHeight w:val="74"/>
          <w:jc w:val="center"/>
        </w:trPr>
        <w:tc>
          <w:tcPr>
            <w:tcW w:w="1693" w:type="dxa"/>
            <w:tcBorders>
              <w:top w:val="nil"/>
              <w:left w:val="nil"/>
              <w:bottom w:val="nil"/>
              <w:right w:val="nil"/>
            </w:tcBorders>
            <w:shd w:val="clear" w:color="auto" w:fill="auto"/>
            <w:noWrap/>
            <w:vAlign w:val="bottom"/>
            <w:hideMark/>
          </w:tcPr>
          <w:p w14:paraId="2B0845C0" w14:textId="77777777" w:rsidR="00F83E32" w:rsidRPr="00F83E32" w:rsidRDefault="00F83E32" w:rsidP="00F83E32">
            <w:pPr>
              <w:rPr>
                <w:rFonts w:ascii="Times New Roman" w:eastAsia="Times New Roman" w:hAnsi="Times New Roman" w:cs="Times New Roman"/>
                <w:sz w:val="20"/>
                <w:szCs w:val="20"/>
                <w:lang w:val="en-GB" w:eastAsia="en-GB"/>
              </w:rPr>
            </w:pPr>
          </w:p>
        </w:tc>
        <w:tc>
          <w:tcPr>
            <w:tcW w:w="4241" w:type="dxa"/>
            <w:tcBorders>
              <w:top w:val="nil"/>
              <w:left w:val="nil"/>
              <w:bottom w:val="nil"/>
              <w:right w:val="nil"/>
            </w:tcBorders>
            <w:shd w:val="clear" w:color="auto" w:fill="auto"/>
            <w:vAlign w:val="bottom"/>
            <w:hideMark/>
          </w:tcPr>
          <w:p w14:paraId="7768AD97" w14:textId="77777777" w:rsidR="00F83E32" w:rsidRPr="00F83E32" w:rsidRDefault="00F83E32" w:rsidP="00F83E32">
            <w:pPr>
              <w:jc w:val="center"/>
              <w:rPr>
                <w:rFonts w:eastAsia="Times New Roman" w:cs="Arial"/>
                <w:sz w:val="16"/>
                <w:szCs w:val="16"/>
                <w:lang w:val="en-GB" w:eastAsia="en-GB"/>
              </w:rPr>
            </w:pPr>
            <w:r w:rsidRPr="00F83E32">
              <w:rPr>
                <w:rFonts w:eastAsia="Times New Roman" w:cs="Arial"/>
                <w:sz w:val="16"/>
                <w:szCs w:val="16"/>
                <w:lang w:val="en-GB" w:eastAsia="en-GB"/>
              </w:rPr>
              <w:t>Asset newly classified as Investment properties:</w:t>
            </w:r>
          </w:p>
        </w:tc>
        <w:tc>
          <w:tcPr>
            <w:tcW w:w="1967" w:type="dxa"/>
            <w:tcBorders>
              <w:top w:val="nil"/>
              <w:left w:val="nil"/>
              <w:bottom w:val="nil"/>
              <w:right w:val="nil"/>
            </w:tcBorders>
            <w:shd w:val="clear" w:color="auto" w:fill="auto"/>
            <w:noWrap/>
            <w:vAlign w:val="bottom"/>
            <w:hideMark/>
          </w:tcPr>
          <w:p w14:paraId="05D867B4" w14:textId="77777777" w:rsidR="00F83E32" w:rsidRPr="00F83E32" w:rsidRDefault="00F83E32" w:rsidP="00F83E32">
            <w:pPr>
              <w:jc w:val="center"/>
              <w:rPr>
                <w:rFonts w:eastAsia="Times New Roman" w:cs="Arial"/>
                <w:sz w:val="16"/>
                <w:szCs w:val="16"/>
                <w:lang w:val="en-GB" w:eastAsia="en-GB"/>
              </w:rPr>
            </w:pPr>
          </w:p>
        </w:tc>
      </w:tr>
      <w:tr w:rsidR="00F83E32" w:rsidRPr="00F83E32" w14:paraId="48FD9F8D" w14:textId="77777777" w:rsidTr="00994564">
        <w:trPr>
          <w:trHeight w:val="74"/>
          <w:jc w:val="center"/>
        </w:trPr>
        <w:tc>
          <w:tcPr>
            <w:tcW w:w="1693" w:type="dxa"/>
            <w:tcBorders>
              <w:top w:val="nil"/>
              <w:left w:val="nil"/>
              <w:bottom w:val="nil"/>
              <w:right w:val="nil"/>
            </w:tcBorders>
            <w:shd w:val="clear" w:color="auto" w:fill="auto"/>
            <w:noWrap/>
            <w:vAlign w:val="bottom"/>
            <w:hideMark/>
          </w:tcPr>
          <w:p w14:paraId="11BCDE2F" w14:textId="77777777" w:rsidR="00F83E32" w:rsidRPr="00F83E32" w:rsidRDefault="00F83E32" w:rsidP="00F83E32">
            <w:pPr>
              <w:rPr>
                <w:rFonts w:ascii="Times New Roman" w:eastAsia="Times New Roman" w:hAnsi="Times New Roman" w:cs="Times New Roman"/>
                <w:sz w:val="20"/>
                <w:szCs w:val="20"/>
                <w:lang w:val="en-GB" w:eastAsia="en-GB"/>
              </w:rPr>
            </w:pPr>
          </w:p>
        </w:tc>
        <w:tc>
          <w:tcPr>
            <w:tcW w:w="4241" w:type="dxa"/>
            <w:tcBorders>
              <w:top w:val="nil"/>
              <w:left w:val="nil"/>
              <w:bottom w:val="nil"/>
              <w:right w:val="nil"/>
            </w:tcBorders>
            <w:shd w:val="clear" w:color="auto" w:fill="auto"/>
            <w:noWrap/>
            <w:vAlign w:val="bottom"/>
            <w:hideMark/>
          </w:tcPr>
          <w:p w14:paraId="15A46800" w14:textId="77777777" w:rsidR="00F83E32" w:rsidRPr="00F83E32" w:rsidRDefault="00F83E32" w:rsidP="00F83E32">
            <w:pPr>
              <w:rPr>
                <w:rFonts w:ascii="Times New Roman" w:eastAsia="Times New Roman" w:hAnsi="Times New Roman" w:cs="Times New Roman"/>
                <w:sz w:val="20"/>
                <w:szCs w:val="20"/>
                <w:lang w:val="en-GB" w:eastAsia="en-GB"/>
              </w:rPr>
            </w:pPr>
          </w:p>
        </w:tc>
        <w:tc>
          <w:tcPr>
            <w:tcW w:w="1967" w:type="dxa"/>
            <w:tcBorders>
              <w:top w:val="nil"/>
              <w:left w:val="nil"/>
              <w:bottom w:val="nil"/>
              <w:right w:val="nil"/>
            </w:tcBorders>
            <w:shd w:val="clear" w:color="auto" w:fill="auto"/>
            <w:noWrap/>
            <w:vAlign w:val="bottom"/>
            <w:hideMark/>
          </w:tcPr>
          <w:p w14:paraId="5F3680F2" w14:textId="77777777" w:rsidR="00F83E32" w:rsidRPr="00F83E32" w:rsidRDefault="00F83E32" w:rsidP="00F83E32">
            <w:pPr>
              <w:jc w:val="center"/>
              <w:rPr>
                <w:rFonts w:ascii="Times New Roman" w:eastAsia="Times New Roman" w:hAnsi="Times New Roman" w:cs="Times New Roman"/>
                <w:sz w:val="20"/>
                <w:szCs w:val="20"/>
                <w:lang w:val="en-GB" w:eastAsia="en-GB"/>
              </w:rPr>
            </w:pPr>
          </w:p>
        </w:tc>
      </w:tr>
      <w:tr w:rsidR="00F83E32" w:rsidRPr="00F83E32" w14:paraId="118EF120" w14:textId="77777777" w:rsidTr="00994564">
        <w:trPr>
          <w:trHeight w:val="207"/>
          <w:jc w:val="center"/>
        </w:trPr>
        <w:tc>
          <w:tcPr>
            <w:tcW w:w="1693" w:type="dxa"/>
            <w:tcBorders>
              <w:top w:val="nil"/>
              <w:left w:val="nil"/>
              <w:bottom w:val="nil"/>
              <w:right w:val="nil"/>
            </w:tcBorders>
            <w:shd w:val="clear" w:color="auto" w:fill="auto"/>
            <w:noWrap/>
            <w:vAlign w:val="bottom"/>
            <w:hideMark/>
          </w:tcPr>
          <w:p w14:paraId="44DEC3AE"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1,355</w:t>
            </w:r>
          </w:p>
        </w:tc>
        <w:tc>
          <w:tcPr>
            <w:tcW w:w="4241" w:type="dxa"/>
            <w:tcBorders>
              <w:top w:val="nil"/>
              <w:left w:val="nil"/>
              <w:bottom w:val="nil"/>
              <w:right w:val="nil"/>
            </w:tcBorders>
            <w:shd w:val="clear" w:color="auto" w:fill="auto"/>
            <w:noWrap/>
            <w:vAlign w:val="bottom"/>
            <w:hideMark/>
          </w:tcPr>
          <w:p w14:paraId="3105D3C9" w14:textId="77777777" w:rsidR="00F83E32" w:rsidRPr="00F83E32" w:rsidRDefault="00F83E32" w:rsidP="00F83E32">
            <w:pPr>
              <w:jc w:val="center"/>
              <w:rPr>
                <w:rFonts w:eastAsia="Times New Roman" w:cs="Arial"/>
                <w:sz w:val="16"/>
                <w:szCs w:val="16"/>
                <w:lang w:val="en-GB" w:eastAsia="en-GB"/>
              </w:rPr>
            </w:pPr>
            <w:r w:rsidRPr="00F83E32">
              <w:rPr>
                <w:rFonts w:eastAsia="Times New Roman" w:cs="Arial"/>
                <w:sz w:val="16"/>
                <w:szCs w:val="16"/>
                <w:lang w:val="en-GB" w:eastAsia="en-GB"/>
              </w:rPr>
              <w:t>Property, plant and equipment</w:t>
            </w:r>
          </w:p>
        </w:tc>
        <w:tc>
          <w:tcPr>
            <w:tcW w:w="1967" w:type="dxa"/>
            <w:tcBorders>
              <w:top w:val="nil"/>
              <w:left w:val="nil"/>
              <w:bottom w:val="nil"/>
              <w:right w:val="nil"/>
            </w:tcBorders>
            <w:shd w:val="clear" w:color="auto" w:fill="auto"/>
            <w:noWrap/>
            <w:vAlign w:val="bottom"/>
            <w:hideMark/>
          </w:tcPr>
          <w:p w14:paraId="479A9D3C" w14:textId="77777777" w:rsidR="00F83E32" w:rsidRPr="00F83E32" w:rsidRDefault="0056279A" w:rsidP="00F83E32">
            <w:pPr>
              <w:jc w:val="right"/>
              <w:rPr>
                <w:rFonts w:eastAsia="Times New Roman" w:cs="Arial"/>
                <w:sz w:val="16"/>
                <w:szCs w:val="16"/>
                <w:lang w:val="en-GB" w:eastAsia="en-GB"/>
              </w:rPr>
            </w:pPr>
            <w:r>
              <w:rPr>
                <w:rFonts w:eastAsia="Times New Roman" w:cs="Arial"/>
                <w:sz w:val="16"/>
                <w:szCs w:val="16"/>
                <w:lang w:val="en-GB" w:eastAsia="en-GB"/>
              </w:rPr>
              <w:t>300</w:t>
            </w:r>
          </w:p>
        </w:tc>
      </w:tr>
      <w:tr w:rsidR="00F83E32" w:rsidRPr="00F83E32" w14:paraId="52745DF3" w14:textId="77777777" w:rsidTr="00994564">
        <w:trPr>
          <w:trHeight w:val="207"/>
          <w:jc w:val="center"/>
        </w:trPr>
        <w:tc>
          <w:tcPr>
            <w:tcW w:w="1693" w:type="dxa"/>
            <w:tcBorders>
              <w:top w:val="nil"/>
              <w:left w:val="nil"/>
              <w:bottom w:val="nil"/>
              <w:right w:val="nil"/>
            </w:tcBorders>
            <w:shd w:val="clear" w:color="auto" w:fill="auto"/>
            <w:noWrap/>
            <w:vAlign w:val="bottom"/>
            <w:hideMark/>
          </w:tcPr>
          <w:p w14:paraId="33C50270"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0</w:t>
            </w:r>
          </w:p>
        </w:tc>
        <w:tc>
          <w:tcPr>
            <w:tcW w:w="4241" w:type="dxa"/>
            <w:tcBorders>
              <w:top w:val="nil"/>
              <w:left w:val="nil"/>
              <w:bottom w:val="nil"/>
              <w:right w:val="nil"/>
            </w:tcBorders>
            <w:shd w:val="clear" w:color="auto" w:fill="auto"/>
            <w:noWrap/>
            <w:vAlign w:val="bottom"/>
            <w:hideMark/>
          </w:tcPr>
          <w:p w14:paraId="27FB43CD" w14:textId="77777777" w:rsidR="00F83E32" w:rsidRPr="00F83E32" w:rsidRDefault="00F83E32" w:rsidP="00F83E32">
            <w:pPr>
              <w:jc w:val="center"/>
              <w:rPr>
                <w:rFonts w:eastAsia="Times New Roman" w:cs="Arial"/>
                <w:sz w:val="16"/>
                <w:szCs w:val="16"/>
                <w:lang w:val="en-GB" w:eastAsia="en-GB"/>
              </w:rPr>
            </w:pPr>
            <w:r w:rsidRPr="00F83E32">
              <w:rPr>
                <w:rFonts w:eastAsia="Times New Roman" w:cs="Arial"/>
                <w:sz w:val="16"/>
                <w:szCs w:val="16"/>
                <w:lang w:val="en-GB" w:eastAsia="en-GB"/>
              </w:rPr>
              <w:t>Surplus assets</w:t>
            </w:r>
          </w:p>
        </w:tc>
        <w:tc>
          <w:tcPr>
            <w:tcW w:w="1967" w:type="dxa"/>
            <w:tcBorders>
              <w:top w:val="nil"/>
              <w:left w:val="nil"/>
              <w:bottom w:val="nil"/>
              <w:right w:val="nil"/>
            </w:tcBorders>
            <w:shd w:val="clear" w:color="auto" w:fill="auto"/>
            <w:noWrap/>
            <w:vAlign w:val="bottom"/>
            <w:hideMark/>
          </w:tcPr>
          <w:p w14:paraId="6D64E364"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2</w:t>
            </w:r>
          </w:p>
        </w:tc>
      </w:tr>
      <w:tr w:rsidR="00F83E32" w:rsidRPr="00F83E32" w14:paraId="4F3C5EA9" w14:textId="77777777" w:rsidTr="00994564">
        <w:trPr>
          <w:trHeight w:val="207"/>
          <w:jc w:val="center"/>
        </w:trPr>
        <w:tc>
          <w:tcPr>
            <w:tcW w:w="1693" w:type="dxa"/>
            <w:tcBorders>
              <w:top w:val="nil"/>
              <w:left w:val="nil"/>
              <w:bottom w:val="nil"/>
              <w:right w:val="nil"/>
            </w:tcBorders>
            <w:shd w:val="clear" w:color="auto" w:fill="auto"/>
            <w:noWrap/>
            <w:vAlign w:val="bottom"/>
            <w:hideMark/>
          </w:tcPr>
          <w:p w14:paraId="55451F66"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0</w:t>
            </w:r>
          </w:p>
        </w:tc>
        <w:tc>
          <w:tcPr>
            <w:tcW w:w="4241" w:type="dxa"/>
            <w:tcBorders>
              <w:top w:val="nil"/>
              <w:left w:val="nil"/>
              <w:bottom w:val="nil"/>
              <w:right w:val="nil"/>
            </w:tcBorders>
            <w:shd w:val="clear" w:color="auto" w:fill="auto"/>
            <w:noWrap/>
            <w:vAlign w:val="bottom"/>
            <w:hideMark/>
          </w:tcPr>
          <w:p w14:paraId="57D26A03" w14:textId="77777777" w:rsidR="00F83E32" w:rsidRPr="00F83E32" w:rsidRDefault="00F83E32" w:rsidP="00F83E32">
            <w:pPr>
              <w:jc w:val="center"/>
              <w:rPr>
                <w:rFonts w:eastAsia="Times New Roman" w:cs="Arial"/>
                <w:sz w:val="16"/>
                <w:szCs w:val="16"/>
                <w:lang w:val="en-GB" w:eastAsia="en-GB"/>
              </w:rPr>
            </w:pPr>
            <w:r w:rsidRPr="00F83E32">
              <w:rPr>
                <w:rFonts w:eastAsia="Times New Roman" w:cs="Arial"/>
                <w:sz w:val="16"/>
                <w:szCs w:val="16"/>
                <w:lang w:val="en-GB" w:eastAsia="en-GB"/>
              </w:rPr>
              <w:t>Asset Held for Sale</w:t>
            </w:r>
          </w:p>
        </w:tc>
        <w:tc>
          <w:tcPr>
            <w:tcW w:w="1967" w:type="dxa"/>
            <w:tcBorders>
              <w:top w:val="nil"/>
              <w:left w:val="nil"/>
              <w:bottom w:val="nil"/>
              <w:right w:val="nil"/>
            </w:tcBorders>
            <w:shd w:val="clear" w:color="auto" w:fill="auto"/>
            <w:noWrap/>
            <w:vAlign w:val="bottom"/>
            <w:hideMark/>
          </w:tcPr>
          <w:p w14:paraId="3E39ECC0"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140</w:t>
            </w:r>
          </w:p>
        </w:tc>
      </w:tr>
      <w:tr w:rsidR="00F83E32" w:rsidRPr="00F83E32" w14:paraId="0F97541B" w14:textId="77777777" w:rsidTr="00994564">
        <w:trPr>
          <w:trHeight w:val="74"/>
          <w:jc w:val="center"/>
        </w:trPr>
        <w:tc>
          <w:tcPr>
            <w:tcW w:w="1693" w:type="dxa"/>
            <w:tcBorders>
              <w:top w:val="nil"/>
              <w:left w:val="nil"/>
              <w:bottom w:val="nil"/>
              <w:right w:val="nil"/>
            </w:tcBorders>
            <w:shd w:val="clear" w:color="auto" w:fill="auto"/>
            <w:noWrap/>
            <w:vAlign w:val="bottom"/>
            <w:hideMark/>
          </w:tcPr>
          <w:p w14:paraId="5A085C39" w14:textId="77777777" w:rsidR="00F83E32" w:rsidRPr="00F83E32" w:rsidRDefault="00F83E32" w:rsidP="00F83E32">
            <w:pPr>
              <w:jc w:val="right"/>
              <w:rPr>
                <w:rFonts w:eastAsia="Times New Roman" w:cs="Arial"/>
                <w:sz w:val="16"/>
                <w:szCs w:val="16"/>
                <w:lang w:val="en-GB" w:eastAsia="en-GB"/>
              </w:rPr>
            </w:pPr>
          </w:p>
        </w:tc>
        <w:tc>
          <w:tcPr>
            <w:tcW w:w="4241" w:type="dxa"/>
            <w:tcBorders>
              <w:top w:val="nil"/>
              <w:left w:val="nil"/>
              <w:bottom w:val="nil"/>
              <w:right w:val="nil"/>
            </w:tcBorders>
            <w:shd w:val="clear" w:color="auto" w:fill="auto"/>
            <w:noWrap/>
            <w:vAlign w:val="bottom"/>
            <w:hideMark/>
          </w:tcPr>
          <w:p w14:paraId="0DC6E6F4" w14:textId="77777777" w:rsidR="00F83E32" w:rsidRPr="00F83E32" w:rsidRDefault="00F83E32" w:rsidP="00F83E32">
            <w:pPr>
              <w:rPr>
                <w:rFonts w:ascii="Times New Roman" w:eastAsia="Times New Roman" w:hAnsi="Times New Roman" w:cs="Times New Roman"/>
                <w:sz w:val="20"/>
                <w:szCs w:val="20"/>
                <w:lang w:val="en-GB" w:eastAsia="en-GB"/>
              </w:rPr>
            </w:pPr>
          </w:p>
        </w:tc>
        <w:tc>
          <w:tcPr>
            <w:tcW w:w="1967" w:type="dxa"/>
            <w:tcBorders>
              <w:top w:val="nil"/>
              <w:left w:val="nil"/>
              <w:bottom w:val="nil"/>
              <w:right w:val="nil"/>
            </w:tcBorders>
            <w:shd w:val="clear" w:color="auto" w:fill="auto"/>
            <w:noWrap/>
            <w:vAlign w:val="bottom"/>
            <w:hideMark/>
          </w:tcPr>
          <w:p w14:paraId="2296D5DD" w14:textId="77777777" w:rsidR="00F83E32" w:rsidRPr="00F83E32" w:rsidRDefault="00F83E32" w:rsidP="00F83E32">
            <w:pPr>
              <w:jc w:val="center"/>
              <w:rPr>
                <w:rFonts w:ascii="Times New Roman" w:eastAsia="Times New Roman" w:hAnsi="Times New Roman" w:cs="Times New Roman"/>
                <w:sz w:val="20"/>
                <w:szCs w:val="20"/>
                <w:lang w:val="en-GB" w:eastAsia="en-GB"/>
              </w:rPr>
            </w:pPr>
          </w:p>
        </w:tc>
      </w:tr>
      <w:tr w:rsidR="00F83E32" w:rsidRPr="00F83E32" w14:paraId="37A7941A" w14:textId="77777777" w:rsidTr="00994564">
        <w:trPr>
          <w:trHeight w:val="74"/>
          <w:jc w:val="center"/>
        </w:trPr>
        <w:tc>
          <w:tcPr>
            <w:tcW w:w="1693" w:type="dxa"/>
            <w:tcBorders>
              <w:top w:val="nil"/>
              <w:left w:val="nil"/>
              <w:bottom w:val="nil"/>
              <w:right w:val="nil"/>
            </w:tcBorders>
            <w:shd w:val="clear" w:color="auto" w:fill="auto"/>
            <w:noWrap/>
            <w:vAlign w:val="bottom"/>
            <w:hideMark/>
          </w:tcPr>
          <w:p w14:paraId="3B825AF6"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0</w:t>
            </w:r>
          </w:p>
        </w:tc>
        <w:tc>
          <w:tcPr>
            <w:tcW w:w="4241" w:type="dxa"/>
            <w:tcBorders>
              <w:top w:val="nil"/>
              <w:left w:val="nil"/>
              <w:bottom w:val="nil"/>
              <w:right w:val="nil"/>
            </w:tcBorders>
            <w:shd w:val="clear" w:color="auto" w:fill="auto"/>
            <w:vAlign w:val="bottom"/>
            <w:hideMark/>
          </w:tcPr>
          <w:p w14:paraId="12E87054" w14:textId="77777777" w:rsidR="00F83E32" w:rsidRPr="00F83E32" w:rsidRDefault="00F83E32" w:rsidP="00F83E32">
            <w:pPr>
              <w:jc w:val="center"/>
              <w:rPr>
                <w:rFonts w:eastAsia="Times New Roman" w:cs="Arial"/>
                <w:sz w:val="16"/>
                <w:szCs w:val="16"/>
                <w:lang w:val="en-GB" w:eastAsia="en-GB"/>
              </w:rPr>
            </w:pPr>
            <w:r w:rsidRPr="00F83E32">
              <w:rPr>
                <w:rFonts w:eastAsia="Times New Roman" w:cs="Arial"/>
                <w:sz w:val="16"/>
                <w:szCs w:val="16"/>
                <w:lang w:val="en-GB" w:eastAsia="en-GB"/>
              </w:rPr>
              <w:t>Net gains/losses from fair value adjustments</w:t>
            </w:r>
          </w:p>
        </w:tc>
        <w:tc>
          <w:tcPr>
            <w:tcW w:w="1967" w:type="dxa"/>
            <w:tcBorders>
              <w:top w:val="nil"/>
              <w:left w:val="nil"/>
              <w:bottom w:val="nil"/>
              <w:right w:val="nil"/>
            </w:tcBorders>
            <w:shd w:val="clear" w:color="auto" w:fill="auto"/>
            <w:noWrap/>
            <w:vAlign w:val="bottom"/>
            <w:hideMark/>
          </w:tcPr>
          <w:p w14:paraId="7A29FBA3"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(44)</w:t>
            </w:r>
          </w:p>
        </w:tc>
      </w:tr>
      <w:tr w:rsidR="00F83E32" w:rsidRPr="00F83E32" w14:paraId="6B3CAD18" w14:textId="77777777" w:rsidTr="00994564">
        <w:trPr>
          <w:trHeight w:val="207"/>
          <w:jc w:val="center"/>
        </w:trPr>
        <w:tc>
          <w:tcPr>
            <w:tcW w:w="1693" w:type="dxa"/>
            <w:tcBorders>
              <w:top w:val="nil"/>
              <w:left w:val="nil"/>
              <w:right w:val="nil"/>
            </w:tcBorders>
            <w:shd w:val="clear" w:color="auto" w:fill="auto"/>
            <w:noWrap/>
            <w:vAlign w:val="bottom"/>
            <w:hideMark/>
          </w:tcPr>
          <w:p w14:paraId="32E974E6"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0</w:t>
            </w:r>
          </w:p>
        </w:tc>
        <w:tc>
          <w:tcPr>
            <w:tcW w:w="4241" w:type="dxa"/>
            <w:tcBorders>
              <w:top w:val="nil"/>
              <w:left w:val="nil"/>
              <w:right w:val="nil"/>
            </w:tcBorders>
            <w:shd w:val="clear" w:color="auto" w:fill="auto"/>
            <w:noWrap/>
            <w:vAlign w:val="bottom"/>
            <w:hideMark/>
          </w:tcPr>
          <w:p w14:paraId="41367206" w14:textId="77777777" w:rsidR="00F83E32" w:rsidRPr="00F83E32" w:rsidRDefault="00F83E32" w:rsidP="00F83E32">
            <w:pPr>
              <w:jc w:val="center"/>
              <w:rPr>
                <w:rFonts w:eastAsia="Times New Roman" w:cs="Arial"/>
                <w:sz w:val="16"/>
                <w:szCs w:val="16"/>
                <w:lang w:val="en-GB" w:eastAsia="en-GB"/>
              </w:rPr>
            </w:pPr>
            <w:r w:rsidRPr="00F83E32">
              <w:rPr>
                <w:rFonts w:eastAsia="Times New Roman" w:cs="Arial"/>
                <w:sz w:val="16"/>
                <w:szCs w:val="16"/>
                <w:lang w:val="en-GB" w:eastAsia="en-GB"/>
              </w:rPr>
              <w:t>Asset sold</w:t>
            </w:r>
          </w:p>
        </w:tc>
        <w:tc>
          <w:tcPr>
            <w:tcW w:w="1967" w:type="dxa"/>
            <w:tcBorders>
              <w:top w:val="nil"/>
              <w:left w:val="nil"/>
              <w:right w:val="nil"/>
            </w:tcBorders>
            <w:shd w:val="clear" w:color="auto" w:fill="auto"/>
            <w:noWrap/>
            <w:vAlign w:val="bottom"/>
            <w:hideMark/>
          </w:tcPr>
          <w:p w14:paraId="60C11B2E"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(550)</w:t>
            </w:r>
          </w:p>
        </w:tc>
      </w:tr>
      <w:tr w:rsidR="00F83E32" w:rsidRPr="00F83E32" w14:paraId="0EA03234" w14:textId="77777777" w:rsidTr="00994564">
        <w:trPr>
          <w:trHeight w:val="207"/>
          <w:jc w:val="center"/>
        </w:trPr>
        <w:tc>
          <w:tcPr>
            <w:tcW w:w="1693" w:type="dxa"/>
            <w:tcBorders>
              <w:top w:val="nil"/>
              <w:left w:val="nil"/>
              <w:bottom w:val="single" w:sz="4" w:space="0" w:color="auto"/>
              <w:right w:val="nil"/>
            </w:tcBorders>
            <w:shd w:val="clear" w:color="auto" w:fill="auto"/>
            <w:noWrap/>
            <w:vAlign w:val="bottom"/>
            <w:hideMark/>
          </w:tcPr>
          <w:p w14:paraId="11C95574"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0</w:t>
            </w:r>
          </w:p>
        </w:tc>
        <w:tc>
          <w:tcPr>
            <w:tcW w:w="4241" w:type="dxa"/>
            <w:tcBorders>
              <w:top w:val="nil"/>
              <w:left w:val="nil"/>
              <w:bottom w:val="single" w:sz="4" w:space="0" w:color="auto"/>
              <w:right w:val="nil"/>
            </w:tcBorders>
            <w:shd w:val="clear" w:color="auto" w:fill="auto"/>
            <w:noWrap/>
            <w:vAlign w:val="bottom"/>
            <w:hideMark/>
          </w:tcPr>
          <w:p w14:paraId="73DFED9F" w14:textId="77777777" w:rsidR="00F83E32" w:rsidRPr="00F83E32" w:rsidRDefault="00F83E32" w:rsidP="00F83E32">
            <w:pPr>
              <w:jc w:val="center"/>
              <w:rPr>
                <w:rFonts w:eastAsia="Times New Roman" w:cs="Arial"/>
                <w:sz w:val="16"/>
                <w:szCs w:val="16"/>
                <w:lang w:val="en-GB" w:eastAsia="en-GB"/>
              </w:rPr>
            </w:pPr>
            <w:r w:rsidRPr="00F83E32">
              <w:rPr>
                <w:rFonts w:eastAsia="Times New Roman" w:cs="Arial"/>
                <w:sz w:val="16"/>
                <w:szCs w:val="16"/>
                <w:lang w:val="en-GB" w:eastAsia="en-GB"/>
              </w:rPr>
              <w:t>Transfer</w:t>
            </w:r>
          </w:p>
        </w:tc>
        <w:tc>
          <w:tcPr>
            <w:tcW w:w="1967" w:type="dxa"/>
            <w:tcBorders>
              <w:top w:val="nil"/>
              <w:left w:val="nil"/>
              <w:bottom w:val="single" w:sz="4" w:space="0" w:color="auto"/>
              <w:right w:val="nil"/>
            </w:tcBorders>
            <w:shd w:val="clear" w:color="auto" w:fill="auto"/>
            <w:noWrap/>
            <w:vAlign w:val="bottom"/>
            <w:hideMark/>
          </w:tcPr>
          <w:p w14:paraId="70ABEC96" w14:textId="77777777" w:rsidR="00F83E32" w:rsidRPr="00F83E32" w:rsidRDefault="00F83E32" w:rsidP="00F83E32">
            <w:pPr>
              <w:jc w:val="right"/>
              <w:rPr>
                <w:rFonts w:eastAsia="Times New Roman" w:cs="Arial"/>
                <w:sz w:val="16"/>
                <w:szCs w:val="16"/>
                <w:lang w:val="en-GB" w:eastAsia="en-GB"/>
              </w:rPr>
            </w:pPr>
            <w:r w:rsidRPr="00F83E32">
              <w:rPr>
                <w:rFonts w:eastAsia="Times New Roman" w:cs="Arial"/>
                <w:sz w:val="16"/>
                <w:szCs w:val="16"/>
                <w:lang w:val="en-GB" w:eastAsia="en-GB"/>
              </w:rPr>
              <w:t>0</w:t>
            </w:r>
          </w:p>
        </w:tc>
      </w:tr>
      <w:tr w:rsidR="00F83E32" w:rsidRPr="00F83E32" w14:paraId="7624EB3C" w14:textId="77777777" w:rsidTr="00994564">
        <w:trPr>
          <w:trHeight w:val="219"/>
          <w:jc w:val="center"/>
        </w:trPr>
        <w:tc>
          <w:tcPr>
            <w:tcW w:w="1693" w:type="dxa"/>
            <w:tcBorders>
              <w:top w:val="single" w:sz="4" w:space="0" w:color="auto"/>
              <w:left w:val="nil"/>
              <w:bottom w:val="single" w:sz="8" w:space="0" w:color="auto"/>
              <w:right w:val="nil"/>
            </w:tcBorders>
            <w:shd w:val="clear" w:color="auto" w:fill="auto"/>
            <w:noWrap/>
            <w:vAlign w:val="bottom"/>
            <w:hideMark/>
          </w:tcPr>
          <w:p w14:paraId="7D7E78C6" w14:textId="77777777" w:rsidR="00F83E32" w:rsidRPr="00F83E32" w:rsidRDefault="00F83E32" w:rsidP="00F83E32">
            <w:pPr>
              <w:jc w:val="right"/>
              <w:rPr>
                <w:rFonts w:eastAsia="Times New Roman" w:cs="Arial"/>
                <w:b/>
                <w:bCs/>
                <w:sz w:val="16"/>
                <w:szCs w:val="16"/>
                <w:lang w:val="en-GB" w:eastAsia="en-GB"/>
              </w:rPr>
            </w:pPr>
            <w:r w:rsidRPr="00F83E32">
              <w:rPr>
                <w:rFonts w:eastAsia="Times New Roman" w:cs="Arial"/>
                <w:b/>
                <w:bCs/>
                <w:sz w:val="16"/>
                <w:szCs w:val="16"/>
                <w:lang w:val="en-GB" w:eastAsia="en-GB"/>
              </w:rPr>
              <w:t>1,355</w:t>
            </w:r>
          </w:p>
        </w:tc>
        <w:tc>
          <w:tcPr>
            <w:tcW w:w="4241" w:type="dxa"/>
            <w:tcBorders>
              <w:top w:val="single" w:sz="4" w:space="0" w:color="auto"/>
              <w:left w:val="nil"/>
              <w:bottom w:val="single" w:sz="8" w:space="0" w:color="auto"/>
              <w:right w:val="nil"/>
            </w:tcBorders>
            <w:shd w:val="clear" w:color="auto" w:fill="auto"/>
            <w:vAlign w:val="bottom"/>
            <w:hideMark/>
          </w:tcPr>
          <w:p w14:paraId="77EC3944" w14:textId="77777777" w:rsidR="00F83E32" w:rsidRPr="00F83E32" w:rsidRDefault="00F83E32" w:rsidP="00F83E32">
            <w:pPr>
              <w:jc w:val="center"/>
              <w:rPr>
                <w:rFonts w:eastAsia="Times New Roman" w:cs="Arial"/>
                <w:b/>
                <w:bCs/>
                <w:sz w:val="16"/>
                <w:szCs w:val="16"/>
                <w:lang w:val="en-GB" w:eastAsia="en-GB"/>
              </w:rPr>
            </w:pPr>
            <w:r>
              <w:rPr>
                <w:rFonts w:eastAsia="Times New Roman" w:cs="Arial"/>
                <w:b/>
                <w:bCs/>
                <w:sz w:val="16"/>
                <w:szCs w:val="16"/>
                <w:lang w:val="en-GB" w:eastAsia="en-GB"/>
              </w:rPr>
              <w:t>Balance ou</w:t>
            </w:r>
            <w:r w:rsidR="00CA7BB8">
              <w:rPr>
                <w:rFonts w:eastAsia="Times New Roman" w:cs="Arial"/>
                <w:b/>
                <w:bCs/>
                <w:sz w:val="16"/>
                <w:szCs w:val="16"/>
                <w:lang w:val="en-GB" w:eastAsia="en-GB"/>
              </w:rPr>
              <w:t>t</w:t>
            </w:r>
            <w:r>
              <w:rPr>
                <w:rFonts w:eastAsia="Times New Roman" w:cs="Arial"/>
                <w:b/>
                <w:bCs/>
                <w:sz w:val="16"/>
                <w:szCs w:val="16"/>
                <w:lang w:val="en-GB" w:eastAsia="en-GB"/>
              </w:rPr>
              <w:t>standing at year end</w:t>
            </w:r>
          </w:p>
        </w:tc>
        <w:tc>
          <w:tcPr>
            <w:tcW w:w="1967" w:type="dxa"/>
            <w:tcBorders>
              <w:top w:val="single" w:sz="4" w:space="0" w:color="auto"/>
              <w:left w:val="nil"/>
              <w:bottom w:val="single" w:sz="8" w:space="0" w:color="auto"/>
              <w:right w:val="nil"/>
            </w:tcBorders>
            <w:shd w:val="clear" w:color="auto" w:fill="auto"/>
            <w:noWrap/>
            <w:vAlign w:val="bottom"/>
            <w:hideMark/>
          </w:tcPr>
          <w:p w14:paraId="3C5DD0ED" w14:textId="77777777" w:rsidR="00F83E32" w:rsidRPr="00F83E32" w:rsidRDefault="00F83E32" w:rsidP="00F83E32">
            <w:pPr>
              <w:jc w:val="right"/>
              <w:rPr>
                <w:rFonts w:eastAsia="Times New Roman" w:cs="Arial"/>
                <w:b/>
                <w:bCs/>
                <w:sz w:val="16"/>
                <w:szCs w:val="16"/>
                <w:lang w:val="en-GB" w:eastAsia="en-GB"/>
              </w:rPr>
            </w:pPr>
            <w:r w:rsidRPr="00F83E32">
              <w:rPr>
                <w:rFonts w:eastAsia="Times New Roman" w:cs="Arial"/>
                <w:b/>
                <w:bCs/>
                <w:sz w:val="16"/>
                <w:szCs w:val="16"/>
                <w:lang w:val="en-GB" w:eastAsia="en-GB"/>
              </w:rPr>
              <w:t>1,203</w:t>
            </w:r>
          </w:p>
        </w:tc>
      </w:tr>
    </w:tbl>
    <w:p w14:paraId="01616685" w14:textId="77777777" w:rsidR="00F83E32" w:rsidRDefault="00F83E32" w:rsidP="009439C7">
      <w:pPr>
        <w:jc w:val="both"/>
        <w:rPr>
          <w:highlight w:val="yellow"/>
          <w:lang w:val="pt-BR"/>
        </w:rPr>
      </w:pPr>
    </w:p>
    <w:p w14:paraId="10A6AA67" w14:textId="77777777" w:rsidR="00F83E32" w:rsidRDefault="00F83E32" w:rsidP="009439C7">
      <w:pPr>
        <w:jc w:val="both"/>
        <w:rPr>
          <w:highlight w:val="yellow"/>
          <w:lang w:val="pt-BR"/>
        </w:rPr>
      </w:pPr>
    </w:p>
    <w:p w14:paraId="64E3D9BB" w14:textId="77777777" w:rsidR="00C366AD" w:rsidRDefault="00C366AD" w:rsidP="00A31A9E">
      <w:pPr>
        <w:pStyle w:val="Heading1"/>
      </w:pPr>
    </w:p>
    <w:p w14:paraId="1424B5A3" w14:textId="77777777" w:rsidR="00C366AD" w:rsidRDefault="00C366AD" w:rsidP="00C366AD">
      <w:pPr>
        <w:rPr>
          <w:lang w:val="pt-BR"/>
        </w:rPr>
      </w:pPr>
    </w:p>
    <w:p w14:paraId="5F58F026" w14:textId="77777777" w:rsidR="00C366AD" w:rsidRPr="00C366AD" w:rsidRDefault="00C366AD" w:rsidP="00C366AD">
      <w:pPr>
        <w:rPr>
          <w:lang w:val="pt-BR"/>
        </w:rPr>
      </w:pPr>
    </w:p>
    <w:p w14:paraId="22799FC8" w14:textId="77777777" w:rsidR="007E58CB" w:rsidRDefault="007E58CB">
      <w:pPr>
        <w:rPr>
          <w:rFonts w:asciiTheme="majorHAnsi" w:eastAsiaTheme="majorEastAsia" w:hAnsiTheme="majorHAnsi" w:cstheme="majorBidi"/>
          <w:color w:val="2E74B5" w:themeColor="accent1" w:themeShade="BF"/>
          <w:sz w:val="32"/>
          <w:szCs w:val="32"/>
          <w:lang w:val="pt-BR"/>
        </w:rPr>
      </w:pPr>
      <w:r>
        <w:br w:type="page"/>
      </w:r>
    </w:p>
    <w:p w14:paraId="7201DC03" w14:textId="26A852B5" w:rsidR="00CA6653" w:rsidRDefault="00836BA0" w:rsidP="00A31A9E">
      <w:pPr>
        <w:pStyle w:val="Heading1"/>
      </w:pPr>
      <w:bookmarkStart w:id="32" w:name="_Toc75122785"/>
      <w:r w:rsidRPr="00C366AD">
        <w:t>Note 17</w:t>
      </w:r>
      <w:r w:rsidR="00CA6653" w:rsidRPr="00C366AD">
        <w:t xml:space="preserve"> - Creditors</w:t>
      </w:r>
      <w:bookmarkEnd w:id="32"/>
      <w:r w:rsidR="00CA6653" w:rsidRPr="00C366AD">
        <w:t xml:space="preserve"> </w:t>
      </w:r>
    </w:p>
    <w:tbl>
      <w:tblPr>
        <w:tblW w:w="7040" w:type="dxa"/>
        <w:jc w:val="center"/>
        <w:tblLook w:val="04A0" w:firstRow="1" w:lastRow="0" w:firstColumn="1" w:lastColumn="0" w:noHBand="0" w:noVBand="1"/>
      </w:tblPr>
      <w:tblGrid>
        <w:gridCol w:w="1180"/>
        <w:gridCol w:w="1180"/>
        <w:gridCol w:w="2320"/>
        <w:gridCol w:w="1644"/>
        <w:gridCol w:w="1644"/>
      </w:tblGrid>
      <w:tr w:rsidR="00591029" w:rsidRPr="00591029" w14:paraId="6C3BE332" w14:textId="77777777" w:rsidTr="00591029">
        <w:trPr>
          <w:trHeight w:val="210"/>
          <w:jc w:val="center"/>
        </w:trPr>
        <w:tc>
          <w:tcPr>
            <w:tcW w:w="2360" w:type="dxa"/>
            <w:gridSpan w:val="2"/>
            <w:tcBorders>
              <w:top w:val="nil"/>
              <w:left w:val="nil"/>
              <w:bottom w:val="nil"/>
              <w:right w:val="nil"/>
            </w:tcBorders>
            <w:shd w:val="clear" w:color="auto" w:fill="auto"/>
            <w:noWrap/>
            <w:vAlign w:val="bottom"/>
            <w:hideMark/>
          </w:tcPr>
          <w:p w14:paraId="45E2EEFF" w14:textId="77777777" w:rsidR="00591029" w:rsidRPr="00591029" w:rsidRDefault="00591029" w:rsidP="00591029">
            <w:pPr>
              <w:jc w:val="center"/>
              <w:rPr>
                <w:rFonts w:eastAsia="Times New Roman" w:cs="Times New Roman"/>
                <w:b/>
                <w:bCs/>
                <w:color w:val="000000"/>
                <w:sz w:val="16"/>
                <w:szCs w:val="16"/>
                <w:lang w:val="en-GB" w:eastAsia="en-GB"/>
              </w:rPr>
            </w:pPr>
            <w:r w:rsidRPr="00591029">
              <w:rPr>
                <w:rFonts w:eastAsia="Times New Roman" w:cs="Times New Roman"/>
                <w:b/>
                <w:bCs/>
                <w:color w:val="000000"/>
                <w:sz w:val="16"/>
                <w:szCs w:val="16"/>
                <w:lang w:val="en-GB" w:eastAsia="en-GB"/>
              </w:rPr>
              <w:t xml:space="preserve">31 March 2020 </w:t>
            </w:r>
          </w:p>
        </w:tc>
        <w:tc>
          <w:tcPr>
            <w:tcW w:w="2320" w:type="dxa"/>
            <w:tcBorders>
              <w:top w:val="nil"/>
              <w:left w:val="nil"/>
              <w:bottom w:val="nil"/>
              <w:right w:val="nil"/>
            </w:tcBorders>
            <w:shd w:val="clear" w:color="auto" w:fill="auto"/>
            <w:noWrap/>
            <w:vAlign w:val="bottom"/>
            <w:hideMark/>
          </w:tcPr>
          <w:p w14:paraId="2DF78A39" w14:textId="77777777" w:rsidR="00591029" w:rsidRPr="00591029" w:rsidRDefault="00591029" w:rsidP="00591029">
            <w:pPr>
              <w:jc w:val="center"/>
              <w:rPr>
                <w:rFonts w:eastAsia="Times New Roman" w:cs="Times New Roman"/>
                <w:b/>
                <w:bCs/>
                <w:color w:val="000000"/>
                <w:sz w:val="16"/>
                <w:szCs w:val="16"/>
                <w:lang w:val="en-GB" w:eastAsia="en-GB"/>
              </w:rPr>
            </w:pPr>
          </w:p>
        </w:tc>
        <w:tc>
          <w:tcPr>
            <w:tcW w:w="2360" w:type="dxa"/>
            <w:gridSpan w:val="2"/>
            <w:tcBorders>
              <w:top w:val="nil"/>
              <w:left w:val="nil"/>
              <w:bottom w:val="nil"/>
              <w:right w:val="nil"/>
            </w:tcBorders>
            <w:shd w:val="clear" w:color="auto" w:fill="auto"/>
            <w:noWrap/>
            <w:vAlign w:val="bottom"/>
            <w:hideMark/>
          </w:tcPr>
          <w:p w14:paraId="0C7E8188" w14:textId="7346E135" w:rsidR="00591029" w:rsidRPr="00591029" w:rsidRDefault="00591029" w:rsidP="005547A1">
            <w:pPr>
              <w:jc w:val="center"/>
              <w:rPr>
                <w:rFonts w:eastAsia="Times New Roman" w:cs="Times New Roman"/>
                <w:b/>
                <w:bCs/>
                <w:color w:val="000000"/>
                <w:sz w:val="16"/>
                <w:szCs w:val="16"/>
                <w:lang w:val="en-GB" w:eastAsia="en-GB"/>
              </w:rPr>
            </w:pPr>
            <w:r w:rsidRPr="00591029">
              <w:rPr>
                <w:rFonts w:eastAsia="Times New Roman" w:cs="Times New Roman"/>
                <w:b/>
                <w:bCs/>
                <w:color w:val="000000"/>
                <w:sz w:val="16"/>
                <w:szCs w:val="16"/>
                <w:lang w:val="en-GB" w:eastAsia="en-GB"/>
              </w:rPr>
              <w:t xml:space="preserve"> 31 March 202</w:t>
            </w:r>
            <w:r w:rsidR="005547A1">
              <w:rPr>
                <w:rFonts w:eastAsia="Times New Roman" w:cs="Times New Roman"/>
                <w:b/>
                <w:bCs/>
                <w:color w:val="000000"/>
                <w:sz w:val="16"/>
                <w:szCs w:val="16"/>
                <w:lang w:val="en-GB" w:eastAsia="en-GB"/>
              </w:rPr>
              <w:t>1</w:t>
            </w:r>
            <w:r w:rsidRPr="00591029">
              <w:rPr>
                <w:rFonts w:eastAsia="Times New Roman" w:cs="Times New Roman"/>
                <w:b/>
                <w:bCs/>
                <w:color w:val="000000"/>
                <w:sz w:val="16"/>
                <w:szCs w:val="16"/>
                <w:lang w:val="en-GB" w:eastAsia="en-GB"/>
              </w:rPr>
              <w:t xml:space="preserve"> </w:t>
            </w:r>
          </w:p>
        </w:tc>
      </w:tr>
      <w:tr w:rsidR="00591029" w:rsidRPr="00591029" w14:paraId="05FDD7C9" w14:textId="77777777" w:rsidTr="00591029">
        <w:trPr>
          <w:trHeight w:val="210"/>
          <w:jc w:val="center"/>
        </w:trPr>
        <w:tc>
          <w:tcPr>
            <w:tcW w:w="1180" w:type="dxa"/>
            <w:tcBorders>
              <w:top w:val="nil"/>
              <w:left w:val="nil"/>
              <w:bottom w:val="nil"/>
              <w:right w:val="nil"/>
            </w:tcBorders>
            <w:shd w:val="clear" w:color="auto" w:fill="auto"/>
            <w:noWrap/>
            <w:vAlign w:val="bottom"/>
            <w:hideMark/>
          </w:tcPr>
          <w:p w14:paraId="5087D61F" w14:textId="77777777" w:rsidR="00591029" w:rsidRPr="00591029" w:rsidRDefault="00591029" w:rsidP="00591029">
            <w:pPr>
              <w:jc w:val="center"/>
              <w:rPr>
                <w:rFonts w:eastAsia="Times New Roman" w:cs="Times New Roman"/>
                <w:b/>
                <w:bCs/>
                <w:color w:val="000000"/>
                <w:sz w:val="16"/>
                <w:szCs w:val="16"/>
                <w:lang w:val="en-GB" w:eastAsia="en-GB"/>
              </w:rPr>
            </w:pPr>
            <w:r w:rsidRPr="00591029">
              <w:rPr>
                <w:rFonts w:eastAsia="Times New Roman" w:cs="Times New Roman"/>
                <w:b/>
                <w:bCs/>
                <w:color w:val="000000"/>
                <w:sz w:val="16"/>
                <w:szCs w:val="16"/>
                <w:lang w:val="en-GB" w:eastAsia="en-GB"/>
              </w:rPr>
              <w:t xml:space="preserve"> PCC </w:t>
            </w:r>
          </w:p>
        </w:tc>
        <w:tc>
          <w:tcPr>
            <w:tcW w:w="1180" w:type="dxa"/>
            <w:tcBorders>
              <w:top w:val="nil"/>
              <w:left w:val="nil"/>
              <w:bottom w:val="nil"/>
              <w:right w:val="nil"/>
            </w:tcBorders>
            <w:shd w:val="clear" w:color="auto" w:fill="auto"/>
            <w:noWrap/>
            <w:vAlign w:val="bottom"/>
            <w:hideMark/>
          </w:tcPr>
          <w:p w14:paraId="062E3EE7" w14:textId="77777777" w:rsidR="00591029" w:rsidRPr="00591029" w:rsidRDefault="00591029" w:rsidP="00591029">
            <w:pPr>
              <w:jc w:val="center"/>
              <w:rPr>
                <w:rFonts w:eastAsia="Times New Roman" w:cs="Times New Roman"/>
                <w:b/>
                <w:bCs/>
                <w:color w:val="000000"/>
                <w:sz w:val="16"/>
                <w:szCs w:val="16"/>
                <w:lang w:val="en-GB" w:eastAsia="en-GB"/>
              </w:rPr>
            </w:pPr>
            <w:r w:rsidRPr="00591029">
              <w:rPr>
                <w:rFonts w:eastAsia="Times New Roman" w:cs="Times New Roman"/>
                <w:b/>
                <w:bCs/>
                <w:color w:val="000000"/>
                <w:sz w:val="16"/>
                <w:szCs w:val="16"/>
                <w:lang w:val="en-GB" w:eastAsia="en-GB"/>
              </w:rPr>
              <w:t xml:space="preserve"> Group </w:t>
            </w:r>
          </w:p>
        </w:tc>
        <w:tc>
          <w:tcPr>
            <w:tcW w:w="2320" w:type="dxa"/>
            <w:tcBorders>
              <w:top w:val="nil"/>
              <w:left w:val="nil"/>
              <w:bottom w:val="nil"/>
              <w:right w:val="nil"/>
            </w:tcBorders>
            <w:shd w:val="clear" w:color="auto" w:fill="auto"/>
            <w:noWrap/>
            <w:vAlign w:val="bottom"/>
            <w:hideMark/>
          </w:tcPr>
          <w:p w14:paraId="372FDD04" w14:textId="178FBC4E" w:rsidR="00591029" w:rsidRPr="00591029" w:rsidRDefault="000A7C98" w:rsidP="00591029">
            <w:pP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 xml:space="preserve"> Category of Credi</w:t>
            </w:r>
            <w:r w:rsidR="00591029" w:rsidRPr="00591029">
              <w:rPr>
                <w:rFonts w:eastAsia="Times New Roman" w:cs="Times New Roman"/>
                <w:b/>
                <w:bCs/>
                <w:color w:val="000000"/>
                <w:sz w:val="16"/>
                <w:szCs w:val="16"/>
                <w:lang w:val="en-GB" w:eastAsia="en-GB"/>
              </w:rPr>
              <w:t xml:space="preserve">tor </w:t>
            </w:r>
          </w:p>
        </w:tc>
        <w:tc>
          <w:tcPr>
            <w:tcW w:w="1180" w:type="dxa"/>
            <w:tcBorders>
              <w:top w:val="nil"/>
              <w:left w:val="nil"/>
              <w:bottom w:val="nil"/>
              <w:right w:val="nil"/>
            </w:tcBorders>
            <w:shd w:val="clear" w:color="auto" w:fill="auto"/>
            <w:noWrap/>
            <w:vAlign w:val="bottom"/>
            <w:hideMark/>
          </w:tcPr>
          <w:p w14:paraId="423EA5AA" w14:textId="77777777" w:rsidR="00591029" w:rsidRPr="00591029" w:rsidRDefault="00591029" w:rsidP="00591029">
            <w:pPr>
              <w:jc w:val="center"/>
              <w:rPr>
                <w:rFonts w:eastAsia="Times New Roman" w:cs="Times New Roman"/>
                <w:b/>
                <w:bCs/>
                <w:color w:val="000000"/>
                <w:sz w:val="16"/>
                <w:szCs w:val="16"/>
                <w:lang w:val="en-GB" w:eastAsia="en-GB"/>
              </w:rPr>
            </w:pPr>
            <w:r w:rsidRPr="00591029">
              <w:rPr>
                <w:rFonts w:eastAsia="Times New Roman" w:cs="Times New Roman"/>
                <w:b/>
                <w:bCs/>
                <w:color w:val="000000"/>
                <w:sz w:val="16"/>
                <w:szCs w:val="16"/>
                <w:lang w:val="en-GB" w:eastAsia="en-GB"/>
              </w:rPr>
              <w:t xml:space="preserve"> PCC </w:t>
            </w:r>
          </w:p>
        </w:tc>
        <w:tc>
          <w:tcPr>
            <w:tcW w:w="1180" w:type="dxa"/>
            <w:tcBorders>
              <w:top w:val="nil"/>
              <w:left w:val="nil"/>
              <w:bottom w:val="nil"/>
              <w:right w:val="nil"/>
            </w:tcBorders>
            <w:shd w:val="clear" w:color="auto" w:fill="auto"/>
            <w:noWrap/>
            <w:vAlign w:val="bottom"/>
            <w:hideMark/>
          </w:tcPr>
          <w:p w14:paraId="786641F9" w14:textId="77777777" w:rsidR="00591029" w:rsidRPr="00591029" w:rsidRDefault="00591029" w:rsidP="00591029">
            <w:pPr>
              <w:jc w:val="center"/>
              <w:rPr>
                <w:rFonts w:eastAsia="Times New Roman" w:cs="Times New Roman"/>
                <w:b/>
                <w:bCs/>
                <w:color w:val="000000"/>
                <w:sz w:val="16"/>
                <w:szCs w:val="16"/>
                <w:lang w:val="en-GB" w:eastAsia="en-GB"/>
              </w:rPr>
            </w:pPr>
            <w:r w:rsidRPr="00591029">
              <w:rPr>
                <w:rFonts w:eastAsia="Times New Roman" w:cs="Times New Roman"/>
                <w:b/>
                <w:bCs/>
                <w:color w:val="000000"/>
                <w:sz w:val="16"/>
                <w:szCs w:val="16"/>
                <w:lang w:val="en-GB" w:eastAsia="en-GB"/>
              </w:rPr>
              <w:t xml:space="preserve"> Group </w:t>
            </w:r>
          </w:p>
        </w:tc>
      </w:tr>
      <w:tr w:rsidR="00591029" w:rsidRPr="00591029" w14:paraId="22D943F6" w14:textId="77777777" w:rsidTr="00591029">
        <w:trPr>
          <w:trHeight w:val="210"/>
          <w:jc w:val="center"/>
        </w:trPr>
        <w:tc>
          <w:tcPr>
            <w:tcW w:w="1180" w:type="dxa"/>
            <w:tcBorders>
              <w:top w:val="nil"/>
              <w:left w:val="nil"/>
              <w:bottom w:val="nil"/>
              <w:right w:val="nil"/>
            </w:tcBorders>
            <w:shd w:val="clear" w:color="auto" w:fill="auto"/>
            <w:noWrap/>
            <w:vAlign w:val="bottom"/>
            <w:hideMark/>
          </w:tcPr>
          <w:p w14:paraId="764BE3E7" w14:textId="77777777" w:rsidR="00591029" w:rsidRPr="00591029" w:rsidRDefault="00591029" w:rsidP="00591029">
            <w:pPr>
              <w:jc w:val="center"/>
              <w:rPr>
                <w:rFonts w:eastAsia="Times New Roman" w:cs="Times New Roman"/>
                <w:b/>
                <w:bCs/>
                <w:color w:val="000000"/>
                <w:sz w:val="16"/>
                <w:szCs w:val="16"/>
                <w:lang w:val="en-GB" w:eastAsia="en-GB"/>
              </w:rPr>
            </w:pPr>
            <w:r w:rsidRPr="00591029">
              <w:rPr>
                <w:rFonts w:eastAsia="Times New Roman" w:cs="Times New Roman"/>
                <w:b/>
                <w:bCs/>
                <w:color w:val="000000"/>
                <w:sz w:val="16"/>
                <w:szCs w:val="16"/>
                <w:lang w:val="en-GB" w:eastAsia="en-GB"/>
              </w:rPr>
              <w:t xml:space="preserve"> £000 </w:t>
            </w:r>
          </w:p>
        </w:tc>
        <w:tc>
          <w:tcPr>
            <w:tcW w:w="1180" w:type="dxa"/>
            <w:tcBorders>
              <w:top w:val="nil"/>
              <w:left w:val="nil"/>
              <w:bottom w:val="nil"/>
              <w:right w:val="nil"/>
            </w:tcBorders>
            <w:shd w:val="clear" w:color="auto" w:fill="auto"/>
            <w:noWrap/>
            <w:vAlign w:val="bottom"/>
            <w:hideMark/>
          </w:tcPr>
          <w:p w14:paraId="5873035C" w14:textId="77777777" w:rsidR="00591029" w:rsidRPr="00591029" w:rsidRDefault="00591029" w:rsidP="00591029">
            <w:pPr>
              <w:jc w:val="center"/>
              <w:rPr>
                <w:rFonts w:eastAsia="Times New Roman" w:cs="Times New Roman"/>
                <w:b/>
                <w:bCs/>
                <w:color w:val="000000"/>
                <w:sz w:val="16"/>
                <w:szCs w:val="16"/>
                <w:lang w:val="en-GB" w:eastAsia="en-GB"/>
              </w:rPr>
            </w:pPr>
            <w:r w:rsidRPr="00591029">
              <w:rPr>
                <w:rFonts w:eastAsia="Times New Roman" w:cs="Times New Roman"/>
                <w:b/>
                <w:bCs/>
                <w:color w:val="000000"/>
                <w:sz w:val="16"/>
                <w:szCs w:val="16"/>
                <w:lang w:val="en-GB" w:eastAsia="en-GB"/>
              </w:rPr>
              <w:t xml:space="preserve"> £000 </w:t>
            </w:r>
          </w:p>
        </w:tc>
        <w:tc>
          <w:tcPr>
            <w:tcW w:w="2320" w:type="dxa"/>
            <w:tcBorders>
              <w:top w:val="nil"/>
              <w:left w:val="nil"/>
              <w:bottom w:val="nil"/>
              <w:right w:val="nil"/>
            </w:tcBorders>
            <w:shd w:val="clear" w:color="auto" w:fill="auto"/>
            <w:noWrap/>
            <w:vAlign w:val="bottom"/>
            <w:hideMark/>
          </w:tcPr>
          <w:p w14:paraId="4F54D6BC" w14:textId="77777777" w:rsidR="00591029" w:rsidRPr="00591029" w:rsidRDefault="00591029" w:rsidP="00591029">
            <w:pPr>
              <w:jc w:val="center"/>
              <w:rPr>
                <w:rFonts w:eastAsia="Times New Roman" w:cs="Times New Roman"/>
                <w:b/>
                <w:bCs/>
                <w:color w:val="000000"/>
                <w:sz w:val="16"/>
                <w:szCs w:val="16"/>
                <w:lang w:val="en-GB" w:eastAsia="en-GB"/>
              </w:rPr>
            </w:pPr>
          </w:p>
        </w:tc>
        <w:tc>
          <w:tcPr>
            <w:tcW w:w="1180" w:type="dxa"/>
            <w:tcBorders>
              <w:top w:val="nil"/>
              <w:left w:val="nil"/>
              <w:bottom w:val="nil"/>
              <w:right w:val="nil"/>
            </w:tcBorders>
            <w:shd w:val="clear" w:color="auto" w:fill="auto"/>
            <w:noWrap/>
            <w:vAlign w:val="bottom"/>
            <w:hideMark/>
          </w:tcPr>
          <w:p w14:paraId="04BEBCDF" w14:textId="77777777" w:rsidR="00591029" w:rsidRPr="00591029" w:rsidRDefault="00591029" w:rsidP="00591029">
            <w:pPr>
              <w:jc w:val="center"/>
              <w:rPr>
                <w:rFonts w:eastAsia="Times New Roman" w:cs="Times New Roman"/>
                <w:b/>
                <w:bCs/>
                <w:color w:val="000000"/>
                <w:sz w:val="16"/>
                <w:szCs w:val="16"/>
                <w:lang w:val="en-GB" w:eastAsia="en-GB"/>
              </w:rPr>
            </w:pPr>
            <w:r w:rsidRPr="00591029">
              <w:rPr>
                <w:rFonts w:eastAsia="Times New Roman" w:cs="Times New Roman"/>
                <w:b/>
                <w:bCs/>
                <w:color w:val="000000"/>
                <w:sz w:val="16"/>
                <w:szCs w:val="16"/>
                <w:lang w:val="en-GB" w:eastAsia="en-GB"/>
              </w:rPr>
              <w:t xml:space="preserve"> £000 </w:t>
            </w:r>
          </w:p>
        </w:tc>
        <w:tc>
          <w:tcPr>
            <w:tcW w:w="1180" w:type="dxa"/>
            <w:tcBorders>
              <w:top w:val="nil"/>
              <w:left w:val="nil"/>
              <w:bottom w:val="nil"/>
              <w:right w:val="nil"/>
            </w:tcBorders>
            <w:shd w:val="clear" w:color="auto" w:fill="auto"/>
            <w:noWrap/>
            <w:vAlign w:val="bottom"/>
            <w:hideMark/>
          </w:tcPr>
          <w:p w14:paraId="246070EF" w14:textId="77777777" w:rsidR="00591029" w:rsidRPr="00591029" w:rsidRDefault="00591029" w:rsidP="00591029">
            <w:pPr>
              <w:jc w:val="center"/>
              <w:rPr>
                <w:rFonts w:eastAsia="Times New Roman" w:cs="Times New Roman"/>
                <w:b/>
                <w:bCs/>
                <w:color w:val="000000"/>
                <w:sz w:val="16"/>
                <w:szCs w:val="16"/>
                <w:lang w:val="en-GB" w:eastAsia="en-GB"/>
              </w:rPr>
            </w:pPr>
            <w:r w:rsidRPr="00591029">
              <w:rPr>
                <w:rFonts w:eastAsia="Times New Roman" w:cs="Times New Roman"/>
                <w:b/>
                <w:bCs/>
                <w:color w:val="000000"/>
                <w:sz w:val="16"/>
                <w:szCs w:val="16"/>
                <w:lang w:val="en-GB" w:eastAsia="en-GB"/>
              </w:rPr>
              <w:t xml:space="preserve"> £000 </w:t>
            </w:r>
          </w:p>
        </w:tc>
      </w:tr>
      <w:tr w:rsidR="00591029" w:rsidRPr="00591029" w14:paraId="1179940D" w14:textId="77777777" w:rsidTr="00591029">
        <w:trPr>
          <w:trHeight w:val="210"/>
          <w:jc w:val="center"/>
        </w:trPr>
        <w:tc>
          <w:tcPr>
            <w:tcW w:w="1180" w:type="dxa"/>
            <w:tcBorders>
              <w:top w:val="nil"/>
              <w:left w:val="nil"/>
              <w:bottom w:val="nil"/>
              <w:right w:val="nil"/>
            </w:tcBorders>
            <w:shd w:val="clear" w:color="auto" w:fill="auto"/>
            <w:noWrap/>
            <w:vAlign w:val="bottom"/>
            <w:hideMark/>
          </w:tcPr>
          <w:p w14:paraId="0411049F" w14:textId="77777777" w:rsidR="00591029" w:rsidRPr="00591029" w:rsidRDefault="00591029" w:rsidP="00591029">
            <w:pPr>
              <w:jc w:val="right"/>
              <w:rPr>
                <w:rFonts w:eastAsia="Times New Roman" w:cs="Times New Roman"/>
                <w:color w:val="000000"/>
                <w:sz w:val="16"/>
                <w:szCs w:val="16"/>
                <w:lang w:val="en-GB" w:eastAsia="en-GB"/>
              </w:rPr>
            </w:pPr>
            <w:r w:rsidRPr="00591029">
              <w:rPr>
                <w:rFonts w:eastAsia="Times New Roman" w:cs="Times New Roman"/>
                <w:color w:val="000000"/>
                <w:sz w:val="16"/>
                <w:szCs w:val="16"/>
                <w:lang w:val="en-GB" w:eastAsia="en-GB"/>
              </w:rPr>
              <w:t>(136)</w:t>
            </w:r>
          </w:p>
        </w:tc>
        <w:tc>
          <w:tcPr>
            <w:tcW w:w="1180" w:type="dxa"/>
            <w:tcBorders>
              <w:top w:val="nil"/>
              <w:left w:val="nil"/>
              <w:bottom w:val="nil"/>
              <w:right w:val="nil"/>
            </w:tcBorders>
            <w:shd w:val="clear" w:color="auto" w:fill="auto"/>
            <w:noWrap/>
            <w:vAlign w:val="bottom"/>
            <w:hideMark/>
          </w:tcPr>
          <w:p w14:paraId="1BEAE97B" w14:textId="77777777" w:rsidR="00591029" w:rsidRPr="00591029" w:rsidRDefault="00591029" w:rsidP="00591029">
            <w:pPr>
              <w:jc w:val="right"/>
              <w:rPr>
                <w:rFonts w:eastAsia="Times New Roman" w:cs="Times New Roman"/>
                <w:color w:val="000000"/>
                <w:sz w:val="16"/>
                <w:szCs w:val="16"/>
                <w:lang w:val="en-GB" w:eastAsia="en-GB"/>
              </w:rPr>
            </w:pPr>
            <w:r w:rsidRPr="00591029">
              <w:rPr>
                <w:rFonts w:eastAsia="Times New Roman" w:cs="Times New Roman"/>
                <w:color w:val="000000"/>
                <w:sz w:val="16"/>
                <w:szCs w:val="16"/>
                <w:lang w:val="en-GB" w:eastAsia="en-GB"/>
              </w:rPr>
              <w:t>(136)</w:t>
            </w:r>
          </w:p>
        </w:tc>
        <w:tc>
          <w:tcPr>
            <w:tcW w:w="2320" w:type="dxa"/>
            <w:tcBorders>
              <w:top w:val="nil"/>
              <w:left w:val="nil"/>
              <w:bottom w:val="nil"/>
              <w:right w:val="nil"/>
            </w:tcBorders>
            <w:shd w:val="clear" w:color="auto" w:fill="auto"/>
            <w:noWrap/>
            <w:vAlign w:val="bottom"/>
            <w:hideMark/>
          </w:tcPr>
          <w:p w14:paraId="1E0BE37C" w14:textId="77777777" w:rsidR="00591029" w:rsidRPr="00591029" w:rsidRDefault="00591029" w:rsidP="00591029">
            <w:pPr>
              <w:rPr>
                <w:rFonts w:eastAsia="Times New Roman" w:cs="Times New Roman"/>
                <w:color w:val="000000"/>
                <w:sz w:val="16"/>
                <w:szCs w:val="16"/>
                <w:lang w:val="en-GB" w:eastAsia="en-GB"/>
              </w:rPr>
            </w:pPr>
            <w:r w:rsidRPr="00591029">
              <w:rPr>
                <w:rFonts w:eastAsia="Times New Roman" w:cs="Times New Roman"/>
                <w:color w:val="000000"/>
                <w:sz w:val="16"/>
                <w:szCs w:val="16"/>
                <w:lang w:val="en-GB" w:eastAsia="en-GB"/>
              </w:rPr>
              <w:t>Trade Payables</w:t>
            </w:r>
          </w:p>
        </w:tc>
        <w:tc>
          <w:tcPr>
            <w:tcW w:w="1180" w:type="dxa"/>
            <w:tcBorders>
              <w:top w:val="nil"/>
              <w:left w:val="nil"/>
              <w:bottom w:val="nil"/>
              <w:right w:val="nil"/>
            </w:tcBorders>
            <w:shd w:val="clear" w:color="auto" w:fill="auto"/>
            <w:noWrap/>
            <w:vAlign w:val="bottom"/>
            <w:hideMark/>
          </w:tcPr>
          <w:p w14:paraId="4922D0AE" w14:textId="77777777" w:rsidR="00591029" w:rsidRPr="00591029" w:rsidRDefault="00591029" w:rsidP="00591029">
            <w:pPr>
              <w:jc w:val="right"/>
              <w:rPr>
                <w:rFonts w:eastAsia="Times New Roman" w:cs="Times New Roman"/>
                <w:color w:val="000000"/>
                <w:sz w:val="16"/>
                <w:szCs w:val="16"/>
                <w:lang w:val="en-GB" w:eastAsia="en-GB"/>
              </w:rPr>
            </w:pPr>
            <w:r w:rsidRPr="00591029">
              <w:rPr>
                <w:rFonts w:eastAsia="Times New Roman" w:cs="Times New Roman"/>
                <w:color w:val="000000"/>
                <w:sz w:val="16"/>
                <w:szCs w:val="16"/>
                <w:lang w:val="en-GB" w:eastAsia="en-GB"/>
              </w:rPr>
              <w:t>(413)</w:t>
            </w:r>
          </w:p>
        </w:tc>
        <w:tc>
          <w:tcPr>
            <w:tcW w:w="1180" w:type="dxa"/>
            <w:tcBorders>
              <w:top w:val="nil"/>
              <w:left w:val="nil"/>
              <w:bottom w:val="nil"/>
              <w:right w:val="nil"/>
            </w:tcBorders>
            <w:shd w:val="clear" w:color="auto" w:fill="auto"/>
            <w:noWrap/>
            <w:vAlign w:val="bottom"/>
            <w:hideMark/>
          </w:tcPr>
          <w:p w14:paraId="57AC8BBC" w14:textId="77777777" w:rsidR="00591029" w:rsidRPr="00591029" w:rsidRDefault="00591029" w:rsidP="00591029">
            <w:pPr>
              <w:jc w:val="right"/>
              <w:rPr>
                <w:rFonts w:eastAsia="Times New Roman" w:cs="Times New Roman"/>
                <w:color w:val="000000"/>
                <w:sz w:val="16"/>
                <w:szCs w:val="16"/>
                <w:lang w:val="en-GB" w:eastAsia="en-GB"/>
              </w:rPr>
            </w:pPr>
            <w:r w:rsidRPr="00591029">
              <w:rPr>
                <w:rFonts w:eastAsia="Times New Roman" w:cs="Times New Roman"/>
                <w:color w:val="000000"/>
                <w:sz w:val="16"/>
                <w:szCs w:val="16"/>
                <w:lang w:val="en-GB" w:eastAsia="en-GB"/>
              </w:rPr>
              <w:t>(413)</w:t>
            </w:r>
          </w:p>
        </w:tc>
      </w:tr>
      <w:tr w:rsidR="00591029" w:rsidRPr="00591029" w14:paraId="7CC258F8" w14:textId="77777777" w:rsidTr="00591029">
        <w:trPr>
          <w:trHeight w:val="210"/>
          <w:jc w:val="center"/>
        </w:trPr>
        <w:tc>
          <w:tcPr>
            <w:tcW w:w="1180" w:type="dxa"/>
            <w:tcBorders>
              <w:top w:val="nil"/>
              <w:left w:val="nil"/>
              <w:bottom w:val="nil"/>
              <w:right w:val="nil"/>
            </w:tcBorders>
            <w:shd w:val="clear" w:color="auto" w:fill="auto"/>
            <w:noWrap/>
            <w:vAlign w:val="bottom"/>
            <w:hideMark/>
          </w:tcPr>
          <w:p w14:paraId="003167A8" w14:textId="77777777" w:rsidR="00591029" w:rsidRPr="00591029" w:rsidRDefault="00591029" w:rsidP="00591029">
            <w:pPr>
              <w:jc w:val="right"/>
              <w:rPr>
                <w:rFonts w:eastAsia="Times New Roman" w:cs="Times New Roman"/>
                <w:color w:val="000000"/>
                <w:sz w:val="16"/>
                <w:szCs w:val="16"/>
                <w:lang w:val="en-GB" w:eastAsia="en-GB"/>
              </w:rPr>
            </w:pPr>
            <w:r w:rsidRPr="00591029">
              <w:rPr>
                <w:rFonts w:eastAsia="Times New Roman" w:cs="Times New Roman"/>
                <w:color w:val="000000"/>
                <w:sz w:val="16"/>
                <w:szCs w:val="16"/>
                <w:lang w:val="en-GB" w:eastAsia="en-GB"/>
              </w:rPr>
              <w:t>(25,307)</w:t>
            </w:r>
          </w:p>
        </w:tc>
        <w:tc>
          <w:tcPr>
            <w:tcW w:w="1180" w:type="dxa"/>
            <w:tcBorders>
              <w:top w:val="nil"/>
              <w:left w:val="nil"/>
              <w:bottom w:val="nil"/>
              <w:right w:val="nil"/>
            </w:tcBorders>
            <w:shd w:val="clear" w:color="auto" w:fill="auto"/>
            <w:noWrap/>
            <w:vAlign w:val="bottom"/>
            <w:hideMark/>
          </w:tcPr>
          <w:p w14:paraId="02623C9A" w14:textId="3EC44568" w:rsidR="00591029" w:rsidRPr="00591029" w:rsidRDefault="00591029" w:rsidP="003A4316">
            <w:pPr>
              <w:jc w:val="right"/>
              <w:rPr>
                <w:rFonts w:eastAsia="Times New Roman" w:cs="Times New Roman"/>
                <w:color w:val="000000"/>
                <w:sz w:val="16"/>
                <w:szCs w:val="16"/>
                <w:lang w:val="en-GB" w:eastAsia="en-GB"/>
              </w:rPr>
            </w:pPr>
            <w:r w:rsidRPr="00591029">
              <w:rPr>
                <w:rFonts w:eastAsia="Times New Roman" w:cs="Times New Roman"/>
                <w:color w:val="000000"/>
                <w:sz w:val="16"/>
                <w:szCs w:val="16"/>
                <w:lang w:val="en-GB" w:eastAsia="en-GB"/>
              </w:rPr>
              <w:t>(26,3</w:t>
            </w:r>
            <w:r w:rsidR="003A4316">
              <w:rPr>
                <w:rFonts w:eastAsia="Times New Roman" w:cs="Times New Roman"/>
                <w:color w:val="000000"/>
                <w:sz w:val="16"/>
                <w:szCs w:val="16"/>
                <w:lang w:val="en-GB" w:eastAsia="en-GB"/>
              </w:rPr>
              <w:t>60</w:t>
            </w:r>
            <w:r w:rsidRPr="00591029">
              <w:rPr>
                <w:rFonts w:eastAsia="Times New Roman" w:cs="Times New Roman"/>
                <w:color w:val="000000"/>
                <w:sz w:val="16"/>
                <w:szCs w:val="16"/>
                <w:lang w:val="en-GB" w:eastAsia="en-GB"/>
              </w:rPr>
              <w:t>)</w:t>
            </w:r>
          </w:p>
        </w:tc>
        <w:tc>
          <w:tcPr>
            <w:tcW w:w="2320" w:type="dxa"/>
            <w:tcBorders>
              <w:top w:val="nil"/>
              <w:left w:val="nil"/>
              <w:bottom w:val="nil"/>
              <w:right w:val="nil"/>
            </w:tcBorders>
            <w:shd w:val="clear" w:color="auto" w:fill="auto"/>
            <w:noWrap/>
            <w:vAlign w:val="bottom"/>
            <w:hideMark/>
          </w:tcPr>
          <w:p w14:paraId="0DBB85A4" w14:textId="77777777" w:rsidR="00591029" w:rsidRPr="00591029" w:rsidRDefault="00591029" w:rsidP="00591029">
            <w:pPr>
              <w:rPr>
                <w:rFonts w:eastAsia="Times New Roman" w:cs="Times New Roman"/>
                <w:color w:val="000000"/>
                <w:sz w:val="16"/>
                <w:szCs w:val="16"/>
                <w:lang w:val="en-GB" w:eastAsia="en-GB"/>
              </w:rPr>
            </w:pPr>
            <w:r w:rsidRPr="00591029">
              <w:rPr>
                <w:rFonts w:eastAsia="Times New Roman" w:cs="Times New Roman"/>
                <w:color w:val="000000"/>
                <w:sz w:val="16"/>
                <w:szCs w:val="16"/>
                <w:lang w:val="en-GB" w:eastAsia="en-GB"/>
              </w:rPr>
              <w:t>Other Payables</w:t>
            </w:r>
          </w:p>
        </w:tc>
        <w:tc>
          <w:tcPr>
            <w:tcW w:w="1180" w:type="dxa"/>
            <w:tcBorders>
              <w:top w:val="nil"/>
              <w:left w:val="nil"/>
              <w:bottom w:val="nil"/>
              <w:right w:val="nil"/>
            </w:tcBorders>
            <w:shd w:val="clear" w:color="auto" w:fill="auto"/>
            <w:noWrap/>
            <w:vAlign w:val="bottom"/>
            <w:hideMark/>
          </w:tcPr>
          <w:p w14:paraId="6E028E13" w14:textId="35206B6A" w:rsidR="00591029" w:rsidRPr="00591029" w:rsidRDefault="00591029">
            <w:pPr>
              <w:jc w:val="right"/>
              <w:rPr>
                <w:rFonts w:eastAsia="Times New Roman" w:cs="Times New Roman"/>
                <w:color w:val="000000"/>
                <w:sz w:val="16"/>
                <w:szCs w:val="16"/>
                <w:lang w:val="en-GB" w:eastAsia="en-GB"/>
              </w:rPr>
            </w:pPr>
            <w:r w:rsidRPr="00591029">
              <w:rPr>
                <w:rFonts w:eastAsia="Times New Roman" w:cs="Times New Roman"/>
                <w:color w:val="000000"/>
                <w:sz w:val="16"/>
                <w:szCs w:val="16"/>
                <w:lang w:val="en-GB" w:eastAsia="en-GB"/>
              </w:rPr>
              <w:t>(</w:t>
            </w:r>
            <w:r w:rsidR="00DA65B0">
              <w:rPr>
                <w:rFonts w:eastAsia="Times New Roman" w:cs="Times New Roman"/>
                <w:color w:val="000000"/>
                <w:sz w:val="16"/>
                <w:szCs w:val="16"/>
                <w:lang w:val="en-GB" w:eastAsia="en-GB"/>
              </w:rPr>
              <w:t>25,180</w:t>
            </w:r>
            <w:r w:rsidRPr="00591029">
              <w:rPr>
                <w:rFonts w:eastAsia="Times New Roman" w:cs="Times New Roman"/>
                <w:color w:val="000000"/>
                <w:sz w:val="16"/>
                <w:szCs w:val="16"/>
                <w:lang w:val="en-GB" w:eastAsia="en-GB"/>
              </w:rPr>
              <w:t>)</w:t>
            </w:r>
          </w:p>
        </w:tc>
        <w:tc>
          <w:tcPr>
            <w:tcW w:w="1180" w:type="dxa"/>
            <w:tcBorders>
              <w:top w:val="nil"/>
              <w:left w:val="nil"/>
              <w:bottom w:val="nil"/>
              <w:right w:val="nil"/>
            </w:tcBorders>
            <w:shd w:val="clear" w:color="auto" w:fill="auto"/>
            <w:noWrap/>
            <w:vAlign w:val="bottom"/>
            <w:hideMark/>
          </w:tcPr>
          <w:p w14:paraId="731160FA" w14:textId="3221FFCD" w:rsidR="00591029" w:rsidRPr="00591029" w:rsidRDefault="00591029">
            <w:pPr>
              <w:jc w:val="right"/>
              <w:rPr>
                <w:rFonts w:eastAsia="Times New Roman" w:cs="Times New Roman"/>
                <w:color w:val="000000"/>
                <w:sz w:val="16"/>
                <w:szCs w:val="16"/>
                <w:lang w:val="en-GB" w:eastAsia="en-GB"/>
              </w:rPr>
            </w:pPr>
            <w:r w:rsidRPr="00591029">
              <w:rPr>
                <w:rFonts w:eastAsia="Times New Roman" w:cs="Times New Roman"/>
                <w:color w:val="000000"/>
                <w:sz w:val="16"/>
                <w:szCs w:val="16"/>
                <w:lang w:val="en-GB" w:eastAsia="en-GB"/>
              </w:rPr>
              <w:t>(</w:t>
            </w:r>
            <w:r w:rsidR="00DA65B0">
              <w:rPr>
                <w:rFonts w:eastAsia="Times New Roman" w:cs="Times New Roman"/>
                <w:color w:val="000000"/>
                <w:sz w:val="16"/>
                <w:szCs w:val="16"/>
                <w:lang w:val="en-GB" w:eastAsia="en-GB"/>
              </w:rPr>
              <w:t>27,131</w:t>
            </w:r>
            <w:r w:rsidRPr="00591029">
              <w:rPr>
                <w:rFonts w:eastAsia="Times New Roman" w:cs="Times New Roman"/>
                <w:color w:val="000000"/>
                <w:sz w:val="16"/>
                <w:szCs w:val="16"/>
                <w:lang w:val="en-GB" w:eastAsia="en-GB"/>
              </w:rPr>
              <w:t>)</w:t>
            </w:r>
          </w:p>
        </w:tc>
      </w:tr>
      <w:tr w:rsidR="00591029" w:rsidRPr="00591029" w14:paraId="6D2A7B6A" w14:textId="77777777" w:rsidTr="00591029">
        <w:trPr>
          <w:trHeight w:val="225"/>
          <w:jc w:val="center"/>
        </w:trPr>
        <w:tc>
          <w:tcPr>
            <w:tcW w:w="1180" w:type="dxa"/>
            <w:tcBorders>
              <w:top w:val="single" w:sz="4" w:space="0" w:color="auto"/>
              <w:left w:val="nil"/>
              <w:bottom w:val="single" w:sz="8" w:space="0" w:color="auto"/>
              <w:right w:val="nil"/>
            </w:tcBorders>
            <w:shd w:val="clear" w:color="auto" w:fill="auto"/>
            <w:noWrap/>
            <w:vAlign w:val="bottom"/>
            <w:hideMark/>
          </w:tcPr>
          <w:p w14:paraId="293FBA65" w14:textId="77777777" w:rsidR="00591029" w:rsidRPr="00591029" w:rsidRDefault="00591029" w:rsidP="00591029">
            <w:pPr>
              <w:jc w:val="right"/>
              <w:rPr>
                <w:rFonts w:eastAsia="Times New Roman" w:cs="Times New Roman"/>
                <w:b/>
                <w:bCs/>
                <w:color w:val="000000"/>
                <w:sz w:val="16"/>
                <w:szCs w:val="16"/>
                <w:lang w:val="en-GB" w:eastAsia="en-GB"/>
              </w:rPr>
            </w:pPr>
            <w:r w:rsidRPr="00591029">
              <w:rPr>
                <w:rFonts w:eastAsia="Times New Roman" w:cs="Times New Roman"/>
                <w:b/>
                <w:bCs/>
                <w:color w:val="000000"/>
                <w:sz w:val="16"/>
                <w:szCs w:val="16"/>
                <w:lang w:val="en-GB" w:eastAsia="en-GB"/>
              </w:rPr>
              <w:t>(25,443)</w:t>
            </w:r>
          </w:p>
        </w:tc>
        <w:tc>
          <w:tcPr>
            <w:tcW w:w="1180" w:type="dxa"/>
            <w:tcBorders>
              <w:top w:val="single" w:sz="4" w:space="0" w:color="auto"/>
              <w:left w:val="nil"/>
              <w:bottom w:val="single" w:sz="8" w:space="0" w:color="auto"/>
              <w:right w:val="nil"/>
            </w:tcBorders>
            <w:shd w:val="clear" w:color="auto" w:fill="auto"/>
            <w:noWrap/>
            <w:vAlign w:val="bottom"/>
            <w:hideMark/>
          </w:tcPr>
          <w:p w14:paraId="0CDE8146" w14:textId="53B3EB53" w:rsidR="00591029" w:rsidRPr="00591029" w:rsidRDefault="003A4316" w:rsidP="00591029">
            <w:pPr>
              <w:jc w:val="right"/>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(26,496</w:t>
            </w:r>
            <w:r w:rsidR="00591029" w:rsidRPr="00591029">
              <w:rPr>
                <w:rFonts w:eastAsia="Times New Roman" w:cs="Times New Roman"/>
                <w:b/>
                <w:bCs/>
                <w:color w:val="000000"/>
                <w:sz w:val="16"/>
                <w:szCs w:val="16"/>
                <w:lang w:val="en-GB" w:eastAsia="en-GB"/>
              </w:rPr>
              <w:t>)</w:t>
            </w:r>
          </w:p>
        </w:tc>
        <w:tc>
          <w:tcPr>
            <w:tcW w:w="2320" w:type="dxa"/>
            <w:tcBorders>
              <w:top w:val="single" w:sz="4" w:space="0" w:color="auto"/>
              <w:left w:val="nil"/>
              <w:bottom w:val="single" w:sz="8" w:space="0" w:color="auto"/>
              <w:right w:val="nil"/>
            </w:tcBorders>
            <w:shd w:val="clear" w:color="auto" w:fill="auto"/>
            <w:noWrap/>
            <w:vAlign w:val="bottom"/>
            <w:hideMark/>
          </w:tcPr>
          <w:p w14:paraId="4F11FFF8" w14:textId="0037C41F" w:rsidR="00591029" w:rsidRPr="00591029" w:rsidRDefault="00591029" w:rsidP="00591029">
            <w:pPr>
              <w:rPr>
                <w:rFonts w:eastAsia="Times New Roman" w:cs="Times New Roman"/>
                <w:b/>
                <w:bCs/>
                <w:color w:val="000000"/>
                <w:sz w:val="16"/>
                <w:szCs w:val="16"/>
                <w:lang w:val="en-GB" w:eastAsia="en-GB"/>
              </w:rPr>
            </w:pPr>
            <w:r w:rsidRPr="00591029">
              <w:rPr>
                <w:rFonts w:eastAsia="Times New Roman" w:cs="Times New Roman"/>
                <w:b/>
                <w:bCs/>
                <w:color w:val="000000"/>
                <w:sz w:val="16"/>
                <w:szCs w:val="16"/>
                <w:lang w:val="en-GB" w:eastAsia="en-GB"/>
              </w:rPr>
              <w:t>TOTAL</w:t>
            </w:r>
            <w:r w:rsidR="000A7C98">
              <w:rPr>
                <w:rFonts w:eastAsia="Times New Roman" w:cs="Times New Roman"/>
                <w:b/>
                <w:bCs/>
                <w:color w:val="000000"/>
                <w:sz w:val="16"/>
                <w:szCs w:val="16"/>
                <w:lang w:val="en-GB" w:eastAsia="en-GB"/>
              </w:rPr>
              <w:t xml:space="preserve"> CREDITORS</w:t>
            </w:r>
          </w:p>
        </w:tc>
        <w:tc>
          <w:tcPr>
            <w:tcW w:w="1180" w:type="dxa"/>
            <w:tcBorders>
              <w:top w:val="single" w:sz="4" w:space="0" w:color="auto"/>
              <w:left w:val="nil"/>
              <w:bottom w:val="single" w:sz="8" w:space="0" w:color="auto"/>
              <w:right w:val="nil"/>
            </w:tcBorders>
            <w:shd w:val="clear" w:color="auto" w:fill="auto"/>
            <w:noWrap/>
            <w:vAlign w:val="bottom"/>
            <w:hideMark/>
          </w:tcPr>
          <w:p w14:paraId="0095A703" w14:textId="5D5F1A30" w:rsidR="00591029" w:rsidRPr="00591029" w:rsidRDefault="00591029">
            <w:pPr>
              <w:jc w:val="right"/>
              <w:rPr>
                <w:rFonts w:eastAsia="Times New Roman" w:cs="Times New Roman"/>
                <w:b/>
                <w:bCs/>
                <w:color w:val="000000"/>
                <w:sz w:val="16"/>
                <w:szCs w:val="16"/>
                <w:lang w:val="en-GB" w:eastAsia="en-GB"/>
              </w:rPr>
            </w:pPr>
            <w:r w:rsidRPr="00591029">
              <w:rPr>
                <w:rFonts w:eastAsia="Times New Roman" w:cs="Times New Roman"/>
                <w:b/>
                <w:bCs/>
                <w:color w:val="000000"/>
                <w:sz w:val="16"/>
                <w:szCs w:val="16"/>
                <w:lang w:val="en-GB" w:eastAsia="en-GB"/>
              </w:rPr>
              <w:t>(</w:t>
            </w:r>
            <w:r w:rsidR="00B166EE">
              <w:rPr>
                <w:rFonts w:eastAsia="Times New Roman" w:cs="Times New Roman"/>
                <w:b/>
                <w:bCs/>
                <w:color w:val="000000"/>
                <w:sz w:val="16"/>
                <w:szCs w:val="16"/>
                <w:lang w:val="en-GB" w:eastAsia="en-GB"/>
              </w:rPr>
              <w:t>2</w:t>
            </w:r>
            <w:r w:rsidR="00DA65B0">
              <w:rPr>
                <w:rFonts w:eastAsia="Times New Roman" w:cs="Times New Roman"/>
                <w:b/>
                <w:bCs/>
                <w:color w:val="000000"/>
                <w:sz w:val="16"/>
                <w:szCs w:val="16"/>
                <w:lang w:val="en-GB" w:eastAsia="en-GB"/>
              </w:rPr>
              <w:t>5,593</w:t>
            </w:r>
            <w:r w:rsidRPr="00591029">
              <w:rPr>
                <w:rFonts w:eastAsia="Times New Roman" w:cs="Times New Roman"/>
                <w:b/>
                <w:bCs/>
                <w:color w:val="000000"/>
                <w:sz w:val="16"/>
                <w:szCs w:val="16"/>
                <w:lang w:val="en-GB" w:eastAsia="en-GB"/>
              </w:rPr>
              <w:t>)</w:t>
            </w:r>
          </w:p>
        </w:tc>
        <w:tc>
          <w:tcPr>
            <w:tcW w:w="1180" w:type="dxa"/>
            <w:tcBorders>
              <w:top w:val="single" w:sz="4" w:space="0" w:color="auto"/>
              <w:left w:val="nil"/>
              <w:bottom w:val="single" w:sz="8" w:space="0" w:color="auto"/>
              <w:right w:val="nil"/>
            </w:tcBorders>
            <w:shd w:val="clear" w:color="auto" w:fill="auto"/>
            <w:noWrap/>
            <w:vAlign w:val="bottom"/>
            <w:hideMark/>
          </w:tcPr>
          <w:p w14:paraId="0834D05F" w14:textId="247C7E8D" w:rsidR="00591029" w:rsidRPr="00591029" w:rsidRDefault="00591029">
            <w:pPr>
              <w:jc w:val="right"/>
              <w:rPr>
                <w:rFonts w:eastAsia="Times New Roman" w:cs="Times New Roman"/>
                <w:b/>
                <w:bCs/>
                <w:color w:val="000000"/>
                <w:sz w:val="16"/>
                <w:szCs w:val="16"/>
                <w:lang w:val="en-GB" w:eastAsia="en-GB"/>
              </w:rPr>
            </w:pPr>
            <w:r w:rsidRPr="00591029">
              <w:rPr>
                <w:rFonts w:eastAsia="Times New Roman" w:cs="Times New Roman"/>
                <w:b/>
                <w:bCs/>
                <w:color w:val="000000"/>
                <w:sz w:val="16"/>
                <w:szCs w:val="16"/>
                <w:lang w:val="en-GB" w:eastAsia="en-GB"/>
              </w:rPr>
              <w:t>(</w:t>
            </w:r>
            <w:r w:rsidR="00DA65B0">
              <w:rPr>
                <w:rFonts w:eastAsia="Times New Roman" w:cs="Times New Roman"/>
                <w:b/>
                <w:bCs/>
                <w:color w:val="000000"/>
                <w:sz w:val="16"/>
                <w:szCs w:val="16"/>
                <w:lang w:val="en-GB" w:eastAsia="en-GB"/>
              </w:rPr>
              <w:t>27,544</w:t>
            </w:r>
            <w:r w:rsidRPr="00591029">
              <w:rPr>
                <w:rFonts w:eastAsia="Times New Roman" w:cs="Times New Roman"/>
                <w:b/>
                <w:bCs/>
                <w:color w:val="000000"/>
                <w:sz w:val="16"/>
                <w:szCs w:val="16"/>
                <w:lang w:val="en-GB" w:eastAsia="en-GB"/>
              </w:rPr>
              <w:t>)</w:t>
            </w:r>
          </w:p>
        </w:tc>
      </w:tr>
    </w:tbl>
    <w:p w14:paraId="23296DE4" w14:textId="77777777" w:rsidR="00591029" w:rsidRDefault="00591029" w:rsidP="00591029">
      <w:pPr>
        <w:rPr>
          <w:lang w:val="pt-BR"/>
        </w:rPr>
      </w:pPr>
    </w:p>
    <w:p w14:paraId="5CADE861" w14:textId="4B679F90" w:rsidR="00591029" w:rsidRDefault="00591029" w:rsidP="00591029">
      <w:pPr>
        <w:pStyle w:val="Normal0"/>
        <w:spacing w:after="160"/>
        <w:rPr>
          <w:rFonts w:ascii="Verdana" w:eastAsia="Verdana" w:hAnsi="Verdana" w:cs="Verdana"/>
          <w:sz w:val="22"/>
          <w:szCs w:val="22"/>
          <w:lang w:val="en-GB"/>
        </w:rPr>
      </w:pPr>
      <w:r>
        <w:rPr>
          <w:rFonts w:ascii="Verdana" w:eastAsia="Verdana" w:hAnsi="Verdana" w:cs="Verdana"/>
          <w:sz w:val="22"/>
          <w:szCs w:val="22"/>
          <w:lang w:val="en-GB"/>
        </w:rPr>
        <w:t>The following tables provide further detail on items included within the creditor categories above.</w:t>
      </w:r>
    </w:p>
    <w:p w14:paraId="16B8AFBA" w14:textId="54FAE378" w:rsidR="00591029" w:rsidRPr="00B06515" w:rsidRDefault="00591029" w:rsidP="00591029">
      <w:pPr>
        <w:pStyle w:val="Normal0"/>
        <w:spacing w:after="160"/>
        <w:rPr>
          <w:rFonts w:ascii="Verdana" w:eastAsia="Verdana" w:hAnsi="Verdana" w:cs="Verdana"/>
          <w:sz w:val="22"/>
          <w:szCs w:val="22"/>
          <w:lang w:val="en-GB"/>
        </w:rPr>
      </w:pPr>
      <w:r w:rsidRPr="00B06515">
        <w:rPr>
          <w:rFonts w:ascii="Verdana" w:eastAsia="Verdana" w:hAnsi="Verdana" w:cs="Verdana"/>
          <w:sz w:val="22"/>
          <w:szCs w:val="22"/>
          <w:lang w:val="en-GB"/>
        </w:rPr>
        <w:t xml:space="preserve">Analysis of Other </w:t>
      </w:r>
      <w:r>
        <w:rPr>
          <w:rFonts w:ascii="Verdana" w:eastAsia="Verdana" w:hAnsi="Verdana" w:cs="Verdana"/>
          <w:sz w:val="22"/>
          <w:szCs w:val="22"/>
          <w:lang w:val="en-GB"/>
        </w:rPr>
        <w:t>Payables</w:t>
      </w:r>
      <w:r w:rsidRPr="00B06515">
        <w:rPr>
          <w:rFonts w:ascii="Verdana" w:eastAsia="Verdana" w:hAnsi="Verdana" w:cs="Verdana"/>
          <w:sz w:val="22"/>
          <w:szCs w:val="22"/>
          <w:lang w:val="en-GB"/>
        </w:rPr>
        <w:t>:</w:t>
      </w:r>
    </w:p>
    <w:p w14:paraId="0769937B" w14:textId="77777777" w:rsidR="00591029" w:rsidRDefault="00591029" w:rsidP="00591029">
      <w:pPr>
        <w:rPr>
          <w:lang w:val="pt-BR"/>
        </w:rPr>
      </w:pPr>
    </w:p>
    <w:tbl>
      <w:tblPr>
        <w:tblW w:w="8148" w:type="dxa"/>
        <w:jc w:val="center"/>
        <w:tblLook w:val="04A0" w:firstRow="1" w:lastRow="0" w:firstColumn="1" w:lastColumn="0" w:noHBand="0" w:noVBand="1"/>
      </w:tblPr>
      <w:tblGrid>
        <w:gridCol w:w="1180"/>
        <w:gridCol w:w="1180"/>
        <w:gridCol w:w="2500"/>
        <w:gridCol w:w="1644"/>
        <w:gridCol w:w="1644"/>
      </w:tblGrid>
      <w:tr w:rsidR="005547A1" w:rsidRPr="005547A1" w14:paraId="15F7F7C1" w14:textId="77777777" w:rsidTr="0041394A">
        <w:trPr>
          <w:trHeight w:val="210"/>
          <w:jc w:val="center"/>
        </w:trPr>
        <w:tc>
          <w:tcPr>
            <w:tcW w:w="2360" w:type="dxa"/>
            <w:gridSpan w:val="2"/>
            <w:tcBorders>
              <w:top w:val="nil"/>
              <w:left w:val="nil"/>
              <w:bottom w:val="nil"/>
              <w:right w:val="nil"/>
            </w:tcBorders>
            <w:shd w:val="clear" w:color="auto" w:fill="auto"/>
            <w:noWrap/>
            <w:vAlign w:val="center"/>
            <w:hideMark/>
          </w:tcPr>
          <w:p w14:paraId="2F62422D" w14:textId="77777777" w:rsidR="005547A1" w:rsidRPr="005547A1" w:rsidRDefault="005547A1" w:rsidP="005547A1">
            <w:pPr>
              <w:jc w:val="center"/>
              <w:rPr>
                <w:rFonts w:eastAsia="Times New Roman" w:cs="Times New Roman"/>
                <w:b/>
                <w:bCs/>
                <w:color w:val="000000"/>
                <w:sz w:val="16"/>
                <w:szCs w:val="16"/>
                <w:lang w:val="en-GB" w:eastAsia="en-GB"/>
              </w:rPr>
            </w:pPr>
            <w:r w:rsidRPr="005547A1">
              <w:rPr>
                <w:rFonts w:eastAsia="Times New Roman" w:cs="Times New Roman"/>
                <w:b/>
                <w:bCs/>
                <w:color w:val="000000"/>
                <w:sz w:val="16"/>
                <w:szCs w:val="16"/>
                <w:lang w:val="en-GB" w:eastAsia="en-GB"/>
              </w:rPr>
              <w:t>31 March 2020</w:t>
            </w:r>
          </w:p>
        </w:tc>
        <w:tc>
          <w:tcPr>
            <w:tcW w:w="2500" w:type="dxa"/>
            <w:tcBorders>
              <w:top w:val="nil"/>
              <w:left w:val="nil"/>
              <w:bottom w:val="nil"/>
              <w:right w:val="nil"/>
            </w:tcBorders>
            <w:shd w:val="clear" w:color="auto" w:fill="auto"/>
            <w:noWrap/>
            <w:vAlign w:val="center"/>
            <w:hideMark/>
          </w:tcPr>
          <w:p w14:paraId="6791957B" w14:textId="77777777" w:rsidR="005547A1" w:rsidRPr="005547A1" w:rsidRDefault="005547A1" w:rsidP="005547A1">
            <w:pPr>
              <w:jc w:val="center"/>
              <w:rPr>
                <w:rFonts w:eastAsia="Times New Roman" w:cs="Times New Roman"/>
                <w:b/>
                <w:bCs/>
                <w:color w:val="000000"/>
                <w:sz w:val="16"/>
                <w:szCs w:val="16"/>
                <w:lang w:val="en-GB" w:eastAsia="en-GB"/>
              </w:rPr>
            </w:pPr>
          </w:p>
        </w:tc>
        <w:tc>
          <w:tcPr>
            <w:tcW w:w="3288" w:type="dxa"/>
            <w:gridSpan w:val="2"/>
            <w:tcBorders>
              <w:top w:val="nil"/>
              <w:left w:val="nil"/>
              <w:bottom w:val="nil"/>
              <w:right w:val="nil"/>
            </w:tcBorders>
            <w:shd w:val="clear" w:color="auto" w:fill="auto"/>
            <w:noWrap/>
            <w:vAlign w:val="center"/>
            <w:hideMark/>
          </w:tcPr>
          <w:p w14:paraId="5720876B" w14:textId="77777777" w:rsidR="005547A1" w:rsidRPr="005547A1" w:rsidRDefault="005547A1" w:rsidP="005547A1">
            <w:pPr>
              <w:jc w:val="center"/>
              <w:rPr>
                <w:rFonts w:eastAsia="Times New Roman" w:cs="Times New Roman"/>
                <w:b/>
                <w:bCs/>
                <w:color w:val="000000"/>
                <w:sz w:val="16"/>
                <w:szCs w:val="16"/>
                <w:lang w:val="en-GB" w:eastAsia="en-GB"/>
              </w:rPr>
            </w:pPr>
            <w:r w:rsidRPr="005547A1">
              <w:rPr>
                <w:rFonts w:eastAsia="Times New Roman" w:cs="Times New Roman"/>
                <w:b/>
                <w:bCs/>
                <w:color w:val="000000"/>
                <w:sz w:val="16"/>
                <w:szCs w:val="16"/>
                <w:lang w:val="en-GB" w:eastAsia="en-GB"/>
              </w:rPr>
              <w:t>31 March 2021</w:t>
            </w:r>
          </w:p>
        </w:tc>
      </w:tr>
      <w:tr w:rsidR="005547A1" w:rsidRPr="005547A1" w14:paraId="3697B3B8" w14:textId="77777777" w:rsidTr="0041394A">
        <w:trPr>
          <w:trHeight w:val="210"/>
          <w:jc w:val="center"/>
        </w:trPr>
        <w:tc>
          <w:tcPr>
            <w:tcW w:w="1180" w:type="dxa"/>
            <w:tcBorders>
              <w:top w:val="nil"/>
              <w:left w:val="nil"/>
              <w:bottom w:val="nil"/>
              <w:right w:val="nil"/>
            </w:tcBorders>
            <w:shd w:val="clear" w:color="auto" w:fill="auto"/>
            <w:noWrap/>
            <w:vAlign w:val="center"/>
            <w:hideMark/>
          </w:tcPr>
          <w:p w14:paraId="64E85F75" w14:textId="77777777" w:rsidR="005547A1" w:rsidRPr="005547A1" w:rsidRDefault="005547A1" w:rsidP="005547A1">
            <w:pPr>
              <w:jc w:val="center"/>
              <w:rPr>
                <w:rFonts w:eastAsia="Times New Roman" w:cs="Times New Roman"/>
                <w:b/>
                <w:bCs/>
                <w:color w:val="000000"/>
                <w:sz w:val="16"/>
                <w:szCs w:val="16"/>
                <w:lang w:val="en-GB" w:eastAsia="en-GB"/>
              </w:rPr>
            </w:pPr>
            <w:r w:rsidRPr="005547A1">
              <w:rPr>
                <w:rFonts w:eastAsia="Times New Roman" w:cs="Times New Roman"/>
                <w:b/>
                <w:bCs/>
                <w:color w:val="000000"/>
                <w:sz w:val="16"/>
                <w:szCs w:val="16"/>
                <w:lang w:val="en-GB" w:eastAsia="en-GB"/>
              </w:rPr>
              <w:t>PCC</w:t>
            </w:r>
          </w:p>
        </w:tc>
        <w:tc>
          <w:tcPr>
            <w:tcW w:w="1180" w:type="dxa"/>
            <w:tcBorders>
              <w:top w:val="nil"/>
              <w:left w:val="nil"/>
              <w:bottom w:val="nil"/>
              <w:right w:val="nil"/>
            </w:tcBorders>
            <w:shd w:val="clear" w:color="auto" w:fill="auto"/>
            <w:noWrap/>
            <w:vAlign w:val="center"/>
            <w:hideMark/>
          </w:tcPr>
          <w:p w14:paraId="41A2FC1F" w14:textId="77777777" w:rsidR="005547A1" w:rsidRPr="005547A1" w:rsidRDefault="005547A1" w:rsidP="005547A1">
            <w:pPr>
              <w:jc w:val="center"/>
              <w:rPr>
                <w:rFonts w:eastAsia="Times New Roman" w:cs="Times New Roman"/>
                <w:b/>
                <w:bCs/>
                <w:color w:val="000000"/>
                <w:sz w:val="16"/>
                <w:szCs w:val="16"/>
                <w:lang w:val="en-GB" w:eastAsia="en-GB"/>
              </w:rPr>
            </w:pPr>
            <w:r w:rsidRPr="005547A1">
              <w:rPr>
                <w:rFonts w:eastAsia="Times New Roman" w:cs="Times New Roman"/>
                <w:b/>
                <w:bCs/>
                <w:color w:val="000000"/>
                <w:sz w:val="16"/>
                <w:szCs w:val="16"/>
                <w:lang w:val="en-GB" w:eastAsia="en-GB"/>
              </w:rPr>
              <w:t>Group</w:t>
            </w:r>
          </w:p>
        </w:tc>
        <w:tc>
          <w:tcPr>
            <w:tcW w:w="2500" w:type="dxa"/>
            <w:tcBorders>
              <w:top w:val="nil"/>
              <w:left w:val="nil"/>
              <w:bottom w:val="nil"/>
              <w:right w:val="nil"/>
            </w:tcBorders>
            <w:shd w:val="clear" w:color="auto" w:fill="auto"/>
            <w:noWrap/>
            <w:vAlign w:val="center"/>
            <w:hideMark/>
          </w:tcPr>
          <w:p w14:paraId="24AF0B54" w14:textId="77777777" w:rsidR="005547A1" w:rsidRPr="005547A1" w:rsidRDefault="005547A1" w:rsidP="005547A1">
            <w:pPr>
              <w:jc w:val="center"/>
              <w:rPr>
                <w:rFonts w:eastAsia="Times New Roman" w:cs="Times New Roman"/>
                <w:b/>
                <w:bCs/>
                <w:color w:val="000000"/>
                <w:sz w:val="16"/>
                <w:szCs w:val="16"/>
                <w:lang w:val="en-GB" w:eastAsia="en-GB"/>
              </w:rPr>
            </w:pPr>
          </w:p>
        </w:tc>
        <w:tc>
          <w:tcPr>
            <w:tcW w:w="1644" w:type="dxa"/>
            <w:tcBorders>
              <w:top w:val="nil"/>
              <w:left w:val="nil"/>
              <w:bottom w:val="nil"/>
              <w:right w:val="nil"/>
            </w:tcBorders>
            <w:shd w:val="clear" w:color="auto" w:fill="auto"/>
            <w:noWrap/>
            <w:vAlign w:val="center"/>
            <w:hideMark/>
          </w:tcPr>
          <w:p w14:paraId="6A5255BA" w14:textId="77777777" w:rsidR="005547A1" w:rsidRPr="005547A1" w:rsidRDefault="005547A1" w:rsidP="005547A1">
            <w:pPr>
              <w:jc w:val="center"/>
              <w:rPr>
                <w:rFonts w:eastAsia="Times New Roman" w:cs="Times New Roman"/>
                <w:b/>
                <w:bCs/>
                <w:color w:val="000000"/>
                <w:sz w:val="16"/>
                <w:szCs w:val="16"/>
                <w:lang w:val="en-GB" w:eastAsia="en-GB"/>
              </w:rPr>
            </w:pPr>
            <w:r w:rsidRPr="005547A1">
              <w:rPr>
                <w:rFonts w:eastAsia="Times New Roman" w:cs="Times New Roman"/>
                <w:b/>
                <w:bCs/>
                <w:color w:val="000000"/>
                <w:sz w:val="16"/>
                <w:szCs w:val="16"/>
                <w:lang w:val="en-GB" w:eastAsia="en-GB"/>
              </w:rPr>
              <w:t>PCC</w:t>
            </w:r>
          </w:p>
        </w:tc>
        <w:tc>
          <w:tcPr>
            <w:tcW w:w="1644" w:type="dxa"/>
            <w:tcBorders>
              <w:top w:val="nil"/>
              <w:left w:val="nil"/>
              <w:bottom w:val="nil"/>
              <w:right w:val="nil"/>
            </w:tcBorders>
            <w:shd w:val="clear" w:color="auto" w:fill="auto"/>
            <w:noWrap/>
            <w:vAlign w:val="center"/>
            <w:hideMark/>
          </w:tcPr>
          <w:p w14:paraId="73AFB3F5" w14:textId="77777777" w:rsidR="005547A1" w:rsidRPr="005547A1" w:rsidRDefault="005547A1" w:rsidP="005547A1">
            <w:pPr>
              <w:jc w:val="center"/>
              <w:rPr>
                <w:rFonts w:eastAsia="Times New Roman" w:cs="Times New Roman"/>
                <w:b/>
                <w:bCs/>
                <w:color w:val="000000"/>
                <w:sz w:val="16"/>
                <w:szCs w:val="16"/>
                <w:lang w:val="en-GB" w:eastAsia="en-GB"/>
              </w:rPr>
            </w:pPr>
            <w:r w:rsidRPr="005547A1">
              <w:rPr>
                <w:rFonts w:eastAsia="Times New Roman" w:cs="Times New Roman"/>
                <w:b/>
                <w:bCs/>
                <w:color w:val="000000"/>
                <w:sz w:val="16"/>
                <w:szCs w:val="16"/>
                <w:lang w:val="en-GB" w:eastAsia="en-GB"/>
              </w:rPr>
              <w:t>Group</w:t>
            </w:r>
          </w:p>
        </w:tc>
      </w:tr>
      <w:tr w:rsidR="005547A1" w:rsidRPr="005547A1" w14:paraId="585E792F" w14:textId="77777777" w:rsidTr="0041394A">
        <w:trPr>
          <w:trHeight w:val="210"/>
          <w:jc w:val="center"/>
        </w:trPr>
        <w:tc>
          <w:tcPr>
            <w:tcW w:w="1180" w:type="dxa"/>
            <w:tcBorders>
              <w:top w:val="nil"/>
              <w:left w:val="nil"/>
              <w:bottom w:val="nil"/>
              <w:right w:val="nil"/>
            </w:tcBorders>
            <w:shd w:val="clear" w:color="auto" w:fill="auto"/>
            <w:noWrap/>
            <w:vAlign w:val="center"/>
            <w:hideMark/>
          </w:tcPr>
          <w:p w14:paraId="74D65B1A"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£000</w:t>
            </w:r>
          </w:p>
        </w:tc>
        <w:tc>
          <w:tcPr>
            <w:tcW w:w="1180" w:type="dxa"/>
            <w:tcBorders>
              <w:top w:val="nil"/>
              <w:left w:val="nil"/>
              <w:bottom w:val="nil"/>
              <w:right w:val="nil"/>
            </w:tcBorders>
            <w:shd w:val="clear" w:color="auto" w:fill="auto"/>
            <w:noWrap/>
            <w:vAlign w:val="center"/>
            <w:hideMark/>
          </w:tcPr>
          <w:p w14:paraId="5E71FCAA"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£000</w:t>
            </w:r>
          </w:p>
        </w:tc>
        <w:tc>
          <w:tcPr>
            <w:tcW w:w="2500" w:type="dxa"/>
            <w:tcBorders>
              <w:top w:val="nil"/>
              <w:left w:val="nil"/>
              <w:bottom w:val="nil"/>
              <w:right w:val="nil"/>
            </w:tcBorders>
            <w:shd w:val="clear" w:color="auto" w:fill="auto"/>
            <w:noWrap/>
            <w:vAlign w:val="center"/>
            <w:hideMark/>
          </w:tcPr>
          <w:p w14:paraId="55F6E84A" w14:textId="77777777" w:rsidR="005547A1" w:rsidRPr="005547A1" w:rsidRDefault="005547A1" w:rsidP="005547A1">
            <w:pPr>
              <w:jc w:val="right"/>
              <w:rPr>
                <w:rFonts w:eastAsia="Times New Roman" w:cs="Times New Roman"/>
                <w:color w:val="000000"/>
                <w:sz w:val="16"/>
                <w:szCs w:val="16"/>
                <w:lang w:val="en-GB" w:eastAsia="en-GB"/>
              </w:rPr>
            </w:pPr>
          </w:p>
        </w:tc>
        <w:tc>
          <w:tcPr>
            <w:tcW w:w="1644" w:type="dxa"/>
            <w:tcBorders>
              <w:top w:val="nil"/>
              <w:left w:val="nil"/>
              <w:bottom w:val="nil"/>
              <w:right w:val="nil"/>
            </w:tcBorders>
            <w:shd w:val="clear" w:color="auto" w:fill="auto"/>
            <w:noWrap/>
            <w:vAlign w:val="center"/>
            <w:hideMark/>
          </w:tcPr>
          <w:p w14:paraId="7C3A3340" w14:textId="77777777" w:rsidR="005547A1" w:rsidRPr="005547A1" w:rsidRDefault="005547A1" w:rsidP="005547A1">
            <w:pPr>
              <w:jc w:val="right"/>
              <w:rPr>
                <w:rFonts w:eastAsia="Times New Roman" w:cs="Times New Roman"/>
                <w:b/>
                <w:bCs/>
                <w:color w:val="000000"/>
                <w:sz w:val="16"/>
                <w:szCs w:val="16"/>
                <w:lang w:val="en-GB" w:eastAsia="en-GB"/>
              </w:rPr>
            </w:pPr>
            <w:r w:rsidRPr="005547A1">
              <w:rPr>
                <w:rFonts w:eastAsia="Times New Roman" w:cs="Times New Roman"/>
                <w:b/>
                <w:bCs/>
                <w:color w:val="000000"/>
                <w:sz w:val="16"/>
                <w:szCs w:val="16"/>
                <w:lang w:val="en-GB" w:eastAsia="en-GB"/>
              </w:rPr>
              <w:t>£000</w:t>
            </w:r>
          </w:p>
        </w:tc>
        <w:tc>
          <w:tcPr>
            <w:tcW w:w="1644" w:type="dxa"/>
            <w:tcBorders>
              <w:top w:val="nil"/>
              <w:left w:val="nil"/>
              <w:bottom w:val="nil"/>
              <w:right w:val="nil"/>
            </w:tcBorders>
            <w:shd w:val="clear" w:color="auto" w:fill="auto"/>
            <w:noWrap/>
            <w:vAlign w:val="center"/>
            <w:hideMark/>
          </w:tcPr>
          <w:p w14:paraId="5FCD0C51" w14:textId="77777777" w:rsidR="005547A1" w:rsidRPr="005547A1" w:rsidRDefault="005547A1" w:rsidP="005547A1">
            <w:pPr>
              <w:jc w:val="right"/>
              <w:rPr>
                <w:rFonts w:eastAsia="Times New Roman" w:cs="Times New Roman"/>
                <w:b/>
                <w:bCs/>
                <w:color w:val="000000"/>
                <w:sz w:val="16"/>
                <w:szCs w:val="16"/>
                <w:lang w:val="en-GB" w:eastAsia="en-GB"/>
              </w:rPr>
            </w:pPr>
            <w:r w:rsidRPr="005547A1">
              <w:rPr>
                <w:rFonts w:eastAsia="Times New Roman" w:cs="Times New Roman"/>
                <w:b/>
                <w:bCs/>
                <w:color w:val="000000"/>
                <w:sz w:val="16"/>
                <w:szCs w:val="16"/>
                <w:lang w:val="en-GB" w:eastAsia="en-GB"/>
              </w:rPr>
              <w:t>£000</w:t>
            </w:r>
          </w:p>
        </w:tc>
      </w:tr>
      <w:tr w:rsidR="005547A1" w:rsidRPr="005547A1" w14:paraId="566CC1AF" w14:textId="77777777" w:rsidTr="0041394A">
        <w:trPr>
          <w:trHeight w:val="210"/>
          <w:jc w:val="center"/>
        </w:trPr>
        <w:tc>
          <w:tcPr>
            <w:tcW w:w="1180" w:type="dxa"/>
            <w:tcBorders>
              <w:top w:val="nil"/>
              <w:left w:val="nil"/>
              <w:bottom w:val="nil"/>
              <w:right w:val="nil"/>
            </w:tcBorders>
            <w:shd w:val="clear" w:color="auto" w:fill="auto"/>
            <w:noWrap/>
            <w:vAlign w:val="center"/>
            <w:hideMark/>
          </w:tcPr>
          <w:p w14:paraId="3B5BE048"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(1,785)</w:t>
            </w:r>
          </w:p>
        </w:tc>
        <w:tc>
          <w:tcPr>
            <w:tcW w:w="1180" w:type="dxa"/>
            <w:tcBorders>
              <w:top w:val="nil"/>
              <w:left w:val="nil"/>
              <w:bottom w:val="nil"/>
              <w:right w:val="nil"/>
            </w:tcBorders>
            <w:shd w:val="clear" w:color="auto" w:fill="auto"/>
            <w:noWrap/>
            <w:vAlign w:val="center"/>
            <w:hideMark/>
          </w:tcPr>
          <w:p w14:paraId="4EB80CB0"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(1,785)</w:t>
            </w:r>
          </w:p>
        </w:tc>
        <w:tc>
          <w:tcPr>
            <w:tcW w:w="2500" w:type="dxa"/>
            <w:tcBorders>
              <w:top w:val="nil"/>
              <w:left w:val="nil"/>
              <w:bottom w:val="nil"/>
              <w:right w:val="nil"/>
            </w:tcBorders>
            <w:shd w:val="clear" w:color="auto" w:fill="auto"/>
            <w:noWrap/>
            <w:vAlign w:val="center"/>
            <w:hideMark/>
          </w:tcPr>
          <w:p w14:paraId="05CB9050" w14:textId="77777777" w:rsidR="005547A1" w:rsidRPr="005547A1" w:rsidRDefault="005547A1" w:rsidP="005547A1">
            <w:pPr>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Capital</w:t>
            </w:r>
          </w:p>
        </w:tc>
        <w:tc>
          <w:tcPr>
            <w:tcW w:w="1644" w:type="dxa"/>
            <w:tcBorders>
              <w:top w:val="nil"/>
              <w:left w:val="nil"/>
              <w:bottom w:val="nil"/>
              <w:right w:val="nil"/>
            </w:tcBorders>
            <w:shd w:val="clear" w:color="auto" w:fill="auto"/>
            <w:noWrap/>
            <w:vAlign w:val="center"/>
            <w:hideMark/>
          </w:tcPr>
          <w:p w14:paraId="6D6BEE67"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(546)</w:t>
            </w:r>
          </w:p>
        </w:tc>
        <w:tc>
          <w:tcPr>
            <w:tcW w:w="1644" w:type="dxa"/>
            <w:tcBorders>
              <w:top w:val="nil"/>
              <w:left w:val="nil"/>
              <w:bottom w:val="nil"/>
              <w:right w:val="nil"/>
            </w:tcBorders>
            <w:shd w:val="clear" w:color="auto" w:fill="auto"/>
            <w:noWrap/>
            <w:vAlign w:val="center"/>
            <w:hideMark/>
          </w:tcPr>
          <w:p w14:paraId="60A5DF1A"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(546)</w:t>
            </w:r>
          </w:p>
        </w:tc>
      </w:tr>
      <w:tr w:rsidR="005547A1" w:rsidRPr="005547A1" w14:paraId="3D973003" w14:textId="77777777" w:rsidTr="0041394A">
        <w:trPr>
          <w:trHeight w:val="210"/>
          <w:jc w:val="center"/>
        </w:trPr>
        <w:tc>
          <w:tcPr>
            <w:tcW w:w="1180" w:type="dxa"/>
            <w:tcBorders>
              <w:top w:val="nil"/>
              <w:left w:val="nil"/>
              <w:bottom w:val="nil"/>
              <w:right w:val="nil"/>
            </w:tcBorders>
            <w:shd w:val="clear" w:color="auto" w:fill="auto"/>
            <w:noWrap/>
            <w:vAlign w:val="center"/>
            <w:hideMark/>
          </w:tcPr>
          <w:p w14:paraId="254F3D3A"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(2,841)</w:t>
            </w:r>
          </w:p>
        </w:tc>
        <w:tc>
          <w:tcPr>
            <w:tcW w:w="1180" w:type="dxa"/>
            <w:tcBorders>
              <w:top w:val="nil"/>
              <w:left w:val="nil"/>
              <w:bottom w:val="nil"/>
              <w:right w:val="nil"/>
            </w:tcBorders>
            <w:shd w:val="clear" w:color="auto" w:fill="auto"/>
            <w:noWrap/>
            <w:vAlign w:val="center"/>
            <w:hideMark/>
          </w:tcPr>
          <w:p w14:paraId="6BECAE10"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(2,841)</w:t>
            </w:r>
          </w:p>
        </w:tc>
        <w:tc>
          <w:tcPr>
            <w:tcW w:w="2500" w:type="dxa"/>
            <w:tcBorders>
              <w:top w:val="nil"/>
              <w:left w:val="nil"/>
              <w:bottom w:val="nil"/>
              <w:right w:val="nil"/>
            </w:tcBorders>
            <w:shd w:val="clear" w:color="auto" w:fill="auto"/>
            <w:noWrap/>
            <w:vAlign w:val="center"/>
            <w:hideMark/>
          </w:tcPr>
          <w:p w14:paraId="71DE8D67" w14:textId="77777777" w:rsidR="005547A1" w:rsidRPr="005547A1" w:rsidRDefault="005547A1" w:rsidP="005547A1">
            <w:pPr>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Collaboration</w:t>
            </w:r>
          </w:p>
        </w:tc>
        <w:tc>
          <w:tcPr>
            <w:tcW w:w="1644" w:type="dxa"/>
            <w:tcBorders>
              <w:top w:val="nil"/>
              <w:left w:val="nil"/>
              <w:bottom w:val="nil"/>
              <w:right w:val="nil"/>
            </w:tcBorders>
            <w:shd w:val="clear" w:color="auto" w:fill="auto"/>
            <w:noWrap/>
            <w:vAlign w:val="center"/>
            <w:hideMark/>
          </w:tcPr>
          <w:p w14:paraId="01E39059"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(1,632)</w:t>
            </w:r>
          </w:p>
        </w:tc>
        <w:tc>
          <w:tcPr>
            <w:tcW w:w="1644" w:type="dxa"/>
            <w:tcBorders>
              <w:top w:val="nil"/>
              <w:left w:val="nil"/>
              <w:bottom w:val="nil"/>
              <w:right w:val="nil"/>
            </w:tcBorders>
            <w:shd w:val="clear" w:color="auto" w:fill="auto"/>
            <w:noWrap/>
            <w:vAlign w:val="center"/>
            <w:hideMark/>
          </w:tcPr>
          <w:p w14:paraId="1225576A"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(1,632)</w:t>
            </w:r>
          </w:p>
        </w:tc>
      </w:tr>
      <w:tr w:rsidR="005547A1" w:rsidRPr="005547A1" w14:paraId="60361B11" w14:textId="77777777" w:rsidTr="0041394A">
        <w:trPr>
          <w:trHeight w:val="210"/>
          <w:jc w:val="center"/>
        </w:trPr>
        <w:tc>
          <w:tcPr>
            <w:tcW w:w="1180" w:type="dxa"/>
            <w:tcBorders>
              <w:top w:val="nil"/>
              <w:left w:val="nil"/>
              <w:bottom w:val="nil"/>
              <w:right w:val="nil"/>
            </w:tcBorders>
            <w:shd w:val="clear" w:color="auto" w:fill="auto"/>
            <w:noWrap/>
            <w:vAlign w:val="center"/>
            <w:hideMark/>
          </w:tcPr>
          <w:p w14:paraId="6C19BDE7"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(2,083)</w:t>
            </w:r>
          </w:p>
        </w:tc>
        <w:tc>
          <w:tcPr>
            <w:tcW w:w="1180" w:type="dxa"/>
            <w:tcBorders>
              <w:top w:val="nil"/>
              <w:left w:val="nil"/>
              <w:bottom w:val="nil"/>
              <w:right w:val="nil"/>
            </w:tcBorders>
            <w:shd w:val="clear" w:color="auto" w:fill="auto"/>
            <w:noWrap/>
            <w:vAlign w:val="center"/>
            <w:hideMark/>
          </w:tcPr>
          <w:p w14:paraId="32972674"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(2,083)</w:t>
            </w:r>
          </w:p>
        </w:tc>
        <w:tc>
          <w:tcPr>
            <w:tcW w:w="2500" w:type="dxa"/>
            <w:tcBorders>
              <w:top w:val="nil"/>
              <w:left w:val="nil"/>
              <w:bottom w:val="nil"/>
              <w:right w:val="nil"/>
            </w:tcBorders>
            <w:shd w:val="clear" w:color="auto" w:fill="auto"/>
            <w:noWrap/>
            <w:vAlign w:val="center"/>
            <w:hideMark/>
          </w:tcPr>
          <w:p w14:paraId="6BAAFA64" w14:textId="77777777" w:rsidR="005547A1" w:rsidRPr="005547A1" w:rsidRDefault="005547A1" w:rsidP="005547A1">
            <w:pPr>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Council Tax Debtors</w:t>
            </w:r>
          </w:p>
        </w:tc>
        <w:tc>
          <w:tcPr>
            <w:tcW w:w="1644" w:type="dxa"/>
            <w:tcBorders>
              <w:top w:val="nil"/>
              <w:left w:val="nil"/>
              <w:bottom w:val="nil"/>
              <w:right w:val="nil"/>
            </w:tcBorders>
            <w:shd w:val="clear" w:color="auto" w:fill="auto"/>
            <w:noWrap/>
            <w:vAlign w:val="center"/>
            <w:hideMark/>
          </w:tcPr>
          <w:p w14:paraId="1954CEC2" w14:textId="570FBC44" w:rsidR="005547A1" w:rsidRPr="005547A1" w:rsidRDefault="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w:t>
            </w:r>
            <w:r w:rsidR="00B166EE">
              <w:rPr>
                <w:rFonts w:eastAsia="Times New Roman" w:cs="Times New Roman"/>
                <w:color w:val="000000"/>
                <w:sz w:val="16"/>
                <w:szCs w:val="16"/>
                <w:lang w:val="en-GB" w:eastAsia="en-GB"/>
              </w:rPr>
              <w:t>4,388</w:t>
            </w:r>
            <w:r w:rsidRPr="005547A1">
              <w:rPr>
                <w:rFonts w:eastAsia="Times New Roman" w:cs="Times New Roman"/>
                <w:color w:val="000000"/>
                <w:sz w:val="16"/>
                <w:szCs w:val="16"/>
                <w:lang w:val="en-GB" w:eastAsia="en-GB"/>
              </w:rPr>
              <w:t>)</w:t>
            </w:r>
          </w:p>
        </w:tc>
        <w:tc>
          <w:tcPr>
            <w:tcW w:w="1644" w:type="dxa"/>
            <w:tcBorders>
              <w:top w:val="nil"/>
              <w:left w:val="nil"/>
              <w:bottom w:val="nil"/>
              <w:right w:val="nil"/>
            </w:tcBorders>
            <w:shd w:val="clear" w:color="auto" w:fill="auto"/>
            <w:noWrap/>
            <w:vAlign w:val="center"/>
            <w:hideMark/>
          </w:tcPr>
          <w:p w14:paraId="658CA8D7" w14:textId="11B65CC4" w:rsidR="005547A1" w:rsidRPr="005547A1" w:rsidRDefault="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w:t>
            </w:r>
            <w:r w:rsidR="00026E0D">
              <w:rPr>
                <w:rFonts w:eastAsia="Times New Roman" w:cs="Times New Roman"/>
                <w:color w:val="000000"/>
                <w:sz w:val="16"/>
                <w:szCs w:val="16"/>
                <w:lang w:val="en-GB" w:eastAsia="en-GB"/>
              </w:rPr>
              <w:t>4,388</w:t>
            </w:r>
            <w:r w:rsidRPr="005547A1">
              <w:rPr>
                <w:rFonts w:eastAsia="Times New Roman" w:cs="Times New Roman"/>
                <w:color w:val="000000"/>
                <w:sz w:val="16"/>
                <w:szCs w:val="16"/>
                <w:lang w:val="en-GB" w:eastAsia="en-GB"/>
              </w:rPr>
              <w:t>)</w:t>
            </w:r>
          </w:p>
        </w:tc>
      </w:tr>
      <w:tr w:rsidR="005547A1" w:rsidRPr="005547A1" w14:paraId="0F217333" w14:textId="77777777" w:rsidTr="0041394A">
        <w:trPr>
          <w:trHeight w:val="210"/>
          <w:jc w:val="center"/>
        </w:trPr>
        <w:tc>
          <w:tcPr>
            <w:tcW w:w="1180" w:type="dxa"/>
            <w:tcBorders>
              <w:top w:val="nil"/>
              <w:left w:val="nil"/>
              <w:bottom w:val="nil"/>
              <w:right w:val="nil"/>
            </w:tcBorders>
            <w:shd w:val="clear" w:color="auto" w:fill="auto"/>
            <w:noWrap/>
            <w:vAlign w:val="center"/>
            <w:hideMark/>
          </w:tcPr>
          <w:p w14:paraId="16B948A6"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(694)</w:t>
            </w:r>
          </w:p>
        </w:tc>
        <w:tc>
          <w:tcPr>
            <w:tcW w:w="1180" w:type="dxa"/>
            <w:tcBorders>
              <w:top w:val="nil"/>
              <w:left w:val="nil"/>
              <w:bottom w:val="nil"/>
              <w:right w:val="nil"/>
            </w:tcBorders>
            <w:shd w:val="clear" w:color="auto" w:fill="auto"/>
            <w:noWrap/>
            <w:vAlign w:val="center"/>
            <w:hideMark/>
          </w:tcPr>
          <w:p w14:paraId="5D24CA3D"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(694)</w:t>
            </w:r>
          </w:p>
        </w:tc>
        <w:tc>
          <w:tcPr>
            <w:tcW w:w="2500" w:type="dxa"/>
            <w:tcBorders>
              <w:top w:val="nil"/>
              <w:left w:val="nil"/>
              <w:bottom w:val="nil"/>
              <w:right w:val="nil"/>
            </w:tcBorders>
            <w:shd w:val="clear" w:color="auto" w:fill="auto"/>
            <w:noWrap/>
            <w:vAlign w:val="center"/>
            <w:hideMark/>
          </w:tcPr>
          <w:p w14:paraId="676F805E" w14:textId="77777777" w:rsidR="005547A1" w:rsidRPr="005547A1" w:rsidRDefault="005547A1" w:rsidP="005547A1">
            <w:pPr>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Estates</w:t>
            </w:r>
          </w:p>
        </w:tc>
        <w:tc>
          <w:tcPr>
            <w:tcW w:w="1644" w:type="dxa"/>
            <w:tcBorders>
              <w:top w:val="nil"/>
              <w:left w:val="nil"/>
              <w:bottom w:val="nil"/>
              <w:right w:val="nil"/>
            </w:tcBorders>
            <w:shd w:val="clear" w:color="auto" w:fill="auto"/>
            <w:noWrap/>
            <w:vAlign w:val="center"/>
            <w:hideMark/>
          </w:tcPr>
          <w:p w14:paraId="3B9C79CE"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(443)</w:t>
            </w:r>
          </w:p>
        </w:tc>
        <w:tc>
          <w:tcPr>
            <w:tcW w:w="1644" w:type="dxa"/>
            <w:tcBorders>
              <w:top w:val="nil"/>
              <w:left w:val="nil"/>
              <w:bottom w:val="nil"/>
              <w:right w:val="nil"/>
            </w:tcBorders>
            <w:shd w:val="clear" w:color="auto" w:fill="auto"/>
            <w:noWrap/>
            <w:vAlign w:val="center"/>
            <w:hideMark/>
          </w:tcPr>
          <w:p w14:paraId="7CF99DA3"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(443)</w:t>
            </w:r>
          </w:p>
        </w:tc>
      </w:tr>
      <w:tr w:rsidR="005547A1" w:rsidRPr="005547A1" w14:paraId="7369420D" w14:textId="77777777" w:rsidTr="0041394A">
        <w:trPr>
          <w:trHeight w:val="210"/>
          <w:jc w:val="center"/>
        </w:trPr>
        <w:tc>
          <w:tcPr>
            <w:tcW w:w="1180" w:type="dxa"/>
            <w:tcBorders>
              <w:top w:val="nil"/>
              <w:left w:val="nil"/>
              <w:bottom w:val="nil"/>
              <w:right w:val="nil"/>
            </w:tcBorders>
            <w:shd w:val="clear" w:color="auto" w:fill="auto"/>
            <w:noWrap/>
            <w:vAlign w:val="center"/>
            <w:hideMark/>
          </w:tcPr>
          <w:p w14:paraId="114D1E1B"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(1,903)</w:t>
            </w:r>
          </w:p>
        </w:tc>
        <w:tc>
          <w:tcPr>
            <w:tcW w:w="1180" w:type="dxa"/>
            <w:tcBorders>
              <w:top w:val="nil"/>
              <w:left w:val="nil"/>
              <w:bottom w:val="nil"/>
              <w:right w:val="nil"/>
            </w:tcBorders>
            <w:shd w:val="clear" w:color="auto" w:fill="auto"/>
            <w:noWrap/>
            <w:vAlign w:val="center"/>
            <w:hideMark/>
          </w:tcPr>
          <w:p w14:paraId="5688BC96"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(1,903)</w:t>
            </w:r>
          </w:p>
        </w:tc>
        <w:tc>
          <w:tcPr>
            <w:tcW w:w="2500" w:type="dxa"/>
            <w:tcBorders>
              <w:top w:val="nil"/>
              <w:left w:val="nil"/>
              <w:bottom w:val="nil"/>
              <w:right w:val="nil"/>
            </w:tcBorders>
            <w:shd w:val="clear" w:color="auto" w:fill="auto"/>
            <w:noWrap/>
            <w:vAlign w:val="center"/>
            <w:hideMark/>
          </w:tcPr>
          <w:p w14:paraId="56B7AAF8" w14:textId="77777777" w:rsidR="005547A1" w:rsidRPr="005547A1" w:rsidRDefault="005547A1" w:rsidP="005547A1">
            <w:pPr>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Forfeiture Monies</w:t>
            </w:r>
          </w:p>
        </w:tc>
        <w:tc>
          <w:tcPr>
            <w:tcW w:w="1644" w:type="dxa"/>
            <w:tcBorders>
              <w:top w:val="nil"/>
              <w:left w:val="nil"/>
              <w:bottom w:val="nil"/>
              <w:right w:val="nil"/>
            </w:tcBorders>
            <w:shd w:val="clear" w:color="auto" w:fill="auto"/>
            <w:noWrap/>
            <w:vAlign w:val="center"/>
            <w:hideMark/>
          </w:tcPr>
          <w:p w14:paraId="5F26DC2F"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(1,926)</w:t>
            </w:r>
          </w:p>
        </w:tc>
        <w:tc>
          <w:tcPr>
            <w:tcW w:w="1644" w:type="dxa"/>
            <w:tcBorders>
              <w:top w:val="nil"/>
              <w:left w:val="nil"/>
              <w:bottom w:val="nil"/>
              <w:right w:val="nil"/>
            </w:tcBorders>
            <w:shd w:val="clear" w:color="auto" w:fill="auto"/>
            <w:noWrap/>
            <w:vAlign w:val="center"/>
            <w:hideMark/>
          </w:tcPr>
          <w:p w14:paraId="70D9ED15"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(1,926)</w:t>
            </w:r>
          </w:p>
        </w:tc>
      </w:tr>
      <w:tr w:rsidR="005547A1" w:rsidRPr="005547A1" w14:paraId="18B9ED3F" w14:textId="77777777" w:rsidTr="0041394A">
        <w:trPr>
          <w:trHeight w:val="210"/>
          <w:jc w:val="center"/>
        </w:trPr>
        <w:tc>
          <w:tcPr>
            <w:tcW w:w="1180" w:type="dxa"/>
            <w:tcBorders>
              <w:top w:val="nil"/>
              <w:left w:val="nil"/>
              <w:bottom w:val="nil"/>
              <w:right w:val="nil"/>
            </w:tcBorders>
            <w:shd w:val="clear" w:color="auto" w:fill="auto"/>
            <w:noWrap/>
            <w:vAlign w:val="center"/>
            <w:hideMark/>
          </w:tcPr>
          <w:p w14:paraId="2817DDA4"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(88)</w:t>
            </w:r>
          </w:p>
        </w:tc>
        <w:tc>
          <w:tcPr>
            <w:tcW w:w="1180" w:type="dxa"/>
            <w:tcBorders>
              <w:top w:val="nil"/>
              <w:left w:val="nil"/>
              <w:bottom w:val="nil"/>
              <w:right w:val="nil"/>
            </w:tcBorders>
            <w:shd w:val="clear" w:color="auto" w:fill="auto"/>
            <w:noWrap/>
            <w:vAlign w:val="center"/>
            <w:hideMark/>
          </w:tcPr>
          <w:p w14:paraId="369EAC3A"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(88)</w:t>
            </w:r>
          </w:p>
        </w:tc>
        <w:tc>
          <w:tcPr>
            <w:tcW w:w="2500" w:type="dxa"/>
            <w:tcBorders>
              <w:top w:val="nil"/>
              <w:left w:val="nil"/>
              <w:bottom w:val="nil"/>
              <w:right w:val="nil"/>
            </w:tcBorders>
            <w:shd w:val="clear" w:color="auto" w:fill="auto"/>
            <w:noWrap/>
            <w:vAlign w:val="center"/>
            <w:hideMark/>
          </w:tcPr>
          <w:p w14:paraId="00420A23" w14:textId="77777777" w:rsidR="005547A1" w:rsidRPr="005547A1" w:rsidRDefault="005547A1" w:rsidP="005547A1">
            <w:pPr>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Insurance/Legal/Property</w:t>
            </w:r>
          </w:p>
        </w:tc>
        <w:tc>
          <w:tcPr>
            <w:tcW w:w="1644" w:type="dxa"/>
            <w:tcBorders>
              <w:top w:val="nil"/>
              <w:left w:val="nil"/>
              <w:bottom w:val="nil"/>
              <w:right w:val="nil"/>
            </w:tcBorders>
            <w:shd w:val="clear" w:color="auto" w:fill="auto"/>
            <w:noWrap/>
            <w:vAlign w:val="center"/>
            <w:hideMark/>
          </w:tcPr>
          <w:p w14:paraId="008B84C2"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(263)</w:t>
            </w:r>
          </w:p>
        </w:tc>
        <w:tc>
          <w:tcPr>
            <w:tcW w:w="1644" w:type="dxa"/>
            <w:tcBorders>
              <w:top w:val="nil"/>
              <w:left w:val="nil"/>
              <w:bottom w:val="nil"/>
              <w:right w:val="nil"/>
            </w:tcBorders>
            <w:shd w:val="clear" w:color="auto" w:fill="auto"/>
            <w:noWrap/>
            <w:vAlign w:val="center"/>
            <w:hideMark/>
          </w:tcPr>
          <w:p w14:paraId="0370C81F"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(263)</w:t>
            </w:r>
          </w:p>
        </w:tc>
      </w:tr>
      <w:tr w:rsidR="005547A1" w:rsidRPr="005547A1" w14:paraId="516B5879" w14:textId="77777777" w:rsidTr="0041394A">
        <w:trPr>
          <w:trHeight w:val="210"/>
          <w:jc w:val="center"/>
        </w:trPr>
        <w:tc>
          <w:tcPr>
            <w:tcW w:w="1180" w:type="dxa"/>
            <w:tcBorders>
              <w:top w:val="nil"/>
              <w:left w:val="nil"/>
              <w:bottom w:val="nil"/>
              <w:right w:val="nil"/>
            </w:tcBorders>
            <w:shd w:val="clear" w:color="auto" w:fill="auto"/>
            <w:noWrap/>
            <w:vAlign w:val="center"/>
            <w:hideMark/>
          </w:tcPr>
          <w:p w14:paraId="2FCF477B"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(4,402)</w:t>
            </w:r>
          </w:p>
        </w:tc>
        <w:tc>
          <w:tcPr>
            <w:tcW w:w="1180" w:type="dxa"/>
            <w:tcBorders>
              <w:top w:val="nil"/>
              <w:left w:val="nil"/>
              <w:bottom w:val="nil"/>
              <w:right w:val="nil"/>
            </w:tcBorders>
            <w:shd w:val="clear" w:color="auto" w:fill="auto"/>
            <w:noWrap/>
            <w:vAlign w:val="center"/>
            <w:hideMark/>
          </w:tcPr>
          <w:p w14:paraId="3DF5F900"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(4,402)</w:t>
            </w:r>
          </w:p>
        </w:tc>
        <w:tc>
          <w:tcPr>
            <w:tcW w:w="2500" w:type="dxa"/>
            <w:tcBorders>
              <w:top w:val="nil"/>
              <w:left w:val="nil"/>
              <w:bottom w:val="nil"/>
              <w:right w:val="nil"/>
            </w:tcBorders>
            <w:shd w:val="clear" w:color="auto" w:fill="auto"/>
            <w:noWrap/>
            <w:vAlign w:val="center"/>
            <w:hideMark/>
          </w:tcPr>
          <w:p w14:paraId="205E3B23" w14:textId="77777777" w:rsidR="005547A1" w:rsidRPr="005547A1" w:rsidRDefault="005547A1" w:rsidP="005547A1">
            <w:pPr>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Other</w:t>
            </w:r>
          </w:p>
        </w:tc>
        <w:tc>
          <w:tcPr>
            <w:tcW w:w="1644" w:type="dxa"/>
            <w:tcBorders>
              <w:top w:val="nil"/>
              <w:left w:val="nil"/>
              <w:bottom w:val="nil"/>
              <w:right w:val="nil"/>
            </w:tcBorders>
            <w:shd w:val="clear" w:color="auto" w:fill="auto"/>
            <w:noWrap/>
            <w:vAlign w:val="center"/>
            <w:hideMark/>
          </w:tcPr>
          <w:p w14:paraId="5A0F61CA"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(1,338)</w:t>
            </w:r>
          </w:p>
        </w:tc>
        <w:tc>
          <w:tcPr>
            <w:tcW w:w="1644" w:type="dxa"/>
            <w:tcBorders>
              <w:top w:val="nil"/>
              <w:left w:val="nil"/>
              <w:bottom w:val="nil"/>
              <w:right w:val="nil"/>
            </w:tcBorders>
            <w:shd w:val="clear" w:color="auto" w:fill="auto"/>
            <w:noWrap/>
            <w:vAlign w:val="center"/>
            <w:hideMark/>
          </w:tcPr>
          <w:p w14:paraId="1B276571"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(1,338)</w:t>
            </w:r>
          </w:p>
        </w:tc>
      </w:tr>
      <w:tr w:rsidR="005547A1" w:rsidRPr="005547A1" w14:paraId="07A86AA1" w14:textId="77777777" w:rsidTr="0041394A">
        <w:trPr>
          <w:trHeight w:val="210"/>
          <w:jc w:val="center"/>
        </w:trPr>
        <w:tc>
          <w:tcPr>
            <w:tcW w:w="1180" w:type="dxa"/>
            <w:tcBorders>
              <w:top w:val="nil"/>
              <w:left w:val="nil"/>
              <w:bottom w:val="nil"/>
              <w:right w:val="nil"/>
            </w:tcBorders>
            <w:shd w:val="clear" w:color="auto" w:fill="auto"/>
            <w:noWrap/>
            <w:vAlign w:val="center"/>
            <w:hideMark/>
          </w:tcPr>
          <w:p w14:paraId="1E2DEB2F"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0</w:t>
            </w:r>
          </w:p>
        </w:tc>
        <w:tc>
          <w:tcPr>
            <w:tcW w:w="1180" w:type="dxa"/>
            <w:tcBorders>
              <w:top w:val="nil"/>
              <w:left w:val="nil"/>
              <w:bottom w:val="nil"/>
              <w:right w:val="nil"/>
            </w:tcBorders>
            <w:shd w:val="clear" w:color="auto" w:fill="auto"/>
            <w:noWrap/>
            <w:vAlign w:val="center"/>
            <w:hideMark/>
          </w:tcPr>
          <w:p w14:paraId="62A419A7"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(1,052)</w:t>
            </w:r>
          </w:p>
        </w:tc>
        <w:tc>
          <w:tcPr>
            <w:tcW w:w="2500" w:type="dxa"/>
            <w:tcBorders>
              <w:top w:val="nil"/>
              <w:left w:val="nil"/>
              <w:bottom w:val="nil"/>
              <w:right w:val="nil"/>
            </w:tcBorders>
            <w:shd w:val="clear" w:color="auto" w:fill="auto"/>
            <w:noWrap/>
            <w:vAlign w:val="center"/>
            <w:hideMark/>
          </w:tcPr>
          <w:p w14:paraId="4C79029E" w14:textId="77777777" w:rsidR="005547A1" w:rsidRPr="005547A1" w:rsidRDefault="005547A1" w:rsidP="005547A1">
            <w:pPr>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Holiday Pay</w:t>
            </w:r>
          </w:p>
        </w:tc>
        <w:tc>
          <w:tcPr>
            <w:tcW w:w="1644" w:type="dxa"/>
            <w:tcBorders>
              <w:top w:val="nil"/>
              <w:left w:val="nil"/>
              <w:bottom w:val="nil"/>
              <w:right w:val="nil"/>
            </w:tcBorders>
            <w:shd w:val="clear" w:color="auto" w:fill="auto"/>
            <w:noWrap/>
            <w:vAlign w:val="center"/>
            <w:hideMark/>
          </w:tcPr>
          <w:p w14:paraId="59665744"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0</w:t>
            </w:r>
          </w:p>
        </w:tc>
        <w:tc>
          <w:tcPr>
            <w:tcW w:w="1644" w:type="dxa"/>
            <w:tcBorders>
              <w:top w:val="nil"/>
              <w:left w:val="nil"/>
              <w:bottom w:val="nil"/>
              <w:right w:val="nil"/>
            </w:tcBorders>
            <w:shd w:val="clear" w:color="auto" w:fill="auto"/>
            <w:noWrap/>
            <w:vAlign w:val="center"/>
            <w:hideMark/>
          </w:tcPr>
          <w:p w14:paraId="462EACCF"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(1,951)</w:t>
            </w:r>
          </w:p>
        </w:tc>
      </w:tr>
      <w:tr w:rsidR="005547A1" w:rsidRPr="005547A1" w14:paraId="7A4A2C59" w14:textId="77777777" w:rsidTr="0041394A">
        <w:trPr>
          <w:trHeight w:val="210"/>
          <w:jc w:val="center"/>
        </w:trPr>
        <w:tc>
          <w:tcPr>
            <w:tcW w:w="1180" w:type="dxa"/>
            <w:tcBorders>
              <w:top w:val="nil"/>
              <w:left w:val="nil"/>
              <w:bottom w:val="nil"/>
              <w:right w:val="nil"/>
            </w:tcBorders>
            <w:shd w:val="clear" w:color="auto" w:fill="auto"/>
            <w:noWrap/>
            <w:vAlign w:val="center"/>
            <w:hideMark/>
          </w:tcPr>
          <w:p w14:paraId="630F4567"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(3,895)</w:t>
            </w:r>
          </w:p>
        </w:tc>
        <w:tc>
          <w:tcPr>
            <w:tcW w:w="1180" w:type="dxa"/>
            <w:tcBorders>
              <w:top w:val="nil"/>
              <w:left w:val="nil"/>
              <w:bottom w:val="nil"/>
              <w:right w:val="nil"/>
            </w:tcBorders>
            <w:shd w:val="clear" w:color="auto" w:fill="auto"/>
            <w:noWrap/>
            <w:vAlign w:val="center"/>
            <w:hideMark/>
          </w:tcPr>
          <w:p w14:paraId="5BE672FB"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(3,895)</w:t>
            </w:r>
          </w:p>
        </w:tc>
        <w:tc>
          <w:tcPr>
            <w:tcW w:w="2500" w:type="dxa"/>
            <w:tcBorders>
              <w:top w:val="nil"/>
              <w:left w:val="nil"/>
              <w:bottom w:val="nil"/>
              <w:right w:val="nil"/>
            </w:tcBorders>
            <w:shd w:val="clear" w:color="auto" w:fill="auto"/>
            <w:noWrap/>
            <w:vAlign w:val="center"/>
            <w:hideMark/>
          </w:tcPr>
          <w:p w14:paraId="32D5FCF9" w14:textId="77777777" w:rsidR="005547A1" w:rsidRPr="005547A1" w:rsidRDefault="005547A1" w:rsidP="005547A1">
            <w:pPr>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Partnership Monies</w:t>
            </w:r>
          </w:p>
        </w:tc>
        <w:tc>
          <w:tcPr>
            <w:tcW w:w="1644" w:type="dxa"/>
            <w:tcBorders>
              <w:top w:val="nil"/>
              <w:left w:val="nil"/>
              <w:bottom w:val="nil"/>
              <w:right w:val="nil"/>
            </w:tcBorders>
            <w:shd w:val="clear" w:color="auto" w:fill="auto"/>
            <w:noWrap/>
            <w:vAlign w:val="center"/>
            <w:hideMark/>
          </w:tcPr>
          <w:p w14:paraId="5656A49D"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(5,486)</w:t>
            </w:r>
          </w:p>
        </w:tc>
        <w:tc>
          <w:tcPr>
            <w:tcW w:w="1644" w:type="dxa"/>
            <w:tcBorders>
              <w:top w:val="nil"/>
              <w:left w:val="nil"/>
              <w:bottom w:val="nil"/>
              <w:right w:val="nil"/>
            </w:tcBorders>
            <w:shd w:val="clear" w:color="auto" w:fill="auto"/>
            <w:noWrap/>
            <w:vAlign w:val="center"/>
            <w:hideMark/>
          </w:tcPr>
          <w:p w14:paraId="54F5F1CD"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(5,486)</w:t>
            </w:r>
          </w:p>
        </w:tc>
      </w:tr>
      <w:tr w:rsidR="005547A1" w:rsidRPr="005547A1" w14:paraId="5FBB6596" w14:textId="77777777" w:rsidTr="0041394A">
        <w:trPr>
          <w:trHeight w:val="210"/>
          <w:jc w:val="center"/>
        </w:trPr>
        <w:tc>
          <w:tcPr>
            <w:tcW w:w="1180" w:type="dxa"/>
            <w:tcBorders>
              <w:top w:val="nil"/>
              <w:left w:val="nil"/>
              <w:bottom w:val="nil"/>
              <w:right w:val="nil"/>
            </w:tcBorders>
            <w:shd w:val="clear" w:color="auto" w:fill="auto"/>
            <w:noWrap/>
            <w:vAlign w:val="center"/>
            <w:hideMark/>
          </w:tcPr>
          <w:p w14:paraId="0A943B3C"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(3,661)</w:t>
            </w:r>
          </w:p>
        </w:tc>
        <w:tc>
          <w:tcPr>
            <w:tcW w:w="1180" w:type="dxa"/>
            <w:tcBorders>
              <w:top w:val="nil"/>
              <w:left w:val="nil"/>
              <w:bottom w:val="nil"/>
              <w:right w:val="nil"/>
            </w:tcBorders>
            <w:shd w:val="clear" w:color="auto" w:fill="auto"/>
            <w:noWrap/>
            <w:vAlign w:val="center"/>
            <w:hideMark/>
          </w:tcPr>
          <w:p w14:paraId="73B12BA9"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(3,661)</w:t>
            </w:r>
          </w:p>
        </w:tc>
        <w:tc>
          <w:tcPr>
            <w:tcW w:w="2500" w:type="dxa"/>
            <w:tcBorders>
              <w:top w:val="nil"/>
              <w:left w:val="nil"/>
              <w:bottom w:val="nil"/>
              <w:right w:val="nil"/>
            </w:tcBorders>
            <w:shd w:val="clear" w:color="auto" w:fill="auto"/>
            <w:noWrap/>
            <w:vAlign w:val="center"/>
            <w:hideMark/>
          </w:tcPr>
          <w:p w14:paraId="6EE4DB71" w14:textId="77777777" w:rsidR="005547A1" w:rsidRPr="005547A1" w:rsidRDefault="005547A1" w:rsidP="005547A1">
            <w:pPr>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Payroll/Pension</w:t>
            </w:r>
          </w:p>
        </w:tc>
        <w:tc>
          <w:tcPr>
            <w:tcW w:w="1644" w:type="dxa"/>
            <w:tcBorders>
              <w:top w:val="nil"/>
              <w:left w:val="nil"/>
              <w:bottom w:val="nil"/>
              <w:right w:val="nil"/>
            </w:tcBorders>
            <w:shd w:val="clear" w:color="auto" w:fill="auto"/>
            <w:noWrap/>
            <w:vAlign w:val="center"/>
            <w:hideMark/>
          </w:tcPr>
          <w:p w14:paraId="5CC3715D"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(4,745)</w:t>
            </w:r>
          </w:p>
        </w:tc>
        <w:tc>
          <w:tcPr>
            <w:tcW w:w="1644" w:type="dxa"/>
            <w:tcBorders>
              <w:top w:val="nil"/>
              <w:left w:val="nil"/>
              <w:bottom w:val="nil"/>
              <w:right w:val="nil"/>
            </w:tcBorders>
            <w:shd w:val="clear" w:color="auto" w:fill="auto"/>
            <w:noWrap/>
            <w:vAlign w:val="center"/>
            <w:hideMark/>
          </w:tcPr>
          <w:p w14:paraId="50E0EB9A"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(4,745)</w:t>
            </w:r>
          </w:p>
        </w:tc>
      </w:tr>
      <w:tr w:rsidR="005547A1" w:rsidRPr="005547A1" w14:paraId="67C261FE" w14:textId="77777777" w:rsidTr="0041394A">
        <w:trPr>
          <w:trHeight w:val="210"/>
          <w:jc w:val="center"/>
        </w:trPr>
        <w:tc>
          <w:tcPr>
            <w:tcW w:w="1180" w:type="dxa"/>
            <w:tcBorders>
              <w:top w:val="nil"/>
              <w:left w:val="nil"/>
              <w:bottom w:val="nil"/>
              <w:right w:val="nil"/>
            </w:tcBorders>
            <w:shd w:val="clear" w:color="auto" w:fill="auto"/>
            <w:noWrap/>
            <w:vAlign w:val="center"/>
            <w:hideMark/>
          </w:tcPr>
          <w:p w14:paraId="333501E3"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(3,955)</w:t>
            </w:r>
          </w:p>
        </w:tc>
        <w:tc>
          <w:tcPr>
            <w:tcW w:w="1180" w:type="dxa"/>
            <w:tcBorders>
              <w:top w:val="nil"/>
              <w:left w:val="nil"/>
              <w:bottom w:val="nil"/>
              <w:right w:val="nil"/>
            </w:tcBorders>
            <w:shd w:val="clear" w:color="auto" w:fill="auto"/>
            <w:noWrap/>
            <w:vAlign w:val="center"/>
            <w:hideMark/>
          </w:tcPr>
          <w:p w14:paraId="13962581"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(3,955)</w:t>
            </w:r>
          </w:p>
        </w:tc>
        <w:tc>
          <w:tcPr>
            <w:tcW w:w="2500" w:type="dxa"/>
            <w:tcBorders>
              <w:top w:val="nil"/>
              <w:left w:val="nil"/>
              <w:bottom w:val="nil"/>
              <w:right w:val="nil"/>
            </w:tcBorders>
            <w:shd w:val="clear" w:color="auto" w:fill="auto"/>
            <w:noWrap/>
            <w:vAlign w:val="center"/>
            <w:hideMark/>
          </w:tcPr>
          <w:p w14:paraId="022976A5" w14:textId="77777777" w:rsidR="005547A1" w:rsidRPr="005547A1" w:rsidRDefault="005547A1" w:rsidP="005547A1">
            <w:pPr>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Tax</w:t>
            </w:r>
          </w:p>
        </w:tc>
        <w:tc>
          <w:tcPr>
            <w:tcW w:w="1644" w:type="dxa"/>
            <w:tcBorders>
              <w:top w:val="nil"/>
              <w:left w:val="nil"/>
              <w:bottom w:val="nil"/>
              <w:right w:val="nil"/>
            </w:tcBorders>
            <w:shd w:val="clear" w:color="auto" w:fill="auto"/>
            <w:noWrap/>
            <w:vAlign w:val="center"/>
            <w:hideMark/>
          </w:tcPr>
          <w:p w14:paraId="0BB954F0"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(4,413)</w:t>
            </w:r>
          </w:p>
        </w:tc>
        <w:tc>
          <w:tcPr>
            <w:tcW w:w="1644" w:type="dxa"/>
            <w:tcBorders>
              <w:top w:val="nil"/>
              <w:left w:val="nil"/>
              <w:bottom w:val="nil"/>
              <w:right w:val="nil"/>
            </w:tcBorders>
            <w:shd w:val="clear" w:color="auto" w:fill="auto"/>
            <w:noWrap/>
            <w:vAlign w:val="center"/>
            <w:hideMark/>
          </w:tcPr>
          <w:p w14:paraId="5FFC291F" w14:textId="77777777" w:rsidR="005547A1" w:rsidRPr="005547A1" w:rsidRDefault="005547A1" w:rsidP="005547A1">
            <w:pPr>
              <w:jc w:val="right"/>
              <w:rPr>
                <w:rFonts w:eastAsia="Times New Roman" w:cs="Times New Roman"/>
                <w:color w:val="000000"/>
                <w:sz w:val="16"/>
                <w:szCs w:val="16"/>
                <w:lang w:val="en-GB" w:eastAsia="en-GB"/>
              </w:rPr>
            </w:pPr>
            <w:r w:rsidRPr="005547A1">
              <w:rPr>
                <w:rFonts w:eastAsia="Times New Roman" w:cs="Times New Roman"/>
                <w:color w:val="000000"/>
                <w:sz w:val="16"/>
                <w:szCs w:val="16"/>
                <w:lang w:val="en-GB" w:eastAsia="en-GB"/>
              </w:rPr>
              <w:t>(4,413)</w:t>
            </w:r>
          </w:p>
        </w:tc>
      </w:tr>
      <w:tr w:rsidR="005547A1" w:rsidRPr="005547A1" w14:paraId="37D7F95A" w14:textId="77777777" w:rsidTr="0041394A">
        <w:trPr>
          <w:trHeight w:val="225"/>
          <w:jc w:val="center"/>
        </w:trPr>
        <w:tc>
          <w:tcPr>
            <w:tcW w:w="1180" w:type="dxa"/>
            <w:tcBorders>
              <w:top w:val="single" w:sz="4" w:space="0" w:color="auto"/>
              <w:left w:val="nil"/>
              <w:bottom w:val="single" w:sz="8" w:space="0" w:color="auto"/>
              <w:right w:val="nil"/>
            </w:tcBorders>
            <w:shd w:val="clear" w:color="auto" w:fill="auto"/>
            <w:noWrap/>
            <w:vAlign w:val="center"/>
            <w:hideMark/>
          </w:tcPr>
          <w:p w14:paraId="273632BA" w14:textId="77777777" w:rsidR="005547A1" w:rsidRPr="005547A1" w:rsidRDefault="005547A1" w:rsidP="005547A1">
            <w:pPr>
              <w:jc w:val="right"/>
              <w:rPr>
                <w:rFonts w:eastAsia="Times New Roman" w:cs="Times New Roman"/>
                <w:b/>
                <w:bCs/>
                <w:color w:val="000000"/>
                <w:sz w:val="16"/>
                <w:szCs w:val="16"/>
                <w:lang w:val="en-GB" w:eastAsia="en-GB"/>
              </w:rPr>
            </w:pPr>
            <w:r w:rsidRPr="005547A1">
              <w:rPr>
                <w:rFonts w:eastAsia="Times New Roman" w:cs="Times New Roman"/>
                <w:b/>
                <w:bCs/>
                <w:color w:val="000000"/>
                <w:sz w:val="16"/>
                <w:szCs w:val="16"/>
                <w:lang w:val="en-GB" w:eastAsia="en-GB"/>
              </w:rPr>
              <w:t>(25,307)</w:t>
            </w:r>
          </w:p>
        </w:tc>
        <w:tc>
          <w:tcPr>
            <w:tcW w:w="1180" w:type="dxa"/>
            <w:tcBorders>
              <w:top w:val="single" w:sz="4" w:space="0" w:color="auto"/>
              <w:left w:val="nil"/>
              <w:bottom w:val="single" w:sz="8" w:space="0" w:color="auto"/>
              <w:right w:val="nil"/>
            </w:tcBorders>
            <w:shd w:val="clear" w:color="auto" w:fill="auto"/>
            <w:noWrap/>
            <w:vAlign w:val="center"/>
            <w:hideMark/>
          </w:tcPr>
          <w:p w14:paraId="6544E129" w14:textId="77777777" w:rsidR="005547A1" w:rsidRPr="005547A1" w:rsidRDefault="005547A1" w:rsidP="005547A1">
            <w:pPr>
              <w:jc w:val="right"/>
              <w:rPr>
                <w:rFonts w:eastAsia="Times New Roman" w:cs="Times New Roman"/>
                <w:b/>
                <w:bCs/>
                <w:color w:val="000000"/>
                <w:sz w:val="16"/>
                <w:szCs w:val="16"/>
                <w:lang w:val="en-GB" w:eastAsia="en-GB"/>
              </w:rPr>
            </w:pPr>
            <w:r w:rsidRPr="005547A1">
              <w:rPr>
                <w:rFonts w:eastAsia="Times New Roman" w:cs="Times New Roman"/>
                <w:b/>
                <w:bCs/>
                <w:color w:val="000000"/>
                <w:sz w:val="16"/>
                <w:szCs w:val="16"/>
                <w:lang w:val="en-GB" w:eastAsia="en-GB"/>
              </w:rPr>
              <w:t>(26,359)</w:t>
            </w:r>
          </w:p>
        </w:tc>
        <w:tc>
          <w:tcPr>
            <w:tcW w:w="2500" w:type="dxa"/>
            <w:tcBorders>
              <w:top w:val="single" w:sz="4" w:space="0" w:color="auto"/>
              <w:left w:val="nil"/>
              <w:bottom w:val="single" w:sz="8" w:space="0" w:color="auto"/>
              <w:right w:val="nil"/>
            </w:tcBorders>
            <w:shd w:val="clear" w:color="auto" w:fill="auto"/>
            <w:noWrap/>
            <w:vAlign w:val="center"/>
            <w:hideMark/>
          </w:tcPr>
          <w:p w14:paraId="1E7EC8B3" w14:textId="77777777" w:rsidR="005547A1" w:rsidRPr="005547A1" w:rsidRDefault="005547A1" w:rsidP="005547A1">
            <w:pPr>
              <w:rPr>
                <w:rFonts w:eastAsia="Times New Roman" w:cs="Times New Roman"/>
                <w:b/>
                <w:bCs/>
                <w:color w:val="000000"/>
                <w:sz w:val="16"/>
                <w:szCs w:val="16"/>
                <w:lang w:val="en-GB" w:eastAsia="en-GB"/>
              </w:rPr>
            </w:pPr>
            <w:r w:rsidRPr="005547A1">
              <w:rPr>
                <w:rFonts w:eastAsia="Times New Roman" w:cs="Times New Roman"/>
                <w:b/>
                <w:bCs/>
                <w:color w:val="000000"/>
                <w:sz w:val="16"/>
                <w:szCs w:val="16"/>
                <w:lang w:val="en-GB" w:eastAsia="en-GB"/>
              </w:rPr>
              <w:t>Total Other Payables</w:t>
            </w:r>
          </w:p>
        </w:tc>
        <w:tc>
          <w:tcPr>
            <w:tcW w:w="1644" w:type="dxa"/>
            <w:tcBorders>
              <w:top w:val="single" w:sz="4" w:space="0" w:color="auto"/>
              <w:left w:val="nil"/>
              <w:bottom w:val="single" w:sz="8" w:space="0" w:color="auto"/>
              <w:right w:val="nil"/>
            </w:tcBorders>
            <w:shd w:val="clear" w:color="auto" w:fill="auto"/>
            <w:noWrap/>
            <w:vAlign w:val="center"/>
            <w:hideMark/>
          </w:tcPr>
          <w:p w14:paraId="00E63699" w14:textId="1C117970" w:rsidR="005547A1" w:rsidRPr="005547A1" w:rsidRDefault="005547A1">
            <w:pPr>
              <w:jc w:val="right"/>
              <w:rPr>
                <w:rFonts w:eastAsia="Times New Roman" w:cs="Times New Roman"/>
                <w:b/>
                <w:bCs/>
                <w:color w:val="000000"/>
                <w:sz w:val="16"/>
                <w:szCs w:val="16"/>
                <w:lang w:val="en-GB" w:eastAsia="en-GB"/>
              </w:rPr>
            </w:pPr>
            <w:r w:rsidRPr="005547A1">
              <w:rPr>
                <w:rFonts w:eastAsia="Times New Roman" w:cs="Times New Roman"/>
                <w:b/>
                <w:bCs/>
                <w:color w:val="000000"/>
                <w:sz w:val="16"/>
                <w:szCs w:val="16"/>
                <w:lang w:val="en-GB" w:eastAsia="en-GB"/>
              </w:rPr>
              <w:t>(</w:t>
            </w:r>
            <w:r w:rsidR="00DA65B0">
              <w:rPr>
                <w:rFonts w:eastAsia="Times New Roman" w:cs="Times New Roman"/>
                <w:b/>
                <w:bCs/>
                <w:color w:val="000000"/>
                <w:sz w:val="16"/>
                <w:szCs w:val="16"/>
                <w:lang w:val="en-GB" w:eastAsia="en-GB"/>
              </w:rPr>
              <w:t>25,180</w:t>
            </w:r>
            <w:r w:rsidRPr="005547A1">
              <w:rPr>
                <w:rFonts w:eastAsia="Times New Roman" w:cs="Times New Roman"/>
                <w:b/>
                <w:bCs/>
                <w:color w:val="000000"/>
                <w:sz w:val="16"/>
                <w:szCs w:val="16"/>
                <w:lang w:val="en-GB" w:eastAsia="en-GB"/>
              </w:rPr>
              <w:t>)</w:t>
            </w:r>
          </w:p>
        </w:tc>
        <w:tc>
          <w:tcPr>
            <w:tcW w:w="1644" w:type="dxa"/>
            <w:tcBorders>
              <w:top w:val="single" w:sz="4" w:space="0" w:color="auto"/>
              <w:left w:val="nil"/>
              <w:bottom w:val="single" w:sz="8" w:space="0" w:color="auto"/>
              <w:right w:val="nil"/>
            </w:tcBorders>
            <w:shd w:val="clear" w:color="auto" w:fill="auto"/>
            <w:noWrap/>
            <w:vAlign w:val="center"/>
            <w:hideMark/>
          </w:tcPr>
          <w:p w14:paraId="1AC94E92" w14:textId="656C73EF" w:rsidR="005547A1" w:rsidRPr="005547A1" w:rsidRDefault="005547A1">
            <w:pPr>
              <w:jc w:val="right"/>
              <w:rPr>
                <w:rFonts w:eastAsia="Times New Roman" w:cs="Times New Roman"/>
                <w:b/>
                <w:bCs/>
                <w:color w:val="000000"/>
                <w:sz w:val="16"/>
                <w:szCs w:val="16"/>
                <w:lang w:val="en-GB" w:eastAsia="en-GB"/>
              </w:rPr>
            </w:pPr>
            <w:r w:rsidRPr="005547A1">
              <w:rPr>
                <w:rFonts w:eastAsia="Times New Roman" w:cs="Times New Roman"/>
                <w:b/>
                <w:bCs/>
                <w:color w:val="000000"/>
                <w:sz w:val="16"/>
                <w:szCs w:val="16"/>
                <w:lang w:val="en-GB" w:eastAsia="en-GB"/>
              </w:rPr>
              <w:t>(</w:t>
            </w:r>
            <w:r w:rsidR="00DA65B0">
              <w:rPr>
                <w:rFonts w:eastAsia="Times New Roman" w:cs="Times New Roman"/>
                <w:b/>
                <w:bCs/>
                <w:color w:val="000000"/>
                <w:sz w:val="16"/>
                <w:szCs w:val="16"/>
                <w:lang w:val="en-GB" w:eastAsia="en-GB"/>
              </w:rPr>
              <w:t>27,131</w:t>
            </w:r>
            <w:r w:rsidRPr="005547A1">
              <w:rPr>
                <w:rFonts w:eastAsia="Times New Roman" w:cs="Times New Roman"/>
                <w:b/>
                <w:bCs/>
                <w:color w:val="000000"/>
                <w:sz w:val="16"/>
                <w:szCs w:val="16"/>
                <w:lang w:val="en-GB" w:eastAsia="en-GB"/>
              </w:rPr>
              <w:t>)</w:t>
            </w:r>
          </w:p>
        </w:tc>
      </w:tr>
    </w:tbl>
    <w:p w14:paraId="11CD91FA" w14:textId="77777777" w:rsidR="00591029" w:rsidRDefault="00591029" w:rsidP="00591029">
      <w:pPr>
        <w:rPr>
          <w:lang w:val="pt-BR"/>
        </w:rPr>
      </w:pPr>
    </w:p>
    <w:p w14:paraId="1665D474" w14:textId="77777777" w:rsidR="00591029" w:rsidRDefault="00591029" w:rsidP="00591029">
      <w:pPr>
        <w:rPr>
          <w:lang w:val="pt-BR"/>
        </w:rPr>
      </w:pPr>
    </w:p>
    <w:p w14:paraId="784B8C61" w14:textId="77777777" w:rsidR="00591029" w:rsidRDefault="00591029" w:rsidP="00591029">
      <w:pPr>
        <w:rPr>
          <w:lang w:val="pt-BR"/>
        </w:rPr>
      </w:pPr>
    </w:p>
    <w:p w14:paraId="05555602" w14:textId="77777777" w:rsidR="00591029" w:rsidRPr="00591029" w:rsidRDefault="00591029" w:rsidP="00591029">
      <w:pPr>
        <w:rPr>
          <w:lang w:val="pt-BR"/>
        </w:rPr>
      </w:pPr>
    </w:p>
    <w:p w14:paraId="780E85E4" w14:textId="77777777" w:rsidR="00CA6653" w:rsidRPr="003516A4" w:rsidRDefault="00CA6653">
      <w:pPr>
        <w:pStyle w:val="T1TableStyle"/>
        <w:rPr>
          <w:rFonts w:ascii="Verdana" w:eastAsia="Verdana" w:hAnsi="Verdana" w:cs="Verdana"/>
          <w:sz w:val="22"/>
          <w:highlight w:val="yellow"/>
          <w:lang w:val="en-GB"/>
        </w:rPr>
      </w:pPr>
    </w:p>
    <w:p w14:paraId="60338685" w14:textId="77777777" w:rsidR="0076103D" w:rsidRPr="003516A4" w:rsidRDefault="0076103D">
      <w:pPr>
        <w:pStyle w:val="T1TableStyle"/>
        <w:rPr>
          <w:rFonts w:ascii="Verdana" w:eastAsia="Verdana" w:hAnsi="Verdana" w:cs="Verdana"/>
          <w:sz w:val="22"/>
          <w:highlight w:val="yellow"/>
          <w:lang w:val="en-GB"/>
        </w:rPr>
      </w:pPr>
    </w:p>
    <w:p w14:paraId="33BC7E8C" w14:textId="77777777" w:rsidR="00CA6653" w:rsidRPr="003516A4" w:rsidRDefault="00CA6653" w:rsidP="00F32EC6">
      <w:pPr>
        <w:pStyle w:val="Normal0"/>
        <w:jc w:val="center"/>
        <w:rPr>
          <w:highlight w:val="yellow"/>
        </w:rPr>
      </w:pPr>
    </w:p>
    <w:p w14:paraId="614F9FB8" w14:textId="77777777" w:rsidR="006B3E21" w:rsidRPr="003516A4" w:rsidRDefault="006B3E21" w:rsidP="00F32EC6">
      <w:pPr>
        <w:pStyle w:val="Normal0"/>
        <w:jc w:val="center"/>
        <w:rPr>
          <w:highlight w:val="yellow"/>
        </w:rPr>
      </w:pPr>
    </w:p>
    <w:p w14:paraId="301916AF" w14:textId="77777777" w:rsidR="00CA6653" w:rsidRPr="002B3C80" w:rsidRDefault="00CA6653" w:rsidP="00A31A9E">
      <w:pPr>
        <w:pStyle w:val="Heading1"/>
      </w:pPr>
      <w:bookmarkStart w:id="33" w:name="_Toc75122786"/>
      <w:r w:rsidRPr="002B3C80">
        <w:t>Note 1</w:t>
      </w:r>
      <w:r w:rsidR="00502D6C" w:rsidRPr="002B3C80">
        <w:t>8</w:t>
      </w:r>
      <w:r w:rsidRPr="002B3C80">
        <w:t xml:space="preserve"> - Provisions</w:t>
      </w:r>
      <w:bookmarkEnd w:id="33"/>
    </w:p>
    <w:p w14:paraId="14E6DB73" w14:textId="77777777" w:rsidR="00DA7C84" w:rsidRDefault="00CA6653" w:rsidP="00CA6653">
      <w:pPr>
        <w:pStyle w:val="Normal0"/>
        <w:spacing w:line="240" w:lineRule="auto"/>
        <w:rPr>
          <w:rFonts w:ascii="Verdana" w:eastAsia="Calibri" w:hAnsi="Verdana" w:cs="Arial"/>
          <w:sz w:val="22"/>
          <w:szCs w:val="22"/>
          <w:lang w:val="pt-BR"/>
        </w:rPr>
      </w:pPr>
      <w:r w:rsidRPr="002B3C80">
        <w:rPr>
          <w:rFonts w:ascii="Verdana" w:eastAsia="Calibri" w:hAnsi="Verdana" w:cs="Arial"/>
          <w:sz w:val="22"/>
          <w:szCs w:val="22"/>
          <w:lang w:val="pt-BR"/>
        </w:rPr>
        <w:t>Provisions held at 31 March 20</w:t>
      </w:r>
      <w:r w:rsidR="002B3C80" w:rsidRPr="002B3C80">
        <w:rPr>
          <w:rFonts w:ascii="Verdana" w:eastAsia="Calibri" w:hAnsi="Verdana" w:cs="Arial"/>
          <w:sz w:val="22"/>
          <w:szCs w:val="22"/>
          <w:lang w:val="pt-BR"/>
        </w:rPr>
        <w:t>21</w:t>
      </w:r>
      <w:r w:rsidRPr="002B3C80">
        <w:rPr>
          <w:rFonts w:ascii="Verdana" w:eastAsia="Calibri" w:hAnsi="Verdana" w:cs="Arial"/>
          <w:sz w:val="22"/>
          <w:szCs w:val="22"/>
          <w:lang w:val="pt-BR"/>
        </w:rPr>
        <w:t xml:space="preserve"> are as follows:</w:t>
      </w:r>
    </w:p>
    <w:p w14:paraId="4D87FD8F" w14:textId="777D80CC" w:rsidR="00CA6653" w:rsidRPr="002B3C80" w:rsidRDefault="00CA6653" w:rsidP="00CA6653">
      <w:pPr>
        <w:pStyle w:val="Normal0"/>
        <w:spacing w:line="240" w:lineRule="auto"/>
        <w:rPr>
          <w:rFonts w:ascii="Verdana" w:hAnsi="Verdana"/>
          <w:sz w:val="22"/>
          <w:szCs w:val="22"/>
          <w:lang w:val="pt-BR"/>
        </w:rPr>
      </w:pPr>
      <w:r w:rsidRPr="002B3C80">
        <w:rPr>
          <w:rFonts w:ascii="Verdana" w:eastAsia="Calibri" w:hAnsi="Verdana" w:cs="Arial"/>
          <w:sz w:val="22"/>
          <w:szCs w:val="22"/>
          <w:lang w:val="pt-BR"/>
        </w:rPr>
        <w:t xml:space="preserve"> </w:t>
      </w:r>
    </w:p>
    <w:tbl>
      <w:tblPr>
        <w:tblW w:w="0" w:type="auto"/>
        <w:jc w:val="center"/>
        <w:tblLayout w:type="fixed"/>
        <w:tblLook w:val="04A0" w:firstRow="1" w:lastRow="0" w:firstColumn="1" w:lastColumn="0" w:noHBand="0" w:noVBand="1"/>
      </w:tblPr>
      <w:tblGrid>
        <w:gridCol w:w="3125"/>
        <w:gridCol w:w="1730"/>
        <w:gridCol w:w="1730"/>
        <w:gridCol w:w="2138"/>
      </w:tblGrid>
      <w:tr w:rsidR="004D417B" w:rsidRPr="002B3C80" w14:paraId="5F4EA9EE" w14:textId="77777777" w:rsidTr="005547A1">
        <w:trPr>
          <w:trHeight w:val="169"/>
          <w:jc w:val="center"/>
        </w:trPr>
        <w:tc>
          <w:tcPr>
            <w:tcW w:w="3125" w:type="dxa"/>
            <w:shd w:val="clear" w:color="auto" w:fill="auto"/>
            <w:tcMar>
              <w:top w:w="20" w:type="dxa"/>
              <w:left w:w="20" w:type="dxa"/>
              <w:bottom w:w="20" w:type="dxa"/>
              <w:right w:w="20" w:type="dxa"/>
            </w:tcMar>
            <w:vAlign w:val="bottom"/>
          </w:tcPr>
          <w:p w14:paraId="75172373" w14:textId="77777777" w:rsidR="004D417B" w:rsidRPr="002B3C80" w:rsidRDefault="00CA6653" w:rsidP="00CA6653">
            <w:pPr>
              <w:pStyle w:val="T1TableStyle"/>
              <w:rPr>
                <w:rFonts w:ascii="Verdana" w:eastAsia="Verdana" w:hAnsi="Verdana" w:cs="Verdana"/>
                <w:b/>
                <w:color w:val="000000"/>
                <w:szCs w:val="22"/>
                <w:lang w:val="en-GB"/>
              </w:rPr>
            </w:pPr>
            <w:r w:rsidRPr="002B3C80">
              <w:rPr>
                <w:rFonts w:ascii="Verdana" w:eastAsia="Verdana" w:hAnsi="Verdana" w:cs="Verdana"/>
                <w:b/>
                <w:color w:val="000000"/>
                <w:szCs w:val="22"/>
                <w:lang w:val="en-GB"/>
              </w:rPr>
              <w:t>Current Provisions</w:t>
            </w:r>
          </w:p>
        </w:tc>
        <w:tc>
          <w:tcPr>
            <w:tcW w:w="1730" w:type="dxa"/>
            <w:shd w:val="clear" w:color="auto" w:fill="auto"/>
            <w:tcMar>
              <w:top w:w="20" w:type="dxa"/>
              <w:left w:w="20" w:type="dxa"/>
              <w:bottom w:w="20" w:type="dxa"/>
              <w:right w:w="20" w:type="dxa"/>
            </w:tcMar>
            <w:vAlign w:val="bottom"/>
          </w:tcPr>
          <w:p w14:paraId="13B7DE14" w14:textId="77777777" w:rsidR="004D417B" w:rsidRPr="002B3C80" w:rsidRDefault="00CA6653" w:rsidP="00CA6653">
            <w:pPr>
              <w:pStyle w:val="T1TableStyle"/>
              <w:jc w:val="center"/>
              <w:rPr>
                <w:rFonts w:ascii="Verdana" w:eastAsia="Verdana" w:hAnsi="Verdana" w:cs="Verdana"/>
                <w:color w:val="000000"/>
                <w:sz w:val="2"/>
                <w:szCs w:val="22"/>
                <w:lang w:val="en-GB"/>
              </w:rPr>
            </w:pPr>
            <w:r w:rsidRPr="002B3C80">
              <w:rPr>
                <w:rFonts w:ascii="Verdana" w:eastAsia="Verdana" w:hAnsi="Verdana" w:cs="Verdana"/>
                <w:color w:val="000000"/>
                <w:sz w:val="2"/>
                <w:szCs w:val="22"/>
                <w:lang w:val="en-GB"/>
              </w:rPr>
              <w:t xml:space="preserve"> </w:t>
            </w:r>
          </w:p>
        </w:tc>
        <w:tc>
          <w:tcPr>
            <w:tcW w:w="1730" w:type="dxa"/>
            <w:shd w:val="clear" w:color="auto" w:fill="auto"/>
            <w:tcMar>
              <w:top w:w="20" w:type="dxa"/>
              <w:left w:w="20" w:type="dxa"/>
              <w:bottom w:w="20" w:type="dxa"/>
              <w:right w:w="20" w:type="dxa"/>
            </w:tcMar>
            <w:vAlign w:val="bottom"/>
          </w:tcPr>
          <w:p w14:paraId="0FCF5CF1" w14:textId="77777777" w:rsidR="004D417B" w:rsidRPr="002B3C80" w:rsidRDefault="00CA6653" w:rsidP="00CA6653">
            <w:pPr>
              <w:pStyle w:val="T1TableStyle"/>
              <w:jc w:val="center"/>
              <w:rPr>
                <w:rFonts w:ascii="Verdana" w:eastAsia="Verdana" w:hAnsi="Verdana" w:cs="Verdana"/>
                <w:color w:val="000000"/>
                <w:sz w:val="2"/>
                <w:szCs w:val="22"/>
                <w:lang w:val="en-GB"/>
              </w:rPr>
            </w:pPr>
            <w:r w:rsidRPr="002B3C80">
              <w:rPr>
                <w:rFonts w:ascii="Verdana" w:eastAsia="Verdana" w:hAnsi="Verdana" w:cs="Verdana"/>
                <w:color w:val="000000"/>
                <w:sz w:val="2"/>
                <w:szCs w:val="22"/>
                <w:lang w:val="en-GB"/>
              </w:rPr>
              <w:t xml:space="preserve"> </w:t>
            </w:r>
          </w:p>
        </w:tc>
        <w:tc>
          <w:tcPr>
            <w:tcW w:w="2138" w:type="dxa"/>
            <w:shd w:val="clear" w:color="auto" w:fill="auto"/>
            <w:tcMar>
              <w:top w:w="20" w:type="dxa"/>
              <w:left w:w="20" w:type="dxa"/>
              <w:bottom w:w="20" w:type="dxa"/>
              <w:right w:w="20" w:type="dxa"/>
            </w:tcMar>
            <w:vAlign w:val="bottom"/>
          </w:tcPr>
          <w:p w14:paraId="212D3B75" w14:textId="77777777" w:rsidR="004D417B" w:rsidRPr="002B3C80" w:rsidRDefault="00CA6653" w:rsidP="00CA6653">
            <w:pPr>
              <w:pStyle w:val="T1TableStyle"/>
              <w:jc w:val="center"/>
              <w:rPr>
                <w:rFonts w:ascii="Verdana" w:eastAsia="Verdana" w:hAnsi="Verdana" w:cs="Verdana"/>
                <w:color w:val="000000"/>
                <w:sz w:val="2"/>
                <w:szCs w:val="22"/>
                <w:lang w:val="en-GB"/>
              </w:rPr>
            </w:pPr>
            <w:r w:rsidRPr="002B3C80">
              <w:rPr>
                <w:rFonts w:ascii="Verdana" w:eastAsia="Verdana" w:hAnsi="Verdana" w:cs="Verdana"/>
                <w:color w:val="000000"/>
                <w:sz w:val="2"/>
                <w:szCs w:val="22"/>
                <w:lang w:val="en-GB"/>
              </w:rPr>
              <w:t xml:space="preserve"> </w:t>
            </w:r>
          </w:p>
        </w:tc>
      </w:tr>
      <w:tr w:rsidR="004D417B" w:rsidRPr="002B3C80" w14:paraId="5AC2EAAF" w14:textId="77777777" w:rsidTr="005547A1">
        <w:trPr>
          <w:trHeight w:hRule="exact" w:val="198"/>
          <w:jc w:val="center"/>
        </w:trPr>
        <w:tc>
          <w:tcPr>
            <w:tcW w:w="3125" w:type="dxa"/>
            <w:shd w:val="clear" w:color="auto" w:fill="auto"/>
            <w:tcMar>
              <w:top w:w="20" w:type="dxa"/>
              <w:left w:w="20" w:type="dxa"/>
              <w:bottom w:w="20" w:type="dxa"/>
              <w:right w:w="20" w:type="dxa"/>
            </w:tcMar>
            <w:vAlign w:val="bottom"/>
          </w:tcPr>
          <w:p w14:paraId="67D9F2AA" w14:textId="77777777" w:rsidR="004D417B" w:rsidRPr="002B3C80" w:rsidRDefault="00CA6653" w:rsidP="00CA6653">
            <w:pPr>
              <w:pStyle w:val="T1TableStyle"/>
              <w:jc w:val="center"/>
              <w:rPr>
                <w:rFonts w:ascii="Verdana" w:eastAsia="Verdana" w:hAnsi="Verdana" w:cs="Verdana"/>
                <w:color w:val="000000"/>
                <w:sz w:val="2"/>
                <w:szCs w:val="22"/>
                <w:lang w:val="en-GB"/>
              </w:rPr>
            </w:pPr>
            <w:r w:rsidRPr="002B3C80">
              <w:rPr>
                <w:rFonts w:ascii="Verdana" w:eastAsia="Verdana" w:hAnsi="Verdana" w:cs="Verdana"/>
                <w:color w:val="000000"/>
                <w:sz w:val="2"/>
                <w:szCs w:val="22"/>
                <w:lang w:val="en-GB"/>
              </w:rPr>
              <w:t xml:space="preserve"> </w:t>
            </w:r>
          </w:p>
        </w:tc>
        <w:tc>
          <w:tcPr>
            <w:tcW w:w="1730" w:type="dxa"/>
            <w:shd w:val="clear" w:color="auto" w:fill="auto"/>
            <w:tcMar>
              <w:top w:w="20" w:type="dxa"/>
              <w:left w:w="20" w:type="dxa"/>
              <w:bottom w:w="20" w:type="dxa"/>
              <w:right w:w="20" w:type="dxa"/>
            </w:tcMar>
            <w:vAlign w:val="bottom"/>
          </w:tcPr>
          <w:p w14:paraId="2F3F507B" w14:textId="77777777" w:rsidR="004D417B" w:rsidRPr="002B3C80" w:rsidRDefault="00CA6653" w:rsidP="00CA6653">
            <w:pPr>
              <w:pStyle w:val="T1TableStyle"/>
              <w:jc w:val="center"/>
              <w:rPr>
                <w:rFonts w:ascii="Verdana" w:eastAsia="Verdana" w:hAnsi="Verdana" w:cs="Verdana"/>
                <w:color w:val="000000"/>
                <w:sz w:val="2"/>
                <w:szCs w:val="22"/>
                <w:lang w:val="en-GB"/>
              </w:rPr>
            </w:pPr>
            <w:r w:rsidRPr="002B3C80">
              <w:rPr>
                <w:rFonts w:ascii="Verdana" w:eastAsia="Verdana" w:hAnsi="Verdana" w:cs="Verdana"/>
                <w:color w:val="000000"/>
                <w:sz w:val="2"/>
                <w:szCs w:val="22"/>
                <w:lang w:val="en-GB"/>
              </w:rPr>
              <w:t xml:space="preserve"> </w:t>
            </w:r>
          </w:p>
        </w:tc>
        <w:tc>
          <w:tcPr>
            <w:tcW w:w="1730" w:type="dxa"/>
            <w:shd w:val="clear" w:color="auto" w:fill="auto"/>
            <w:tcMar>
              <w:top w:w="20" w:type="dxa"/>
              <w:left w:w="20" w:type="dxa"/>
              <w:bottom w:w="20" w:type="dxa"/>
              <w:right w:w="20" w:type="dxa"/>
            </w:tcMar>
            <w:vAlign w:val="bottom"/>
          </w:tcPr>
          <w:p w14:paraId="2AFF47AA" w14:textId="77777777" w:rsidR="004D417B" w:rsidRPr="002B3C80" w:rsidRDefault="00CA6653" w:rsidP="00CA6653">
            <w:pPr>
              <w:pStyle w:val="T1TableStyle"/>
              <w:jc w:val="center"/>
              <w:rPr>
                <w:rFonts w:ascii="Verdana" w:eastAsia="Verdana" w:hAnsi="Verdana" w:cs="Verdana"/>
                <w:color w:val="000000"/>
                <w:sz w:val="2"/>
                <w:szCs w:val="22"/>
                <w:lang w:val="en-GB"/>
              </w:rPr>
            </w:pPr>
            <w:r w:rsidRPr="002B3C80">
              <w:rPr>
                <w:rFonts w:ascii="Verdana" w:eastAsia="Verdana" w:hAnsi="Verdana" w:cs="Verdana"/>
                <w:color w:val="000000"/>
                <w:sz w:val="2"/>
                <w:szCs w:val="22"/>
                <w:lang w:val="en-GB"/>
              </w:rPr>
              <w:t xml:space="preserve"> </w:t>
            </w:r>
          </w:p>
        </w:tc>
        <w:tc>
          <w:tcPr>
            <w:tcW w:w="2138" w:type="dxa"/>
            <w:shd w:val="clear" w:color="auto" w:fill="auto"/>
            <w:tcMar>
              <w:top w:w="20" w:type="dxa"/>
              <w:left w:w="20" w:type="dxa"/>
              <w:bottom w:w="20" w:type="dxa"/>
              <w:right w:w="20" w:type="dxa"/>
            </w:tcMar>
            <w:vAlign w:val="bottom"/>
          </w:tcPr>
          <w:p w14:paraId="1E6D1B74" w14:textId="77777777" w:rsidR="004D417B" w:rsidRPr="002B3C80" w:rsidRDefault="00CA6653" w:rsidP="00CA6653">
            <w:pPr>
              <w:pStyle w:val="T1TableStyle"/>
              <w:jc w:val="center"/>
              <w:rPr>
                <w:rFonts w:ascii="Verdana" w:eastAsia="Verdana" w:hAnsi="Verdana" w:cs="Verdana"/>
                <w:color w:val="000000"/>
                <w:sz w:val="2"/>
                <w:szCs w:val="22"/>
                <w:lang w:val="en-GB"/>
              </w:rPr>
            </w:pPr>
            <w:r w:rsidRPr="002B3C80">
              <w:rPr>
                <w:rFonts w:ascii="Verdana" w:eastAsia="Verdana" w:hAnsi="Verdana" w:cs="Verdana"/>
                <w:color w:val="000000"/>
                <w:sz w:val="2"/>
                <w:szCs w:val="22"/>
                <w:lang w:val="en-GB"/>
              </w:rPr>
              <w:t xml:space="preserve"> </w:t>
            </w:r>
          </w:p>
        </w:tc>
      </w:tr>
      <w:tr w:rsidR="004D417B" w:rsidRPr="002B3C80" w14:paraId="70DEEAFB" w14:textId="77777777" w:rsidTr="005547A1">
        <w:trPr>
          <w:trHeight w:val="338"/>
          <w:jc w:val="center"/>
        </w:trPr>
        <w:tc>
          <w:tcPr>
            <w:tcW w:w="3125" w:type="dxa"/>
            <w:shd w:val="clear" w:color="auto" w:fill="auto"/>
            <w:tcMar>
              <w:top w:w="20" w:type="dxa"/>
              <w:left w:w="20" w:type="dxa"/>
              <w:bottom w:w="20" w:type="dxa"/>
              <w:right w:w="20" w:type="dxa"/>
            </w:tcMar>
            <w:vAlign w:val="bottom"/>
          </w:tcPr>
          <w:p w14:paraId="02B22899" w14:textId="77777777" w:rsidR="004D417B" w:rsidRPr="002B3C80" w:rsidRDefault="00CA6653" w:rsidP="004218BA">
            <w:pPr>
              <w:pStyle w:val="T1TableStyle"/>
              <w:rPr>
                <w:rFonts w:ascii="Verdana" w:eastAsia="Verdana" w:hAnsi="Verdana" w:cs="Verdana"/>
                <w:b/>
                <w:color w:val="000000"/>
                <w:szCs w:val="22"/>
                <w:lang w:val="en-GB"/>
              </w:rPr>
            </w:pPr>
            <w:r w:rsidRPr="002B3C80">
              <w:rPr>
                <w:rFonts w:ascii="Verdana" w:eastAsia="Verdana" w:hAnsi="Verdana" w:cs="Verdana"/>
                <w:b/>
                <w:color w:val="000000"/>
                <w:szCs w:val="22"/>
                <w:lang w:val="en-GB"/>
              </w:rPr>
              <w:t>20</w:t>
            </w:r>
            <w:r w:rsidR="004218BA" w:rsidRPr="002B3C80">
              <w:rPr>
                <w:rFonts w:ascii="Verdana" w:eastAsia="Verdana" w:hAnsi="Verdana" w:cs="Verdana"/>
                <w:b/>
                <w:color w:val="000000"/>
                <w:szCs w:val="22"/>
                <w:lang w:val="en-GB"/>
              </w:rPr>
              <w:t>20</w:t>
            </w:r>
            <w:r w:rsidRPr="002B3C80">
              <w:rPr>
                <w:rFonts w:ascii="Verdana" w:eastAsia="Verdana" w:hAnsi="Verdana" w:cs="Verdana"/>
                <w:b/>
                <w:color w:val="000000"/>
                <w:szCs w:val="22"/>
                <w:lang w:val="en-GB"/>
              </w:rPr>
              <w:t>/2</w:t>
            </w:r>
            <w:r w:rsidR="004218BA" w:rsidRPr="002B3C80">
              <w:rPr>
                <w:rFonts w:ascii="Verdana" w:eastAsia="Verdana" w:hAnsi="Verdana" w:cs="Verdana"/>
                <w:b/>
                <w:color w:val="000000"/>
                <w:szCs w:val="22"/>
                <w:lang w:val="en-GB"/>
              </w:rPr>
              <w:t>1</w:t>
            </w:r>
          </w:p>
        </w:tc>
        <w:tc>
          <w:tcPr>
            <w:tcW w:w="1730" w:type="dxa"/>
            <w:shd w:val="clear" w:color="auto" w:fill="auto"/>
            <w:tcMar>
              <w:top w:w="20" w:type="dxa"/>
              <w:left w:w="20" w:type="dxa"/>
              <w:bottom w:w="20" w:type="dxa"/>
              <w:right w:w="20" w:type="dxa"/>
            </w:tcMar>
            <w:vAlign w:val="bottom"/>
          </w:tcPr>
          <w:p w14:paraId="07CC3413" w14:textId="77777777" w:rsidR="004D417B" w:rsidRPr="002B3C80" w:rsidRDefault="00CA6653" w:rsidP="00CA6653">
            <w:pPr>
              <w:pStyle w:val="T1TableStyle"/>
              <w:jc w:val="center"/>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Restructuring Provision</w:t>
            </w:r>
          </w:p>
        </w:tc>
        <w:tc>
          <w:tcPr>
            <w:tcW w:w="1730" w:type="dxa"/>
            <w:shd w:val="clear" w:color="auto" w:fill="auto"/>
            <w:tcMar>
              <w:top w:w="20" w:type="dxa"/>
              <w:left w:w="20" w:type="dxa"/>
              <w:bottom w:w="20" w:type="dxa"/>
              <w:right w:w="20" w:type="dxa"/>
            </w:tcMar>
            <w:vAlign w:val="bottom"/>
          </w:tcPr>
          <w:p w14:paraId="3FF6831D" w14:textId="77777777" w:rsidR="004D417B" w:rsidRPr="002B3C80" w:rsidRDefault="00CA6653" w:rsidP="00CA6653">
            <w:pPr>
              <w:pStyle w:val="T1TableStyle"/>
              <w:jc w:val="center"/>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Insurance Provision</w:t>
            </w:r>
          </w:p>
        </w:tc>
        <w:tc>
          <w:tcPr>
            <w:tcW w:w="2138" w:type="dxa"/>
            <w:shd w:val="clear" w:color="auto" w:fill="auto"/>
            <w:tcMar>
              <w:top w:w="20" w:type="dxa"/>
              <w:left w:w="20" w:type="dxa"/>
              <w:bottom w:w="20" w:type="dxa"/>
              <w:right w:w="20" w:type="dxa"/>
            </w:tcMar>
            <w:vAlign w:val="bottom"/>
          </w:tcPr>
          <w:p w14:paraId="6F10C192" w14:textId="77777777" w:rsidR="004D417B" w:rsidRPr="002B3C80" w:rsidRDefault="00CA6653" w:rsidP="00CA6653">
            <w:pPr>
              <w:pStyle w:val="T1TableStyle"/>
              <w:jc w:val="center"/>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Total</w:t>
            </w:r>
          </w:p>
        </w:tc>
      </w:tr>
      <w:tr w:rsidR="004D417B" w:rsidRPr="002B3C80" w14:paraId="0C8BB064" w14:textId="77777777" w:rsidTr="005547A1">
        <w:trPr>
          <w:trHeight w:val="198"/>
          <w:jc w:val="center"/>
        </w:trPr>
        <w:tc>
          <w:tcPr>
            <w:tcW w:w="3125" w:type="dxa"/>
            <w:tcBorders>
              <w:bottom w:val="single" w:sz="2" w:space="0" w:color="000000"/>
            </w:tcBorders>
            <w:shd w:val="clear" w:color="auto" w:fill="auto"/>
            <w:tcMar>
              <w:top w:w="20" w:type="dxa"/>
              <w:left w:w="20" w:type="dxa"/>
              <w:bottom w:w="20" w:type="dxa"/>
              <w:right w:w="20" w:type="dxa"/>
            </w:tcMar>
          </w:tcPr>
          <w:p w14:paraId="32E9A395" w14:textId="77777777" w:rsidR="004D417B" w:rsidRPr="002B3C80" w:rsidRDefault="00CA6653" w:rsidP="00CA6653">
            <w:pPr>
              <w:pStyle w:val="T1TableStyle"/>
              <w:jc w:val="center"/>
              <w:rPr>
                <w:rFonts w:ascii="Verdana" w:eastAsia="Verdana" w:hAnsi="Verdana" w:cs="Verdana"/>
                <w:color w:val="000000"/>
                <w:sz w:val="2"/>
                <w:szCs w:val="22"/>
                <w:lang w:val="en-GB"/>
              </w:rPr>
            </w:pPr>
            <w:r w:rsidRPr="002B3C80">
              <w:rPr>
                <w:rFonts w:ascii="Verdana" w:eastAsia="Verdana" w:hAnsi="Verdana" w:cs="Verdana"/>
                <w:color w:val="000000"/>
                <w:sz w:val="2"/>
                <w:szCs w:val="22"/>
                <w:lang w:val="en-GB"/>
              </w:rPr>
              <w:t xml:space="preserve"> </w:t>
            </w:r>
          </w:p>
        </w:tc>
        <w:tc>
          <w:tcPr>
            <w:tcW w:w="1730" w:type="dxa"/>
            <w:tcBorders>
              <w:bottom w:val="single" w:sz="2" w:space="0" w:color="000000"/>
            </w:tcBorders>
            <w:shd w:val="clear" w:color="auto" w:fill="auto"/>
            <w:tcMar>
              <w:top w:w="20" w:type="dxa"/>
              <w:left w:w="20" w:type="dxa"/>
              <w:bottom w:w="20" w:type="dxa"/>
              <w:right w:w="20" w:type="dxa"/>
            </w:tcMar>
            <w:vAlign w:val="bottom"/>
          </w:tcPr>
          <w:p w14:paraId="48356378" w14:textId="77777777" w:rsidR="004D417B" w:rsidRPr="002B3C80" w:rsidRDefault="00CA6653" w:rsidP="00CA6653">
            <w:pPr>
              <w:pStyle w:val="T1TableStyle"/>
              <w:jc w:val="right"/>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£000</w:t>
            </w:r>
          </w:p>
        </w:tc>
        <w:tc>
          <w:tcPr>
            <w:tcW w:w="1730" w:type="dxa"/>
            <w:tcBorders>
              <w:bottom w:val="single" w:sz="2" w:space="0" w:color="000000"/>
            </w:tcBorders>
            <w:shd w:val="clear" w:color="auto" w:fill="auto"/>
            <w:tcMar>
              <w:top w:w="20" w:type="dxa"/>
              <w:left w:w="20" w:type="dxa"/>
              <w:bottom w:w="20" w:type="dxa"/>
              <w:right w:w="20" w:type="dxa"/>
            </w:tcMar>
            <w:vAlign w:val="bottom"/>
          </w:tcPr>
          <w:p w14:paraId="4335D25A" w14:textId="77777777" w:rsidR="004D417B" w:rsidRPr="002B3C80" w:rsidRDefault="00CA6653" w:rsidP="00CA6653">
            <w:pPr>
              <w:pStyle w:val="T1TableStyle"/>
              <w:jc w:val="right"/>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£000</w:t>
            </w:r>
          </w:p>
        </w:tc>
        <w:tc>
          <w:tcPr>
            <w:tcW w:w="2138" w:type="dxa"/>
            <w:tcBorders>
              <w:bottom w:val="single" w:sz="2" w:space="0" w:color="000000"/>
            </w:tcBorders>
            <w:shd w:val="clear" w:color="auto" w:fill="auto"/>
            <w:tcMar>
              <w:top w:w="20" w:type="dxa"/>
              <w:left w:w="20" w:type="dxa"/>
              <w:bottom w:w="20" w:type="dxa"/>
              <w:right w:w="20" w:type="dxa"/>
            </w:tcMar>
            <w:vAlign w:val="bottom"/>
          </w:tcPr>
          <w:p w14:paraId="02D3A5C9" w14:textId="77777777" w:rsidR="004D417B" w:rsidRPr="002B3C80" w:rsidRDefault="00CA6653" w:rsidP="00CA6653">
            <w:pPr>
              <w:pStyle w:val="T1TableStyle"/>
              <w:jc w:val="right"/>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£000</w:t>
            </w:r>
          </w:p>
        </w:tc>
      </w:tr>
      <w:tr w:rsidR="004D417B" w:rsidRPr="002B3C80" w14:paraId="1A86CCF4" w14:textId="77777777" w:rsidTr="005547A1">
        <w:trPr>
          <w:trHeight w:val="149"/>
          <w:jc w:val="center"/>
        </w:trPr>
        <w:tc>
          <w:tcPr>
            <w:tcW w:w="3125" w:type="dxa"/>
            <w:shd w:val="clear" w:color="auto" w:fill="auto"/>
            <w:tcMar>
              <w:top w:w="20" w:type="dxa"/>
              <w:left w:w="20" w:type="dxa"/>
              <w:bottom w:w="20" w:type="dxa"/>
              <w:right w:w="20" w:type="dxa"/>
            </w:tcMar>
          </w:tcPr>
          <w:p w14:paraId="65FAB1C9" w14:textId="77777777" w:rsidR="004D417B" w:rsidRPr="002B3C80" w:rsidRDefault="00CA6653" w:rsidP="00CA6653">
            <w:pPr>
              <w:pStyle w:val="T1TableStyle"/>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Opening Balance</w:t>
            </w:r>
          </w:p>
        </w:tc>
        <w:tc>
          <w:tcPr>
            <w:tcW w:w="1730" w:type="dxa"/>
            <w:shd w:val="clear" w:color="auto" w:fill="auto"/>
            <w:tcMar>
              <w:top w:w="20" w:type="dxa"/>
              <w:left w:w="20" w:type="dxa"/>
              <w:bottom w:w="20" w:type="dxa"/>
              <w:right w:w="20" w:type="dxa"/>
            </w:tcMar>
          </w:tcPr>
          <w:p w14:paraId="5D836B76" w14:textId="77777777" w:rsidR="004D417B" w:rsidRPr="002B3C80" w:rsidRDefault="002B3C80" w:rsidP="00660323">
            <w:pPr>
              <w:pStyle w:val="T1TableStyle"/>
              <w:jc w:val="right"/>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(110)</w:t>
            </w:r>
          </w:p>
        </w:tc>
        <w:tc>
          <w:tcPr>
            <w:tcW w:w="1730" w:type="dxa"/>
            <w:shd w:val="clear" w:color="auto" w:fill="auto"/>
            <w:tcMar>
              <w:top w:w="20" w:type="dxa"/>
              <w:left w:w="20" w:type="dxa"/>
              <w:bottom w:w="20" w:type="dxa"/>
              <w:right w:w="20" w:type="dxa"/>
            </w:tcMar>
          </w:tcPr>
          <w:p w14:paraId="15BE7DAA" w14:textId="77777777" w:rsidR="004D417B" w:rsidRPr="002B3C80" w:rsidRDefault="002B3C80" w:rsidP="00660323">
            <w:pPr>
              <w:pStyle w:val="T1TableStyle"/>
              <w:jc w:val="right"/>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(998)</w:t>
            </w:r>
          </w:p>
        </w:tc>
        <w:tc>
          <w:tcPr>
            <w:tcW w:w="2138" w:type="dxa"/>
            <w:shd w:val="clear" w:color="auto" w:fill="auto"/>
            <w:tcMar>
              <w:top w:w="20" w:type="dxa"/>
              <w:left w:w="20" w:type="dxa"/>
              <w:bottom w:w="20" w:type="dxa"/>
              <w:right w:w="20" w:type="dxa"/>
            </w:tcMar>
          </w:tcPr>
          <w:p w14:paraId="47E79688" w14:textId="77777777" w:rsidR="004D417B" w:rsidRPr="002B3C80" w:rsidRDefault="002B3C80" w:rsidP="00660323">
            <w:pPr>
              <w:pStyle w:val="T1TableStyle"/>
              <w:jc w:val="right"/>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(1,108)</w:t>
            </w:r>
          </w:p>
        </w:tc>
      </w:tr>
      <w:tr w:rsidR="004D417B" w:rsidRPr="002B3C80" w14:paraId="1D8AB819" w14:textId="77777777" w:rsidTr="005547A1">
        <w:trPr>
          <w:trHeight w:val="258"/>
          <w:jc w:val="center"/>
        </w:trPr>
        <w:tc>
          <w:tcPr>
            <w:tcW w:w="3125" w:type="dxa"/>
            <w:shd w:val="clear" w:color="auto" w:fill="auto"/>
            <w:tcMar>
              <w:top w:w="20" w:type="dxa"/>
              <w:left w:w="20" w:type="dxa"/>
              <w:bottom w:w="20" w:type="dxa"/>
              <w:right w:w="20" w:type="dxa"/>
            </w:tcMar>
          </w:tcPr>
          <w:p w14:paraId="4071758C" w14:textId="77777777" w:rsidR="004D417B" w:rsidRPr="002B3C80" w:rsidRDefault="00CA6653" w:rsidP="00CA6653">
            <w:pPr>
              <w:pStyle w:val="T1TableStyle"/>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Increase in provision during year</w:t>
            </w:r>
          </w:p>
          <w:p w14:paraId="5BB74B95" w14:textId="77777777" w:rsidR="00185102" w:rsidRPr="002B3C80" w:rsidRDefault="00185102" w:rsidP="00CA6653">
            <w:pPr>
              <w:pStyle w:val="T1TableStyle"/>
              <w:rPr>
                <w:rFonts w:ascii="Verdana" w:eastAsia="Verdana" w:hAnsi="Verdana" w:cs="Verdana"/>
                <w:color w:val="000000"/>
                <w:sz w:val="16"/>
                <w:szCs w:val="22"/>
                <w:lang w:val="en-GB"/>
              </w:rPr>
            </w:pPr>
          </w:p>
        </w:tc>
        <w:tc>
          <w:tcPr>
            <w:tcW w:w="1730" w:type="dxa"/>
            <w:shd w:val="clear" w:color="auto" w:fill="auto"/>
            <w:tcMar>
              <w:top w:w="20" w:type="dxa"/>
              <w:left w:w="20" w:type="dxa"/>
              <w:bottom w:w="20" w:type="dxa"/>
              <w:right w:w="20" w:type="dxa"/>
            </w:tcMar>
          </w:tcPr>
          <w:p w14:paraId="21DB7729" w14:textId="77777777" w:rsidR="00185102" w:rsidRPr="002B3C80" w:rsidRDefault="002B3C80">
            <w:pPr>
              <w:pStyle w:val="T1TableStyle"/>
              <w:jc w:val="right"/>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0</w:t>
            </w:r>
          </w:p>
        </w:tc>
        <w:tc>
          <w:tcPr>
            <w:tcW w:w="1730" w:type="dxa"/>
            <w:shd w:val="clear" w:color="auto" w:fill="auto"/>
            <w:tcMar>
              <w:top w:w="20" w:type="dxa"/>
              <w:left w:w="20" w:type="dxa"/>
              <w:bottom w:w="20" w:type="dxa"/>
              <w:right w:w="20" w:type="dxa"/>
            </w:tcMar>
          </w:tcPr>
          <w:p w14:paraId="7B77262D" w14:textId="77777777" w:rsidR="00185102" w:rsidRPr="002B3C80" w:rsidRDefault="002B3C80">
            <w:pPr>
              <w:pStyle w:val="T1TableStyle"/>
              <w:jc w:val="right"/>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(1,933)</w:t>
            </w:r>
          </w:p>
        </w:tc>
        <w:tc>
          <w:tcPr>
            <w:tcW w:w="2138" w:type="dxa"/>
            <w:shd w:val="clear" w:color="auto" w:fill="auto"/>
            <w:tcMar>
              <w:top w:w="20" w:type="dxa"/>
              <w:left w:w="20" w:type="dxa"/>
              <w:bottom w:w="20" w:type="dxa"/>
              <w:right w:w="20" w:type="dxa"/>
            </w:tcMar>
          </w:tcPr>
          <w:p w14:paraId="250074BA" w14:textId="77777777" w:rsidR="00185102" w:rsidRPr="002B3C80" w:rsidRDefault="002B3C80">
            <w:pPr>
              <w:pStyle w:val="T1TableStyle"/>
              <w:jc w:val="right"/>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(1,933)</w:t>
            </w:r>
          </w:p>
        </w:tc>
      </w:tr>
      <w:tr w:rsidR="004D417B" w:rsidRPr="002B3C80" w14:paraId="6F3A4DB1" w14:textId="77777777" w:rsidTr="005547A1">
        <w:trPr>
          <w:trHeight w:val="208"/>
          <w:jc w:val="center"/>
        </w:trPr>
        <w:tc>
          <w:tcPr>
            <w:tcW w:w="3125"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14:paraId="6DC55738" w14:textId="77777777" w:rsidR="004D417B" w:rsidRPr="002B3C80" w:rsidRDefault="00CA6653" w:rsidP="00CA6653">
            <w:pPr>
              <w:pStyle w:val="T1TableStyle"/>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Closing Balance</w:t>
            </w:r>
          </w:p>
        </w:tc>
        <w:tc>
          <w:tcPr>
            <w:tcW w:w="1730"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14:paraId="46AFEBC4" w14:textId="77777777" w:rsidR="004D417B" w:rsidRPr="002B3C80" w:rsidRDefault="002B3C80">
            <w:pPr>
              <w:pStyle w:val="T1TableStyle"/>
              <w:jc w:val="right"/>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(110)</w:t>
            </w:r>
          </w:p>
        </w:tc>
        <w:tc>
          <w:tcPr>
            <w:tcW w:w="1730"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14:paraId="65F491BF" w14:textId="77777777" w:rsidR="004D417B" w:rsidRPr="002B3C80" w:rsidRDefault="002B3C80" w:rsidP="00660323">
            <w:pPr>
              <w:pStyle w:val="T1TableStyle"/>
              <w:jc w:val="right"/>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(2,931)</w:t>
            </w:r>
          </w:p>
        </w:tc>
        <w:tc>
          <w:tcPr>
            <w:tcW w:w="2138"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14:paraId="72883A87" w14:textId="77777777" w:rsidR="004D417B" w:rsidRPr="002B3C80" w:rsidRDefault="002B3C80">
            <w:pPr>
              <w:pStyle w:val="T1TableStyle"/>
              <w:jc w:val="right"/>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(3,041)</w:t>
            </w:r>
          </w:p>
        </w:tc>
      </w:tr>
      <w:tr w:rsidR="004D417B" w:rsidRPr="002B3C80" w14:paraId="63347556" w14:textId="77777777" w:rsidTr="005547A1">
        <w:trPr>
          <w:trHeight w:hRule="exact" w:val="139"/>
          <w:jc w:val="center"/>
        </w:trPr>
        <w:tc>
          <w:tcPr>
            <w:tcW w:w="3125" w:type="dxa"/>
            <w:shd w:val="clear" w:color="auto" w:fill="auto"/>
            <w:tcMar>
              <w:top w:w="20" w:type="dxa"/>
              <w:left w:w="20" w:type="dxa"/>
              <w:bottom w:w="20" w:type="dxa"/>
              <w:right w:w="20" w:type="dxa"/>
            </w:tcMar>
            <w:vAlign w:val="bottom"/>
          </w:tcPr>
          <w:p w14:paraId="2AC37ADC" w14:textId="77777777" w:rsidR="004D417B" w:rsidRPr="002B3C80" w:rsidRDefault="00CA6653" w:rsidP="00CA6653">
            <w:pPr>
              <w:pStyle w:val="T1TableStyle"/>
              <w:jc w:val="center"/>
              <w:rPr>
                <w:rFonts w:ascii="Verdana" w:eastAsia="Verdana" w:hAnsi="Verdana" w:cs="Verdana"/>
                <w:color w:val="000000"/>
                <w:sz w:val="2"/>
                <w:szCs w:val="22"/>
                <w:lang w:val="en-GB"/>
              </w:rPr>
            </w:pPr>
            <w:r w:rsidRPr="002B3C80">
              <w:rPr>
                <w:rFonts w:ascii="Verdana" w:eastAsia="Verdana" w:hAnsi="Verdana" w:cs="Verdana"/>
                <w:color w:val="000000"/>
                <w:sz w:val="2"/>
                <w:szCs w:val="22"/>
                <w:lang w:val="en-GB"/>
              </w:rPr>
              <w:t xml:space="preserve"> </w:t>
            </w:r>
          </w:p>
        </w:tc>
        <w:tc>
          <w:tcPr>
            <w:tcW w:w="1730" w:type="dxa"/>
            <w:shd w:val="clear" w:color="auto" w:fill="auto"/>
            <w:tcMar>
              <w:top w:w="20" w:type="dxa"/>
              <w:left w:w="20" w:type="dxa"/>
              <w:bottom w:w="20" w:type="dxa"/>
              <w:right w:w="20" w:type="dxa"/>
            </w:tcMar>
            <w:vAlign w:val="bottom"/>
          </w:tcPr>
          <w:p w14:paraId="284D11A1" w14:textId="77777777" w:rsidR="004D417B" w:rsidRPr="002B3C80" w:rsidRDefault="004D417B" w:rsidP="00CA6653">
            <w:pPr>
              <w:pStyle w:val="T1TableStyle"/>
              <w:jc w:val="center"/>
              <w:rPr>
                <w:rFonts w:ascii="Verdana" w:eastAsia="Verdana" w:hAnsi="Verdana" w:cs="Verdana"/>
                <w:color w:val="000000"/>
                <w:sz w:val="2"/>
                <w:szCs w:val="22"/>
                <w:lang w:val="en-GB"/>
              </w:rPr>
            </w:pPr>
          </w:p>
        </w:tc>
        <w:tc>
          <w:tcPr>
            <w:tcW w:w="1730" w:type="dxa"/>
            <w:shd w:val="clear" w:color="auto" w:fill="auto"/>
            <w:tcMar>
              <w:top w:w="20" w:type="dxa"/>
              <w:left w:w="20" w:type="dxa"/>
              <w:bottom w:w="20" w:type="dxa"/>
              <w:right w:w="20" w:type="dxa"/>
            </w:tcMar>
            <w:vAlign w:val="bottom"/>
          </w:tcPr>
          <w:p w14:paraId="2FAA20CF" w14:textId="77777777" w:rsidR="004D417B" w:rsidRPr="002B3C80" w:rsidRDefault="004D417B" w:rsidP="00CA6653">
            <w:pPr>
              <w:pStyle w:val="T1TableStyle"/>
              <w:jc w:val="center"/>
              <w:rPr>
                <w:rFonts w:ascii="Verdana" w:eastAsia="Verdana" w:hAnsi="Verdana" w:cs="Verdana"/>
                <w:color w:val="000000"/>
                <w:sz w:val="2"/>
                <w:szCs w:val="22"/>
                <w:lang w:val="en-GB"/>
              </w:rPr>
            </w:pPr>
          </w:p>
        </w:tc>
        <w:tc>
          <w:tcPr>
            <w:tcW w:w="2138" w:type="dxa"/>
            <w:shd w:val="clear" w:color="auto" w:fill="auto"/>
            <w:tcMar>
              <w:top w:w="20" w:type="dxa"/>
              <w:left w:w="20" w:type="dxa"/>
              <w:bottom w:w="20" w:type="dxa"/>
              <w:right w:w="20" w:type="dxa"/>
            </w:tcMar>
            <w:vAlign w:val="bottom"/>
          </w:tcPr>
          <w:p w14:paraId="2CB97E71" w14:textId="77777777" w:rsidR="004D417B" w:rsidRPr="002B3C80" w:rsidRDefault="004D417B" w:rsidP="00CA6653">
            <w:pPr>
              <w:pStyle w:val="T1TableStyle"/>
              <w:jc w:val="center"/>
              <w:rPr>
                <w:rFonts w:ascii="Verdana" w:eastAsia="Verdana" w:hAnsi="Verdana" w:cs="Verdana"/>
                <w:color w:val="000000"/>
                <w:sz w:val="2"/>
                <w:szCs w:val="22"/>
                <w:lang w:val="en-GB"/>
              </w:rPr>
            </w:pPr>
          </w:p>
        </w:tc>
      </w:tr>
      <w:tr w:rsidR="004D417B" w:rsidRPr="002B3C80" w14:paraId="60B48EFC" w14:textId="77777777" w:rsidTr="005547A1">
        <w:trPr>
          <w:trHeight w:hRule="exact" w:val="169"/>
          <w:jc w:val="center"/>
        </w:trPr>
        <w:tc>
          <w:tcPr>
            <w:tcW w:w="3125" w:type="dxa"/>
            <w:shd w:val="clear" w:color="auto" w:fill="auto"/>
            <w:tcMar>
              <w:top w:w="20" w:type="dxa"/>
              <w:left w:w="20" w:type="dxa"/>
              <w:bottom w:w="20" w:type="dxa"/>
              <w:right w:w="20" w:type="dxa"/>
            </w:tcMar>
            <w:vAlign w:val="bottom"/>
          </w:tcPr>
          <w:p w14:paraId="6E865E99" w14:textId="77777777" w:rsidR="004D417B" w:rsidRPr="002B3C80" w:rsidRDefault="00CA6653" w:rsidP="00CA6653">
            <w:pPr>
              <w:pStyle w:val="T1TableStyle"/>
              <w:jc w:val="center"/>
              <w:rPr>
                <w:rFonts w:ascii="Verdana" w:eastAsia="Verdana" w:hAnsi="Verdana" w:cs="Verdana"/>
                <w:b/>
                <w:color w:val="000000"/>
                <w:sz w:val="2"/>
                <w:szCs w:val="22"/>
                <w:lang w:val="en-GB"/>
              </w:rPr>
            </w:pPr>
            <w:r w:rsidRPr="002B3C80">
              <w:rPr>
                <w:rFonts w:ascii="Verdana" w:eastAsia="Verdana" w:hAnsi="Verdana" w:cs="Verdana"/>
                <w:b/>
                <w:color w:val="000000"/>
                <w:sz w:val="2"/>
                <w:szCs w:val="22"/>
                <w:lang w:val="en-GB"/>
              </w:rPr>
              <w:t xml:space="preserve"> </w:t>
            </w:r>
          </w:p>
        </w:tc>
        <w:tc>
          <w:tcPr>
            <w:tcW w:w="1730" w:type="dxa"/>
            <w:shd w:val="clear" w:color="auto" w:fill="auto"/>
            <w:tcMar>
              <w:top w:w="20" w:type="dxa"/>
              <w:left w:w="20" w:type="dxa"/>
              <w:bottom w:w="20" w:type="dxa"/>
              <w:right w:w="20" w:type="dxa"/>
            </w:tcMar>
            <w:vAlign w:val="bottom"/>
          </w:tcPr>
          <w:p w14:paraId="33E8052D" w14:textId="77777777" w:rsidR="004D417B" w:rsidRPr="002B3C80" w:rsidRDefault="00CA6653" w:rsidP="00CA6653">
            <w:pPr>
              <w:pStyle w:val="T1TableStyle"/>
              <w:jc w:val="center"/>
              <w:rPr>
                <w:rFonts w:ascii="Verdana" w:eastAsia="Verdana" w:hAnsi="Verdana" w:cs="Verdana"/>
                <w:color w:val="000000"/>
                <w:sz w:val="2"/>
                <w:szCs w:val="22"/>
                <w:lang w:val="en-GB"/>
              </w:rPr>
            </w:pPr>
            <w:r w:rsidRPr="002B3C80">
              <w:rPr>
                <w:rFonts w:ascii="Verdana" w:eastAsia="Verdana" w:hAnsi="Verdana" w:cs="Verdana"/>
                <w:color w:val="000000"/>
                <w:sz w:val="2"/>
                <w:szCs w:val="22"/>
                <w:lang w:val="en-GB"/>
              </w:rPr>
              <w:t xml:space="preserve"> </w:t>
            </w:r>
          </w:p>
        </w:tc>
        <w:tc>
          <w:tcPr>
            <w:tcW w:w="1730" w:type="dxa"/>
            <w:shd w:val="clear" w:color="auto" w:fill="auto"/>
            <w:tcMar>
              <w:top w:w="20" w:type="dxa"/>
              <w:left w:w="20" w:type="dxa"/>
              <w:bottom w:w="20" w:type="dxa"/>
              <w:right w:w="20" w:type="dxa"/>
            </w:tcMar>
            <w:vAlign w:val="bottom"/>
          </w:tcPr>
          <w:p w14:paraId="671B50E8" w14:textId="77777777" w:rsidR="004D417B" w:rsidRPr="002B3C80" w:rsidRDefault="00CA6653" w:rsidP="00CA6653">
            <w:pPr>
              <w:pStyle w:val="T1TableStyle"/>
              <w:jc w:val="center"/>
              <w:rPr>
                <w:rFonts w:ascii="Verdana" w:eastAsia="Verdana" w:hAnsi="Verdana" w:cs="Verdana"/>
                <w:color w:val="000000"/>
                <w:sz w:val="2"/>
                <w:szCs w:val="22"/>
                <w:lang w:val="en-GB"/>
              </w:rPr>
            </w:pPr>
            <w:r w:rsidRPr="002B3C80">
              <w:rPr>
                <w:rFonts w:ascii="Verdana" w:eastAsia="Verdana" w:hAnsi="Verdana" w:cs="Verdana"/>
                <w:color w:val="000000"/>
                <w:sz w:val="2"/>
                <w:szCs w:val="22"/>
                <w:lang w:val="en-GB"/>
              </w:rPr>
              <w:t xml:space="preserve"> </w:t>
            </w:r>
          </w:p>
        </w:tc>
        <w:tc>
          <w:tcPr>
            <w:tcW w:w="2138" w:type="dxa"/>
            <w:shd w:val="clear" w:color="auto" w:fill="auto"/>
            <w:tcMar>
              <w:top w:w="20" w:type="dxa"/>
              <w:left w:w="20" w:type="dxa"/>
              <w:bottom w:w="20" w:type="dxa"/>
              <w:right w:w="20" w:type="dxa"/>
            </w:tcMar>
            <w:vAlign w:val="bottom"/>
          </w:tcPr>
          <w:p w14:paraId="1DFBD203" w14:textId="77777777" w:rsidR="004D417B" w:rsidRPr="002B3C80" w:rsidRDefault="00CA6653" w:rsidP="00CA6653">
            <w:pPr>
              <w:pStyle w:val="T1TableStyle"/>
              <w:jc w:val="center"/>
              <w:rPr>
                <w:rFonts w:ascii="Verdana" w:eastAsia="Verdana" w:hAnsi="Verdana" w:cs="Verdana"/>
                <w:color w:val="000000"/>
                <w:sz w:val="2"/>
                <w:szCs w:val="22"/>
                <w:lang w:val="en-GB"/>
              </w:rPr>
            </w:pPr>
            <w:r w:rsidRPr="002B3C80">
              <w:rPr>
                <w:rFonts w:ascii="Verdana" w:eastAsia="Verdana" w:hAnsi="Verdana" w:cs="Verdana"/>
                <w:color w:val="000000"/>
                <w:sz w:val="2"/>
                <w:szCs w:val="22"/>
                <w:lang w:val="en-GB"/>
              </w:rPr>
              <w:t xml:space="preserve"> </w:t>
            </w:r>
          </w:p>
        </w:tc>
      </w:tr>
      <w:tr w:rsidR="004D417B" w:rsidRPr="002B3C80" w14:paraId="0CCEC343" w14:textId="77777777" w:rsidTr="005547A1">
        <w:trPr>
          <w:trHeight w:val="338"/>
          <w:jc w:val="center"/>
        </w:trPr>
        <w:tc>
          <w:tcPr>
            <w:tcW w:w="3125" w:type="dxa"/>
            <w:shd w:val="clear" w:color="auto" w:fill="auto"/>
            <w:tcMar>
              <w:top w:w="20" w:type="dxa"/>
              <w:left w:w="20" w:type="dxa"/>
              <w:bottom w:w="20" w:type="dxa"/>
              <w:right w:w="20" w:type="dxa"/>
            </w:tcMar>
            <w:vAlign w:val="bottom"/>
          </w:tcPr>
          <w:p w14:paraId="09DE47D8" w14:textId="77777777" w:rsidR="004D417B" w:rsidRPr="002B3C80" w:rsidRDefault="00CA6653" w:rsidP="004218BA">
            <w:pPr>
              <w:pStyle w:val="T1TableStyle"/>
              <w:rPr>
                <w:rFonts w:ascii="Verdana" w:eastAsia="Verdana" w:hAnsi="Verdana" w:cs="Verdana"/>
                <w:b/>
                <w:color w:val="000000"/>
                <w:szCs w:val="22"/>
                <w:lang w:val="en-GB"/>
              </w:rPr>
            </w:pPr>
            <w:r w:rsidRPr="002B3C80">
              <w:rPr>
                <w:rFonts w:ascii="Verdana" w:eastAsia="Verdana" w:hAnsi="Verdana" w:cs="Verdana"/>
                <w:b/>
                <w:color w:val="000000"/>
                <w:szCs w:val="22"/>
                <w:lang w:val="en-GB"/>
              </w:rPr>
              <w:t>20</w:t>
            </w:r>
            <w:r w:rsidR="004218BA" w:rsidRPr="002B3C80">
              <w:rPr>
                <w:rFonts w:ascii="Verdana" w:eastAsia="Verdana" w:hAnsi="Verdana" w:cs="Verdana"/>
                <w:b/>
                <w:color w:val="000000"/>
                <w:szCs w:val="22"/>
                <w:lang w:val="en-GB"/>
              </w:rPr>
              <w:t>19</w:t>
            </w:r>
            <w:r w:rsidRPr="002B3C80">
              <w:rPr>
                <w:rFonts w:ascii="Verdana" w:eastAsia="Verdana" w:hAnsi="Verdana" w:cs="Verdana"/>
                <w:b/>
                <w:color w:val="000000"/>
                <w:szCs w:val="22"/>
                <w:lang w:val="en-GB"/>
              </w:rPr>
              <w:t>/</w:t>
            </w:r>
            <w:r w:rsidR="004218BA" w:rsidRPr="002B3C80">
              <w:rPr>
                <w:rFonts w:ascii="Verdana" w:eastAsia="Verdana" w:hAnsi="Verdana" w:cs="Verdana"/>
                <w:b/>
                <w:color w:val="000000"/>
                <w:szCs w:val="22"/>
                <w:lang w:val="en-GB"/>
              </w:rPr>
              <w:t>20</w:t>
            </w:r>
          </w:p>
        </w:tc>
        <w:tc>
          <w:tcPr>
            <w:tcW w:w="1730" w:type="dxa"/>
            <w:shd w:val="clear" w:color="auto" w:fill="auto"/>
            <w:tcMar>
              <w:top w:w="20" w:type="dxa"/>
              <w:left w:w="20" w:type="dxa"/>
              <w:bottom w:w="20" w:type="dxa"/>
              <w:right w:w="20" w:type="dxa"/>
            </w:tcMar>
            <w:vAlign w:val="bottom"/>
          </w:tcPr>
          <w:p w14:paraId="2F76EB55" w14:textId="77777777" w:rsidR="004D417B" w:rsidRPr="002B3C80" w:rsidRDefault="00CA6653" w:rsidP="00CA6653">
            <w:pPr>
              <w:pStyle w:val="T1TableStyle"/>
              <w:jc w:val="center"/>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Restructuring Provision</w:t>
            </w:r>
          </w:p>
        </w:tc>
        <w:tc>
          <w:tcPr>
            <w:tcW w:w="1730" w:type="dxa"/>
            <w:shd w:val="clear" w:color="auto" w:fill="auto"/>
            <w:tcMar>
              <w:top w:w="20" w:type="dxa"/>
              <w:left w:w="20" w:type="dxa"/>
              <w:bottom w:w="20" w:type="dxa"/>
              <w:right w:w="20" w:type="dxa"/>
            </w:tcMar>
            <w:vAlign w:val="bottom"/>
          </w:tcPr>
          <w:p w14:paraId="002EE8C2" w14:textId="77777777" w:rsidR="004D417B" w:rsidRPr="002B3C80" w:rsidRDefault="00CA6653" w:rsidP="00CA6653">
            <w:pPr>
              <w:pStyle w:val="T1TableStyle"/>
              <w:jc w:val="center"/>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Insurance Provision</w:t>
            </w:r>
          </w:p>
        </w:tc>
        <w:tc>
          <w:tcPr>
            <w:tcW w:w="2138" w:type="dxa"/>
            <w:shd w:val="clear" w:color="auto" w:fill="auto"/>
            <w:tcMar>
              <w:top w:w="20" w:type="dxa"/>
              <w:left w:w="20" w:type="dxa"/>
              <w:bottom w:w="20" w:type="dxa"/>
              <w:right w:w="20" w:type="dxa"/>
            </w:tcMar>
            <w:vAlign w:val="bottom"/>
          </w:tcPr>
          <w:p w14:paraId="22A41BE4" w14:textId="77777777" w:rsidR="004D417B" w:rsidRPr="002B3C80" w:rsidRDefault="00CA6653" w:rsidP="00CA6653">
            <w:pPr>
              <w:pStyle w:val="T1TableStyle"/>
              <w:jc w:val="center"/>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Total</w:t>
            </w:r>
          </w:p>
        </w:tc>
      </w:tr>
      <w:tr w:rsidR="004D417B" w:rsidRPr="002B3C80" w14:paraId="4B349C6E" w14:textId="77777777" w:rsidTr="005547A1">
        <w:trPr>
          <w:trHeight w:val="198"/>
          <w:jc w:val="center"/>
        </w:trPr>
        <w:tc>
          <w:tcPr>
            <w:tcW w:w="3125" w:type="dxa"/>
            <w:tcBorders>
              <w:bottom w:val="single" w:sz="2" w:space="0" w:color="000000"/>
            </w:tcBorders>
            <w:shd w:val="clear" w:color="auto" w:fill="auto"/>
            <w:tcMar>
              <w:top w:w="20" w:type="dxa"/>
              <w:left w:w="20" w:type="dxa"/>
              <w:bottom w:w="20" w:type="dxa"/>
              <w:right w:w="20" w:type="dxa"/>
            </w:tcMar>
          </w:tcPr>
          <w:p w14:paraId="7325A380" w14:textId="77777777" w:rsidR="004D417B" w:rsidRPr="002B3C80" w:rsidRDefault="00CA6653" w:rsidP="00CA6653">
            <w:pPr>
              <w:pStyle w:val="T1TableStyle"/>
              <w:jc w:val="center"/>
              <w:rPr>
                <w:rFonts w:ascii="Verdana" w:eastAsia="Verdana" w:hAnsi="Verdana" w:cs="Verdana"/>
                <w:color w:val="000000"/>
                <w:sz w:val="2"/>
                <w:szCs w:val="22"/>
                <w:lang w:val="en-GB"/>
              </w:rPr>
            </w:pPr>
            <w:r w:rsidRPr="002B3C80">
              <w:rPr>
                <w:rFonts w:ascii="Verdana" w:eastAsia="Verdana" w:hAnsi="Verdana" w:cs="Verdana"/>
                <w:color w:val="000000"/>
                <w:sz w:val="2"/>
                <w:szCs w:val="22"/>
                <w:lang w:val="en-GB"/>
              </w:rPr>
              <w:t xml:space="preserve"> </w:t>
            </w:r>
          </w:p>
        </w:tc>
        <w:tc>
          <w:tcPr>
            <w:tcW w:w="1730" w:type="dxa"/>
            <w:tcBorders>
              <w:bottom w:val="single" w:sz="2" w:space="0" w:color="000000"/>
            </w:tcBorders>
            <w:shd w:val="clear" w:color="auto" w:fill="auto"/>
            <w:tcMar>
              <w:top w:w="20" w:type="dxa"/>
              <w:left w:w="20" w:type="dxa"/>
              <w:bottom w:w="20" w:type="dxa"/>
              <w:right w:w="20" w:type="dxa"/>
            </w:tcMar>
            <w:vAlign w:val="bottom"/>
          </w:tcPr>
          <w:p w14:paraId="05FE4E41" w14:textId="77777777" w:rsidR="004D417B" w:rsidRPr="002B3C80" w:rsidRDefault="00CA6653" w:rsidP="00CA6653">
            <w:pPr>
              <w:pStyle w:val="T1TableStyle"/>
              <w:jc w:val="right"/>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£000</w:t>
            </w:r>
          </w:p>
        </w:tc>
        <w:tc>
          <w:tcPr>
            <w:tcW w:w="1730" w:type="dxa"/>
            <w:tcBorders>
              <w:bottom w:val="single" w:sz="2" w:space="0" w:color="000000"/>
            </w:tcBorders>
            <w:shd w:val="clear" w:color="auto" w:fill="auto"/>
            <w:tcMar>
              <w:top w:w="20" w:type="dxa"/>
              <w:left w:w="20" w:type="dxa"/>
              <w:bottom w:w="20" w:type="dxa"/>
              <w:right w:w="20" w:type="dxa"/>
            </w:tcMar>
            <w:vAlign w:val="bottom"/>
          </w:tcPr>
          <w:p w14:paraId="080CC4B2" w14:textId="77777777" w:rsidR="004D417B" w:rsidRPr="002B3C80" w:rsidRDefault="00CA6653" w:rsidP="00CA6653">
            <w:pPr>
              <w:pStyle w:val="T1TableStyle"/>
              <w:jc w:val="right"/>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£000</w:t>
            </w:r>
          </w:p>
        </w:tc>
        <w:tc>
          <w:tcPr>
            <w:tcW w:w="2138" w:type="dxa"/>
            <w:tcBorders>
              <w:bottom w:val="single" w:sz="2" w:space="0" w:color="000000"/>
            </w:tcBorders>
            <w:shd w:val="clear" w:color="auto" w:fill="auto"/>
            <w:tcMar>
              <w:top w:w="20" w:type="dxa"/>
              <w:left w:w="20" w:type="dxa"/>
              <w:bottom w:w="20" w:type="dxa"/>
              <w:right w:w="20" w:type="dxa"/>
            </w:tcMar>
            <w:vAlign w:val="bottom"/>
          </w:tcPr>
          <w:p w14:paraId="6CE2932A" w14:textId="77777777" w:rsidR="004D417B" w:rsidRPr="002B3C80" w:rsidRDefault="00CA6653" w:rsidP="00CA6653">
            <w:pPr>
              <w:pStyle w:val="T1TableStyle"/>
              <w:jc w:val="right"/>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£000</w:t>
            </w:r>
          </w:p>
        </w:tc>
      </w:tr>
      <w:tr w:rsidR="004218BA" w:rsidRPr="002B3C80" w14:paraId="5397D51F" w14:textId="77777777" w:rsidTr="005547A1">
        <w:trPr>
          <w:trHeight w:val="149"/>
          <w:jc w:val="center"/>
        </w:trPr>
        <w:tc>
          <w:tcPr>
            <w:tcW w:w="3125" w:type="dxa"/>
            <w:shd w:val="clear" w:color="auto" w:fill="auto"/>
            <w:tcMar>
              <w:top w:w="20" w:type="dxa"/>
              <w:left w:w="20" w:type="dxa"/>
              <w:bottom w:w="20" w:type="dxa"/>
              <w:right w:w="20" w:type="dxa"/>
            </w:tcMar>
          </w:tcPr>
          <w:p w14:paraId="3C6210A3" w14:textId="77777777" w:rsidR="004218BA" w:rsidRPr="002B3C80" w:rsidRDefault="004218BA" w:rsidP="004218BA">
            <w:pPr>
              <w:pStyle w:val="T1TableStyle"/>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Opening Balance</w:t>
            </w:r>
          </w:p>
        </w:tc>
        <w:tc>
          <w:tcPr>
            <w:tcW w:w="1730" w:type="dxa"/>
            <w:shd w:val="clear" w:color="auto" w:fill="auto"/>
            <w:tcMar>
              <w:top w:w="20" w:type="dxa"/>
              <w:left w:w="20" w:type="dxa"/>
              <w:bottom w:w="20" w:type="dxa"/>
              <w:right w:w="20" w:type="dxa"/>
            </w:tcMar>
          </w:tcPr>
          <w:p w14:paraId="19250D8A" w14:textId="77777777" w:rsidR="004218BA" w:rsidRPr="002B3C80" w:rsidRDefault="004218BA" w:rsidP="004218BA">
            <w:pPr>
              <w:pStyle w:val="T1TableStyle"/>
              <w:jc w:val="right"/>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(109)</w:t>
            </w:r>
          </w:p>
        </w:tc>
        <w:tc>
          <w:tcPr>
            <w:tcW w:w="1730" w:type="dxa"/>
            <w:shd w:val="clear" w:color="auto" w:fill="auto"/>
            <w:tcMar>
              <w:top w:w="20" w:type="dxa"/>
              <w:left w:w="20" w:type="dxa"/>
              <w:bottom w:w="20" w:type="dxa"/>
              <w:right w:w="20" w:type="dxa"/>
            </w:tcMar>
          </w:tcPr>
          <w:p w14:paraId="3D85362F" w14:textId="77777777" w:rsidR="004218BA" w:rsidRPr="002B3C80" w:rsidRDefault="004218BA" w:rsidP="004218BA">
            <w:pPr>
              <w:pStyle w:val="T1TableStyle"/>
              <w:jc w:val="right"/>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(720)</w:t>
            </w:r>
          </w:p>
        </w:tc>
        <w:tc>
          <w:tcPr>
            <w:tcW w:w="2138" w:type="dxa"/>
            <w:shd w:val="clear" w:color="auto" w:fill="auto"/>
            <w:tcMar>
              <w:top w:w="20" w:type="dxa"/>
              <w:left w:w="20" w:type="dxa"/>
              <w:bottom w:w="20" w:type="dxa"/>
              <w:right w:w="20" w:type="dxa"/>
            </w:tcMar>
          </w:tcPr>
          <w:p w14:paraId="3A7C74C1" w14:textId="77777777" w:rsidR="004218BA" w:rsidRPr="002B3C80" w:rsidRDefault="004218BA" w:rsidP="004218BA">
            <w:pPr>
              <w:pStyle w:val="T1TableStyle"/>
              <w:jc w:val="right"/>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(829)</w:t>
            </w:r>
          </w:p>
        </w:tc>
      </w:tr>
      <w:tr w:rsidR="004218BA" w:rsidRPr="002B3C80" w14:paraId="62C56D0E" w14:textId="77777777" w:rsidTr="005547A1">
        <w:trPr>
          <w:trHeight w:val="278"/>
          <w:jc w:val="center"/>
        </w:trPr>
        <w:tc>
          <w:tcPr>
            <w:tcW w:w="3125" w:type="dxa"/>
            <w:shd w:val="clear" w:color="auto" w:fill="auto"/>
            <w:tcMar>
              <w:top w:w="20" w:type="dxa"/>
              <w:left w:w="20" w:type="dxa"/>
              <w:bottom w:w="20" w:type="dxa"/>
              <w:right w:w="20" w:type="dxa"/>
            </w:tcMar>
          </w:tcPr>
          <w:p w14:paraId="02D7EB45" w14:textId="77777777" w:rsidR="004218BA" w:rsidRPr="002B3C80" w:rsidRDefault="002B3C80" w:rsidP="004218BA">
            <w:pPr>
              <w:pStyle w:val="T1TableStyle"/>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 xml:space="preserve">Increase in provision during year </w:t>
            </w:r>
          </w:p>
          <w:p w14:paraId="306963D9" w14:textId="77777777" w:rsidR="004218BA" w:rsidRPr="002B3C80" w:rsidRDefault="004218BA" w:rsidP="004218BA">
            <w:pPr>
              <w:pStyle w:val="T1TableStyle"/>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Rounding</w:t>
            </w:r>
          </w:p>
        </w:tc>
        <w:tc>
          <w:tcPr>
            <w:tcW w:w="1730" w:type="dxa"/>
            <w:shd w:val="clear" w:color="auto" w:fill="auto"/>
            <w:tcMar>
              <w:top w:w="20" w:type="dxa"/>
              <w:left w:w="20" w:type="dxa"/>
              <w:bottom w:w="20" w:type="dxa"/>
              <w:right w:w="20" w:type="dxa"/>
            </w:tcMar>
          </w:tcPr>
          <w:p w14:paraId="562854FF" w14:textId="77777777" w:rsidR="004218BA" w:rsidRPr="002B3C80" w:rsidRDefault="004218BA" w:rsidP="004218BA">
            <w:pPr>
              <w:pStyle w:val="T1TableStyle"/>
              <w:jc w:val="right"/>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0</w:t>
            </w:r>
          </w:p>
          <w:p w14:paraId="6451B152" w14:textId="77777777" w:rsidR="004218BA" w:rsidRPr="002B3C80" w:rsidRDefault="004218BA" w:rsidP="004218BA">
            <w:pPr>
              <w:pStyle w:val="T1TableStyle"/>
              <w:jc w:val="right"/>
              <w:rPr>
                <w:rFonts w:ascii="Verdana" w:eastAsia="Verdana" w:hAnsi="Verdana" w:cs="Verdana"/>
                <w:color w:val="000000"/>
                <w:sz w:val="16"/>
                <w:szCs w:val="22"/>
                <w:lang w:val="en-GB"/>
              </w:rPr>
            </w:pPr>
          </w:p>
          <w:p w14:paraId="2D0C8C34" w14:textId="77777777" w:rsidR="004218BA" w:rsidRPr="002B3C80" w:rsidRDefault="004218BA" w:rsidP="004218BA">
            <w:pPr>
              <w:pStyle w:val="T1TableStyle"/>
              <w:jc w:val="right"/>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(1)</w:t>
            </w:r>
          </w:p>
        </w:tc>
        <w:tc>
          <w:tcPr>
            <w:tcW w:w="1730" w:type="dxa"/>
            <w:shd w:val="clear" w:color="auto" w:fill="auto"/>
            <w:tcMar>
              <w:top w:w="20" w:type="dxa"/>
              <w:left w:w="20" w:type="dxa"/>
              <w:bottom w:w="20" w:type="dxa"/>
              <w:right w:w="20" w:type="dxa"/>
            </w:tcMar>
          </w:tcPr>
          <w:p w14:paraId="556B7291" w14:textId="77777777" w:rsidR="004218BA" w:rsidRPr="002B3C80" w:rsidRDefault="004218BA" w:rsidP="004218BA">
            <w:pPr>
              <w:pStyle w:val="T1TableStyle"/>
              <w:jc w:val="right"/>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(278)</w:t>
            </w:r>
          </w:p>
          <w:p w14:paraId="1617100D" w14:textId="77777777" w:rsidR="004218BA" w:rsidRPr="002B3C80" w:rsidRDefault="004218BA" w:rsidP="004218BA">
            <w:pPr>
              <w:pStyle w:val="T1TableStyle"/>
              <w:jc w:val="right"/>
              <w:rPr>
                <w:rFonts w:ascii="Verdana" w:eastAsia="Verdana" w:hAnsi="Verdana" w:cs="Verdana"/>
                <w:color w:val="000000"/>
                <w:sz w:val="16"/>
                <w:szCs w:val="22"/>
                <w:lang w:val="en-GB"/>
              </w:rPr>
            </w:pPr>
          </w:p>
          <w:p w14:paraId="0DCF815E" w14:textId="77777777" w:rsidR="004218BA" w:rsidRPr="002B3C80" w:rsidRDefault="004218BA" w:rsidP="004218BA">
            <w:pPr>
              <w:pStyle w:val="T1TableStyle"/>
              <w:jc w:val="right"/>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0</w:t>
            </w:r>
          </w:p>
        </w:tc>
        <w:tc>
          <w:tcPr>
            <w:tcW w:w="2138" w:type="dxa"/>
            <w:shd w:val="clear" w:color="auto" w:fill="auto"/>
            <w:tcMar>
              <w:top w:w="20" w:type="dxa"/>
              <w:left w:w="20" w:type="dxa"/>
              <w:bottom w:w="20" w:type="dxa"/>
              <w:right w:w="20" w:type="dxa"/>
            </w:tcMar>
          </w:tcPr>
          <w:p w14:paraId="6CA2A0ED" w14:textId="77777777" w:rsidR="004218BA" w:rsidRPr="002B3C80" w:rsidRDefault="004218BA" w:rsidP="004218BA">
            <w:pPr>
              <w:pStyle w:val="T1TableStyle"/>
              <w:jc w:val="right"/>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(278)</w:t>
            </w:r>
          </w:p>
          <w:p w14:paraId="3604A3A0" w14:textId="77777777" w:rsidR="004218BA" w:rsidRPr="002B3C80" w:rsidRDefault="004218BA" w:rsidP="004218BA">
            <w:pPr>
              <w:pStyle w:val="T1TableStyle"/>
              <w:jc w:val="right"/>
              <w:rPr>
                <w:rFonts w:ascii="Verdana" w:eastAsia="Verdana" w:hAnsi="Verdana" w:cs="Verdana"/>
                <w:color w:val="000000"/>
                <w:sz w:val="16"/>
                <w:szCs w:val="22"/>
                <w:lang w:val="en-GB"/>
              </w:rPr>
            </w:pPr>
          </w:p>
          <w:p w14:paraId="6B0610F5" w14:textId="77777777" w:rsidR="004218BA" w:rsidRPr="002B3C80" w:rsidRDefault="004218BA" w:rsidP="004218BA">
            <w:pPr>
              <w:pStyle w:val="T1TableStyle"/>
              <w:jc w:val="right"/>
              <w:rPr>
                <w:rFonts w:ascii="Verdana" w:eastAsia="Verdana" w:hAnsi="Verdana" w:cs="Verdana"/>
                <w:color w:val="000000"/>
                <w:sz w:val="16"/>
                <w:szCs w:val="22"/>
                <w:lang w:val="en-GB"/>
              </w:rPr>
            </w:pPr>
            <w:r w:rsidRPr="002B3C80">
              <w:rPr>
                <w:rFonts w:ascii="Verdana" w:eastAsia="Verdana" w:hAnsi="Verdana" w:cs="Verdana"/>
                <w:color w:val="000000"/>
                <w:sz w:val="16"/>
                <w:szCs w:val="22"/>
                <w:lang w:val="en-GB"/>
              </w:rPr>
              <w:t>(1)</w:t>
            </w:r>
          </w:p>
        </w:tc>
      </w:tr>
      <w:tr w:rsidR="004218BA" w:rsidRPr="002B3C80" w14:paraId="12638577" w14:textId="77777777" w:rsidTr="005547A1">
        <w:trPr>
          <w:trHeight w:val="208"/>
          <w:jc w:val="center"/>
        </w:trPr>
        <w:tc>
          <w:tcPr>
            <w:tcW w:w="3125"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14:paraId="4AF59B36" w14:textId="77777777" w:rsidR="004218BA" w:rsidRPr="002B3C80" w:rsidRDefault="004218BA" w:rsidP="004218BA">
            <w:pPr>
              <w:pStyle w:val="T1TableStyle"/>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Closing Balance</w:t>
            </w:r>
          </w:p>
        </w:tc>
        <w:tc>
          <w:tcPr>
            <w:tcW w:w="1730"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14:paraId="4B503A63" w14:textId="77777777" w:rsidR="004218BA" w:rsidRPr="002B3C80" w:rsidRDefault="004218BA" w:rsidP="004218BA">
            <w:pPr>
              <w:pStyle w:val="T1TableStyle"/>
              <w:jc w:val="right"/>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(110)</w:t>
            </w:r>
          </w:p>
        </w:tc>
        <w:tc>
          <w:tcPr>
            <w:tcW w:w="1730"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14:paraId="5FDCC4A6" w14:textId="77777777" w:rsidR="004218BA" w:rsidRPr="002B3C80" w:rsidRDefault="004218BA" w:rsidP="004218BA">
            <w:pPr>
              <w:pStyle w:val="T1TableStyle"/>
              <w:jc w:val="right"/>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(998)</w:t>
            </w:r>
          </w:p>
        </w:tc>
        <w:tc>
          <w:tcPr>
            <w:tcW w:w="2138"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14:paraId="33710898" w14:textId="77777777" w:rsidR="004218BA" w:rsidRPr="002B3C80" w:rsidRDefault="004218BA" w:rsidP="004218BA">
            <w:pPr>
              <w:pStyle w:val="T1TableStyle"/>
              <w:jc w:val="right"/>
              <w:rPr>
                <w:rFonts w:ascii="Verdana" w:eastAsia="Verdana" w:hAnsi="Verdana" w:cs="Verdana"/>
                <w:b/>
                <w:color w:val="000000"/>
                <w:sz w:val="16"/>
                <w:szCs w:val="22"/>
                <w:lang w:val="en-GB"/>
              </w:rPr>
            </w:pPr>
            <w:r w:rsidRPr="002B3C80">
              <w:rPr>
                <w:rFonts w:ascii="Verdana" w:eastAsia="Verdana" w:hAnsi="Verdana" w:cs="Verdana"/>
                <w:b/>
                <w:color w:val="000000"/>
                <w:sz w:val="16"/>
                <w:szCs w:val="22"/>
                <w:lang w:val="en-GB"/>
              </w:rPr>
              <w:t>(1,108)</w:t>
            </w:r>
          </w:p>
        </w:tc>
      </w:tr>
    </w:tbl>
    <w:p w14:paraId="0F03DC55" w14:textId="77777777" w:rsidR="00B935AA" w:rsidRPr="003516A4" w:rsidRDefault="00B935AA" w:rsidP="00660323">
      <w:pPr>
        <w:pStyle w:val="T1TableStyle"/>
        <w:rPr>
          <w:rFonts w:ascii="Verdana" w:eastAsia="Calibri" w:hAnsi="Verdana" w:cs="Arial"/>
          <w:sz w:val="22"/>
          <w:szCs w:val="22"/>
          <w:highlight w:val="yellow"/>
          <w:lang w:val="en-GB"/>
        </w:rPr>
      </w:pPr>
    </w:p>
    <w:p w14:paraId="222861E7" w14:textId="77777777" w:rsidR="00CA6653" w:rsidRPr="002B3C80" w:rsidRDefault="00CA6653" w:rsidP="00CA4917">
      <w:pPr>
        <w:pStyle w:val="T1TableStyle"/>
        <w:jc w:val="both"/>
        <w:rPr>
          <w:rFonts w:ascii="Verdana" w:hAnsi="Verdana"/>
          <w:sz w:val="22"/>
          <w:szCs w:val="22"/>
          <w:lang w:val="en-GB"/>
        </w:rPr>
      </w:pPr>
      <w:r w:rsidRPr="002B3C80">
        <w:rPr>
          <w:rFonts w:ascii="Verdana" w:eastAsia="Calibri" w:hAnsi="Verdana" w:cs="Arial"/>
          <w:sz w:val="22"/>
          <w:szCs w:val="22"/>
          <w:lang w:val="en-GB"/>
        </w:rPr>
        <w:t>Restructuring Provision</w:t>
      </w:r>
    </w:p>
    <w:p w14:paraId="0240972A" w14:textId="77777777" w:rsidR="00CA6653" w:rsidRPr="002B3C80" w:rsidRDefault="00CA6653" w:rsidP="00CA4917">
      <w:pPr>
        <w:pStyle w:val="Normal0"/>
        <w:spacing w:line="240" w:lineRule="auto"/>
        <w:jc w:val="both"/>
        <w:rPr>
          <w:rFonts w:ascii="Verdana" w:hAnsi="Verdana"/>
          <w:sz w:val="22"/>
          <w:szCs w:val="22"/>
          <w:lang w:val="en-GB"/>
        </w:rPr>
      </w:pPr>
    </w:p>
    <w:p w14:paraId="02F3DB3C" w14:textId="77777777" w:rsidR="00CA6653" w:rsidRPr="002B3C80" w:rsidRDefault="00CA6653" w:rsidP="00CA4917">
      <w:pPr>
        <w:pStyle w:val="Normal0"/>
        <w:spacing w:line="240" w:lineRule="auto"/>
        <w:jc w:val="both"/>
        <w:rPr>
          <w:rFonts w:ascii="Verdana" w:hAnsi="Verdana"/>
          <w:sz w:val="22"/>
          <w:szCs w:val="22"/>
          <w:lang w:val="en-GB"/>
        </w:rPr>
      </w:pPr>
      <w:r w:rsidRPr="002B3C80">
        <w:rPr>
          <w:rFonts w:ascii="Verdana" w:eastAsia="Calibri" w:hAnsi="Verdana" w:cs="Arial"/>
          <w:sz w:val="22"/>
          <w:szCs w:val="22"/>
          <w:lang w:val="en-GB"/>
        </w:rPr>
        <w:t>The restructuring provision has been created for restructuring costs in accordance with Strategic Change Programmes that had formal plans or supporting business cases as at the 31 March 20</w:t>
      </w:r>
      <w:r w:rsidR="002B3C80" w:rsidRPr="002B3C80">
        <w:rPr>
          <w:rFonts w:ascii="Verdana" w:eastAsia="Calibri" w:hAnsi="Verdana" w:cs="Arial"/>
          <w:sz w:val="22"/>
          <w:szCs w:val="22"/>
          <w:lang w:val="en-GB"/>
        </w:rPr>
        <w:t>21</w:t>
      </w:r>
      <w:r w:rsidRPr="002B3C80">
        <w:rPr>
          <w:rFonts w:ascii="Verdana" w:eastAsia="Calibri" w:hAnsi="Verdana" w:cs="Arial"/>
          <w:sz w:val="22"/>
          <w:szCs w:val="22"/>
          <w:lang w:val="en-GB"/>
        </w:rPr>
        <w:t>. These change programmes are either in the process of being implemented or will be implemented during 20</w:t>
      </w:r>
      <w:r w:rsidR="002B3C80" w:rsidRPr="002B3C80">
        <w:rPr>
          <w:rFonts w:ascii="Verdana" w:eastAsia="Calibri" w:hAnsi="Verdana" w:cs="Arial"/>
          <w:sz w:val="22"/>
          <w:szCs w:val="22"/>
          <w:lang w:val="en-GB"/>
        </w:rPr>
        <w:t>21/22</w:t>
      </w:r>
      <w:r w:rsidRPr="002B3C80">
        <w:rPr>
          <w:rFonts w:ascii="Verdana" w:eastAsia="Calibri" w:hAnsi="Verdana" w:cs="Arial"/>
          <w:sz w:val="22"/>
          <w:szCs w:val="22"/>
          <w:lang w:val="en-GB"/>
        </w:rPr>
        <w:t>. This provision is held in the Chief Constable's balance sheet and is shown here as part of the Group position.</w:t>
      </w:r>
    </w:p>
    <w:p w14:paraId="6BCEAA4B" w14:textId="5EEF5799" w:rsidR="00495838" w:rsidRPr="003516A4" w:rsidRDefault="00495838">
      <w:pPr>
        <w:rPr>
          <w:rFonts w:eastAsia="Calibri" w:cs="Arial"/>
          <w:highlight w:val="yellow"/>
          <w:lang w:val="en-GB"/>
        </w:rPr>
      </w:pPr>
    </w:p>
    <w:p w14:paraId="7267EA9E" w14:textId="77777777" w:rsidR="00CA6653" w:rsidRPr="002B3C80" w:rsidRDefault="00CA6653" w:rsidP="00CA4917">
      <w:pPr>
        <w:pStyle w:val="Normal0"/>
        <w:spacing w:line="240" w:lineRule="auto"/>
        <w:jc w:val="both"/>
        <w:rPr>
          <w:rFonts w:ascii="Verdana" w:hAnsi="Verdana"/>
          <w:sz w:val="22"/>
          <w:szCs w:val="22"/>
          <w:lang w:val="en-GB"/>
        </w:rPr>
      </w:pPr>
      <w:r w:rsidRPr="002B3C80">
        <w:rPr>
          <w:rFonts w:ascii="Verdana" w:eastAsia="Calibri" w:hAnsi="Verdana" w:cs="Arial"/>
          <w:sz w:val="22"/>
          <w:szCs w:val="22"/>
          <w:lang w:val="en-GB"/>
        </w:rPr>
        <w:t>Insurance Provision</w:t>
      </w:r>
    </w:p>
    <w:p w14:paraId="17A0947B" w14:textId="77777777" w:rsidR="00CA6653" w:rsidRPr="002B3C80" w:rsidRDefault="00CA6653" w:rsidP="00CA4917">
      <w:pPr>
        <w:pStyle w:val="Normal0"/>
        <w:spacing w:line="240" w:lineRule="auto"/>
        <w:jc w:val="both"/>
        <w:rPr>
          <w:rFonts w:ascii="Verdana" w:hAnsi="Verdana"/>
          <w:sz w:val="22"/>
          <w:szCs w:val="22"/>
          <w:lang w:val="en-GB"/>
        </w:rPr>
      </w:pPr>
    </w:p>
    <w:p w14:paraId="066CE783" w14:textId="77777777" w:rsidR="00CA6653" w:rsidRPr="002B3C80" w:rsidRDefault="00CA6653" w:rsidP="00CA4917">
      <w:pPr>
        <w:pStyle w:val="Normal0"/>
        <w:spacing w:line="240" w:lineRule="auto"/>
        <w:jc w:val="both"/>
        <w:rPr>
          <w:rFonts w:ascii="Verdana" w:hAnsi="Verdana"/>
          <w:sz w:val="22"/>
          <w:szCs w:val="22"/>
          <w:lang w:val="en-GB"/>
        </w:rPr>
      </w:pPr>
      <w:r w:rsidRPr="002B3C80">
        <w:rPr>
          <w:rFonts w:ascii="Verdana" w:eastAsia="Calibri" w:hAnsi="Verdana" w:cs="Arial"/>
          <w:sz w:val="22"/>
          <w:szCs w:val="22"/>
          <w:lang w:val="en-GB"/>
        </w:rPr>
        <w:t>The insurance provision is to cover the anticipated costs of reported claims as per the actuarial report produced by Marsh &amp; McLennan. This provision is held in the PCC's balance sheet and is shown here as part of the Group position.</w:t>
      </w:r>
    </w:p>
    <w:p w14:paraId="1AFA423E" w14:textId="77777777" w:rsidR="00CA6653" w:rsidRPr="003516A4" w:rsidRDefault="00CA6653" w:rsidP="00CA6653">
      <w:pPr>
        <w:pStyle w:val="Normal0"/>
        <w:spacing w:line="240" w:lineRule="auto"/>
        <w:rPr>
          <w:rFonts w:ascii="Verdana" w:hAnsi="Verdana"/>
          <w:sz w:val="22"/>
          <w:szCs w:val="22"/>
          <w:highlight w:val="yellow"/>
          <w:lang w:val="en-GB"/>
        </w:rPr>
      </w:pPr>
    </w:p>
    <w:p w14:paraId="0DCBFA1A" w14:textId="77777777" w:rsidR="00CA6653" w:rsidRPr="00980227" w:rsidRDefault="00502D6C" w:rsidP="00A31A9E">
      <w:pPr>
        <w:pStyle w:val="Heading1"/>
      </w:pPr>
      <w:bookmarkStart w:id="34" w:name="_Toc75122787"/>
      <w:r w:rsidRPr="00980227">
        <w:t>Note 19</w:t>
      </w:r>
      <w:r w:rsidR="00CA6653" w:rsidRPr="00980227">
        <w:t xml:space="preserve"> - Usable Reserves</w:t>
      </w:r>
      <w:bookmarkEnd w:id="34"/>
      <w:r w:rsidR="00CA6653" w:rsidRPr="00980227">
        <w:t xml:space="preserve"> </w:t>
      </w:r>
    </w:p>
    <w:p w14:paraId="6546660C" w14:textId="77777777" w:rsidR="00CA6653" w:rsidRPr="00980227" w:rsidRDefault="00CA6653">
      <w:pPr>
        <w:pStyle w:val="Normal0"/>
        <w:spacing w:after="160"/>
        <w:rPr>
          <w:rFonts w:ascii="Verdana" w:eastAsia="Verdana" w:hAnsi="Verdana" w:cs="Verdana"/>
          <w:sz w:val="22"/>
          <w:szCs w:val="22"/>
          <w:lang w:val="en-GB"/>
        </w:rPr>
      </w:pPr>
      <w:r w:rsidRPr="00980227">
        <w:rPr>
          <w:rFonts w:ascii="Verdana" w:eastAsia="Verdana" w:hAnsi="Verdana" w:cs="Verdana"/>
          <w:sz w:val="22"/>
          <w:szCs w:val="22"/>
          <w:lang w:val="en-GB"/>
        </w:rPr>
        <w:t>Movements in the Group’s usable reserves are detailed in the Movements in Reserves Statement. The balances are as follows:</w:t>
      </w:r>
    </w:p>
    <w:tbl>
      <w:tblPr>
        <w:tblW w:w="6804" w:type="dxa"/>
        <w:jc w:val="center"/>
        <w:tblLook w:val="04A0" w:firstRow="1" w:lastRow="0" w:firstColumn="1" w:lastColumn="0" w:noHBand="0" w:noVBand="1"/>
      </w:tblPr>
      <w:tblGrid>
        <w:gridCol w:w="1622"/>
        <w:gridCol w:w="2912"/>
        <w:gridCol w:w="2270"/>
      </w:tblGrid>
      <w:tr w:rsidR="00980227" w:rsidRPr="00980227" w14:paraId="2B51BF03" w14:textId="77777777" w:rsidTr="00B75010">
        <w:trPr>
          <w:trHeight w:val="59"/>
          <w:jc w:val="center"/>
        </w:trPr>
        <w:tc>
          <w:tcPr>
            <w:tcW w:w="1787" w:type="dxa"/>
            <w:tcBorders>
              <w:top w:val="nil"/>
              <w:left w:val="nil"/>
              <w:bottom w:val="nil"/>
              <w:right w:val="nil"/>
            </w:tcBorders>
            <w:shd w:val="clear" w:color="000000" w:fill="FFFFFF"/>
            <w:vAlign w:val="center"/>
            <w:hideMark/>
          </w:tcPr>
          <w:p w14:paraId="22EA6F41" w14:textId="04D8E1E3" w:rsidR="00980227" w:rsidRPr="00980227" w:rsidRDefault="00B75010" w:rsidP="00980227">
            <w:pPr>
              <w:rPr>
                <w:rFonts w:eastAsia="Times New Roman" w:cs="Calibri"/>
                <w:b/>
                <w:bCs/>
                <w:color w:val="000000"/>
                <w:sz w:val="16"/>
                <w:szCs w:val="16"/>
                <w:lang w:val="en-GB" w:eastAsia="en-GB"/>
              </w:rPr>
            </w:pPr>
            <w:r>
              <w:rPr>
                <w:rFonts w:eastAsia="Times New Roman" w:cs="Calibri"/>
                <w:b/>
                <w:bCs/>
                <w:color w:val="000000"/>
                <w:sz w:val="16"/>
                <w:szCs w:val="16"/>
                <w:lang w:val="en-GB" w:eastAsia="en-GB"/>
              </w:rPr>
              <w:t xml:space="preserve">   </w:t>
            </w:r>
            <w:r w:rsidR="00980227" w:rsidRPr="00980227">
              <w:rPr>
                <w:rFonts w:eastAsia="Times New Roman" w:cs="Calibri"/>
                <w:b/>
                <w:bCs/>
                <w:color w:val="000000"/>
                <w:sz w:val="16"/>
                <w:szCs w:val="16"/>
                <w:lang w:val="en-GB" w:eastAsia="en-GB"/>
              </w:rPr>
              <w:t>31 March 2020</w:t>
            </w:r>
          </w:p>
        </w:tc>
        <w:tc>
          <w:tcPr>
            <w:tcW w:w="3319" w:type="dxa"/>
            <w:tcBorders>
              <w:top w:val="nil"/>
              <w:left w:val="nil"/>
              <w:bottom w:val="nil"/>
              <w:right w:val="nil"/>
            </w:tcBorders>
            <w:shd w:val="clear" w:color="000000" w:fill="FFFFFF"/>
            <w:vAlign w:val="center"/>
            <w:hideMark/>
          </w:tcPr>
          <w:p w14:paraId="16BADEC4" w14:textId="259C1B94" w:rsidR="00980227" w:rsidRPr="00B75010" w:rsidRDefault="00B75010" w:rsidP="00B75010">
            <w:pPr>
              <w:jc w:val="center"/>
              <w:rPr>
                <w:rFonts w:eastAsia="Times New Roman" w:cs="Calibri"/>
                <w:b/>
                <w:bCs/>
                <w:color w:val="000000"/>
                <w:sz w:val="20"/>
                <w:szCs w:val="20"/>
                <w:lang w:val="en-GB" w:eastAsia="en-GB"/>
              </w:rPr>
            </w:pPr>
            <w:r w:rsidRPr="00B75010">
              <w:rPr>
                <w:rFonts w:eastAsia="Times New Roman" w:cs="Calibri"/>
                <w:b/>
                <w:bCs/>
                <w:color w:val="000000"/>
                <w:sz w:val="20"/>
                <w:szCs w:val="20"/>
                <w:lang w:val="en-GB" w:eastAsia="en-GB"/>
              </w:rPr>
              <w:t>Usable Reserves</w:t>
            </w:r>
          </w:p>
        </w:tc>
        <w:tc>
          <w:tcPr>
            <w:tcW w:w="1698" w:type="dxa"/>
            <w:tcBorders>
              <w:top w:val="nil"/>
              <w:left w:val="nil"/>
              <w:bottom w:val="nil"/>
              <w:right w:val="nil"/>
            </w:tcBorders>
            <w:shd w:val="clear" w:color="000000" w:fill="FFFFFF"/>
            <w:vAlign w:val="center"/>
            <w:hideMark/>
          </w:tcPr>
          <w:p w14:paraId="1A00C9FD" w14:textId="0F5E6270" w:rsidR="00980227" w:rsidRPr="00980227" w:rsidRDefault="00B75010" w:rsidP="00980227">
            <w:pPr>
              <w:rPr>
                <w:rFonts w:eastAsia="Times New Roman" w:cs="Calibri"/>
                <w:b/>
                <w:bCs/>
                <w:color w:val="000000"/>
                <w:sz w:val="16"/>
                <w:szCs w:val="16"/>
                <w:lang w:val="en-GB" w:eastAsia="en-GB"/>
              </w:rPr>
            </w:pPr>
            <w:r>
              <w:rPr>
                <w:rFonts w:eastAsia="Times New Roman" w:cs="Calibri"/>
                <w:b/>
                <w:bCs/>
                <w:color w:val="000000"/>
                <w:sz w:val="16"/>
                <w:szCs w:val="16"/>
                <w:lang w:val="en-GB" w:eastAsia="en-GB"/>
              </w:rPr>
              <w:t xml:space="preserve">  </w:t>
            </w:r>
            <w:r w:rsidR="00980227" w:rsidRPr="00980227">
              <w:rPr>
                <w:rFonts w:eastAsia="Times New Roman" w:cs="Calibri"/>
                <w:b/>
                <w:bCs/>
                <w:color w:val="000000"/>
                <w:sz w:val="16"/>
                <w:szCs w:val="16"/>
                <w:lang w:val="en-GB" w:eastAsia="en-GB"/>
              </w:rPr>
              <w:t>31 March 2021</w:t>
            </w:r>
          </w:p>
        </w:tc>
      </w:tr>
      <w:tr w:rsidR="00980227" w:rsidRPr="00980227" w14:paraId="0033F55A" w14:textId="77777777" w:rsidTr="00B75010">
        <w:trPr>
          <w:trHeight w:val="59"/>
          <w:jc w:val="center"/>
        </w:trPr>
        <w:tc>
          <w:tcPr>
            <w:tcW w:w="1787" w:type="dxa"/>
            <w:tcBorders>
              <w:top w:val="nil"/>
              <w:left w:val="nil"/>
              <w:bottom w:val="nil"/>
              <w:right w:val="nil"/>
            </w:tcBorders>
            <w:shd w:val="clear" w:color="000000" w:fill="FFFFFF"/>
            <w:vAlign w:val="center"/>
            <w:hideMark/>
          </w:tcPr>
          <w:p w14:paraId="7A19903B" w14:textId="77777777" w:rsidR="00980227" w:rsidRPr="00980227" w:rsidRDefault="00980227" w:rsidP="00980227">
            <w:pPr>
              <w:jc w:val="right"/>
              <w:rPr>
                <w:rFonts w:eastAsia="Times New Roman" w:cs="Calibri"/>
                <w:b/>
                <w:bCs/>
                <w:color w:val="000000"/>
                <w:sz w:val="16"/>
                <w:szCs w:val="16"/>
                <w:lang w:val="en-GB" w:eastAsia="en-GB"/>
              </w:rPr>
            </w:pPr>
            <w:r w:rsidRPr="00980227">
              <w:rPr>
                <w:rFonts w:eastAsia="Times New Roman" w:cs="Calibri"/>
                <w:b/>
                <w:bCs/>
                <w:color w:val="000000"/>
                <w:sz w:val="16"/>
                <w:szCs w:val="16"/>
                <w:lang w:val="en-GB" w:eastAsia="en-GB"/>
              </w:rPr>
              <w:t>£000</w:t>
            </w:r>
          </w:p>
        </w:tc>
        <w:tc>
          <w:tcPr>
            <w:tcW w:w="3319" w:type="dxa"/>
            <w:tcBorders>
              <w:top w:val="nil"/>
              <w:left w:val="nil"/>
              <w:bottom w:val="nil"/>
              <w:right w:val="nil"/>
            </w:tcBorders>
            <w:shd w:val="clear" w:color="000000" w:fill="FFFFFF"/>
            <w:vAlign w:val="center"/>
            <w:hideMark/>
          </w:tcPr>
          <w:p w14:paraId="41BF25D6" w14:textId="77777777" w:rsidR="00980227" w:rsidRPr="00980227" w:rsidRDefault="00980227" w:rsidP="00980227">
            <w:pPr>
              <w:rPr>
                <w:rFonts w:eastAsia="Times New Roman" w:cs="Calibri"/>
                <w:b/>
                <w:bCs/>
                <w:color w:val="000000"/>
                <w:sz w:val="16"/>
                <w:szCs w:val="16"/>
                <w:lang w:val="en-GB" w:eastAsia="en-GB"/>
              </w:rPr>
            </w:pPr>
            <w:r w:rsidRPr="00980227">
              <w:rPr>
                <w:rFonts w:eastAsia="Times New Roman" w:cs="Calibri"/>
                <w:b/>
                <w:bCs/>
                <w:color w:val="000000"/>
                <w:sz w:val="16"/>
                <w:szCs w:val="16"/>
                <w:lang w:val="en-GB" w:eastAsia="en-GB"/>
              </w:rPr>
              <w:t> </w:t>
            </w:r>
          </w:p>
        </w:tc>
        <w:tc>
          <w:tcPr>
            <w:tcW w:w="1698" w:type="dxa"/>
            <w:tcBorders>
              <w:top w:val="nil"/>
              <w:left w:val="nil"/>
              <w:bottom w:val="nil"/>
              <w:right w:val="nil"/>
            </w:tcBorders>
            <w:shd w:val="clear" w:color="000000" w:fill="FFFFFF"/>
            <w:vAlign w:val="center"/>
            <w:hideMark/>
          </w:tcPr>
          <w:p w14:paraId="5D1B6D10" w14:textId="77777777" w:rsidR="00980227" w:rsidRPr="00980227" w:rsidRDefault="00980227" w:rsidP="00980227">
            <w:pPr>
              <w:jc w:val="right"/>
              <w:rPr>
                <w:rFonts w:eastAsia="Times New Roman" w:cs="Calibri"/>
                <w:b/>
                <w:bCs/>
                <w:color w:val="000000"/>
                <w:sz w:val="16"/>
                <w:szCs w:val="16"/>
                <w:lang w:val="en-GB" w:eastAsia="en-GB"/>
              </w:rPr>
            </w:pPr>
            <w:r w:rsidRPr="00980227">
              <w:rPr>
                <w:rFonts w:eastAsia="Times New Roman" w:cs="Calibri"/>
                <w:b/>
                <w:bCs/>
                <w:color w:val="000000"/>
                <w:sz w:val="16"/>
                <w:szCs w:val="16"/>
                <w:lang w:val="en-GB" w:eastAsia="en-GB"/>
              </w:rPr>
              <w:t>£000</w:t>
            </w:r>
          </w:p>
        </w:tc>
      </w:tr>
      <w:tr w:rsidR="00980227" w:rsidRPr="00C242D0" w14:paraId="23FD7D89" w14:textId="77777777" w:rsidTr="00B75010">
        <w:trPr>
          <w:trHeight w:val="289"/>
          <w:jc w:val="center"/>
        </w:trPr>
        <w:tc>
          <w:tcPr>
            <w:tcW w:w="1787" w:type="dxa"/>
            <w:tcBorders>
              <w:top w:val="single" w:sz="4" w:space="0" w:color="auto"/>
              <w:left w:val="nil"/>
              <w:bottom w:val="nil"/>
              <w:right w:val="nil"/>
            </w:tcBorders>
            <w:shd w:val="clear" w:color="000000" w:fill="FFFFFF"/>
            <w:vAlign w:val="center"/>
            <w:hideMark/>
          </w:tcPr>
          <w:p w14:paraId="64583ECE" w14:textId="77777777" w:rsidR="00980227" w:rsidRPr="00980227" w:rsidRDefault="00980227" w:rsidP="00980227">
            <w:pPr>
              <w:jc w:val="right"/>
              <w:rPr>
                <w:rFonts w:eastAsia="Times New Roman" w:cs="Calibri"/>
                <w:color w:val="000000"/>
                <w:sz w:val="16"/>
                <w:szCs w:val="16"/>
                <w:lang w:val="en-GB" w:eastAsia="en-GB"/>
              </w:rPr>
            </w:pPr>
            <w:r w:rsidRPr="00980227">
              <w:rPr>
                <w:rFonts w:eastAsia="Times New Roman" w:cs="Calibri"/>
                <w:color w:val="000000"/>
                <w:sz w:val="16"/>
                <w:szCs w:val="16"/>
                <w:lang w:val="en-GB" w:eastAsia="en-GB"/>
              </w:rPr>
              <w:t>(8,120)</w:t>
            </w:r>
          </w:p>
        </w:tc>
        <w:tc>
          <w:tcPr>
            <w:tcW w:w="3319" w:type="dxa"/>
            <w:tcBorders>
              <w:top w:val="single" w:sz="4" w:space="0" w:color="auto"/>
              <w:left w:val="nil"/>
              <w:bottom w:val="nil"/>
              <w:right w:val="nil"/>
            </w:tcBorders>
            <w:shd w:val="clear" w:color="000000" w:fill="FFFFFF"/>
            <w:vAlign w:val="center"/>
            <w:hideMark/>
          </w:tcPr>
          <w:p w14:paraId="286E5F1F" w14:textId="77777777" w:rsidR="00980227" w:rsidRPr="00980227" w:rsidRDefault="00980227" w:rsidP="00980227">
            <w:pPr>
              <w:ind w:firstLineChars="200" w:firstLine="320"/>
              <w:rPr>
                <w:rFonts w:eastAsia="Times New Roman" w:cs="Calibri"/>
                <w:color w:val="000000"/>
                <w:sz w:val="16"/>
                <w:szCs w:val="16"/>
                <w:lang w:val="en-GB" w:eastAsia="en-GB"/>
              </w:rPr>
            </w:pPr>
            <w:r w:rsidRPr="00980227">
              <w:rPr>
                <w:rFonts w:eastAsia="Times New Roman" w:cs="Calibri"/>
                <w:color w:val="000000"/>
                <w:sz w:val="16"/>
                <w:szCs w:val="16"/>
                <w:lang w:val="en-GB" w:eastAsia="en-GB"/>
              </w:rPr>
              <w:t>General Fund Balance</w:t>
            </w:r>
          </w:p>
        </w:tc>
        <w:tc>
          <w:tcPr>
            <w:tcW w:w="1698" w:type="dxa"/>
            <w:tcBorders>
              <w:top w:val="single" w:sz="4" w:space="0" w:color="auto"/>
              <w:left w:val="nil"/>
              <w:bottom w:val="nil"/>
              <w:right w:val="nil"/>
            </w:tcBorders>
            <w:shd w:val="clear" w:color="000000" w:fill="FFFFFF"/>
            <w:vAlign w:val="center"/>
            <w:hideMark/>
          </w:tcPr>
          <w:p w14:paraId="2D43FAE9" w14:textId="01E89161" w:rsidR="00980227" w:rsidRPr="00C242D0" w:rsidRDefault="00B75010">
            <w:pPr>
              <w:jc w:val="right"/>
              <w:rPr>
                <w:rFonts w:eastAsia="Times New Roman" w:cs="Calibri"/>
                <w:color w:val="000000"/>
                <w:sz w:val="16"/>
                <w:szCs w:val="16"/>
                <w:lang w:val="en-GB" w:eastAsia="en-GB"/>
              </w:rPr>
            </w:pPr>
            <w:r w:rsidRPr="008C46D4">
              <w:rPr>
                <w:rFonts w:eastAsia="Times New Roman" w:cs="Calibri"/>
                <w:color w:val="000000"/>
                <w:sz w:val="16"/>
                <w:szCs w:val="16"/>
                <w:lang w:val="en-GB" w:eastAsia="en-GB"/>
              </w:rPr>
              <w:t>(</w:t>
            </w:r>
            <w:r w:rsidR="008C3196">
              <w:rPr>
                <w:rFonts w:eastAsia="Times New Roman" w:cs="Calibri"/>
                <w:color w:val="000000"/>
                <w:sz w:val="16"/>
                <w:szCs w:val="16"/>
                <w:lang w:val="en-GB" w:eastAsia="en-GB"/>
              </w:rPr>
              <w:t>8,327</w:t>
            </w:r>
            <w:r w:rsidR="00980227" w:rsidRPr="00C242D0">
              <w:rPr>
                <w:rFonts w:eastAsia="Times New Roman" w:cs="Calibri"/>
                <w:color w:val="000000"/>
                <w:sz w:val="16"/>
                <w:szCs w:val="16"/>
                <w:lang w:val="en-GB" w:eastAsia="en-GB"/>
              </w:rPr>
              <w:t>)</w:t>
            </w:r>
          </w:p>
        </w:tc>
      </w:tr>
      <w:tr w:rsidR="00980227" w:rsidRPr="00980227" w14:paraId="182FE80F" w14:textId="77777777" w:rsidTr="00B75010">
        <w:trPr>
          <w:trHeight w:val="289"/>
          <w:jc w:val="center"/>
        </w:trPr>
        <w:tc>
          <w:tcPr>
            <w:tcW w:w="1787" w:type="dxa"/>
            <w:tcBorders>
              <w:top w:val="nil"/>
              <w:left w:val="nil"/>
              <w:bottom w:val="nil"/>
              <w:right w:val="nil"/>
            </w:tcBorders>
            <w:shd w:val="clear" w:color="000000" w:fill="FFFFFF"/>
            <w:vAlign w:val="center"/>
            <w:hideMark/>
          </w:tcPr>
          <w:p w14:paraId="4EC5AFC9" w14:textId="77777777" w:rsidR="00980227" w:rsidRPr="00980227" w:rsidRDefault="00980227" w:rsidP="00980227">
            <w:pPr>
              <w:jc w:val="right"/>
              <w:rPr>
                <w:rFonts w:eastAsia="Times New Roman" w:cs="Calibri"/>
                <w:color w:val="000000"/>
                <w:sz w:val="16"/>
                <w:szCs w:val="16"/>
                <w:lang w:val="en-GB" w:eastAsia="en-GB"/>
              </w:rPr>
            </w:pPr>
            <w:r w:rsidRPr="00980227">
              <w:rPr>
                <w:rFonts w:eastAsia="Times New Roman" w:cs="Calibri"/>
                <w:color w:val="000000"/>
                <w:sz w:val="16"/>
                <w:szCs w:val="16"/>
                <w:lang w:val="en-GB" w:eastAsia="en-GB"/>
              </w:rPr>
              <w:t>(11,381)</w:t>
            </w:r>
          </w:p>
        </w:tc>
        <w:tc>
          <w:tcPr>
            <w:tcW w:w="3319" w:type="dxa"/>
            <w:tcBorders>
              <w:top w:val="nil"/>
              <w:left w:val="nil"/>
              <w:bottom w:val="nil"/>
              <w:right w:val="nil"/>
            </w:tcBorders>
            <w:shd w:val="clear" w:color="000000" w:fill="FFFFFF"/>
            <w:vAlign w:val="center"/>
            <w:hideMark/>
          </w:tcPr>
          <w:p w14:paraId="437DBB07" w14:textId="77777777" w:rsidR="008C3196" w:rsidRDefault="00980227" w:rsidP="00980227">
            <w:pPr>
              <w:ind w:firstLineChars="200" w:firstLine="320"/>
              <w:rPr>
                <w:rFonts w:eastAsia="Times New Roman" w:cs="Calibri"/>
                <w:color w:val="000000"/>
                <w:sz w:val="16"/>
                <w:szCs w:val="16"/>
                <w:lang w:val="en-GB" w:eastAsia="en-GB"/>
              </w:rPr>
            </w:pPr>
            <w:r w:rsidRPr="00980227">
              <w:rPr>
                <w:rFonts w:eastAsia="Times New Roman" w:cs="Calibri"/>
                <w:color w:val="000000"/>
                <w:sz w:val="16"/>
                <w:szCs w:val="16"/>
                <w:lang w:val="en-GB" w:eastAsia="en-GB"/>
              </w:rPr>
              <w:t xml:space="preserve">Earmarked General Fund </w:t>
            </w:r>
            <w:r w:rsidR="008C3196">
              <w:rPr>
                <w:rFonts w:eastAsia="Times New Roman" w:cs="Calibri"/>
                <w:color w:val="000000"/>
                <w:sz w:val="16"/>
                <w:szCs w:val="16"/>
                <w:lang w:val="en-GB" w:eastAsia="en-GB"/>
              </w:rPr>
              <w:t xml:space="preserve">  </w:t>
            </w:r>
          </w:p>
          <w:p w14:paraId="10F582A5" w14:textId="00FB4B20" w:rsidR="00980227" w:rsidRPr="00980227" w:rsidRDefault="00980227" w:rsidP="00980227">
            <w:pPr>
              <w:ind w:firstLineChars="200" w:firstLine="320"/>
              <w:rPr>
                <w:rFonts w:eastAsia="Times New Roman" w:cs="Calibri"/>
                <w:color w:val="000000"/>
                <w:sz w:val="16"/>
                <w:szCs w:val="16"/>
                <w:lang w:val="en-GB" w:eastAsia="en-GB"/>
              </w:rPr>
            </w:pPr>
            <w:r w:rsidRPr="00980227">
              <w:rPr>
                <w:rFonts w:eastAsia="Times New Roman" w:cs="Calibri"/>
                <w:color w:val="000000"/>
                <w:sz w:val="16"/>
                <w:szCs w:val="16"/>
                <w:lang w:val="en-GB" w:eastAsia="en-GB"/>
              </w:rPr>
              <w:t>Balance</w:t>
            </w:r>
          </w:p>
        </w:tc>
        <w:tc>
          <w:tcPr>
            <w:tcW w:w="1698" w:type="dxa"/>
            <w:tcBorders>
              <w:top w:val="nil"/>
              <w:left w:val="nil"/>
              <w:bottom w:val="nil"/>
              <w:right w:val="nil"/>
            </w:tcBorders>
            <w:shd w:val="clear" w:color="000000" w:fill="FFFFFF"/>
            <w:vAlign w:val="center"/>
            <w:hideMark/>
          </w:tcPr>
          <w:p w14:paraId="35A1B880" w14:textId="7FCE40DB" w:rsidR="00980227" w:rsidRPr="00980227" w:rsidRDefault="00B75010" w:rsidP="00980227">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(11,437</w:t>
            </w:r>
            <w:r w:rsidR="00980227" w:rsidRPr="00980227">
              <w:rPr>
                <w:rFonts w:eastAsia="Times New Roman" w:cs="Calibri"/>
                <w:color w:val="000000"/>
                <w:sz w:val="16"/>
                <w:szCs w:val="16"/>
                <w:lang w:val="en-GB" w:eastAsia="en-GB"/>
              </w:rPr>
              <w:t>)</w:t>
            </w:r>
          </w:p>
        </w:tc>
      </w:tr>
      <w:tr w:rsidR="00980227" w:rsidRPr="00980227" w14:paraId="2BC4293C" w14:textId="77777777" w:rsidTr="00B75010">
        <w:trPr>
          <w:trHeight w:val="289"/>
          <w:jc w:val="center"/>
        </w:trPr>
        <w:tc>
          <w:tcPr>
            <w:tcW w:w="1787" w:type="dxa"/>
            <w:tcBorders>
              <w:top w:val="nil"/>
              <w:left w:val="nil"/>
              <w:bottom w:val="nil"/>
              <w:right w:val="nil"/>
            </w:tcBorders>
            <w:shd w:val="clear" w:color="000000" w:fill="FFFFFF"/>
            <w:vAlign w:val="center"/>
            <w:hideMark/>
          </w:tcPr>
          <w:p w14:paraId="00E64DF6" w14:textId="497CE26C" w:rsidR="00980227" w:rsidRPr="00980227" w:rsidRDefault="00980227" w:rsidP="00980227">
            <w:pPr>
              <w:jc w:val="right"/>
              <w:rPr>
                <w:rFonts w:eastAsia="Times New Roman" w:cs="Calibri"/>
                <w:color w:val="000000"/>
                <w:sz w:val="16"/>
                <w:szCs w:val="16"/>
                <w:lang w:val="en-GB" w:eastAsia="en-GB"/>
              </w:rPr>
            </w:pPr>
            <w:r w:rsidRPr="00980227">
              <w:rPr>
                <w:rFonts w:eastAsia="Times New Roman" w:cs="Calibri"/>
                <w:color w:val="000000"/>
                <w:sz w:val="16"/>
                <w:szCs w:val="16"/>
                <w:lang w:val="en-GB" w:eastAsia="en-GB"/>
              </w:rPr>
              <w:t>(197)</w:t>
            </w:r>
          </w:p>
        </w:tc>
        <w:tc>
          <w:tcPr>
            <w:tcW w:w="3319" w:type="dxa"/>
            <w:tcBorders>
              <w:top w:val="nil"/>
              <w:left w:val="nil"/>
              <w:bottom w:val="nil"/>
              <w:right w:val="nil"/>
            </w:tcBorders>
            <w:shd w:val="clear" w:color="000000" w:fill="FFFFFF"/>
            <w:vAlign w:val="center"/>
            <w:hideMark/>
          </w:tcPr>
          <w:p w14:paraId="1E4986EC" w14:textId="77777777" w:rsidR="00980227" w:rsidRPr="00980227" w:rsidRDefault="00980227" w:rsidP="00980227">
            <w:pPr>
              <w:ind w:firstLineChars="200" w:firstLine="320"/>
              <w:rPr>
                <w:rFonts w:eastAsia="Times New Roman" w:cs="Calibri"/>
                <w:color w:val="000000"/>
                <w:sz w:val="16"/>
                <w:szCs w:val="16"/>
                <w:lang w:val="en-GB" w:eastAsia="en-GB"/>
              </w:rPr>
            </w:pPr>
            <w:r w:rsidRPr="00980227">
              <w:rPr>
                <w:rFonts w:eastAsia="Times New Roman" w:cs="Calibri"/>
                <w:color w:val="000000"/>
                <w:sz w:val="16"/>
                <w:szCs w:val="16"/>
                <w:lang w:val="en-GB" w:eastAsia="en-GB"/>
              </w:rPr>
              <w:t>Capital Receipts Reserve</w:t>
            </w:r>
          </w:p>
        </w:tc>
        <w:tc>
          <w:tcPr>
            <w:tcW w:w="1698" w:type="dxa"/>
            <w:tcBorders>
              <w:top w:val="nil"/>
              <w:left w:val="nil"/>
              <w:bottom w:val="nil"/>
              <w:right w:val="nil"/>
            </w:tcBorders>
            <w:shd w:val="clear" w:color="000000" w:fill="FFFFFF"/>
            <w:vAlign w:val="center"/>
            <w:hideMark/>
          </w:tcPr>
          <w:p w14:paraId="05C9DA30" w14:textId="77777777" w:rsidR="00980227" w:rsidRPr="00980227" w:rsidRDefault="00980227" w:rsidP="00980227">
            <w:pPr>
              <w:jc w:val="right"/>
              <w:rPr>
                <w:rFonts w:eastAsia="Times New Roman" w:cs="Calibri"/>
                <w:color w:val="000000"/>
                <w:sz w:val="16"/>
                <w:szCs w:val="16"/>
                <w:lang w:val="en-GB" w:eastAsia="en-GB"/>
              </w:rPr>
            </w:pPr>
            <w:r w:rsidRPr="00980227">
              <w:rPr>
                <w:rFonts w:eastAsia="Times New Roman" w:cs="Calibri"/>
                <w:color w:val="000000"/>
                <w:sz w:val="16"/>
                <w:szCs w:val="16"/>
                <w:lang w:val="en-GB" w:eastAsia="en-GB"/>
              </w:rPr>
              <w:t>0</w:t>
            </w:r>
          </w:p>
        </w:tc>
      </w:tr>
      <w:tr w:rsidR="00980227" w:rsidRPr="00980227" w14:paraId="5780DB91" w14:textId="77777777" w:rsidTr="00B75010">
        <w:trPr>
          <w:trHeight w:val="289"/>
          <w:jc w:val="center"/>
        </w:trPr>
        <w:tc>
          <w:tcPr>
            <w:tcW w:w="1787" w:type="dxa"/>
            <w:tcBorders>
              <w:top w:val="nil"/>
              <w:left w:val="nil"/>
              <w:bottom w:val="single" w:sz="8" w:space="0" w:color="auto"/>
              <w:right w:val="nil"/>
            </w:tcBorders>
            <w:shd w:val="clear" w:color="000000" w:fill="FFFFFF"/>
            <w:vAlign w:val="center"/>
            <w:hideMark/>
          </w:tcPr>
          <w:p w14:paraId="1F6EB110" w14:textId="77777777" w:rsidR="00980227" w:rsidRPr="00980227" w:rsidRDefault="00980227" w:rsidP="00980227">
            <w:pPr>
              <w:jc w:val="right"/>
              <w:rPr>
                <w:rFonts w:eastAsia="Times New Roman" w:cs="Calibri"/>
                <w:color w:val="000000"/>
                <w:sz w:val="16"/>
                <w:szCs w:val="16"/>
                <w:lang w:val="en-GB" w:eastAsia="en-GB"/>
              </w:rPr>
            </w:pPr>
            <w:r w:rsidRPr="00980227">
              <w:rPr>
                <w:rFonts w:eastAsia="Times New Roman" w:cs="Calibri"/>
                <w:color w:val="000000"/>
                <w:sz w:val="16"/>
                <w:szCs w:val="16"/>
                <w:lang w:val="en-GB" w:eastAsia="en-GB"/>
              </w:rPr>
              <w:t>(2,946)</w:t>
            </w:r>
          </w:p>
        </w:tc>
        <w:tc>
          <w:tcPr>
            <w:tcW w:w="3319" w:type="dxa"/>
            <w:tcBorders>
              <w:top w:val="nil"/>
              <w:left w:val="nil"/>
              <w:bottom w:val="single" w:sz="8" w:space="0" w:color="auto"/>
              <w:right w:val="nil"/>
            </w:tcBorders>
            <w:shd w:val="clear" w:color="000000" w:fill="FFFFFF"/>
            <w:vAlign w:val="center"/>
            <w:hideMark/>
          </w:tcPr>
          <w:p w14:paraId="748B6EDD" w14:textId="77777777" w:rsidR="00980227" w:rsidRPr="00980227" w:rsidRDefault="00980227" w:rsidP="00980227">
            <w:pPr>
              <w:ind w:firstLineChars="200" w:firstLine="320"/>
              <w:rPr>
                <w:rFonts w:eastAsia="Times New Roman" w:cs="Calibri"/>
                <w:color w:val="000000"/>
                <w:sz w:val="16"/>
                <w:szCs w:val="16"/>
                <w:lang w:val="en-GB" w:eastAsia="en-GB"/>
              </w:rPr>
            </w:pPr>
            <w:r w:rsidRPr="00980227">
              <w:rPr>
                <w:rFonts w:eastAsia="Times New Roman" w:cs="Calibri"/>
                <w:color w:val="000000"/>
                <w:sz w:val="16"/>
                <w:szCs w:val="16"/>
                <w:lang w:val="en-GB" w:eastAsia="en-GB"/>
              </w:rPr>
              <w:t>Capital Grants Unapplied</w:t>
            </w:r>
          </w:p>
        </w:tc>
        <w:tc>
          <w:tcPr>
            <w:tcW w:w="1698" w:type="dxa"/>
            <w:tcBorders>
              <w:top w:val="nil"/>
              <w:left w:val="nil"/>
              <w:bottom w:val="single" w:sz="8" w:space="0" w:color="auto"/>
              <w:right w:val="nil"/>
            </w:tcBorders>
            <w:shd w:val="clear" w:color="000000" w:fill="FFFFFF"/>
            <w:vAlign w:val="center"/>
            <w:hideMark/>
          </w:tcPr>
          <w:p w14:paraId="242917C0" w14:textId="60CCC0F4" w:rsidR="00980227" w:rsidRPr="00980227" w:rsidRDefault="00980227">
            <w:pPr>
              <w:jc w:val="right"/>
              <w:rPr>
                <w:rFonts w:eastAsia="Times New Roman" w:cs="Calibri"/>
                <w:color w:val="000000"/>
                <w:sz w:val="16"/>
                <w:szCs w:val="16"/>
                <w:lang w:val="en-GB" w:eastAsia="en-GB"/>
              </w:rPr>
            </w:pPr>
            <w:r w:rsidRPr="00980227">
              <w:rPr>
                <w:rFonts w:eastAsia="Times New Roman" w:cs="Calibri"/>
                <w:color w:val="000000"/>
                <w:sz w:val="16"/>
                <w:szCs w:val="16"/>
                <w:lang w:val="en-GB" w:eastAsia="en-GB"/>
              </w:rPr>
              <w:t>(1,</w:t>
            </w:r>
            <w:r w:rsidR="00C803BA">
              <w:rPr>
                <w:rFonts w:eastAsia="Times New Roman" w:cs="Calibri"/>
                <w:color w:val="000000"/>
                <w:sz w:val="16"/>
                <w:szCs w:val="16"/>
                <w:lang w:val="en-GB" w:eastAsia="en-GB"/>
              </w:rPr>
              <w:t>863</w:t>
            </w:r>
            <w:r w:rsidRPr="00980227">
              <w:rPr>
                <w:rFonts w:eastAsia="Times New Roman" w:cs="Calibri"/>
                <w:color w:val="000000"/>
                <w:sz w:val="16"/>
                <w:szCs w:val="16"/>
                <w:lang w:val="en-GB" w:eastAsia="en-GB"/>
              </w:rPr>
              <w:t>)</w:t>
            </w:r>
          </w:p>
        </w:tc>
      </w:tr>
      <w:tr w:rsidR="00980227" w:rsidRPr="00980227" w14:paraId="03B75A37" w14:textId="77777777" w:rsidTr="00B75010">
        <w:trPr>
          <w:trHeight w:val="289"/>
          <w:jc w:val="center"/>
        </w:trPr>
        <w:tc>
          <w:tcPr>
            <w:tcW w:w="1787" w:type="dxa"/>
            <w:tcBorders>
              <w:top w:val="nil"/>
              <w:left w:val="nil"/>
              <w:bottom w:val="single" w:sz="12" w:space="0" w:color="auto"/>
              <w:right w:val="nil"/>
            </w:tcBorders>
            <w:shd w:val="clear" w:color="000000" w:fill="FFFFFF"/>
            <w:vAlign w:val="center"/>
            <w:hideMark/>
          </w:tcPr>
          <w:p w14:paraId="05743A12" w14:textId="77777777" w:rsidR="00980227" w:rsidRPr="00980227" w:rsidRDefault="00980227" w:rsidP="00980227">
            <w:pPr>
              <w:jc w:val="right"/>
              <w:rPr>
                <w:rFonts w:eastAsia="Times New Roman" w:cs="Calibri"/>
                <w:b/>
                <w:bCs/>
                <w:color w:val="000000"/>
                <w:sz w:val="16"/>
                <w:szCs w:val="16"/>
                <w:lang w:val="en-GB" w:eastAsia="en-GB"/>
              </w:rPr>
            </w:pPr>
            <w:r w:rsidRPr="00980227">
              <w:rPr>
                <w:rFonts w:eastAsia="Times New Roman" w:cs="Calibri"/>
                <w:b/>
                <w:bCs/>
                <w:color w:val="000000"/>
                <w:sz w:val="16"/>
                <w:szCs w:val="16"/>
                <w:lang w:val="en-GB" w:eastAsia="en-GB"/>
              </w:rPr>
              <w:t>(22,644)</w:t>
            </w:r>
          </w:p>
        </w:tc>
        <w:tc>
          <w:tcPr>
            <w:tcW w:w="3319" w:type="dxa"/>
            <w:tcBorders>
              <w:top w:val="nil"/>
              <w:left w:val="nil"/>
              <w:bottom w:val="single" w:sz="12" w:space="0" w:color="auto"/>
              <w:right w:val="nil"/>
            </w:tcBorders>
            <w:shd w:val="clear" w:color="000000" w:fill="FFFFFF"/>
            <w:vAlign w:val="center"/>
            <w:hideMark/>
          </w:tcPr>
          <w:p w14:paraId="56E489B2" w14:textId="70DACC1D" w:rsidR="00980227" w:rsidRPr="00980227" w:rsidRDefault="00980227" w:rsidP="00980227">
            <w:pPr>
              <w:ind w:firstLineChars="200" w:firstLine="321"/>
              <w:rPr>
                <w:rFonts w:eastAsia="Times New Roman" w:cs="Calibri"/>
                <w:b/>
                <w:bCs/>
                <w:color w:val="000000"/>
                <w:sz w:val="16"/>
                <w:szCs w:val="16"/>
                <w:lang w:val="en-GB" w:eastAsia="en-GB"/>
              </w:rPr>
            </w:pPr>
            <w:r w:rsidRPr="00980227">
              <w:rPr>
                <w:rFonts w:eastAsia="Times New Roman" w:cs="Calibri"/>
                <w:b/>
                <w:bCs/>
                <w:color w:val="000000"/>
                <w:sz w:val="16"/>
                <w:szCs w:val="16"/>
                <w:lang w:val="en-GB" w:eastAsia="en-GB"/>
              </w:rPr>
              <w:t>Total</w:t>
            </w:r>
            <w:r w:rsidR="00B75010">
              <w:rPr>
                <w:rFonts w:eastAsia="Times New Roman" w:cs="Calibri"/>
                <w:b/>
                <w:bCs/>
                <w:color w:val="000000"/>
                <w:sz w:val="16"/>
                <w:szCs w:val="16"/>
                <w:lang w:val="en-GB" w:eastAsia="en-GB"/>
              </w:rPr>
              <w:t xml:space="preserve"> Usable Reserves</w:t>
            </w:r>
          </w:p>
        </w:tc>
        <w:tc>
          <w:tcPr>
            <w:tcW w:w="1698" w:type="dxa"/>
            <w:tcBorders>
              <w:top w:val="nil"/>
              <w:left w:val="nil"/>
              <w:bottom w:val="single" w:sz="12" w:space="0" w:color="auto"/>
              <w:right w:val="nil"/>
            </w:tcBorders>
            <w:shd w:val="clear" w:color="000000" w:fill="FFFFFF"/>
            <w:vAlign w:val="center"/>
            <w:hideMark/>
          </w:tcPr>
          <w:p w14:paraId="1883649B" w14:textId="1D4807CF" w:rsidR="00980227" w:rsidRPr="00980227" w:rsidRDefault="00980227">
            <w:pPr>
              <w:jc w:val="right"/>
              <w:rPr>
                <w:rFonts w:eastAsia="Times New Roman" w:cs="Calibri"/>
                <w:b/>
                <w:bCs/>
                <w:color w:val="000000"/>
                <w:sz w:val="16"/>
                <w:szCs w:val="16"/>
                <w:lang w:val="en-GB" w:eastAsia="en-GB"/>
              </w:rPr>
            </w:pPr>
            <w:r w:rsidRPr="00980227">
              <w:rPr>
                <w:rFonts w:eastAsia="Times New Roman" w:cs="Calibri"/>
                <w:b/>
                <w:bCs/>
                <w:color w:val="000000"/>
                <w:sz w:val="16"/>
                <w:szCs w:val="16"/>
                <w:lang w:val="en-GB" w:eastAsia="en-GB"/>
              </w:rPr>
              <w:t>(</w:t>
            </w:r>
            <w:r w:rsidR="008C3196">
              <w:rPr>
                <w:rFonts w:eastAsia="Times New Roman" w:cs="Calibri"/>
                <w:b/>
                <w:bCs/>
                <w:color w:val="000000"/>
                <w:sz w:val="16"/>
                <w:szCs w:val="16"/>
                <w:lang w:val="en-GB" w:eastAsia="en-GB"/>
              </w:rPr>
              <w:t>21,627</w:t>
            </w:r>
            <w:r w:rsidRPr="00980227">
              <w:rPr>
                <w:rFonts w:eastAsia="Times New Roman" w:cs="Calibri"/>
                <w:b/>
                <w:bCs/>
                <w:color w:val="000000"/>
                <w:sz w:val="16"/>
                <w:szCs w:val="16"/>
                <w:lang w:val="en-GB" w:eastAsia="en-GB"/>
              </w:rPr>
              <w:t>)</w:t>
            </w:r>
          </w:p>
        </w:tc>
      </w:tr>
    </w:tbl>
    <w:p w14:paraId="2C0CA388" w14:textId="77777777" w:rsidR="00980227" w:rsidRPr="00770470" w:rsidRDefault="00980227" w:rsidP="00980227">
      <w:pPr>
        <w:pStyle w:val="Normal0"/>
        <w:spacing w:after="160"/>
        <w:jc w:val="center"/>
        <w:rPr>
          <w:rFonts w:ascii="Verdana" w:eastAsia="Verdana" w:hAnsi="Verdana" w:cs="Verdana"/>
          <w:sz w:val="10"/>
          <w:szCs w:val="10"/>
          <w:highlight w:val="yellow"/>
          <w:lang w:val="en-GB"/>
        </w:rPr>
      </w:pPr>
    </w:p>
    <w:tbl>
      <w:tblPr>
        <w:tblW w:w="0" w:type="auto"/>
        <w:jc w:val="center"/>
        <w:tblLayout w:type="fixed"/>
        <w:tblLook w:val="04A0" w:firstRow="1" w:lastRow="0" w:firstColumn="1" w:lastColumn="0" w:noHBand="0" w:noVBand="1"/>
      </w:tblPr>
      <w:tblGrid>
        <w:gridCol w:w="1833"/>
        <w:gridCol w:w="182"/>
        <w:gridCol w:w="3284"/>
        <w:gridCol w:w="1643"/>
      </w:tblGrid>
      <w:tr w:rsidR="004D417B" w:rsidRPr="00532D33" w14:paraId="797ED047" w14:textId="77777777" w:rsidTr="00B75010">
        <w:trPr>
          <w:trHeight w:val="431"/>
          <w:jc w:val="center"/>
        </w:trPr>
        <w:tc>
          <w:tcPr>
            <w:tcW w:w="1833" w:type="dxa"/>
            <w:shd w:val="clear" w:color="auto" w:fill="auto"/>
            <w:tcMar>
              <w:top w:w="20" w:type="dxa"/>
              <w:left w:w="20" w:type="dxa"/>
              <w:bottom w:w="20" w:type="dxa"/>
              <w:right w:w="20" w:type="dxa"/>
            </w:tcMar>
            <w:vAlign w:val="center"/>
          </w:tcPr>
          <w:p w14:paraId="55D9D7FB" w14:textId="77777777" w:rsidR="00CA6653" w:rsidRPr="00532D33" w:rsidRDefault="00CA6653" w:rsidP="00836ACB">
            <w:pPr>
              <w:pStyle w:val="T1TableStyle"/>
              <w:jc w:val="center"/>
              <w:rPr>
                <w:rFonts w:ascii="Verdana" w:eastAsia="Verdana" w:hAnsi="Verdana" w:cs="Verdana"/>
                <w:b/>
                <w:color w:val="000000"/>
                <w:sz w:val="16"/>
                <w:lang w:val="en-GB"/>
              </w:rPr>
            </w:pPr>
            <w:r w:rsidRPr="00532D33">
              <w:rPr>
                <w:rFonts w:ascii="Verdana" w:eastAsia="Verdana" w:hAnsi="Verdana" w:cs="Verdana"/>
                <w:b/>
                <w:color w:val="000000"/>
                <w:sz w:val="16"/>
                <w:lang w:val="en-GB"/>
              </w:rPr>
              <w:t>31 March 20</w:t>
            </w:r>
            <w:r w:rsidR="00836ACB" w:rsidRPr="00532D33">
              <w:rPr>
                <w:rFonts w:ascii="Verdana" w:eastAsia="Verdana" w:hAnsi="Verdana" w:cs="Verdana"/>
                <w:b/>
                <w:color w:val="000000"/>
                <w:sz w:val="16"/>
                <w:lang w:val="en-GB"/>
              </w:rPr>
              <w:t>20</w:t>
            </w:r>
          </w:p>
        </w:tc>
        <w:tc>
          <w:tcPr>
            <w:tcW w:w="182" w:type="dxa"/>
            <w:shd w:val="clear" w:color="auto" w:fill="auto"/>
            <w:tcMar>
              <w:top w:w="20" w:type="dxa"/>
              <w:left w:w="20" w:type="dxa"/>
              <w:bottom w:w="20" w:type="dxa"/>
              <w:right w:w="20" w:type="dxa"/>
            </w:tcMar>
            <w:vAlign w:val="center"/>
          </w:tcPr>
          <w:p w14:paraId="213F9BD7" w14:textId="77777777" w:rsidR="00CA6653" w:rsidRPr="00532D33" w:rsidRDefault="00CA6653">
            <w:pPr>
              <w:pStyle w:val="T1TableStyle"/>
              <w:jc w:val="center"/>
              <w:rPr>
                <w:rFonts w:ascii="Verdana" w:eastAsia="Verdana" w:hAnsi="Verdana" w:cs="Verdana"/>
                <w:b/>
                <w:color w:val="000000"/>
                <w:sz w:val="2"/>
                <w:lang w:val="en-GB"/>
              </w:rPr>
            </w:pPr>
            <w:r w:rsidRPr="00532D33">
              <w:rPr>
                <w:rFonts w:ascii="Verdana" w:eastAsia="Verdana" w:hAnsi="Verdana" w:cs="Verdana"/>
                <w:b/>
                <w:color w:val="000000"/>
                <w:sz w:val="2"/>
                <w:lang w:val="en-GB"/>
              </w:rPr>
              <w:t xml:space="preserve"> </w:t>
            </w:r>
          </w:p>
        </w:tc>
        <w:tc>
          <w:tcPr>
            <w:tcW w:w="3284" w:type="dxa"/>
            <w:shd w:val="clear" w:color="auto" w:fill="auto"/>
            <w:tcMar>
              <w:top w:w="20" w:type="dxa"/>
              <w:left w:w="20" w:type="dxa"/>
              <w:bottom w:w="20" w:type="dxa"/>
              <w:right w:w="20" w:type="dxa"/>
            </w:tcMar>
            <w:vAlign w:val="center"/>
          </w:tcPr>
          <w:p w14:paraId="204A50E9" w14:textId="3FDD393D" w:rsidR="00CA6653" w:rsidRPr="00B75010" w:rsidRDefault="00B75010" w:rsidP="00B75010">
            <w:pPr>
              <w:pStyle w:val="T1TableStyle"/>
              <w:rPr>
                <w:rFonts w:ascii="Verdana" w:eastAsia="Verdana" w:hAnsi="Verdana" w:cs="Verdana"/>
                <w:b/>
                <w:color w:val="000000"/>
                <w:lang w:val="en-GB"/>
              </w:rPr>
            </w:pPr>
            <w:r w:rsidRPr="00B75010">
              <w:rPr>
                <w:rFonts w:ascii="Verdana" w:eastAsia="Verdana" w:hAnsi="Verdana" w:cs="Verdana"/>
                <w:b/>
                <w:color w:val="000000"/>
                <w:lang w:val="en-GB"/>
              </w:rPr>
              <w:t>Capital Receipts Reserve</w:t>
            </w:r>
          </w:p>
        </w:tc>
        <w:tc>
          <w:tcPr>
            <w:tcW w:w="1643" w:type="dxa"/>
            <w:shd w:val="clear" w:color="auto" w:fill="auto"/>
            <w:tcMar>
              <w:top w:w="20" w:type="dxa"/>
              <w:left w:w="20" w:type="dxa"/>
              <w:bottom w:w="20" w:type="dxa"/>
              <w:right w:w="20" w:type="dxa"/>
            </w:tcMar>
            <w:vAlign w:val="center"/>
          </w:tcPr>
          <w:p w14:paraId="5E0ED143" w14:textId="77777777" w:rsidR="00CA6653" w:rsidRPr="00532D33" w:rsidRDefault="00CA6653" w:rsidP="00836ACB">
            <w:pPr>
              <w:pStyle w:val="T1TableStyle"/>
              <w:jc w:val="center"/>
              <w:rPr>
                <w:rFonts w:ascii="Verdana" w:eastAsia="Verdana" w:hAnsi="Verdana" w:cs="Verdana"/>
                <w:b/>
                <w:color w:val="000000"/>
                <w:sz w:val="16"/>
                <w:lang w:val="en-GB"/>
              </w:rPr>
            </w:pPr>
            <w:r w:rsidRPr="00532D33">
              <w:rPr>
                <w:rFonts w:ascii="Verdana" w:eastAsia="Verdana" w:hAnsi="Verdana" w:cs="Verdana"/>
                <w:b/>
                <w:color w:val="000000"/>
                <w:sz w:val="16"/>
                <w:lang w:val="en-GB"/>
              </w:rPr>
              <w:t>31 March 202</w:t>
            </w:r>
            <w:r w:rsidR="00836ACB" w:rsidRPr="00532D33">
              <w:rPr>
                <w:rFonts w:ascii="Verdana" w:eastAsia="Verdana" w:hAnsi="Verdana" w:cs="Verdana"/>
                <w:b/>
                <w:color w:val="000000"/>
                <w:sz w:val="16"/>
                <w:lang w:val="en-GB"/>
              </w:rPr>
              <w:t>1</w:t>
            </w:r>
          </w:p>
        </w:tc>
      </w:tr>
      <w:tr w:rsidR="004D417B" w:rsidRPr="00532D33" w14:paraId="7672E21E" w14:textId="77777777" w:rsidTr="00B75010">
        <w:trPr>
          <w:trHeight w:val="253"/>
          <w:jc w:val="center"/>
        </w:trPr>
        <w:tc>
          <w:tcPr>
            <w:tcW w:w="1833" w:type="dxa"/>
            <w:tcBorders>
              <w:bottom w:val="single" w:sz="2" w:space="0" w:color="000000"/>
            </w:tcBorders>
            <w:shd w:val="clear" w:color="auto" w:fill="auto"/>
            <w:tcMar>
              <w:top w:w="20" w:type="dxa"/>
              <w:left w:w="20" w:type="dxa"/>
              <w:bottom w:w="20" w:type="dxa"/>
              <w:right w:w="20" w:type="dxa"/>
            </w:tcMar>
          </w:tcPr>
          <w:p w14:paraId="110924F0" w14:textId="77777777" w:rsidR="00CA6653" w:rsidRPr="00532D33" w:rsidRDefault="00CA6653">
            <w:pPr>
              <w:pStyle w:val="T1TableStyle"/>
              <w:jc w:val="right"/>
              <w:rPr>
                <w:rFonts w:ascii="Verdana" w:eastAsia="Verdana" w:hAnsi="Verdana" w:cs="Verdana"/>
                <w:b/>
                <w:color w:val="000000"/>
                <w:sz w:val="16"/>
                <w:lang w:val="en-GB"/>
              </w:rPr>
            </w:pPr>
            <w:r w:rsidRPr="00532D33">
              <w:rPr>
                <w:rFonts w:ascii="Verdana" w:eastAsia="Verdana" w:hAnsi="Verdana" w:cs="Verdana"/>
                <w:b/>
                <w:color w:val="000000"/>
                <w:sz w:val="16"/>
                <w:lang w:val="en-GB"/>
              </w:rPr>
              <w:t>£000</w:t>
            </w:r>
          </w:p>
        </w:tc>
        <w:tc>
          <w:tcPr>
            <w:tcW w:w="182" w:type="dxa"/>
            <w:tcBorders>
              <w:bottom w:val="single" w:sz="2" w:space="0" w:color="000000"/>
            </w:tcBorders>
            <w:shd w:val="clear" w:color="auto" w:fill="auto"/>
            <w:tcMar>
              <w:top w:w="20" w:type="dxa"/>
              <w:left w:w="20" w:type="dxa"/>
              <w:bottom w:w="20" w:type="dxa"/>
              <w:right w:w="20" w:type="dxa"/>
            </w:tcMar>
          </w:tcPr>
          <w:p w14:paraId="26DAC974" w14:textId="77777777" w:rsidR="00CA6653" w:rsidRPr="00532D33" w:rsidRDefault="00CA6653">
            <w:pPr>
              <w:pStyle w:val="T1TableStyle"/>
              <w:jc w:val="right"/>
              <w:rPr>
                <w:rFonts w:ascii="Verdana" w:eastAsia="Verdana" w:hAnsi="Verdana" w:cs="Verdana"/>
                <w:b/>
                <w:color w:val="000000"/>
                <w:sz w:val="2"/>
                <w:lang w:val="en-GB"/>
              </w:rPr>
            </w:pPr>
            <w:r w:rsidRPr="00532D33">
              <w:rPr>
                <w:rFonts w:ascii="Verdana" w:eastAsia="Verdana" w:hAnsi="Verdana" w:cs="Verdana"/>
                <w:b/>
                <w:color w:val="000000"/>
                <w:sz w:val="2"/>
                <w:lang w:val="en-GB"/>
              </w:rPr>
              <w:t xml:space="preserve"> </w:t>
            </w:r>
          </w:p>
        </w:tc>
        <w:tc>
          <w:tcPr>
            <w:tcW w:w="3284" w:type="dxa"/>
            <w:tcBorders>
              <w:bottom w:val="single" w:sz="2" w:space="0" w:color="000000"/>
            </w:tcBorders>
            <w:shd w:val="clear" w:color="auto" w:fill="auto"/>
            <w:tcMar>
              <w:top w:w="20" w:type="dxa"/>
              <w:left w:w="20" w:type="dxa"/>
              <w:bottom w:w="20" w:type="dxa"/>
              <w:right w:w="20" w:type="dxa"/>
            </w:tcMar>
          </w:tcPr>
          <w:p w14:paraId="326F3ECF" w14:textId="77777777" w:rsidR="00CA6653" w:rsidRPr="00532D33" w:rsidRDefault="00CA6653">
            <w:pPr>
              <w:pStyle w:val="T1TableStyle"/>
              <w:jc w:val="right"/>
              <w:rPr>
                <w:rFonts w:ascii="Verdana" w:eastAsia="Verdana" w:hAnsi="Verdana" w:cs="Verdana"/>
                <w:b/>
                <w:color w:val="000000"/>
                <w:sz w:val="2"/>
                <w:lang w:val="en-GB"/>
              </w:rPr>
            </w:pPr>
            <w:r w:rsidRPr="00532D33">
              <w:rPr>
                <w:rFonts w:ascii="Verdana" w:eastAsia="Verdana" w:hAnsi="Verdana" w:cs="Verdana"/>
                <w:b/>
                <w:color w:val="000000"/>
                <w:sz w:val="2"/>
                <w:lang w:val="en-GB"/>
              </w:rPr>
              <w:t xml:space="preserve"> </w:t>
            </w:r>
          </w:p>
        </w:tc>
        <w:tc>
          <w:tcPr>
            <w:tcW w:w="1643" w:type="dxa"/>
            <w:tcBorders>
              <w:bottom w:val="single" w:sz="2" w:space="0" w:color="000000"/>
            </w:tcBorders>
            <w:shd w:val="clear" w:color="auto" w:fill="auto"/>
            <w:tcMar>
              <w:top w:w="20" w:type="dxa"/>
              <w:left w:w="20" w:type="dxa"/>
              <w:bottom w:w="20" w:type="dxa"/>
              <w:right w:w="20" w:type="dxa"/>
            </w:tcMar>
          </w:tcPr>
          <w:p w14:paraId="70C9529A" w14:textId="77777777" w:rsidR="00CA6653" w:rsidRPr="00532D33" w:rsidRDefault="00CA6653">
            <w:pPr>
              <w:pStyle w:val="T1TableStyle"/>
              <w:jc w:val="right"/>
              <w:rPr>
                <w:rFonts w:ascii="Verdana" w:eastAsia="Verdana" w:hAnsi="Verdana" w:cs="Verdana"/>
                <w:b/>
                <w:color w:val="000000"/>
                <w:sz w:val="16"/>
                <w:lang w:val="en-GB"/>
              </w:rPr>
            </w:pPr>
            <w:r w:rsidRPr="00532D33">
              <w:rPr>
                <w:rFonts w:ascii="Verdana" w:eastAsia="Verdana" w:hAnsi="Verdana" w:cs="Verdana"/>
                <w:b/>
                <w:color w:val="000000"/>
                <w:sz w:val="16"/>
                <w:lang w:val="en-GB"/>
              </w:rPr>
              <w:t>£000</w:t>
            </w:r>
          </w:p>
        </w:tc>
      </w:tr>
      <w:tr w:rsidR="00836ACB" w:rsidRPr="00532D33" w14:paraId="05297040" w14:textId="77777777" w:rsidTr="00B75010">
        <w:trPr>
          <w:trHeight w:val="253"/>
          <w:jc w:val="center"/>
        </w:trPr>
        <w:tc>
          <w:tcPr>
            <w:tcW w:w="1833" w:type="dxa"/>
            <w:shd w:val="clear" w:color="auto" w:fill="auto"/>
            <w:tcMar>
              <w:top w:w="20" w:type="dxa"/>
              <w:left w:w="20" w:type="dxa"/>
              <w:bottom w:w="20" w:type="dxa"/>
              <w:right w:w="20" w:type="dxa"/>
            </w:tcMar>
          </w:tcPr>
          <w:p w14:paraId="305982A0" w14:textId="77777777" w:rsidR="00836ACB" w:rsidRPr="00532D33" w:rsidRDefault="00836ACB" w:rsidP="00836ACB">
            <w:pPr>
              <w:pStyle w:val="T1TableStyle"/>
              <w:jc w:val="right"/>
              <w:rPr>
                <w:rFonts w:ascii="Verdana" w:eastAsia="Verdana" w:hAnsi="Verdana" w:cs="Verdana"/>
                <w:color w:val="000000"/>
                <w:sz w:val="16"/>
                <w:lang w:val="en-GB"/>
              </w:rPr>
            </w:pPr>
            <w:r w:rsidRPr="00532D33">
              <w:rPr>
                <w:rFonts w:ascii="Verdana" w:eastAsia="Verdana" w:hAnsi="Verdana" w:cs="Verdana"/>
                <w:color w:val="000000"/>
                <w:sz w:val="16"/>
                <w:lang w:val="en-GB"/>
              </w:rPr>
              <w:t>(3,996)</w:t>
            </w:r>
          </w:p>
        </w:tc>
        <w:tc>
          <w:tcPr>
            <w:tcW w:w="182" w:type="dxa"/>
            <w:shd w:val="clear" w:color="auto" w:fill="auto"/>
            <w:tcMar>
              <w:top w:w="20" w:type="dxa"/>
              <w:left w:w="20" w:type="dxa"/>
              <w:bottom w:w="20" w:type="dxa"/>
              <w:right w:w="20" w:type="dxa"/>
            </w:tcMar>
          </w:tcPr>
          <w:p w14:paraId="74F4F2FD" w14:textId="77777777" w:rsidR="00836ACB" w:rsidRPr="00532D33" w:rsidRDefault="00836ACB" w:rsidP="00836ACB">
            <w:pPr>
              <w:pStyle w:val="T1TableStyle"/>
              <w:jc w:val="center"/>
              <w:rPr>
                <w:rFonts w:ascii="Verdana" w:eastAsia="Verdana" w:hAnsi="Verdana" w:cs="Verdana"/>
                <w:color w:val="000000"/>
                <w:sz w:val="2"/>
                <w:lang w:val="en-GB"/>
              </w:rPr>
            </w:pPr>
            <w:r w:rsidRPr="00532D33">
              <w:rPr>
                <w:rFonts w:ascii="Verdana" w:eastAsia="Verdana" w:hAnsi="Verdana" w:cs="Verdana"/>
                <w:color w:val="000000"/>
                <w:sz w:val="2"/>
                <w:lang w:val="en-GB"/>
              </w:rPr>
              <w:t xml:space="preserve"> </w:t>
            </w:r>
          </w:p>
        </w:tc>
        <w:tc>
          <w:tcPr>
            <w:tcW w:w="3284" w:type="dxa"/>
            <w:shd w:val="clear" w:color="auto" w:fill="auto"/>
            <w:tcMar>
              <w:top w:w="20" w:type="dxa"/>
              <w:left w:w="20" w:type="dxa"/>
              <w:bottom w:w="20" w:type="dxa"/>
              <w:right w:w="20" w:type="dxa"/>
            </w:tcMar>
          </w:tcPr>
          <w:p w14:paraId="741ABCF5" w14:textId="77777777" w:rsidR="00836ACB" w:rsidRPr="00532D33" w:rsidRDefault="00836ACB" w:rsidP="00836ACB">
            <w:pPr>
              <w:pStyle w:val="T1TableStyle"/>
              <w:rPr>
                <w:rFonts w:ascii="Verdana" w:eastAsia="Verdana" w:hAnsi="Verdana" w:cs="Verdana"/>
                <w:color w:val="000000"/>
                <w:sz w:val="16"/>
                <w:lang w:val="en-GB"/>
              </w:rPr>
            </w:pPr>
            <w:r w:rsidRPr="00532D33">
              <w:rPr>
                <w:rFonts w:ascii="Verdana" w:eastAsia="Verdana" w:hAnsi="Verdana" w:cs="Verdana"/>
                <w:color w:val="000000"/>
                <w:sz w:val="16"/>
                <w:lang w:val="en-GB"/>
              </w:rPr>
              <w:t xml:space="preserve">Balance 1 April </w:t>
            </w:r>
          </w:p>
        </w:tc>
        <w:tc>
          <w:tcPr>
            <w:tcW w:w="1643" w:type="dxa"/>
            <w:shd w:val="clear" w:color="auto" w:fill="auto"/>
            <w:tcMar>
              <w:top w:w="20" w:type="dxa"/>
              <w:left w:w="20" w:type="dxa"/>
              <w:bottom w:w="20" w:type="dxa"/>
              <w:right w:w="20" w:type="dxa"/>
            </w:tcMar>
          </w:tcPr>
          <w:p w14:paraId="40CFF652" w14:textId="77777777" w:rsidR="00836ACB" w:rsidRPr="00532D33" w:rsidRDefault="00504688" w:rsidP="00836ACB">
            <w:pPr>
              <w:pStyle w:val="T1TableStyle"/>
              <w:jc w:val="right"/>
              <w:rPr>
                <w:rFonts w:ascii="Verdana" w:eastAsia="Verdana" w:hAnsi="Verdana" w:cs="Verdana"/>
                <w:color w:val="000000"/>
                <w:sz w:val="16"/>
                <w:lang w:val="en-GB"/>
              </w:rPr>
            </w:pPr>
            <w:r w:rsidRPr="00532D33">
              <w:rPr>
                <w:rFonts w:ascii="Verdana" w:eastAsia="Verdana" w:hAnsi="Verdana" w:cs="Verdana"/>
                <w:color w:val="000000"/>
                <w:sz w:val="16"/>
                <w:lang w:val="en-GB"/>
              </w:rPr>
              <w:t>(197)</w:t>
            </w:r>
          </w:p>
        </w:tc>
      </w:tr>
      <w:tr w:rsidR="00836ACB" w:rsidRPr="00532D33" w14:paraId="7FBC90C2" w14:textId="77777777" w:rsidTr="00B75010">
        <w:trPr>
          <w:trHeight w:val="253"/>
          <w:jc w:val="center"/>
        </w:trPr>
        <w:tc>
          <w:tcPr>
            <w:tcW w:w="1833" w:type="dxa"/>
            <w:shd w:val="clear" w:color="auto" w:fill="auto"/>
            <w:tcMar>
              <w:top w:w="20" w:type="dxa"/>
              <w:left w:w="20" w:type="dxa"/>
              <w:bottom w:w="20" w:type="dxa"/>
              <w:right w:w="20" w:type="dxa"/>
            </w:tcMar>
          </w:tcPr>
          <w:p w14:paraId="21C3ED2A" w14:textId="77777777" w:rsidR="00836ACB" w:rsidRPr="00532D33" w:rsidRDefault="00836ACB" w:rsidP="00836ACB">
            <w:pPr>
              <w:pStyle w:val="T1TableStyle"/>
              <w:jc w:val="right"/>
              <w:rPr>
                <w:rFonts w:ascii="Verdana" w:eastAsia="Verdana" w:hAnsi="Verdana" w:cs="Verdana"/>
                <w:color w:val="000000"/>
                <w:sz w:val="16"/>
                <w:lang w:val="en-GB"/>
              </w:rPr>
            </w:pPr>
            <w:r w:rsidRPr="00532D33">
              <w:rPr>
                <w:rFonts w:ascii="Verdana" w:eastAsia="Verdana" w:hAnsi="Verdana" w:cs="Verdana"/>
                <w:color w:val="000000"/>
                <w:sz w:val="16"/>
                <w:lang w:val="en-GB"/>
              </w:rPr>
              <w:t>(467)</w:t>
            </w:r>
          </w:p>
        </w:tc>
        <w:tc>
          <w:tcPr>
            <w:tcW w:w="182" w:type="dxa"/>
            <w:shd w:val="clear" w:color="auto" w:fill="auto"/>
            <w:tcMar>
              <w:top w:w="20" w:type="dxa"/>
              <w:left w:w="20" w:type="dxa"/>
              <w:bottom w:w="20" w:type="dxa"/>
              <w:right w:w="20" w:type="dxa"/>
            </w:tcMar>
          </w:tcPr>
          <w:p w14:paraId="746E3AA6" w14:textId="77777777" w:rsidR="00836ACB" w:rsidRPr="00532D33" w:rsidRDefault="00836ACB" w:rsidP="00836ACB">
            <w:pPr>
              <w:pStyle w:val="T1TableStyle"/>
              <w:jc w:val="center"/>
              <w:rPr>
                <w:rFonts w:ascii="Verdana" w:eastAsia="Verdana" w:hAnsi="Verdana" w:cs="Verdana"/>
                <w:color w:val="000000"/>
                <w:sz w:val="2"/>
                <w:lang w:val="en-GB"/>
              </w:rPr>
            </w:pPr>
            <w:r w:rsidRPr="00532D33">
              <w:rPr>
                <w:rFonts w:ascii="Verdana" w:eastAsia="Verdana" w:hAnsi="Verdana" w:cs="Verdana"/>
                <w:color w:val="000000"/>
                <w:sz w:val="2"/>
                <w:lang w:val="en-GB"/>
              </w:rPr>
              <w:t xml:space="preserve"> </w:t>
            </w:r>
          </w:p>
        </w:tc>
        <w:tc>
          <w:tcPr>
            <w:tcW w:w="3284" w:type="dxa"/>
            <w:shd w:val="clear" w:color="auto" w:fill="auto"/>
            <w:tcMar>
              <w:top w:w="20" w:type="dxa"/>
              <w:left w:w="20" w:type="dxa"/>
              <w:bottom w:w="20" w:type="dxa"/>
              <w:right w:w="20" w:type="dxa"/>
            </w:tcMar>
          </w:tcPr>
          <w:p w14:paraId="43CCDCB4" w14:textId="77777777" w:rsidR="00836ACB" w:rsidRPr="00532D33" w:rsidRDefault="00836ACB" w:rsidP="00836ACB">
            <w:pPr>
              <w:pStyle w:val="T1TableStyle"/>
              <w:rPr>
                <w:rFonts w:ascii="Verdana" w:eastAsia="Verdana" w:hAnsi="Verdana" w:cs="Verdana"/>
                <w:color w:val="000000"/>
                <w:sz w:val="16"/>
                <w:lang w:val="en-GB"/>
              </w:rPr>
            </w:pPr>
            <w:r w:rsidRPr="00532D33">
              <w:rPr>
                <w:rFonts w:ascii="Verdana" w:eastAsia="Verdana" w:hAnsi="Verdana" w:cs="Verdana"/>
                <w:color w:val="000000"/>
                <w:sz w:val="16"/>
                <w:lang w:val="en-GB"/>
              </w:rPr>
              <w:t xml:space="preserve">Capital Receipts in year </w:t>
            </w:r>
          </w:p>
        </w:tc>
        <w:tc>
          <w:tcPr>
            <w:tcW w:w="1643" w:type="dxa"/>
            <w:shd w:val="clear" w:color="auto" w:fill="auto"/>
            <w:tcMar>
              <w:top w:w="20" w:type="dxa"/>
              <w:left w:w="20" w:type="dxa"/>
              <w:bottom w:w="20" w:type="dxa"/>
              <w:right w:w="20" w:type="dxa"/>
            </w:tcMar>
          </w:tcPr>
          <w:p w14:paraId="253BBC89" w14:textId="77777777" w:rsidR="00836ACB" w:rsidRPr="00532D33" w:rsidRDefault="00532D33" w:rsidP="00836ACB">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(3,378</w:t>
            </w:r>
            <w:r w:rsidRPr="00532D33">
              <w:rPr>
                <w:rFonts w:ascii="Verdana" w:eastAsia="Verdana" w:hAnsi="Verdana" w:cs="Verdana"/>
                <w:color w:val="000000"/>
                <w:sz w:val="16"/>
                <w:lang w:val="en-GB"/>
              </w:rPr>
              <w:t>)</w:t>
            </w:r>
          </w:p>
        </w:tc>
      </w:tr>
      <w:tr w:rsidR="00836ACB" w:rsidRPr="00532D33" w14:paraId="6E1C181C" w14:textId="77777777" w:rsidTr="00B75010">
        <w:trPr>
          <w:trHeight w:val="253"/>
          <w:jc w:val="center"/>
        </w:trPr>
        <w:tc>
          <w:tcPr>
            <w:tcW w:w="1833" w:type="dxa"/>
            <w:shd w:val="clear" w:color="auto" w:fill="auto"/>
            <w:tcMar>
              <w:top w:w="20" w:type="dxa"/>
              <w:left w:w="20" w:type="dxa"/>
              <w:bottom w:w="20" w:type="dxa"/>
              <w:right w:w="20" w:type="dxa"/>
            </w:tcMar>
          </w:tcPr>
          <w:p w14:paraId="000A5D23" w14:textId="77777777" w:rsidR="00836ACB" w:rsidRPr="00532D33" w:rsidRDefault="00836ACB" w:rsidP="00836ACB">
            <w:pPr>
              <w:pStyle w:val="T1TableStyle"/>
              <w:jc w:val="right"/>
              <w:rPr>
                <w:rFonts w:ascii="Verdana" w:eastAsia="Verdana" w:hAnsi="Verdana" w:cs="Verdana"/>
                <w:color w:val="000000"/>
                <w:sz w:val="16"/>
                <w:lang w:val="en-GB"/>
              </w:rPr>
            </w:pPr>
            <w:r w:rsidRPr="00532D33">
              <w:rPr>
                <w:rFonts w:ascii="Verdana" w:eastAsia="Verdana" w:hAnsi="Verdana" w:cs="Verdana"/>
                <w:color w:val="000000"/>
                <w:sz w:val="16"/>
                <w:lang w:val="en-GB"/>
              </w:rPr>
              <w:t>4,266</w:t>
            </w:r>
          </w:p>
        </w:tc>
        <w:tc>
          <w:tcPr>
            <w:tcW w:w="182" w:type="dxa"/>
            <w:shd w:val="clear" w:color="auto" w:fill="auto"/>
            <w:tcMar>
              <w:top w:w="20" w:type="dxa"/>
              <w:left w:w="20" w:type="dxa"/>
              <w:bottom w:w="20" w:type="dxa"/>
              <w:right w:w="20" w:type="dxa"/>
            </w:tcMar>
          </w:tcPr>
          <w:p w14:paraId="28A3C888" w14:textId="77777777" w:rsidR="00836ACB" w:rsidRPr="00532D33" w:rsidRDefault="00836ACB" w:rsidP="00836ACB">
            <w:pPr>
              <w:pStyle w:val="T1TableStyle"/>
              <w:jc w:val="center"/>
              <w:rPr>
                <w:rFonts w:ascii="Verdana" w:eastAsia="Verdana" w:hAnsi="Verdana" w:cs="Verdana"/>
                <w:color w:val="000000"/>
                <w:sz w:val="2"/>
                <w:lang w:val="en-GB"/>
              </w:rPr>
            </w:pPr>
            <w:r w:rsidRPr="00532D33">
              <w:rPr>
                <w:rFonts w:ascii="Verdana" w:eastAsia="Verdana" w:hAnsi="Verdana" w:cs="Verdana"/>
                <w:color w:val="000000"/>
                <w:sz w:val="2"/>
                <w:lang w:val="en-GB"/>
              </w:rPr>
              <w:t xml:space="preserve"> </w:t>
            </w:r>
          </w:p>
        </w:tc>
        <w:tc>
          <w:tcPr>
            <w:tcW w:w="3284" w:type="dxa"/>
            <w:shd w:val="clear" w:color="auto" w:fill="auto"/>
            <w:tcMar>
              <w:top w:w="20" w:type="dxa"/>
              <w:left w:w="20" w:type="dxa"/>
              <w:bottom w:w="20" w:type="dxa"/>
              <w:right w:w="20" w:type="dxa"/>
            </w:tcMar>
          </w:tcPr>
          <w:p w14:paraId="2E50C175" w14:textId="77777777" w:rsidR="00836ACB" w:rsidRPr="00532D33" w:rsidRDefault="00836ACB" w:rsidP="00836ACB">
            <w:pPr>
              <w:pStyle w:val="T1TableStyle"/>
              <w:rPr>
                <w:rFonts w:ascii="Verdana" w:eastAsia="Verdana" w:hAnsi="Verdana" w:cs="Verdana"/>
                <w:color w:val="000000"/>
                <w:sz w:val="16"/>
                <w:lang w:val="en-GB"/>
              </w:rPr>
            </w:pPr>
            <w:r w:rsidRPr="00532D33">
              <w:rPr>
                <w:rFonts w:ascii="Verdana" w:eastAsia="Verdana" w:hAnsi="Verdana" w:cs="Verdana"/>
                <w:color w:val="000000"/>
                <w:sz w:val="16"/>
                <w:lang w:val="en-GB"/>
              </w:rPr>
              <w:t xml:space="preserve">Capital Receipts used for financing </w:t>
            </w:r>
          </w:p>
        </w:tc>
        <w:tc>
          <w:tcPr>
            <w:tcW w:w="1643" w:type="dxa"/>
            <w:shd w:val="clear" w:color="auto" w:fill="auto"/>
            <w:tcMar>
              <w:top w:w="20" w:type="dxa"/>
              <w:left w:w="20" w:type="dxa"/>
              <w:bottom w:w="20" w:type="dxa"/>
              <w:right w:w="20" w:type="dxa"/>
            </w:tcMar>
          </w:tcPr>
          <w:p w14:paraId="6B1A6185" w14:textId="77777777" w:rsidR="00836ACB" w:rsidRPr="00532D33" w:rsidRDefault="00532D33" w:rsidP="00836ACB">
            <w:pPr>
              <w:pStyle w:val="T1TableStyle"/>
              <w:jc w:val="right"/>
              <w:rPr>
                <w:rFonts w:ascii="Verdana" w:eastAsia="Verdana" w:hAnsi="Verdana" w:cs="Verdana"/>
                <w:color w:val="000000"/>
                <w:sz w:val="16"/>
                <w:lang w:val="en-GB"/>
              </w:rPr>
            </w:pPr>
            <w:r w:rsidRPr="00532D33">
              <w:rPr>
                <w:rFonts w:ascii="Verdana" w:eastAsia="Verdana" w:hAnsi="Verdana" w:cs="Verdana"/>
                <w:color w:val="000000"/>
                <w:sz w:val="16"/>
                <w:lang w:val="en-GB"/>
              </w:rPr>
              <w:t>3,575</w:t>
            </w:r>
          </w:p>
        </w:tc>
      </w:tr>
      <w:tr w:rsidR="00836ACB" w:rsidRPr="00532D33" w14:paraId="1AA28A92" w14:textId="77777777" w:rsidTr="00B75010">
        <w:trPr>
          <w:trHeight w:val="266"/>
          <w:jc w:val="center"/>
        </w:trPr>
        <w:tc>
          <w:tcPr>
            <w:tcW w:w="1833" w:type="dxa"/>
            <w:tcBorders>
              <w:top w:val="single" w:sz="2" w:space="0" w:color="000000"/>
              <w:bottom w:val="single" w:sz="12" w:space="0" w:color="000000"/>
            </w:tcBorders>
            <w:shd w:val="clear" w:color="auto" w:fill="auto"/>
            <w:tcMar>
              <w:top w:w="20" w:type="dxa"/>
              <w:left w:w="20" w:type="dxa"/>
              <w:bottom w:w="20" w:type="dxa"/>
              <w:right w:w="20" w:type="dxa"/>
            </w:tcMar>
          </w:tcPr>
          <w:p w14:paraId="46D5E07C" w14:textId="77777777" w:rsidR="00836ACB" w:rsidRPr="00532D33" w:rsidRDefault="00836ACB" w:rsidP="00836ACB">
            <w:pPr>
              <w:pStyle w:val="T1TableStyle"/>
              <w:jc w:val="right"/>
              <w:rPr>
                <w:rFonts w:ascii="Verdana" w:eastAsia="Verdana" w:hAnsi="Verdana" w:cs="Verdana"/>
                <w:b/>
                <w:color w:val="000000"/>
                <w:sz w:val="16"/>
                <w:lang w:val="en-GB"/>
              </w:rPr>
            </w:pPr>
            <w:r w:rsidRPr="00532D33">
              <w:rPr>
                <w:rFonts w:ascii="Verdana" w:eastAsia="Verdana" w:hAnsi="Verdana" w:cs="Verdana"/>
                <w:b/>
                <w:color w:val="000000"/>
                <w:sz w:val="16"/>
                <w:lang w:val="en-GB"/>
              </w:rPr>
              <w:t>(197)</w:t>
            </w:r>
          </w:p>
        </w:tc>
        <w:tc>
          <w:tcPr>
            <w:tcW w:w="182" w:type="dxa"/>
            <w:tcBorders>
              <w:top w:val="single" w:sz="2" w:space="0" w:color="000000"/>
              <w:bottom w:val="single" w:sz="12" w:space="0" w:color="000000"/>
            </w:tcBorders>
            <w:shd w:val="clear" w:color="auto" w:fill="auto"/>
            <w:tcMar>
              <w:top w:w="20" w:type="dxa"/>
              <w:left w:w="20" w:type="dxa"/>
              <w:bottom w:w="20" w:type="dxa"/>
              <w:right w:w="20" w:type="dxa"/>
            </w:tcMar>
          </w:tcPr>
          <w:p w14:paraId="1611C7B2" w14:textId="77777777" w:rsidR="00836ACB" w:rsidRPr="00532D33" w:rsidRDefault="00836ACB" w:rsidP="00836ACB">
            <w:pPr>
              <w:pStyle w:val="T1TableStyle"/>
              <w:jc w:val="center"/>
              <w:rPr>
                <w:rFonts w:ascii="Verdana" w:eastAsia="Verdana" w:hAnsi="Verdana" w:cs="Verdana"/>
                <w:b/>
                <w:color w:val="000000"/>
                <w:sz w:val="2"/>
                <w:lang w:val="en-GB"/>
              </w:rPr>
            </w:pPr>
            <w:r w:rsidRPr="00532D33">
              <w:rPr>
                <w:rFonts w:ascii="Verdana" w:eastAsia="Verdana" w:hAnsi="Verdana" w:cs="Verdana"/>
                <w:b/>
                <w:color w:val="000000"/>
                <w:sz w:val="2"/>
                <w:lang w:val="en-GB"/>
              </w:rPr>
              <w:t xml:space="preserve"> </w:t>
            </w:r>
          </w:p>
        </w:tc>
        <w:tc>
          <w:tcPr>
            <w:tcW w:w="3284" w:type="dxa"/>
            <w:tcBorders>
              <w:top w:val="single" w:sz="2" w:space="0" w:color="000000"/>
              <w:bottom w:val="single" w:sz="12" w:space="0" w:color="000000"/>
            </w:tcBorders>
            <w:shd w:val="clear" w:color="auto" w:fill="auto"/>
            <w:tcMar>
              <w:top w:w="20" w:type="dxa"/>
              <w:left w:w="20" w:type="dxa"/>
              <w:bottom w:w="20" w:type="dxa"/>
              <w:right w:w="20" w:type="dxa"/>
            </w:tcMar>
          </w:tcPr>
          <w:p w14:paraId="4326B88D" w14:textId="77777777" w:rsidR="00836ACB" w:rsidRPr="00532D33" w:rsidRDefault="00836ACB" w:rsidP="00836ACB">
            <w:pPr>
              <w:pStyle w:val="T1TableStyle"/>
              <w:rPr>
                <w:rFonts w:ascii="Verdana" w:eastAsia="Verdana" w:hAnsi="Verdana" w:cs="Verdana"/>
                <w:b/>
                <w:color w:val="000000"/>
                <w:sz w:val="16"/>
                <w:lang w:val="en-GB"/>
              </w:rPr>
            </w:pPr>
            <w:r w:rsidRPr="00532D33">
              <w:rPr>
                <w:rFonts w:ascii="Verdana" w:eastAsia="Verdana" w:hAnsi="Verdana" w:cs="Verdana"/>
                <w:b/>
                <w:color w:val="000000"/>
                <w:sz w:val="16"/>
                <w:lang w:val="en-GB"/>
              </w:rPr>
              <w:t xml:space="preserve">Balance 31 March </w:t>
            </w:r>
          </w:p>
        </w:tc>
        <w:tc>
          <w:tcPr>
            <w:tcW w:w="1643" w:type="dxa"/>
            <w:tcBorders>
              <w:top w:val="single" w:sz="2" w:space="0" w:color="000000"/>
              <w:bottom w:val="single" w:sz="12" w:space="0" w:color="000000"/>
            </w:tcBorders>
            <w:shd w:val="clear" w:color="auto" w:fill="auto"/>
            <w:tcMar>
              <w:top w:w="20" w:type="dxa"/>
              <w:left w:w="20" w:type="dxa"/>
              <w:bottom w:w="20" w:type="dxa"/>
              <w:right w:w="20" w:type="dxa"/>
            </w:tcMar>
          </w:tcPr>
          <w:p w14:paraId="3F82DE9A" w14:textId="77777777" w:rsidR="00836ACB" w:rsidRPr="00532D33" w:rsidRDefault="00532D33" w:rsidP="00836ACB">
            <w:pPr>
              <w:pStyle w:val="T1TableStyle"/>
              <w:jc w:val="right"/>
              <w:rPr>
                <w:rFonts w:ascii="Verdana" w:eastAsia="Verdana" w:hAnsi="Verdana" w:cs="Verdana"/>
                <w:b/>
                <w:color w:val="000000"/>
                <w:sz w:val="16"/>
                <w:lang w:val="en-GB"/>
              </w:rPr>
            </w:pPr>
            <w:r w:rsidRPr="00532D33">
              <w:rPr>
                <w:rFonts w:ascii="Verdana" w:eastAsia="Verdana" w:hAnsi="Verdana" w:cs="Verdana"/>
                <w:b/>
                <w:color w:val="000000"/>
                <w:sz w:val="16"/>
                <w:lang w:val="en-GB"/>
              </w:rPr>
              <w:t>0</w:t>
            </w:r>
          </w:p>
        </w:tc>
      </w:tr>
    </w:tbl>
    <w:p w14:paraId="68AAC799" w14:textId="77777777" w:rsidR="00CA6653" w:rsidRPr="00532D33" w:rsidRDefault="00CA6653">
      <w:pPr>
        <w:pStyle w:val="T1TableStyle"/>
        <w:rPr>
          <w:rFonts w:ascii="Verdana" w:eastAsia="Verdana" w:hAnsi="Verdana" w:cs="Verdana"/>
          <w:sz w:val="22"/>
          <w:lang w:val="en-GB"/>
        </w:rPr>
      </w:pPr>
    </w:p>
    <w:p w14:paraId="7AB81A23" w14:textId="77777777" w:rsidR="00CA6653" w:rsidRPr="00232A5C" w:rsidRDefault="00CA6653" w:rsidP="00CA4917">
      <w:pPr>
        <w:pStyle w:val="Normal0"/>
        <w:spacing w:after="160"/>
        <w:jc w:val="both"/>
        <w:rPr>
          <w:rFonts w:ascii="Verdana" w:eastAsia="Verdana" w:hAnsi="Verdana" w:cs="Verdana"/>
          <w:sz w:val="22"/>
          <w:szCs w:val="22"/>
          <w:lang w:val="en-GB"/>
        </w:rPr>
      </w:pPr>
      <w:r w:rsidRPr="00532D33">
        <w:rPr>
          <w:rFonts w:ascii="Verdana" w:eastAsia="Verdana" w:hAnsi="Verdana" w:cs="Verdana"/>
          <w:sz w:val="22"/>
          <w:szCs w:val="22"/>
          <w:lang w:val="en-GB"/>
        </w:rPr>
        <w:t xml:space="preserve">This reserve comprises net proceeds arising from the sale of capital assets e.g. houses &amp; vehicles. The use of these receipts is limited by regulation (Part 1 of the Local Government Act 2003 and the Local Authorities Regulations 2003, Capital Finance and Accounting, England). The </w:t>
      </w:r>
      <w:r w:rsidRPr="00232A5C">
        <w:rPr>
          <w:rFonts w:ascii="Verdana" w:eastAsia="Verdana" w:hAnsi="Verdana" w:cs="Verdana"/>
          <w:sz w:val="22"/>
          <w:szCs w:val="22"/>
          <w:lang w:val="en-GB"/>
        </w:rPr>
        <w:t>receipts can only be used to finance capital expenditure or the repayment of debt.</w:t>
      </w:r>
    </w:p>
    <w:tbl>
      <w:tblPr>
        <w:tblW w:w="0" w:type="auto"/>
        <w:jc w:val="center"/>
        <w:tblLayout w:type="fixed"/>
        <w:tblLook w:val="04A0" w:firstRow="1" w:lastRow="0" w:firstColumn="1" w:lastColumn="0" w:noHBand="0" w:noVBand="1"/>
      </w:tblPr>
      <w:tblGrid>
        <w:gridCol w:w="1556"/>
        <w:gridCol w:w="209"/>
        <w:gridCol w:w="3760"/>
        <w:gridCol w:w="1558"/>
      </w:tblGrid>
      <w:tr w:rsidR="004D417B" w:rsidRPr="00232A5C" w14:paraId="30DF0B78" w14:textId="77777777" w:rsidTr="00B75010">
        <w:trPr>
          <w:trHeight w:val="54"/>
          <w:jc w:val="center"/>
        </w:trPr>
        <w:tc>
          <w:tcPr>
            <w:tcW w:w="1556" w:type="dxa"/>
            <w:shd w:val="clear" w:color="auto" w:fill="auto"/>
            <w:tcMar>
              <w:top w:w="20" w:type="dxa"/>
              <w:left w:w="20" w:type="dxa"/>
              <w:bottom w:w="20" w:type="dxa"/>
              <w:right w:w="20" w:type="dxa"/>
            </w:tcMar>
            <w:vAlign w:val="center"/>
          </w:tcPr>
          <w:p w14:paraId="2F5AAFAE" w14:textId="77777777" w:rsidR="00CA6653" w:rsidRPr="00232A5C" w:rsidRDefault="00CA6653" w:rsidP="00AC0BF5">
            <w:pPr>
              <w:pStyle w:val="T1TableStyle"/>
              <w:jc w:val="center"/>
              <w:rPr>
                <w:rFonts w:ascii="Verdana" w:eastAsia="Verdana" w:hAnsi="Verdana" w:cs="Verdana"/>
                <w:b/>
                <w:color w:val="000000"/>
                <w:sz w:val="16"/>
                <w:lang w:val="en-GB"/>
              </w:rPr>
            </w:pPr>
            <w:r w:rsidRPr="00232A5C">
              <w:rPr>
                <w:rFonts w:ascii="Verdana" w:eastAsia="Verdana" w:hAnsi="Verdana" w:cs="Verdana"/>
                <w:b/>
                <w:color w:val="000000"/>
                <w:sz w:val="16"/>
                <w:lang w:val="en-GB"/>
              </w:rPr>
              <w:t>31 March 20</w:t>
            </w:r>
            <w:r w:rsidR="00AC0BF5" w:rsidRPr="00232A5C">
              <w:rPr>
                <w:rFonts w:ascii="Verdana" w:eastAsia="Verdana" w:hAnsi="Verdana" w:cs="Verdana"/>
                <w:b/>
                <w:color w:val="000000"/>
                <w:sz w:val="16"/>
                <w:lang w:val="en-GB"/>
              </w:rPr>
              <w:t>20</w:t>
            </w:r>
          </w:p>
        </w:tc>
        <w:tc>
          <w:tcPr>
            <w:tcW w:w="209" w:type="dxa"/>
            <w:shd w:val="clear" w:color="auto" w:fill="auto"/>
            <w:tcMar>
              <w:top w:w="20" w:type="dxa"/>
              <w:left w:w="20" w:type="dxa"/>
              <w:bottom w:w="20" w:type="dxa"/>
              <w:right w:w="20" w:type="dxa"/>
            </w:tcMar>
            <w:vAlign w:val="center"/>
          </w:tcPr>
          <w:p w14:paraId="4512654D" w14:textId="77777777" w:rsidR="00CA6653" w:rsidRPr="00B75010" w:rsidRDefault="00CA6653">
            <w:pPr>
              <w:pStyle w:val="T1TableStyle"/>
              <w:jc w:val="center"/>
              <w:rPr>
                <w:rFonts w:ascii="Verdana" w:eastAsia="Verdana" w:hAnsi="Verdana" w:cs="Verdana"/>
                <w:b/>
                <w:color w:val="000000"/>
                <w:lang w:val="en-GB"/>
              </w:rPr>
            </w:pPr>
            <w:r w:rsidRPr="00B75010">
              <w:rPr>
                <w:rFonts w:ascii="Verdana" w:eastAsia="Verdana" w:hAnsi="Verdana" w:cs="Verdana"/>
                <w:b/>
                <w:color w:val="000000"/>
                <w:lang w:val="en-GB"/>
              </w:rPr>
              <w:t xml:space="preserve"> </w:t>
            </w:r>
          </w:p>
        </w:tc>
        <w:tc>
          <w:tcPr>
            <w:tcW w:w="3760" w:type="dxa"/>
            <w:shd w:val="clear" w:color="auto" w:fill="auto"/>
            <w:tcMar>
              <w:top w:w="20" w:type="dxa"/>
              <w:left w:w="20" w:type="dxa"/>
              <w:bottom w:w="20" w:type="dxa"/>
              <w:right w:w="20" w:type="dxa"/>
            </w:tcMar>
            <w:vAlign w:val="center"/>
          </w:tcPr>
          <w:p w14:paraId="6DC51290" w14:textId="57A26F41" w:rsidR="00CA6653" w:rsidRPr="00B75010" w:rsidRDefault="00B75010">
            <w:pPr>
              <w:pStyle w:val="T1TableStyle"/>
              <w:jc w:val="center"/>
              <w:rPr>
                <w:rFonts w:ascii="Verdana" w:eastAsia="Verdana" w:hAnsi="Verdana" w:cs="Verdana"/>
                <w:b/>
                <w:color w:val="000000"/>
                <w:lang w:val="en-GB"/>
              </w:rPr>
            </w:pPr>
            <w:r>
              <w:rPr>
                <w:rFonts w:ascii="Verdana" w:eastAsia="Verdana" w:hAnsi="Verdana" w:cs="Verdana"/>
                <w:b/>
                <w:color w:val="000000"/>
                <w:lang w:val="en-GB"/>
              </w:rPr>
              <w:t>Capital Grants Unapplied</w:t>
            </w:r>
            <w:r w:rsidR="00CA6653" w:rsidRPr="00B75010">
              <w:rPr>
                <w:rFonts w:ascii="Verdana" w:eastAsia="Verdana" w:hAnsi="Verdana" w:cs="Verdana"/>
                <w:b/>
                <w:color w:val="000000"/>
                <w:lang w:val="en-GB"/>
              </w:rPr>
              <w:t xml:space="preserve"> </w:t>
            </w:r>
          </w:p>
        </w:tc>
        <w:tc>
          <w:tcPr>
            <w:tcW w:w="1558" w:type="dxa"/>
            <w:shd w:val="clear" w:color="auto" w:fill="auto"/>
            <w:tcMar>
              <w:top w:w="20" w:type="dxa"/>
              <w:left w:w="20" w:type="dxa"/>
              <w:bottom w:w="20" w:type="dxa"/>
              <w:right w:w="20" w:type="dxa"/>
            </w:tcMar>
            <w:vAlign w:val="center"/>
          </w:tcPr>
          <w:p w14:paraId="3C66051D" w14:textId="77777777" w:rsidR="00CA6653" w:rsidRPr="00232A5C" w:rsidRDefault="00CA6653" w:rsidP="00AC0BF5">
            <w:pPr>
              <w:pStyle w:val="T1TableStyle"/>
              <w:jc w:val="center"/>
              <w:rPr>
                <w:rFonts w:ascii="Verdana" w:eastAsia="Verdana" w:hAnsi="Verdana" w:cs="Verdana"/>
                <w:b/>
                <w:color w:val="000000"/>
                <w:sz w:val="16"/>
                <w:lang w:val="en-GB"/>
              </w:rPr>
            </w:pPr>
            <w:r w:rsidRPr="00232A5C">
              <w:rPr>
                <w:rFonts w:ascii="Verdana" w:eastAsia="Verdana" w:hAnsi="Verdana" w:cs="Verdana"/>
                <w:b/>
                <w:color w:val="000000"/>
                <w:sz w:val="16"/>
                <w:lang w:val="en-GB"/>
              </w:rPr>
              <w:t>31 March 202</w:t>
            </w:r>
            <w:r w:rsidR="00AC0BF5" w:rsidRPr="00232A5C">
              <w:rPr>
                <w:rFonts w:ascii="Verdana" w:eastAsia="Verdana" w:hAnsi="Verdana" w:cs="Verdana"/>
                <w:b/>
                <w:color w:val="000000"/>
                <w:sz w:val="16"/>
                <w:lang w:val="en-GB"/>
              </w:rPr>
              <w:t>1</w:t>
            </w:r>
          </w:p>
        </w:tc>
      </w:tr>
      <w:tr w:rsidR="004D417B" w:rsidRPr="00232A5C" w14:paraId="06F738AB" w14:textId="77777777" w:rsidTr="00B75010">
        <w:trPr>
          <w:trHeight w:val="54"/>
          <w:jc w:val="center"/>
        </w:trPr>
        <w:tc>
          <w:tcPr>
            <w:tcW w:w="1556" w:type="dxa"/>
            <w:tcBorders>
              <w:bottom w:val="single" w:sz="2" w:space="0" w:color="000000"/>
            </w:tcBorders>
            <w:shd w:val="clear" w:color="auto" w:fill="auto"/>
            <w:tcMar>
              <w:top w:w="20" w:type="dxa"/>
              <w:left w:w="20" w:type="dxa"/>
              <w:bottom w:w="20" w:type="dxa"/>
              <w:right w:w="20" w:type="dxa"/>
            </w:tcMar>
          </w:tcPr>
          <w:p w14:paraId="77C7BD94" w14:textId="77777777" w:rsidR="00CA6653" w:rsidRPr="00232A5C" w:rsidRDefault="00CA6653">
            <w:pPr>
              <w:pStyle w:val="T1TableStyle"/>
              <w:jc w:val="right"/>
              <w:rPr>
                <w:rFonts w:ascii="Verdana" w:eastAsia="Verdana" w:hAnsi="Verdana" w:cs="Verdana"/>
                <w:b/>
                <w:color w:val="000000"/>
                <w:sz w:val="16"/>
                <w:lang w:val="en-GB"/>
              </w:rPr>
            </w:pPr>
            <w:r w:rsidRPr="00232A5C">
              <w:rPr>
                <w:rFonts w:ascii="Verdana" w:eastAsia="Verdana" w:hAnsi="Verdana" w:cs="Verdana"/>
                <w:b/>
                <w:color w:val="000000"/>
                <w:sz w:val="16"/>
                <w:lang w:val="en-GB"/>
              </w:rPr>
              <w:t>£000</w:t>
            </w:r>
          </w:p>
        </w:tc>
        <w:tc>
          <w:tcPr>
            <w:tcW w:w="209" w:type="dxa"/>
            <w:tcBorders>
              <w:bottom w:val="single" w:sz="2" w:space="0" w:color="000000"/>
            </w:tcBorders>
            <w:shd w:val="clear" w:color="auto" w:fill="auto"/>
            <w:tcMar>
              <w:top w:w="20" w:type="dxa"/>
              <w:left w:w="20" w:type="dxa"/>
              <w:bottom w:w="20" w:type="dxa"/>
              <w:right w:w="20" w:type="dxa"/>
            </w:tcMar>
          </w:tcPr>
          <w:p w14:paraId="44C0BF71" w14:textId="77777777" w:rsidR="00CA6653" w:rsidRPr="00232A5C" w:rsidRDefault="00CA6653">
            <w:pPr>
              <w:pStyle w:val="T1TableStyle"/>
              <w:jc w:val="right"/>
              <w:rPr>
                <w:rFonts w:ascii="Verdana" w:eastAsia="Verdana" w:hAnsi="Verdana" w:cs="Verdana"/>
                <w:b/>
                <w:color w:val="000000"/>
                <w:sz w:val="2"/>
                <w:lang w:val="en-GB"/>
              </w:rPr>
            </w:pPr>
            <w:r w:rsidRPr="00232A5C">
              <w:rPr>
                <w:rFonts w:ascii="Verdana" w:eastAsia="Verdana" w:hAnsi="Verdana" w:cs="Verdana"/>
                <w:b/>
                <w:color w:val="000000"/>
                <w:sz w:val="2"/>
                <w:lang w:val="en-GB"/>
              </w:rPr>
              <w:t xml:space="preserve"> </w:t>
            </w:r>
          </w:p>
        </w:tc>
        <w:tc>
          <w:tcPr>
            <w:tcW w:w="3760" w:type="dxa"/>
            <w:tcBorders>
              <w:bottom w:val="single" w:sz="2" w:space="0" w:color="000000"/>
            </w:tcBorders>
            <w:shd w:val="clear" w:color="auto" w:fill="auto"/>
            <w:tcMar>
              <w:top w:w="20" w:type="dxa"/>
              <w:left w:w="20" w:type="dxa"/>
              <w:bottom w:w="20" w:type="dxa"/>
              <w:right w:w="20" w:type="dxa"/>
            </w:tcMar>
          </w:tcPr>
          <w:p w14:paraId="317D2273" w14:textId="77777777" w:rsidR="00CA6653" w:rsidRPr="00232A5C" w:rsidRDefault="00CA6653">
            <w:pPr>
              <w:pStyle w:val="T1TableStyle"/>
              <w:jc w:val="right"/>
              <w:rPr>
                <w:rFonts w:ascii="Verdana" w:eastAsia="Verdana" w:hAnsi="Verdana" w:cs="Verdana"/>
                <w:b/>
                <w:color w:val="000000"/>
                <w:sz w:val="2"/>
                <w:lang w:val="en-GB"/>
              </w:rPr>
            </w:pPr>
            <w:r w:rsidRPr="00232A5C">
              <w:rPr>
                <w:rFonts w:ascii="Verdana" w:eastAsia="Verdana" w:hAnsi="Verdana" w:cs="Verdana"/>
                <w:b/>
                <w:color w:val="000000"/>
                <w:sz w:val="2"/>
                <w:lang w:val="en-GB"/>
              </w:rPr>
              <w:t xml:space="preserve"> </w:t>
            </w:r>
          </w:p>
        </w:tc>
        <w:tc>
          <w:tcPr>
            <w:tcW w:w="1558" w:type="dxa"/>
            <w:tcBorders>
              <w:bottom w:val="single" w:sz="2" w:space="0" w:color="000000"/>
            </w:tcBorders>
            <w:shd w:val="clear" w:color="auto" w:fill="auto"/>
            <w:tcMar>
              <w:top w:w="20" w:type="dxa"/>
              <w:left w:w="20" w:type="dxa"/>
              <w:bottom w:w="20" w:type="dxa"/>
              <w:right w:w="20" w:type="dxa"/>
            </w:tcMar>
          </w:tcPr>
          <w:p w14:paraId="289F6BCC" w14:textId="77777777" w:rsidR="00CA6653" w:rsidRPr="00232A5C" w:rsidRDefault="00CA6653">
            <w:pPr>
              <w:pStyle w:val="T1TableStyle"/>
              <w:jc w:val="right"/>
              <w:rPr>
                <w:rFonts w:ascii="Verdana" w:eastAsia="Verdana" w:hAnsi="Verdana" w:cs="Verdana"/>
                <w:b/>
                <w:color w:val="000000"/>
                <w:sz w:val="16"/>
                <w:lang w:val="en-GB"/>
              </w:rPr>
            </w:pPr>
            <w:r w:rsidRPr="00232A5C">
              <w:rPr>
                <w:rFonts w:ascii="Verdana" w:eastAsia="Verdana" w:hAnsi="Verdana" w:cs="Verdana"/>
                <w:b/>
                <w:color w:val="000000"/>
                <w:sz w:val="16"/>
                <w:lang w:val="en-GB"/>
              </w:rPr>
              <w:t>£000</w:t>
            </w:r>
          </w:p>
        </w:tc>
      </w:tr>
      <w:tr w:rsidR="00AC0BF5" w:rsidRPr="00232A5C" w14:paraId="0E0906CD" w14:textId="77777777" w:rsidTr="00B75010">
        <w:trPr>
          <w:trHeight w:val="54"/>
          <w:jc w:val="center"/>
        </w:trPr>
        <w:tc>
          <w:tcPr>
            <w:tcW w:w="1556" w:type="dxa"/>
            <w:shd w:val="clear" w:color="auto" w:fill="auto"/>
            <w:tcMar>
              <w:top w:w="20" w:type="dxa"/>
              <w:left w:w="20" w:type="dxa"/>
              <w:bottom w:w="20" w:type="dxa"/>
              <w:right w:w="20" w:type="dxa"/>
            </w:tcMar>
          </w:tcPr>
          <w:p w14:paraId="5545BD81" w14:textId="77777777" w:rsidR="00AC0BF5" w:rsidRPr="00232A5C" w:rsidRDefault="00AC0BF5" w:rsidP="00AC0BF5">
            <w:pPr>
              <w:pStyle w:val="T1TableStyle"/>
              <w:jc w:val="right"/>
              <w:rPr>
                <w:rFonts w:ascii="Verdana" w:eastAsia="Verdana" w:hAnsi="Verdana" w:cs="Verdana"/>
                <w:color w:val="000000"/>
                <w:sz w:val="16"/>
                <w:lang w:val="en-GB"/>
              </w:rPr>
            </w:pPr>
            <w:r w:rsidRPr="00232A5C">
              <w:rPr>
                <w:rFonts w:ascii="Verdana" w:eastAsia="Verdana" w:hAnsi="Verdana" w:cs="Verdana"/>
                <w:color w:val="000000"/>
                <w:sz w:val="16"/>
                <w:lang w:val="en-GB"/>
              </w:rPr>
              <w:t>(1,317)</w:t>
            </w:r>
          </w:p>
        </w:tc>
        <w:tc>
          <w:tcPr>
            <w:tcW w:w="209" w:type="dxa"/>
            <w:shd w:val="clear" w:color="auto" w:fill="auto"/>
            <w:tcMar>
              <w:top w:w="20" w:type="dxa"/>
              <w:left w:w="20" w:type="dxa"/>
              <w:bottom w:w="20" w:type="dxa"/>
              <w:right w:w="20" w:type="dxa"/>
            </w:tcMar>
          </w:tcPr>
          <w:p w14:paraId="6F83DF58" w14:textId="77777777" w:rsidR="00AC0BF5" w:rsidRPr="00232A5C" w:rsidRDefault="00AC0BF5" w:rsidP="00AC0BF5">
            <w:pPr>
              <w:pStyle w:val="T1TableStyle"/>
              <w:jc w:val="center"/>
              <w:rPr>
                <w:rFonts w:ascii="Verdana" w:eastAsia="Verdana" w:hAnsi="Verdana" w:cs="Verdana"/>
                <w:color w:val="000000"/>
                <w:sz w:val="2"/>
                <w:lang w:val="en-GB"/>
              </w:rPr>
            </w:pPr>
            <w:r w:rsidRPr="00232A5C">
              <w:rPr>
                <w:rFonts w:ascii="Verdana" w:eastAsia="Verdana" w:hAnsi="Verdana" w:cs="Verdana"/>
                <w:color w:val="000000"/>
                <w:sz w:val="2"/>
                <w:lang w:val="en-GB"/>
              </w:rPr>
              <w:t xml:space="preserve"> </w:t>
            </w:r>
          </w:p>
        </w:tc>
        <w:tc>
          <w:tcPr>
            <w:tcW w:w="3760" w:type="dxa"/>
            <w:shd w:val="clear" w:color="auto" w:fill="auto"/>
            <w:tcMar>
              <w:top w:w="20" w:type="dxa"/>
              <w:left w:w="20" w:type="dxa"/>
              <w:bottom w:w="20" w:type="dxa"/>
              <w:right w:w="20" w:type="dxa"/>
            </w:tcMar>
          </w:tcPr>
          <w:p w14:paraId="311C18DF" w14:textId="77777777" w:rsidR="00AC0BF5" w:rsidRPr="00232A5C" w:rsidRDefault="00AC0BF5" w:rsidP="00AC0BF5">
            <w:pPr>
              <w:pStyle w:val="T1TableStyle"/>
              <w:rPr>
                <w:rFonts w:ascii="Verdana" w:eastAsia="Verdana" w:hAnsi="Verdana" w:cs="Verdana"/>
                <w:color w:val="000000"/>
                <w:sz w:val="16"/>
                <w:lang w:val="en-GB"/>
              </w:rPr>
            </w:pPr>
            <w:r w:rsidRPr="00232A5C">
              <w:rPr>
                <w:rFonts w:ascii="Verdana" w:eastAsia="Verdana" w:hAnsi="Verdana" w:cs="Verdana"/>
                <w:color w:val="000000"/>
                <w:sz w:val="16"/>
                <w:lang w:val="en-GB"/>
              </w:rPr>
              <w:t xml:space="preserve">Balance 1 April </w:t>
            </w:r>
          </w:p>
        </w:tc>
        <w:tc>
          <w:tcPr>
            <w:tcW w:w="1558" w:type="dxa"/>
            <w:shd w:val="clear" w:color="auto" w:fill="auto"/>
            <w:tcMar>
              <w:top w:w="20" w:type="dxa"/>
              <w:left w:w="20" w:type="dxa"/>
              <w:bottom w:w="20" w:type="dxa"/>
              <w:right w:w="20" w:type="dxa"/>
            </w:tcMar>
          </w:tcPr>
          <w:p w14:paraId="1DF2FE0D" w14:textId="77777777" w:rsidR="00AC0BF5" w:rsidRPr="00232A5C" w:rsidRDefault="00AC0BF5" w:rsidP="004D133E">
            <w:pPr>
              <w:pStyle w:val="T1TableStyle"/>
              <w:jc w:val="right"/>
              <w:rPr>
                <w:rFonts w:ascii="Verdana" w:eastAsia="Verdana" w:hAnsi="Verdana" w:cs="Verdana"/>
                <w:color w:val="000000"/>
                <w:sz w:val="16"/>
                <w:lang w:val="en-GB"/>
              </w:rPr>
            </w:pPr>
            <w:r w:rsidRPr="00232A5C">
              <w:rPr>
                <w:rFonts w:ascii="Verdana" w:eastAsia="Verdana" w:hAnsi="Verdana" w:cs="Verdana"/>
                <w:color w:val="000000"/>
                <w:sz w:val="16"/>
                <w:lang w:val="en-GB"/>
              </w:rPr>
              <w:t>(</w:t>
            </w:r>
            <w:r w:rsidR="004D133E" w:rsidRPr="00232A5C">
              <w:rPr>
                <w:rFonts w:ascii="Verdana" w:eastAsia="Verdana" w:hAnsi="Verdana" w:cs="Verdana"/>
                <w:color w:val="000000"/>
                <w:sz w:val="16"/>
                <w:lang w:val="en-GB"/>
              </w:rPr>
              <w:t>2</w:t>
            </w:r>
            <w:r w:rsidRPr="00232A5C">
              <w:rPr>
                <w:rFonts w:ascii="Verdana" w:eastAsia="Verdana" w:hAnsi="Verdana" w:cs="Verdana"/>
                <w:color w:val="000000"/>
                <w:sz w:val="16"/>
                <w:lang w:val="en-GB"/>
              </w:rPr>
              <w:t>,</w:t>
            </w:r>
            <w:r w:rsidR="004D133E" w:rsidRPr="00232A5C">
              <w:rPr>
                <w:rFonts w:ascii="Verdana" w:eastAsia="Verdana" w:hAnsi="Verdana" w:cs="Verdana"/>
                <w:color w:val="000000"/>
                <w:sz w:val="16"/>
                <w:lang w:val="en-GB"/>
              </w:rPr>
              <w:t>946</w:t>
            </w:r>
            <w:r w:rsidRPr="00232A5C">
              <w:rPr>
                <w:rFonts w:ascii="Verdana" w:eastAsia="Verdana" w:hAnsi="Verdana" w:cs="Verdana"/>
                <w:color w:val="000000"/>
                <w:sz w:val="16"/>
                <w:lang w:val="en-GB"/>
              </w:rPr>
              <w:t>)</w:t>
            </w:r>
          </w:p>
        </w:tc>
      </w:tr>
      <w:tr w:rsidR="00AC0BF5" w:rsidRPr="00232A5C" w14:paraId="4C8CDC01" w14:textId="77777777" w:rsidTr="00B75010">
        <w:trPr>
          <w:trHeight w:val="54"/>
          <w:jc w:val="center"/>
        </w:trPr>
        <w:tc>
          <w:tcPr>
            <w:tcW w:w="1556" w:type="dxa"/>
            <w:shd w:val="clear" w:color="auto" w:fill="auto"/>
            <w:tcMar>
              <w:top w:w="20" w:type="dxa"/>
              <w:left w:w="20" w:type="dxa"/>
              <w:bottom w:w="20" w:type="dxa"/>
              <w:right w:w="20" w:type="dxa"/>
            </w:tcMar>
          </w:tcPr>
          <w:p w14:paraId="0B56A44B" w14:textId="77777777" w:rsidR="00AC0BF5" w:rsidRPr="00232A5C" w:rsidRDefault="00AC0BF5" w:rsidP="00AC0BF5">
            <w:pPr>
              <w:pStyle w:val="T1TableStyle"/>
              <w:jc w:val="right"/>
              <w:rPr>
                <w:rFonts w:ascii="Verdana" w:eastAsia="Verdana" w:hAnsi="Verdana" w:cs="Verdana"/>
                <w:color w:val="000000"/>
                <w:sz w:val="16"/>
                <w:lang w:val="en-GB"/>
              </w:rPr>
            </w:pPr>
            <w:r w:rsidRPr="00232A5C">
              <w:rPr>
                <w:rFonts w:ascii="Verdana" w:eastAsia="Verdana" w:hAnsi="Verdana" w:cs="Verdana"/>
                <w:color w:val="000000"/>
                <w:sz w:val="16"/>
                <w:lang w:val="en-GB"/>
              </w:rPr>
              <w:t>(645)</w:t>
            </w:r>
          </w:p>
        </w:tc>
        <w:tc>
          <w:tcPr>
            <w:tcW w:w="209" w:type="dxa"/>
            <w:shd w:val="clear" w:color="auto" w:fill="auto"/>
            <w:tcMar>
              <w:top w:w="20" w:type="dxa"/>
              <w:left w:w="20" w:type="dxa"/>
              <w:bottom w:w="20" w:type="dxa"/>
              <w:right w:w="20" w:type="dxa"/>
            </w:tcMar>
          </w:tcPr>
          <w:p w14:paraId="15E97F1B" w14:textId="77777777" w:rsidR="00AC0BF5" w:rsidRPr="00232A5C" w:rsidRDefault="00AC0BF5" w:rsidP="00AC0BF5">
            <w:pPr>
              <w:pStyle w:val="T1TableStyle"/>
              <w:jc w:val="center"/>
              <w:rPr>
                <w:rFonts w:ascii="Verdana" w:eastAsia="Verdana" w:hAnsi="Verdana" w:cs="Verdana"/>
                <w:color w:val="000000"/>
                <w:sz w:val="2"/>
                <w:lang w:val="en-GB"/>
              </w:rPr>
            </w:pPr>
            <w:r w:rsidRPr="00232A5C">
              <w:rPr>
                <w:rFonts w:ascii="Verdana" w:eastAsia="Verdana" w:hAnsi="Verdana" w:cs="Verdana"/>
                <w:color w:val="000000"/>
                <w:sz w:val="2"/>
                <w:lang w:val="en-GB"/>
              </w:rPr>
              <w:t xml:space="preserve"> </w:t>
            </w:r>
          </w:p>
        </w:tc>
        <w:tc>
          <w:tcPr>
            <w:tcW w:w="3760" w:type="dxa"/>
            <w:shd w:val="clear" w:color="auto" w:fill="auto"/>
            <w:tcMar>
              <w:top w:w="20" w:type="dxa"/>
              <w:left w:w="20" w:type="dxa"/>
              <w:bottom w:w="20" w:type="dxa"/>
              <w:right w:w="20" w:type="dxa"/>
            </w:tcMar>
          </w:tcPr>
          <w:p w14:paraId="39BDE894" w14:textId="77777777" w:rsidR="00AC0BF5" w:rsidRPr="00232A5C" w:rsidRDefault="00AC0BF5" w:rsidP="00AC0BF5">
            <w:pPr>
              <w:pStyle w:val="T1TableStyle"/>
              <w:rPr>
                <w:rFonts w:ascii="Verdana" w:eastAsia="Verdana" w:hAnsi="Verdana" w:cs="Verdana"/>
                <w:color w:val="000000"/>
                <w:sz w:val="16"/>
                <w:lang w:val="en-GB"/>
              </w:rPr>
            </w:pPr>
            <w:r w:rsidRPr="00232A5C">
              <w:rPr>
                <w:rFonts w:ascii="Verdana" w:eastAsia="Verdana" w:hAnsi="Verdana" w:cs="Verdana"/>
                <w:color w:val="000000"/>
                <w:sz w:val="16"/>
                <w:lang w:val="en-GB"/>
              </w:rPr>
              <w:t>Capital grants recognised in year</w:t>
            </w:r>
          </w:p>
        </w:tc>
        <w:tc>
          <w:tcPr>
            <w:tcW w:w="1558" w:type="dxa"/>
            <w:shd w:val="clear" w:color="auto" w:fill="auto"/>
            <w:tcMar>
              <w:top w:w="20" w:type="dxa"/>
              <w:left w:w="20" w:type="dxa"/>
              <w:bottom w:w="20" w:type="dxa"/>
              <w:right w:w="20" w:type="dxa"/>
            </w:tcMar>
          </w:tcPr>
          <w:p w14:paraId="45905154" w14:textId="6F605714" w:rsidR="00AC0BF5" w:rsidRPr="00232A5C" w:rsidRDefault="00232A5C" w:rsidP="00AC0BF5">
            <w:pPr>
              <w:pStyle w:val="T1TableStyle"/>
              <w:jc w:val="right"/>
              <w:rPr>
                <w:rFonts w:ascii="Verdana" w:eastAsia="Verdana" w:hAnsi="Verdana" w:cs="Verdana"/>
                <w:color w:val="000000"/>
                <w:sz w:val="16"/>
                <w:lang w:val="en-GB"/>
              </w:rPr>
            </w:pPr>
            <w:r w:rsidRPr="00232A5C">
              <w:rPr>
                <w:rFonts w:ascii="Verdana" w:eastAsia="Verdana" w:hAnsi="Verdana" w:cs="Verdana"/>
                <w:color w:val="000000"/>
                <w:sz w:val="16"/>
                <w:lang w:val="en-GB"/>
              </w:rPr>
              <w:t>(</w:t>
            </w:r>
            <w:r w:rsidR="00D92091">
              <w:rPr>
                <w:rFonts w:ascii="Verdana" w:eastAsia="Verdana" w:hAnsi="Verdana" w:cs="Verdana"/>
                <w:color w:val="000000"/>
                <w:sz w:val="16"/>
                <w:lang w:val="en-GB"/>
              </w:rPr>
              <w:t>297</w:t>
            </w:r>
            <w:r w:rsidRPr="00232A5C">
              <w:rPr>
                <w:rFonts w:ascii="Verdana" w:eastAsia="Verdana" w:hAnsi="Verdana" w:cs="Verdana"/>
                <w:color w:val="000000"/>
                <w:sz w:val="16"/>
                <w:lang w:val="en-GB"/>
              </w:rPr>
              <w:t>)</w:t>
            </w:r>
          </w:p>
        </w:tc>
      </w:tr>
      <w:tr w:rsidR="00AC0BF5" w:rsidRPr="00232A5C" w14:paraId="25FD01F0" w14:textId="77777777" w:rsidTr="00B75010">
        <w:trPr>
          <w:trHeight w:val="54"/>
          <w:jc w:val="center"/>
        </w:trPr>
        <w:tc>
          <w:tcPr>
            <w:tcW w:w="1556" w:type="dxa"/>
            <w:shd w:val="clear" w:color="auto" w:fill="auto"/>
            <w:tcMar>
              <w:top w:w="20" w:type="dxa"/>
              <w:left w:w="20" w:type="dxa"/>
              <w:bottom w:w="20" w:type="dxa"/>
              <w:right w:w="20" w:type="dxa"/>
            </w:tcMar>
          </w:tcPr>
          <w:p w14:paraId="52E1000F" w14:textId="77777777" w:rsidR="00AC0BF5" w:rsidRPr="00232A5C" w:rsidRDefault="00AC0BF5" w:rsidP="00AC0BF5">
            <w:pPr>
              <w:pStyle w:val="T1TableStyle"/>
              <w:jc w:val="right"/>
              <w:rPr>
                <w:rFonts w:ascii="Verdana" w:eastAsia="Verdana" w:hAnsi="Verdana" w:cs="Verdana"/>
                <w:color w:val="000000"/>
                <w:sz w:val="16"/>
                <w:lang w:val="en-GB"/>
              </w:rPr>
            </w:pPr>
            <w:r w:rsidRPr="00232A5C">
              <w:rPr>
                <w:rFonts w:ascii="Verdana" w:eastAsia="Verdana" w:hAnsi="Verdana" w:cs="Verdana"/>
                <w:color w:val="000000"/>
                <w:sz w:val="16"/>
                <w:lang w:val="en-GB"/>
              </w:rPr>
              <w:t>645</w:t>
            </w:r>
          </w:p>
        </w:tc>
        <w:tc>
          <w:tcPr>
            <w:tcW w:w="209" w:type="dxa"/>
            <w:shd w:val="clear" w:color="auto" w:fill="auto"/>
            <w:tcMar>
              <w:top w:w="20" w:type="dxa"/>
              <w:left w:w="20" w:type="dxa"/>
              <w:bottom w:w="20" w:type="dxa"/>
              <w:right w:w="20" w:type="dxa"/>
            </w:tcMar>
          </w:tcPr>
          <w:p w14:paraId="1CCC164B" w14:textId="77777777" w:rsidR="00AC0BF5" w:rsidRPr="00232A5C" w:rsidRDefault="00AC0BF5" w:rsidP="00AC0BF5">
            <w:pPr>
              <w:pStyle w:val="T1TableStyle"/>
              <w:jc w:val="center"/>
              <w:rPr>
                <w:rFonts w:ascii="Verdana" w:eastAsia="Verdana" w:hAnsi="Verdana" w:cs="Verdana"/>
                <w:color w:val="000000"/>
                <w:sz w:val="2"/>
                <w:lang w:val="en-GB"/>
              </w:rPr>
            </w:pPr>
            <w:r w:rsidRPr="00232A5C">
              <w:rPr>
                <w:rFonts w:ascii="Verdana" w:eastAsia="Verdana" w:hAnsi="Verdana" w:cs="Verdana"/>
                <w:color w:val="000000"/>
                <w:sz w:val="2"/>
                <w:lang w:val="en-GB"/>
              </w:rPr>
              <w:t xml:space="preserve"> </w:t>
            </w:r>
          </w:p>
        </w:tc>
        <w:tc>
          <w:tcPr>
            <w:tcW w:w="3760" w:type="dxa"/>
            <w:shd w:val="clear" w:color="auto" w:fill="auto"/>
            <w:tcMar>
              <w:top w:w="20" w:type="dxa"/>
              <w:left w:w="20" w:type="dxa"/>
              <w:bottom w:w="20" w:type="dxa"/>
              <w:right w:w="20" w:type="dxa"/>
            </w:tcMar>
          </w:tcPr>
          <w:p w14:paraId="5C8002BA" w14:textId="77777777" w:rsidR="00AC0BF5" w:rsidRPr="00232A5C" w:rsidRDefault="00AC0BF5" w:rsidP="00AC0BF5">
            <w:pPr>
              <w:pStyle w:val="T1TableStyle"/>
              <w:rPr>
                <w:rFonts w:ascii="Verdana" w:eastAsia="Verdana" w:hAnsi="Verdana" w:cs="Verdana"/>
                <w:color w:val="000000"/>
                <w:sz w:val="16"/>
                <w:lang w:val="en-GB"/>
              </w:rPr>
            </w:pPr>
            <w:r w:rsidRPr="00232A5C">
              <w:rPr>
                <w:rFonts w:ascii="Verdana" w:eastAsia="Verdana" w:hAnsi="Verdana" w:cs="Verdana"/>
                <w:color w:val="000000"/>
                <w:sz w:val="16"/>
                <w:lang w:val="en-GB"/>
              </w:rPr>
              <w:t>Capital grants and contributions applied</w:t>
            </w:r>
          </w:p>
        </w:tc>
        <w:tc>
          <w:tcPr>
            <w:tcW w:w="1558" w:type="dxa"/>
            <w:shd w:val="clear" w:color="auto" w:fill="auto"/>
            <w:tcMar>
              <w:top w:w="20" w:type="dxa"/>
              <w:left w:w="20" w:type="dxa"/>
              <w:bottom w:w="20" w:type="dxa"/>
              <w:right w:w="20" w:type="dxa"/>
            </w:tcMar>
          </w:tcPr>
          <w:p w14:paraId="35F57E5A" w14:textId="5DF99406" w:rsidR="00AC0BF5" w:rsidRPr="00232A5C" w:rsidRDefault="00D92091" w:rsidP="00AC0BF5">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297</w:t>
            </w:r>
          </w:p>
        </w:tc>
      </w:tr>
      <w:tr w:rsidR="00AC0BF5" w:rsidRPr="00232A5C" w14:paraId="0E8007D6" w14:textId="77777777" w:rsidTr="00B75010">
        <w:trPr>
          <w:trHeight w:val="111"/>
          <w:jc w:val="center"/>
        </w:trPr>
        <w:tc>
          <w:tcPr>
            <w:tcW w:w="1556" w:type="dxa"/>
            <w:shd w:val="clear" w:color="auto" w:fill="auto"/>
            <w:tcMar>
              <w:top w:w="20" w:type="dxa"/>
              <w:left w:w="20" w:type="dxa"/>
              <w:bottom w:w="20" w:type="dxa"/>
              <w:right w:w="20" w:type="dxa"/>
            </w:tcMar>
          </w:tcPr>
          <w:p w14:paraId="76401359" w14:textId="77777777" w:rsidR="00AC0BF5" w:rsidRPr="00232A5C" w:rsidRDefault="00AC0BF5" w:rsidP="00AC0BF5">
            <w:pPr>
              <w:pStyle w:val="T1TableStyle"/>
              <w:jc w:val="right"/>
              <w:rPr>
                <w:rFonts w:ascii="Verdana" w:eastAsia="Verdana" w:hAnsi="Verdana" w:cs="Verdana"/>
                <w:color w:val="000000"/>
                <w:sz w:val="16"/>
                <w:lang w:val="en-GB"/>
              </w:rPr>
            </w:pPr>
            <w:r w:rsidRPr="00232A5C">
              <w:rPr>
                <w:rFonts w:ascii="Verdana" w:eastAsia="Verdana" w:hAnsi="Verdana" w:cs="Verdana"/>
                <w:color w:val="000000"/>
                <w:sz w:val="16"/>
                <w:lang w:val="en-GB"/>
              </w:rPr>
              <w:t>(1,629)</w:t>
            </w:r>
          </w:p>
        </w:tc>
        <w:tc>
          <w:tcPr>
            <w:tcW w:w="209" w:type="dxa"/>
            <w:shd w:val="clear" w:color="auto" w:fill="auto"/>
            <w:tcMar>
              <w:top w:w="20" w:type="dxa"/>
              <w:left w:w="20" w:type="dxa"/>
              <w:bottom w:w="20" w:type="dxa"/>
              <w:right w:w="20" w:type="dxa"/>
            </w:tcMar>
          </w:tcPr>
          <w:p w14:paraId="13334242" w14:textId="77777777" w:rsidR="00AC0BF5" w:rsidRPr="00232A5C" w:rsidRDefault="00AC0BF5" w:rsidP="00AC0BF5">
            <w:pPr>
              <w:pStyle w:val="T1TableStyle"/>
              <w:jc w:val="center"/>
              <w:rPr>
                <w:rFonts w:ascii="Verdana" w:eastAsia="Verdana" w:hAnsi="Verdana" w:cs="Verdana"/>
                <w:color w:val="000000"/>
                <w:sz w:val="2"/>
                <w:lang w:val="en-GB"/>
              </w:rPr>
            </w:pPr>
            <w:r w:rsidRPr="00232A5C">
              <w:rPr>
                <w:rFonts w:ascii="Verdana" w:eastAsia="Verdana" w:hAnsi="Verdana" w:cs="Verdana"/>
                <w:color w:val="000000"/>
                <w:sz w:val="2"/>
                <w:lang w:val="en-GB"/>
              </w:rPr>
              <w:t xml:space="preserve"> </w:t>
            </w:r>
          </w:p>
        </w:tc>
        <w:tc>
          <w:tcPr>
            <w:tcW w:w="3760" w:type="dxa"/>
            <w:shd w:val="clear" w:color="auto" w:fill="auto"/>
            <w:tcMar>
              <w:top w:w="20" w:type="dxa"/>
              <w:left w:w="20" w:type="dxa"/>
              <w:bottom w:w="20" w:type="dxa"/>
              <w:right w:w="20" w:type="dxa"/>
            </w:tcMar>
          </w:tcPr>
          <w:p w14:paraId="30819A72" w14:textId="77777777" w:rsidR="00AC0BF5" w:rsidRPr="00232A5C" w:rsidRDefault="00AC0BF5" w:rsidP="00AC0BF5">
            <w:pPr>
              <w:pStyle w:val="T1TableStyle"/>
              <w:rPr>
                <w:rFonts w:ascii="Verdana" w:eastAsia="Verdana" w:hAnsi="Verdana" w:cs="Verdana"/>
                <w:color w:val="000000"/>
                <w:sz w:val="16"/>
                <w:lang w:val="en-GB"/>
              </w:rPr>
            </w:pPr>
            <w:r w:rsidRPr="00232A5C">
              <w:rPr>
                <w:rFonts w:ascii="Verdana" w:eastAsia="Verdana" w:hAnsi="Verdana" w:cs="Verdana"/>
                <w:color w:val="000000"/>
                <w:sz w:val="16"/>
                <w:lang w:val="en-GB"/>
              </w:rPr>
              <w:t>Other movements</w:t>
            </w:r>
          </w:p>
        </w:tc>
        <w:tc>
          <w:tcPr>
            <w:tcW w:w="1558" w:type="dxa"/>
            <w:shd w:val="clear" w:color="auto" w:fill="auto"/>
            <w:tcMar>
              <w:top w:w="20" w:type="dxa"/>
              <w:left w:w="20" w:type="dxa"/>
              <w:bottom w:w="20" w:type="dxa"/>
              <w:right w:w="20" w:type="dxa"/>
            </w:tcMar>
          </w:tcPr>
          <w:p w14:paraId="770ED14A" w14:textId="4AB08A76" w:rsidR="00AC0BF5" w:rsidRPr="00232A5C" w:rsidRDefault="00232A5C" w:rsidP="00AC0BF5">
            <w:pPr>
              <w:pStyle w:val="T1TableStyle"/>
              <w:jc w:val="right"/>
              <w:rPr>
                <w:rFonts w:ascii="Verdana" w:eastAsia="Verdana" w:hAnsi="Verdana" w:cs="Verdana"/>
                <w:color w:val="000000"/>
                <w:sz w:val="16"/>
                <w:lang w:val="en-GB"/>
              </w:rPr>
            </w:pPr>
            <w:r w:rsidRPr="00232A5C">
              <w:rPr>
                <w:rFonts w:ascii="Verdana" w:eastAsia="Verdana" w:hAnsi="Verdana" w:cs="Verdana"/>
                <w:color w:val="000000"/>
                <w:sz w:val="16"/>
                <w:lang w:val="en-GB"/>
              </w:rPr>
              <w:t>1,</w:t>
            </w:r>
            <w:r w:rsidR="00D92091">
              <w:rPr>
                <w:rFonts w:ascii="Verdana" w:eastAsia="Verdana" w:hAnsi="Verdana" w:cs="Verdana"/>
                <w:color w:val="000000"/>
                <w:sz w:val="16"/>
                <w:lang w:val="en-GB"/>
              </w:rPr>
              <w:t>083</w:t>
            </w:r>
          </w:p>
        </w:tc>
      </w:tr>
      <w:tr w:rsidR="00AC0BF5" w:rsidRPr="00232A5C" w14:paraId="546DCE10" w14:textId="77777777" w:rsidTr="00B75010">
        <w:trPr>
          <w:trHeight w:val="331"/>
          <w:jc w:val="center"/>
        </w:trPr>
        <w:tc>
          <w:tcPr>
            <w:tcW w:w="1556" w:type="dxa"/>
            <w:tcBorders>
              <w:top w:val="single" w:sz="2" w:space="0" w:color="000000"/>
              <w:bottom w:val="single" w:sz="12" w:space="0" w:color="000000"/>
            </w:tcBorders>
            <w:shd w:val="clear" w:color="auto" w:fill="auto"/>
            <w:tcMar>
              <w:top w:w="20" w:type="dxa"/>
              <w:left w:w="20" w:type="dxa"/>
              <w:bottom w:w="20" w:type="dxa"/>
              <w:right w:w="20" w:type="dxa"/>
            </w:tcMar>
          </w:tcPr>
          <w:p w14:paraId="60B94B45" w14:textId="77777777" w:rsidR="00AC0BF5" w:rsidRPr="00232A5C" w:rsidRDefault="00AC0BF5" w:rsidP="00AC0BF5">
            <w:pPr>
              <w:pStyle w:val="T1TableStyle"/>
              <w:jc w:val="right"/>
              <w:rPr>
                <w:rFonts w:ascii="Verdana" w:eastAsia="Verdana" w:hAnsi="Verdana" w:cs="Verdana"/>
                <w:b/>
                <w:color w:val="000000"/>
                <w:sz w:val="16"/>
                <w:lang w:val="en-GB"/>
              </w:rPr>
            </w:pPr>
            <w:r w:rsidRPr="00232A5C">
              <w:rPr>
                <w:rFonts w:ascii="Verdana" w:eastAsia="Verdana" w:hAnsi="Verdana" w:cs="Verdana"/>
                <w:b/>
                <w:color w:val="000000"/>
                <w:sz w:val="16"/>
                <w:lang w:val="en-GB"/>
              </w:rPr>
              <w:t>(2,946)</w:t>
            </w:r>
          </w:p>
        </w:tc>
        <w:tc>
          <w:tcPr>
            <w:tcW w:w="209" w:type="dxa"/>
            <w:tcBorders>
              <w:top w:val="single" w:sz="2" w:space="0" w:color="000000"/>
              <w:bottom w:val="single" w:sz="12" w:space="0" w:color="000000"/>
            </w:tcBorders>
            <w:shd w:val="clear" w:color="auto" w:fill="auto"/>
            <w:tcMar>
              <w:top w:w="20" w:type="dxa"/>
              <w:left w:w="20" w:type="dxa"/>
              <w:bottom w:w="20" w:type="dxa"/>
              <w:right w:w="20" w:type="dxa"/>
            </w:tcMar>
          </w:tcPr>
          <w:p w14:paraId="3F898E8D" w14:textId="77777777" w:rsidR="00AC0BF5" w:rsidRPr="00232A5C" w:rsidRDefault="00AC0BF5" w:rsidP="00AC0BF5">
            <w:pPr>
              <w:pStyle w:val="T1TableStyle"/>
              <w:jc w:val="center"/>
              <w:rPr>
                <w:rFonts w:ascii="Verdana" w:eastAsia="Verdana" w:hAnsi="Verdana" w:cs="Verdana"/>
                <w:b/>
                <w:color w:val="000000"/>
                <w:sz w:val="2"/>
                <w:lang w:val="en-GB"/>
              </w:rPr>
            </w:pPr>
            <w:r w:rsidRPr="00232A5C">
              <w:rPr>
                <w:rFonts w:ascii="Verdana" w:eastAsia="Verdana" w:hAnsi="Verdana" w:cs="Verdana"/>
                <w:b/>
                <w:color w:val="000000"/>
                <w:sz w:val="2"/>
                <w:lang w:val="en-GB"/>
              </w:rPr>
              <w:t xml:space="preserve"> </w:t>
            </w:r>
          </w:p>
        </w:tc>
        <w:tc>
          <w:tcPr>
            <w:tcW w:w="3760" w:type="dxa"/>
            <w:tcBorders>
              <w:top w:val="single" w:sz="2" w:space="0" w:color="000000"/>
              <w:bottom w:val="single" w:sz="12" w:space="0" w:color="000000"/>
            </w:tcBorders>
            <w:shd w:val="clear" w:color="auto" w:fill="auto"/>
            <w:tcMar>
              <w:top w:w="20" w:type="dxa"/>
              <w:left w:w="20" w:type="dxa"/>
              <w:bottom w:w="20" w:type="dxa"/>
              <w:right w:w="20" w:type="dxa"/>
            </w:tcMar>
          </w:tcPr>
          <w:p w14:paraId="1B2E9410" w14:textId="77777777" w:rsidR="00AC0BF5" w:rsidRPr="00232A5C" w:rsidRDefault="00AC0BF5" w:rsidP="00AC0BF5">
            <w:pPr>
              <w:pStyle w:val="T1TableStyle"/>
              <w:rPr>
                <w:rFonts w:ascii="Verdana" w:eastAsia="Verdana" w:hAnsi="Verdana" w:cs="Verdana"/>
                <w:b/>
                <w:color w:val="000000"/>
                <w:sz w:val="16"/>
                <w:lang w:val="en-GB"/>
              </w:rPr>
            </w:pPr>
            <w:r w:rsidRPr="00232A5C">
              <w:rPr>
                <w:rFonts w:ascii="Verdana" w:eastAsia="Verdana" w:hAnsi="Verdana" w:cs="Verdana"/>
                <w:b/>
                <w:color w:val="000000"/>
                <w:sz w:val="16"/>
                <w:lang w:val="en-GB"/>
              </w:rPr>
              <w:t xml:space="preserve">Balance 31 March </w:t>
            </w:r>
          </w:p>
        </w:tc>
        <w:tc>
          <w:tcPr>
            <w:tcW w:w="1558" w:type="dxa"/>
            <w:tcBorders>
              <w:top w:val="single" w:sz="2" w:space="0" w:color="000000"/>
              <w:bottom w:val="single" w:sz="12" w:space="0" w:color="000000"/>
            </w:tcBorders>
            <w:shd w:val="clear" w:color="auto" w:fill="auto"/>
            <w:tcMar>
              <w:top w:w="20" w:type="dxa"/>
              <w:left w:w="20" w:type="dxa"/>
              <w:bottom w:w="20" w:type="dxa"/>
              <w:right w:w="20" w:type="dxa"/>
            </w:tcMar>
          </w:tcPr>
          <w:p w14:paraId="64F2DF4F" w14:textId="71BCBA5D" w:rsidR="00AC0BF5" w:rsidRPr="00232A5C" w:rsidRDefault="00232A5C" w:rsidP="00AC0BF5">
            <w:pPr>
              <w:pStyle w:val="T1TableStyle"/>
              <w:jc w:val="right"/>
              <w:rPr>
                <w:rFonts w:ascii="Verdana" w:eastAsia="Verdana" w:hAnsi="Verdana" w:cs="Verdana"/>
                <w:b/>
                <w:color w:val="000000"/>
                <w:sz w:val="16"/>
                <w:lang w:val="en-GB"/>
              </w:rPr>
            </w:pPr>
            <w:r w:rsidRPr="00232A5C">
              <w:rPr>
                <w:rFonts w:ascii="Verdana" w:eastAsia="Verdana" w:hAnsi="Verdana" w:cs="Verdana"/>
                <w:b/>
                <w:color w:val="000000"/>
                <w:sz w:val="16"/>
                <w:lang w:val="en-GB"/>
              </w:rPr>
              <w:t>(1,</w:t>
            </w:r>
            <w:r w:rsidR="00D92091">
              <w:rPr>
                <w:rFonts w:ascii="Verdana" w:eastAsia="Verdana" w:hAnsi="Verdana" w:cs="Verdana"/>
                <w:b/>
                <w:color w:val="000000"/>
                <w:sz w:val="16"/>
                <w:lang w:val="en-GB"/>
              </w:rPr>
              <w:t>863</w:t>
            </w:r>
            <w:r w:rsidRPr="00232A5C">
              <w:rPr>
                <w:rFonts w:ascii="Verdana" w:eastAsia="Verdana" w:hAnsi="Verdana" w:cs="Verdana"/>
                <w:b/>
                <w:color w:val="000000"/>
                <w:sz w:val="16"/>
                <w:lang w:val="en-GB"/>
              </w:rPr>
              <w:t>)</w:t>
            </w:r>
          </w:p>
        </w:tc>
      </w:tr>
    </w:tbl>
    <w:p w14:paraId="13871907" w14:textId="77777777" w:rsidR="00CA6653" w:rsidRPr="00232A5C" w:rsidRDefault="00CA6653">
      <w:pPr>
        <w:pStyle w:val="T1TableStyle"/>
        <w:rPr>
          <w:rFonts w:ascii="Verdana" w:eastAsia="Verdana" w:hAnsi="Verdana" w:cs="Verdana"/>
          <w:sz w:val="22"/>
          <w:lang w:val="en-GB"/>
        </w:rPr>
      </w:pPr>
    </w:p>
    <w:p w14:paraId="40D7D385" w14:textId="7B1E006E" w:rsidR="00CA6653" w:rsidRPr="00232A5C" w:rsidRDefault="00770470" w:rsidP="00CA4917">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The Capital Grants Unapplied</w:t>
      </w:r>
      <w:r w:rsidR="00CA6653" w:rsidRPr="00232A5C">
        <w:rPr>
          <w:rFonts w:ascii="Verdana" w:eastAsia="Verdana" w:hAnsi="Verdana" w:cs="Verdana"/>
          <w:sz w:val="22"/>
          <w:szCs w:val="22"/>
          <w:lang w:val="en-GB"/>
        </w:rPr>
        <w:t xml:space="preserve"> balance represents capital grants or contributions that have been recognised as income in the Comprehensive Income and Expenditure Statement, but the expenditure to be financed from those grants or contributions has not been incurred.</w:t>
      </w:r>
    </w:p>
    <w:p w14:paraId="01CA38FE" w14:textId="77777777" w:rsidR="00CA6653" w:rsidRPr="00982F9F" w:rsidRDefault="00CA6653" w:rsidP="00A31A9E">
      <w:pPr>
        <w:pStyle w:val="Heading1"/>
      </w:pPr>
      <w:bookmarkStart w:id="35" w:name="_Toc75122788"/>
      <w:r w:rsidRPr="006D7DD5">
        <w:t xml:space="preserve">Note </w:t>
      </w:r>
      <w:r w:rsidR="00502D6C" w:rsidRPr="006D7DD5">
        <w:t>20</w:t>
      </w:r>
      <w:r w:rsidRPr="006D7DD5">
        <w:t xml:space="preserve"> - Unusable Reserves</w:t>
      </w:r>
      <w:bookmarkEnd w:id="35"/>
      <w:r w:rsidRPr="006D7DD5">
        <w:t xml:space="preserve"> </w:t>
      </w:r>
    </w:p>
    <w:tbl>
      <w:tblPr>
        <w:tblW w:w="9937" w:type="dxa"/>
        <w:jc w:val="center"/>
        <w:tblLook w:val="04A0" w:firstRow="1" w:lastRow="0" w:firstColumn="1" w:lastColumn="0" w:noHBand="0" w:noVBand="1"/>
      </w:tblPr>
      <w:tblGrid>
        <w:gridCol w:w="2014"/>
        <w:gridCol w:w="1231"/>
        <w:gridCol w:w="3550"/>
        <w:gridCol w:w="2014"/>
        <w:gridCol w:w="1583"/>
      </w:tblGrid>
      <w:tr w:rsidR="004D417B" w:rsidRPr="00982F9F" w14:paraId="6B675B04" w14:textId="77777777" w:rsidTr="006D7DD5">
        <w:trPr>
          <w:trHeight w:val="124"/>
          <w:jc w:val="center"/>
        </w:trPr>
        <w:tc>
          <w:tcPr>
            <w:tcW w:w="3245" w:type="dxa"/>
            <w:gridSpan w:val="2"/>
            <w:tcBorders>
              <w:top w:val="nil"/>
              <w:left w:val="nil"/>
              <w:bottom w:val="nil"/>
              <w:right w:val="nil"/>
            </w:tcBorders>
            <w:shd w:val="clear" w:color="000000" w:fill="FFFFFF"/>
            <w:noWrap/>
            <w:vAlign w:val="bottom"/>
            <w:hideMark/>
          </w:tcPr>
          <w:p w14:paraId="45F908A4" w14:textId="77777777" w:rsidR="00CA6653" w:rsidRPr="00982F9F" w:rsidRDefault="00CA6653" w:rsidP="00C11645">
            <w:pPr>
              <w:pStyle w:val="Normal0"/>
              <w:spacing w:line="240" w:lineRule="auto"/>
              <w:jc w:val="center"/>
              <w:rPr>
                <w:rFonts w:ascii="Verdana" w:eastAsia="Times New Roman" w:hAnsi="Verdana" w:cs="Calibri"/>
                <w:b/>
                <w:bCs/>
                <w:color w:val="000000"/>
                <w:sz w:val="16"/>
                <w:szCs w:val="16"/>
                <w:lang w:eastAsia="en-GB"/>
              </w:rPr>
            </w:pPr>
            <w:r w:rsidRPr="00982F9F">
              <w:rPr>
                <w:rFonts w:ascii="Verdana" w:eastAsia="Times New Roman" w:hAnsi="Verdana" w:cs="Calibri"/>
                <w:b/>
                <w:bCs/>
                <w:color w:val="000000"/>
                <w:sz w:val="16"/>
                <w:szCs w:val="16"/>
                <w:lang w:eastAsia="en-GB"/>
              </w:rPr>
              <w:t>31 March 20</w:t>
            </w:r>
            <w:r w:rsidR="00C11645" w:rsidRPr="00982F9F">
              <w:rPr>
                <w:rFonts w:ascii="Verdana" w:eastAsia="Times New Roman" w:hAnsi="Verdana" w:cs="Calibri"/>
                <w:b/>
                <w:bCs/>
                <w:color w:val="000000"/>
                <w:sz w:val="16"/>
                <w:szCs w:val="16"/>
                <w:lang w:eastAsia="en-GB"/>
              </w:rPr>
              <w:t>20</w:t>
            </w:r>
          </w:p>
        </w:tc>
        <w:tc>
          <w:tcPr>
            <w:tcW w:w="3550" w:type="dxa"/>
            <w:tcBorders>
              <w:top w:val="nil"/>
              <w:left w:val="nil"/>
              <w:bottom w:val="nil"/>
              <w:right w:val="nil"/>
            </w:tcBorders>
            <w:shd w:val="clear" w:color="000000" w:fill="FFFFFF"/>
            <w:noWrap/>
            <w:vAlign w:val="bottom"/>
            <w:hideMark/>
          </w:tcPr>
          <w:p w14:paraId="7DCD6766" w14:textId="77777777" w:rsidR="00CA6653" w:rsidRPr="00982F9F" w:rsidRDefault="00CA6653" w:rsidP="00CA6653">
            <w:pPr>
              <w:pStyle w:val="Normal0"/>
              <w:spacing w:line="240" w:lineRule="auto"/>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 </w:t>
            </w:r>
          </w:p>
        </w:tc>
        <w:tc>
          <w:tcPr>
            <w:tcW w:w="3142" w:type="dxa"/>
            <w:gridSpan w:val="2"/>
            <w:tcBorders>
              <w:top w:val="nil"/>
              <w:left w:val="nil"/>
              <w:bottom w:val="nil"/>
              <w:right w:val="nil"/>
            </w:tcBorders>
            <w:shd w:val="clear" w:color="000000" w:fill="FFFFFF"/>
            <w:noWrap/>
            <w:vAlign w:val="bottom"/>
            <w:hideMark/>
          </w:tcPr>
          <w:p w14:paraId="4C04B382" w14:textId="77777777" w:rsidR="00CA6653" w:rsidRPr="00982F9F" w:rsidRDefault="00CA6653" w:rsidP="00C11645">
            <w:pPr>
              <w:pStyle w:val="Normal0"/>
              <w:spacing w:line="240" w:lineRule="auto"/>
              <w:jc w:val="center"/>
              <w:rPr>
                <w:rFonts w:ascii="Verdana" w:eastAsia="Times New Roman" w:hAnsi="Verdana" w:cs="Calibri"/>
                <w:b/>
                <w:bCs/>
                <w:color w:val="000000"/>
                <w:sz w:val="16"/>
                <w:szCs w:val="16"/>
                <w:lang w:eastAsia="en-GB"/>
              </w:rPr>
            </w:pPr>
            <w:r w:rsidRPr="00982F9F">
              <w:rPr>
                <w:rFonts w:ascii="Verdana" w:eastAsia="Times New Roman" w:hAnsi="Verdana" w:cs="Calibri"/>
                <w:b/>
                <w:bCs/>
                <w:color w:val="000000"/>
                <w:sz w:val="16"/>
                <w:szCs w:val="16"/>
                <w:lang w:eastAsia="en-GB"/>
              </w:rPr>
              <w:t>31 March 20</w:t>
            </w:r>
            <w:r w:rsidR="000775C0" w:rsidRPr="00982F9F">
              <w:rPr>
                <w:rFonts w:ascii="Verdana" w:eastAsia="Times New Roman" w:hAnsi="Verdana" w:cs="Calibri"/>
                <w:b/>
                <w:bCs/>
                <w:color w:val="000000"/>
                <w:sz w:val="16"/>
                <w:szCs w:val="16"/>
                <w:lang w:eastAsia="en-GB"/>
              </w:rPr>
              <w:t>2</w:t>
            </w:r>
            <w:r w:rsidR="00C11645" w:rsidRPr="00982F9F">
              <w:rPr>
                <w:rFonts w:ascii="Verdana" w:eastAsia="Times New Roman" w:hAnsi="Verdana" w:cs="Calibri"/>
                <w:b/>
                <w:bCs/>
                <w:color w:val="000000"/>
                <w:sz w:val="16"/>
                <w:szCs w:val="16"/>
                <w:lang w:eastAsia="en-GB"/>
              </w:rPr>
              <w:t>1</w:t>
            </w:r>
          </w:p>
        </w:tc>
      </w:tr>
      <w:tr w:rsidR="004D417B" w:rsidRPr="00982F9F" w14:paraId="3AFE0DD6" w14:textId="77777777" w:rsidTr="006D7DD5">
        <w:trPr>
          <w:trHeight w:val="124"/>
          <w:jc w:val="center"/>
        </w:trPr>
        <w:tc>
          <w:tcPr>
            <w:tcW w:w="2014" w:type="dxa"/>
            <w:tcBorders>
              <w:top w:val="nil"/>
              <w:left w:val="nil"/>
              <w:bottom w:val="nil"/>
              <w:right w:val="nil"/>
            </w:tcBorders>
            <w:shd w:val="clear" w:color="000000" w:fill="FFFFFF"/>
            <w:noWrap/>
            <w:vAlign w:val="bottom"/>
            <w:hideMark/>
          </w:tcPr>
          <w:p w14:paraId="771B8BA8" w14:textId="77777777" w:rsidR="00CA6653" w:rsidRPr="00982F9F"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982F9F">
              <w:rPr>
                <w:rFonts w:ascii="Verdana" w:eastAsia="Times New Roman" w:hAnsi="Verdana" w:cs="Calibri"/>
                <w:b/>
                <w:bCs/>
                <w:color w:val="000000"/>
                <w:sz w:val="16"/>
                <w:szCs w:val="16"/>
                <w:lang w:eastAsia="en-GB"/>
              </w:rPr>
              <w:t>PCC</w:t>
            </w:r>
          </w:p>
        </w:tc>
        <w:tc>
          <w:tcPr>
            <w:tcW w:w="1231" w:type="dxa"/>
            <w:tcBorders>
              <w:top w:val="nil"/>
              <w:left w:val="nil"/>
              <w:bottom w:val="nil"/>
              <w:right w:val="nil"/>
            </w:tcBorders>
            <w:shd w:val="clear" w:color="000000" w:fill="FFFFFF"/>
            <w:noWrap/>
            <w:vAlign w:val="bottom"/>
            <w:hideMark/>
          </w:tcPr>
          <w:p w14:paraId="76C998C0" w14:textId="77777777" w:rsidR="00CA6653" w:rsidRPr="00982F9F"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982F9F">
              <w:rPr>
                <w:rFonts w:ascii="Verdana" w:eastAsia="Times New Roman" w:hAnsi="Verdana" w:cs="Calibri"/>
                <w:b/>
                <w:bCs/>
                <w:color w:val="000000"/>
                <w:sz w:val="16"/>
                <w:szCs w:val="16"/>
                <w:lang w:eastAsia="en-GB"/>
              </w:rPr>
              <w:t>Group</w:t>
            </w:r>
          </w:p>
        </w:tc>
        <w:tc>
          <w:tcPr>
            <w:tcW w:w="3550" w:type="dxa"/>
            <w:tcBorders>
              <w:top w:val="nil"/>
              <w:left w:val="nil"/>
              <w:bottom w:val="nil"/>
              <w:right w:val="nil"/>
            </w:tcBorders>
            <w:shd w:val="clear" w:color="000000" w:fill="FFFFFF"/>
            <w:noWrap/>
            <w:vAlign w:val="bottom"/>
            <w:hideMark/>
          </w:tcPr>
          <w:p w14:paraId="2EF5ED2B" w14:textId="7443FA0B" w:rsidR="00CA6653" w:rsidRPr="00982F9F"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982F9F">
              <w:rPr>
                <w:rFonts w:ascii="Verdana" w:eastAsia="Times New Roman" w:hAnsi="Verdana" w:cs="Calibri"/>
                <w:b/>
                <w:bCs/>
                <w:color w:val="000000"/>
                <w:sz w:val="16"/>
                <w:szCs w:val="16"/>
                <w:lang w:eastAsia="en-GB"/>
              </w:rPr>
              <w:t> </w:t>
            </w:r>
            <w:r w:rsidR="006D7DD5">
              <w:rPr>
                <w:rFonts w:ascii="Verdana" w:eastAsia="Times New Roman" w:hAnsi="Verdana" w:cs="Calibri"/>
                <w:b/>
                <w:bCs/>
                <w:color w:val="000000"/>
                <w:sz w:val="16"/>
                <w:szCs w:val="16"/>
                <w:lang w:eastAsia="en-GB"/>
              </w:rPr>
              <w:t>Unusable Reserves</w:t>
            </w:r>
          </w:p>
        </w:tc>
        <w:tc>
          <w:tcPr>
            <w:tcW w:w="2014" w:type="dxa"/>
            <w:tcBorders>
              <w:top w:val="nil"/>
              <w:left w:val="nil"/>
              <w:bottom w:val="nil"/>
              <w:right w:val="nil"/>
            </w:tcBorders>
            <w:shd w:val="clear" w:color="000000" w:fill="FFFFFF"/>
            <w:noWrap/>
            <w:vAlign w:val="bottom"/>
            <w:hideMark/>
          </w:tcPr>
          <w:p w14:paraId="2B98685C" w14:textId="77777777" w:rsidR="00CA6653" w:rsidRPr="00982F9F"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982F9F">
              <w:rPr>
                <w:rFonts w:ascii="Verdana" w:eastAsia="Times New Roman" w:hAnsi="Verdana" w:cs="Calibri"/>
                <w:b/>
                <w:bCs/>
                <w:color w:val="000000"/>
                <w:sz w:val="16"/>
                <w:szCs w:val="16"/>
                <w:lang w:eastAsia="en-GB"/>
              </w:rPr>
              <w:t>PCC</w:t>
            </w:r>
          </w:p>
        </w:tc>
        <w:tc>
          <w:tcPr>
            <w:tcW w:w="1128" w:type="dxa"/>
            <w:tcBorders>
              <w:top w:val="nil"/>
              <w:left w:val="nil"/>
              <w:bottom w:val="nil"/>
              <w:right w:val="nil"/>
            </w:tcBorders>
            <w:shd w:val="clear" w:color="000000" w:fill="FFFFFF"/>
            <w:noWrap/>
            <w:vAlign w:val="bottom"/>
            <w:hideMark/>
          </w:tcPr>
          <w:p w14:paraId="10E84DD1" w14:textId="77777777" w:rsidR="00CA6653" w:rsidRPr="00982F9F"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982F9F">
              <w:rPr>
                <w:rFonts w:ascii="Verdana" w:eastAsia="Times New Roman" w:hAnsi="Verdana" w:cs="Calibri"/>
                <w:b/>
                <w:bCs/>
                <w:color w:val="000000"/>
                <w:sz w:val="16"/>
                <w:szCs w:val="16"/>
                <w:lang w:eastAsia="en-GB"/>
              </w:rPr>
              <w:t>Group</w:t>
            </w:r>
          </w:p>
        </w:tc>
      </w:tr>
      <w:tr w:rsidR="004D417B" w:rsidRPr="003516A4" w14:paraId="178A3020" w14:textId="77777777" w:rsidTr="006D7DD5">
        <w:trPr>
          <w:trHeight w:val="124"/>
          <w:jc w:val="center"/>
        </w:trPr>
        <w:tc>
          <w:tcPr>
            <w:tcW w:w="2014" w:type="dxa"/>
            <w:tcBorders>
              <w:top w:val="nil"/>
              <w:left w:val="nil"/>
              <w:bottom w:val="single" w:sz="4" w:space="0" w:color="auto"/>
              <w:right w:val="nil"/>
            </w:tcBorders>
            <w:shd w:val="clear" w:color="000000" w:fill="FFFFFF"/>
            <w:noWrap/>
            <w:vAlign w:val="bottom"/>
            <w:hideMark/>
          </w:tcPr>
          <w:p w14:paraId="3F65AC73" w14:textId="77777777" w:rsidR="00CA6653" w:rsidRPr="00982F9F"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982F9F">
              <w:rPr>
                <w:rFonts w:ascii="Verdana" w:eastAsia="Times New Roman" w:hAnsi="Verdana" w:cs="Calibri"/>
                <w:b/>
                <w:bCs/>
                <w:color w:val="000000"/>
                <w:sz w:val="16"/>
                <w:szCs w:val="16"/>
                <w:lang w:eastAsia="en-GB"/>
              </w:rPr>
              <w:t>£000</w:t>
            </w:r>
          </w:p>
        </w:tc>
        <w:tc>
          <w:tcPr>
            <w:tcW w:w="1231" w:type="dxa"/>
            <w:tcBorders>
              <w:top w:val="nil"/>
              <w:left w:val="nil"/>
              <w:bottom w:val="single" w:sz="4" w:space="0" w:color="auto"/>
              <w:right w:val="nil"/>
            </w:tcBorders>
            <w:shd w:val="clear" w:color="000000" w:fill="FFFFFF"/>
            <w:noWrap/>
            <w:vAlign w:val="bottom"/>
            <w:hideMark/>
          </w:tcPr>
          <w:p w14:paraId="3A958C39" w14:textId="77777777" w:rsidR="00CA6653" w:rsidRPr="00982F9F"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982F9F">
              <w:rPr>
                <w:rFonts w:ascii="Verdana" w:eastAsia="Times New Roman" w:hAnsi="Verdana" w:cs="Calibri"/>
                <w:b/>
                <w:bCs/>
                <w:color w:val="000000"/>
                <w:sz w:val="16"/>
                <w:szCs w:val="16"/>
                <w:lang w:eastAsia="en-GB"/>
              </w:rPr>
              <w:t>£000</w:t>
            </w:r>
          </w:p>
        </w:tc>
        <w:tc>
          <w:tcPr>
            <w:tcW w:w="3550" w:type="dxa"/>
            <w:tcBorders>
              <w:top w:val="nil"/>
              <w:left w:val="nil"/>
              <w:bottom w:val="single" w:sz="4" w:space="0" w:color="auto"/>
              <w:right w:val="nil"/>
            </w:tcBorders>
            <w:shd w:val="clear" w:color="000000" w:fill="FFFFFF"/>
            <w:noWrap/>
            <w:vAlign w:val="bottom"/>
            <w:hideMark/>
          </w:tcPr>
          <w:p w14:paraId="16313562" w14:textId="77777777" w:rsidR="00CA6653" w:rsidRPr="00982F9F"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982F9F">
              <w:rPr>
                <w:rFonts w:ascii="Verdana" w:eastAsia="Times New Roman" w:hAnsi="Verdana" w:cs="Calibri"/>
                <w:b/>
                <w:bCs/>
                <w:color w:val="000000"/>
                <w:sz w:val="16"/>
                <w:szCs w:val="16"/>
                <w:lang w:eastAsia="en-GB"/>
              </w:rPr>
              <w:t> </w:t>
            </w:r>
          </w:p>
        </w:tc>
        <w:tc>
          <w:tcPr>
            <w:tcW w:w="2014" w:type="dxa"/>
            <w:tcBorders>
              <w:top w:val="nil"/>
              <w:left w:val="nil"/>
              <w:bottom w:val="single" w:sz="4" w:space="0" w:color="auto"/>
              <w:right w:val="nil"/>
            </w:tcBorders>
            <w:shd w:val="clear" w:color="000000" w:fill="FFFFFF"/>
            <w:noWrap/>
            <w:vAlign w:val="bottom"/>
            <w:hideMark/>
          </w:tcPr>
          <w:p w14:paraId="78D9BFCC" w14:textId="77777777" w:rsidR="00CA6653" w:rsidRPr="00982F9F"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982F9F">
              <w:rPr>
                <w:rFonts w:ascii="Verdana" w:eastAsia="Times New Roman" w:hAnsi="Verdana" w:cs="Calibri"/>
                <w:b/>
                <w:bCs/>
                <w:color w:val="000000"/>
                <w:sz w:val="16"/>
                <w:szCs w:val="16"/>
                <w:lang w:eastAsia="en-GB"/>
              </w:rPr>
              <w:t>£000</w:t>
            </w:r>
          </w:p>
        </w:tc>
        <w:tc>
          <w:tcPr>
            <w:tcW w:w="1128" w:type="dxa"/>
            <w:tcBorders>
              <w:top w:val="nil"/>
              <w:left w:val="nil"/>
              <w:bottom w:val="single" w:sz="4" w:space="0" w:color="auto"/>
              <w:right w:val="nil"/>
            </w:tcBorders>
            <w:shd w:val="clear" w:color="000000" w:fill="FFFFFF"/>
            <w:noWrap/>
            <w:vAlign w:val="bottom"/>
            <w:hideMark/>
          </w:tcPr>
          <w:p w14:paraId="549FF516" w14:textId="77777777" w:rsidR="00CA6653" w:rsidRPr="00982F9F"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982F9F">
              <w:rPr>
                <w:rFonts w:ascii="Verdana" w:eastAsia="Times New Roman" w:hAnsi="Verdana" w:cs="Calibri"/>
                <w:b/>
                <w:bCs/>
                <w:color w:val="000000"/>
                <w:sz w:val="16"/>
                <w:szCs w:val="16"/>
                <w:lang w:eastAsia="en-GB"/>
              </w:rPr>
              <w:t>£000</w:t>
            </w:r>
          </w:p>
        </w:tc>
      </w:tr>
      <w:tr w:rsidR="004D417B" w:rsidRPr="003516A4" w14:paraId="3E93F633" w14:textId="77777777" w:rsidTr="006D7DD5">
        <w:trPr>
          <w:trHeight w:val="48"/>
          <w:jc w:val="center"/>
        </w:trPr>
        <w:tc>
          <w:tcPr>
            <w:tcW w:w="2014" w:type="dxa"/>
            <w:tcBorders>
              <w:top w:val="nil"/>
              <w:left w:val="nil"/>
              <w:bottom w:val="nil"/>
              <w:right w:val="nil"/>
            </w:tcBorders>
            <w:shd w:val="clear" w:color="000000" w:fill="FFFFFF"/>
            <w:noWrap/>
            <w:vAlign w:val="bottom"/>
            <w:hideMark/>
          </w:tcPr>
          <w:p w14:paraId="2B64FB04" w14:textId="77777777" w:rsidR="00CA6653" w:rsidRPr="00982F9F" w:rsidRDefault="00CA6653" w:rsidP="00CA6653">
            <w:pPr>
              <w:pStyle w:val="Normal0"/>
              <w:spacing w:line="240" w:lineRule="auto"/>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 </w:t>
            </w:r>
          </w:p>
        </w:tc>
        <w:tc>
          <w:tcPr>
            <w:tcW w:w="1231" w:type="dxa"/>
            <w:tcBorders>
              <w:top w:val="nil"/>
              <w:left w:val="nil"/>
              <w:bottom w:val="nil"/>
              <w:right w:val="nil"/>
            </w:tcBorders>
            <w:shd w:val="clear" w:color="000000" w:fill="FFFFFF"/>
            <w:noWrap/>
            <w:vAlign w:val="bottom"/>
            <w:hideMark/>
          </w:tcPr>
          <w:p w14:paraId="5BFE958E" w14:textId="77777777" w:rsidR="00CA6653" w:rsidRPr="00982F9F" w:rsidRDefault="00CA6653" w:rsidP="00CA6653">
            <w:pPr>
              <w:pStyle w:val="Normal0"/>
              <w:spacing w:line="240" w:lineRule="auto"/>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 </w:t>
            </w:r>
          </w:p>
        </w:tc>
        <w:tc>
          <w:tcPr>
            <w:tcW w:w="3550" w:type="dxa"/>
            <w:tcBorders>
              <w:top w:val="nil"/>
              <w:left w:val="nil"/>
              <w:bottom w:val="nil"/>
              <w:right w:val="nil"/>
            </w:tcBorders>
            <w:shd w:val="clear" w:color="000000" w:fill="FFFFFF"/>
            <w:noWrap/>
            <w:vAlign w:val="bottom"/>
            <w:hideMark/>
          </w:tcPr>
          <w:p w14:paraId="50BC3EE7" w14:textId="77777777" w:rsidR="00CA6653" w:rsidRPr="00982F9F" w:rsidRDefault="00CA6653" w:rsidP="00CA6653">
            <w:pPr>
              <w:pStyle w:val="Normal0"/>
              <w:spacing w:line="240" w:lineRule="auto"/>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 </w:t>
            </w:r>
          </w:p>
        </w:tc>
        <w:tc>
          <w:tcPr>
            <w:tcW w:w="2014" w:type="dxa"/>
            <w:tcBorders>
              <w:top w:val="nil"/>
              <w:left w:val="nil"/>
              <w:bottom w:val="nil"/>
              <w:right w:val="nil"/>
            </w:tcBorders>
            <w:shd w:val="clear" w:color="000000" w:fill="FFFFFF"/>
            <w:noWrap/>
            <w:vAlign w:val="bottom"/>
            <w:hideMark/>
          </w:tcPr>
          <w:p w14:paraId="60C60759" w14:textId="77777777" w:rsidR="00CA6653" w:rsidRPr="00982F9F" w:rsidRDefault="00CA6653" w:rsidP="00CA6653">
            <w:pPr>
              <w:pStyle w:val="Normal0"/>
              <w:spacing w:line="240" w:lineRule="auto"/>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 </w:t>
            </w:r>
          </w:p>
        </w:tc>
        <w:tc>
          <w:tcPr>
            <w:tcW w:w="1128" w:type="dxa"/>
            <w:tcBorders>
              <w:top w:val="nil"/>
              <w:left w:val="nil"/>
              <w:bottom w:val="nil"/>
              <w:right w:val="nil"/>
            </w:tcBorders>
            <w:shd w:val="clear" w:color="000000" w:fill="FFFFFF"/>
            <w:noWrap/>
            <w:vAlign w:val="bottom"/>
            <w:hideMark/>
          </w:tcPr>
          <w:p w14:paraId="2814BC99" w14:textId="77777777" w:rsidR="00CA6653" w:rsidRPr="00982F9F" w:rsidRDefault="00CA6653" w:rsidP="00CA6653">
            <w:pPr>
              <w:pStyle w:val="Normal0"/>
              <w:spacing w:line="240" w:lineRule="auto"/>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 </w:t>
            </w:r>
          </w:p>
        </w:tc>
      </w:tr>
      <w:tr w:rsidR="002174FD" w:rsidRPr="003516A4" w14:paraId="3D8FF18E" w14:textId="77777777" w:rsidTr="006D7DD5">
        <w:trPr>
          <w:trHeight w:val="124"/>
          <w:jc w:val="center"/>
        </w:trPr>
        <w:tc>
          <w:tcPr>
            <w:tcW w:w="2014" w:type="dxa"/>
            <w:tcBorders>
              <w:top w:val="nil"/>
              <w:left w:val="nil"/>
              <w:bottom w:val="nil"/>
              <w:right w:val="nil"/>
            </w:tcBorders>
            <w:shd w:val="clear" w:color="000000" w:fill="FFFFFF"/>
            <w:noWrap/>
            <w:vAlign w:val="bottom"/>
            <w:hideMark/>
          </w:tcPr>
          <w:p w14:paraId="4D58DA58" w14:textId="77777777" w:rsidR="002174FD" w:rsidRPr="00982F9F" w:rsidRDefault="002174FD" w:rsidP="002174FD">
            <w:pPr>
              <w:pStyle w:val="Normal0"/>
              <w:spacing w:line="240" w:lineRule="auto"/>
              <w:jc w:val="right"/>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(45,005)</w:t>
            </w:r>
          </w:p>
        </w:tc>
        <w:tc>
          <w:tcPr>
            <w:tcW w:w="1231" w:type="dxa"/>
            <w:tcBorders>
              <w:top w:val="nil"/>
              <w:left w:val="nil"/>
              <w:bottom w:val="nil"/>
              <w:right w:val="nil"/>
            </w:tcBorders>
            <w:shd w:val="clear" w:color="000000" w:fill="FFFFFF"/>
            <w:noWrap/>
            <w:vAlign w:val="bottom"/>
            <w:hideMark/>
          </w:tcPr>
          <w:p w14:paraId="64BD374F" w14:textId="77777777" w:rsidR="002174FD" w:rsidRPr="00982F9F" w:rsidRDefault="002174FD" w:rsidP="002174FD">
            <w:pPr>
              <w:pStyle w:val="Normal0"/>
              <w:spacing w:line="240" w:lineRule="auto"/>
              <w:jc w:val="right"/>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(45,005)</w:t>
            </w:r>
          </w:p>
        </w:tc>
        <w:tc>
          <w:tcPr>
            <w:tcW w:w="3550" w:type="dxa"/>
            <w:tcBorders>
              <w:top w:val="nil"/>
              <w:left w:val="nil"/>
              <w:bottom w:val="nil"/>
              <w:right w:val="nil"/>
            </w:tcBorders>
            <w:shd w:val="clear" w:color="000000" w:fill="FFFFFF"/>
            <w:noWrap/>
            <w:vAlign w:val="bottom"/>
            <w:hideMark/>
          </w:tcPr>
          <w:p w14:paraId="49FFCDA1" w14:textId="77777777" w:rsidR="002174FD" w:rsidRPr="00982F9F" w:rsidRDefault="002174FD" w:rsidP="002174FD">
            <w:pPr>
              <w:pStyle w:val="Normal0"/>
              <w:spacing w:line="240" w:lineRule="auto"/>
              <w:ind w:firstLineChars="100" w:firstLine="160"/>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Revaluation Reserve</w:t>
            </w:r>
          </w:p>
        </w:tc>
        <w:tc>
          <w:tcPr>
            <w:tcW w:w="2014" w:type="dxa"/>
            <w:tcBorders>
              <w:top w:val="nil"/>
              <w:left w:val="nil"/>
              <w:bottom w:val="nil"/>
              <w:right w:val="nil"/>
            </w:tcBorders>
            <w:shd w:val="clear" w:color="000000" w:fill="FFFFFF"/>
            <w:noWrap/>
            <w:vAlign w:val="bottom"/>
          </w:tcPr>
          <w:p w14:paraId="758083F5" w14:textId="77777777" w:rsidR="002174FD" w:rsidRPr="006D7DD5" w:rsidRDefault="00982F9F" w:rsidP="002174FD">
            <w:pPr>
              <w:pStyle w:val="Normal0"/>
              <w:spacing w:line="240" w:lineRule="auto"/>
              <w:jc w:val="right"/>
              <w:rPr>
                <w:rFonts w:ascii="Verdana" w:eastAsia="Times New Roman" w:hAnsi="Verdana" w:cs="Calibri"/>
                <w:color w:val="000000"/>
                <w:sz w:val="16"/>
                <w:szCs w:val="16"/>
                <w:lang w:eastAsia="en-GB"/>
              </w:rPr>
            </w:pPr>
            <w:r w:rsidRPr="006D7DD5">
              <w:rPr>
                <w:rFonts w:ascii="Verdana" w:eastAsia="Times New Roman" w:hAnsi="Verdana" w:cs="Calibri"/>
                <w:color w:val="000000"/>
                <w:sz w:val="16"/>
                <w:szCs w:val="16"/>
                <w:lang w:eastAsia="en-GB"/>
              </w:rPr>
              <w:t>(43,960)</w:t>
            </w:r>
          </w:p>
        </w:tc>
        <w:tc>
          <w:tcPr>
            <w:tcW w:w="1128" w:type="dxa"/>
            <w:tcBorders>
              <w:top w:val="nil"/>
              <w:left w:val="nil"/>
              <w:bottom w:val="nil"/>
              <w:right w:val="nil"/>
            </w:tcBorders>
            <w:shd w:val="clear" w:color="000000" w:fill="FFFFFF"/>
            <w:noWrap/>
            <w:vAlign w:val="bottom"/>
          </w:tcPr>
          <w:p w14:paraId="5E53527A" w14:textId="77777777" w:rsidR="002174FD" w:rsidRPr="006D7DD5" w:rsidRDefault="00982F9F" w:rsidP="002174FD">
            <w:pPr>
              <w:pStyle w:val="Normal0"/>
              <w:spacing w:line="240" w:lineRule="auto"/>
              <w:jc w:val="right"/>
              <w:rPr>
                <w:rFonts w:ascii="Verdana" w:eastAsia="Times New Roman" w:hAnsi="Verdana" w:cs="Calibri"/>
                <w:color w:val="000000"/>
                <w:sz w:val="16"/>
                <w:szCs w:val="16"/>
                <w:lang w:eastAsia="en-GB"/>
              </w:rPr>
            </w:pPr>
            <w:r w:rsidRPr="006D7DD5">
              <w:rPr>
                <w:rFonts w:ascii="Verdana" w:eastAsia="Times New Roman" w:hAnsi="Verdana" w:cs="Calibri"/>
                <w:color w:val="000000"/>
                <w:sz w:val="16"/>
                <w:szCs w:val="16"/>
                <w:lang w:eastAsia="en-GB"/>
              </w:rPr>
              <w:t>(43,960)</w:t>
            </w:r>
          </w:p>
        </w:tc>
      </w:tr>
      <w:tr w:rsidR="002174FD" w:rsidRPr="003516A4" w14:paraId="19E8533E" w14:textId="77777777" w:rsidTr="006D7DD5">
        <w:trPr>
          <w:trHeight w:val="124"/>
          <w:jc w:val="center"/>
        </w:trPr>
        <w:tc>
          <w:tcPr>
            <w:tcW w:w="2014" w:type="dxa"/>
            <w:tcBorders>
              <w:top w:val="nil"/>
              <w:left w:val="nil"/>
              <w:bottom w:val="nil"/>
              <w:right w:val="nil"/>
            </w:tcBorders>
            <w:shd w:val="clear" w:color="000000" w:fill="FFFFFF"/>
            <w:noWrap/>
            <w:vAlign w:val="bottom"/>
            <w:hideMark/>
          </w:tcPr>
          <w:p w14:paraId="5632A941" w14:textId="77777777" w:rsidR="002174FD" w:rsidRPr="00982F9F" w:rsidRDefault="002174FD" w:rsidP="002174FD">
            <w:pPr>
              <w:pStyle w:val="Normal0"/>
              <w:spacing w:line="240" w:lineRule="auto"/>
              <w:jc w:val="right"/>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(64,164)</w:t>
            </w:r>
          </w:p>
        </w:tc>
        <w:tc>
          <w:tcPr>
            <w:tcW w:w="1231" w:type="dxa"/>
            <w:tcBorders>
              <w:top w:val="nil"/>
              <w:left w:val="nil"/>
              <w:bottom w:val="nil"/>
              <w:right w:val="nil"/>
            </w:tcBorders>
            <w:shd w:val="clear" w:color="000000" w:fill="FFFFFF"/>
            <w:noWrap/>
            <w:vAlign w:val="bottom"/>
            <w:hideMark/>
          </w:tcPr>
          <w:p w14:paraId="70940631" w14:textId="77777777" w:rsidR="002174FD" w:rsidRPr="00982F9F" w:rsidRDefault="002174FD" w:rsidP="002174FD">
            <w:pPr>
              <w:pStyle w:val="Normal0"/>
              <w:spacing w:line="240" w:lineRule="auto"/>
              <w:jc w:val="right"/>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(64,164)</w:t>
            </w:r>
          </w:p>
        </w:tc>
        <w:tc>
          <w:tcPr>
            <w:tcW w:w="3550" w:type="dxa"/>
            <w:tcBorders>
              <w:top w:val="nil"/>
              <w:left w:val="nil"/>
              <w:bottom w:val="nil"/>
              <w:right w:val="nil"/>
            </w:tcBorders>
            <w:shd w:val="clear" w:color="000000" w:fill="FFFFFF"/>
            <w:noWrap/>
            <w:vAlign w:val="bottom"/>
            <w:hideMark/>
          </w:tcPr>
          <w:p w14:paraId="79BE6EFF" w14:textId="77777777" w:rsidR="002174FD" w:rsidRPr="00982F9F" w:rsidRDefault="002174FD" w:rsidP="002174FD">
            <w:pPr>
              <w:pStyle w:val="Normal0"/>
              <w:spacing w:line="240" w:lineRule="auto"/>
              <w:ind w:firstLineChars="100" w:firstLine="160"/>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Capital Adjustment Account</w:t>
            </w:r>
          </w:p>
        </w:tc>
        <w:tc>
          <w:tcPr>
            <w:tcW w:w="2014" w:type="dxa"/>
            <w:tcBorders>
              <w:top w:val="nil"/>
              <w:left w:val="nil"/>
              <w:bottom w:val="nil"/>
              <w:right w:val="nil"/>
            </w:tcBorders>
            <w:shd w:val="clear" w:color="000000" w:fill="FFFFFF"/>
            <w:noWrap/>
            <w:vAlign w:val="bottom"/>
          </w:tcPr>
          <w:p w14:paraId="19B52DBE" w14:textId="77777777" w:rsidR="002174FD" w:rsidRPr="006D7DD5" w:rsidRDefault="00982F9F" w:rsidP="002174FD">
            <w:pPr>
              <w:pStyle w:val="Normal0"/>
              <w:spacing w:line="240" w:lineRule="auto"/>
              <w:jc w:val="right"/>
              <w:rPr>
                <w:rFonts w:ascii="Verdana" w:eastAsia="Times New Roman" w:hAnsi="Verdana" w:cs="Calibri"/>
                <w:color w:val="000000"/>
                <w:sz w:val="16"/>
                <w:szCs w:val="16"/>
                <w:lang w:eastAsia="en-GB"/>
              </w:rPr>
            </w:pPr>
            <w:r w:rsidRPr="006D7DD5">
              <w:rPr>
                <w:rFonts w:ascii="Verdana" w:eastAsia="Times New Roman" w:hAnsi="Verdana" w:cs="Calibri"/>
                <w:color w:val="000000"/>
                <w:sz w:val="16"/>
                <w:szCs w:val="16"/>
                <w:lang w:eastAsia="en-GB"/>
              </w:rPr>
              <w:t>(67,133)</w:t>
            </w:r>
          </w:p>
        </w:tc>
        <w:tc>
          <w:tcPr>
            <w:tcW w:w="1128" w:type="dxa"/>
            <w:tcBorders>
              <w:top w:val="nil"/>
              <w:left w:val="nil"/>
              <w:bottom w:val="nil"/>
              <w:right w:val="nil"/>
            </w:tcBorders>
            <w:shd w:val="clear" w:color="000000" w:fill="FFFFFF"/>
            <w:noWrap/>
            <w:vAlign w:val="bottom"/>
          </w:tcPr>
          <w:p w14:paraId="56A8844D" w14:textId="77777777" w:rsidR="002174FD" w:rsidRPr="006D7DD5" w:rsidRDefault="00982F9F" w:rsidP="002174FD">
            <w:pPr>
              <w:pStyle w:val="Normal0"/>
              <w:spacing w:line="240" w:lineRule="auto"/>
              <w:jc w:val="right"/>
              <w:rPr>
                <w:rFonts w:ascii="Verdana" w:eastAsia="Times New Roman" w:hAnsi="Verdana" w:cs="Calibri"/>
                <w:color w:val="000000"/>
                <w:sz w:val="16"/>
                <w:szCs w:val="16"/>
                <w:lang w:eastAsia="en-GB"/>
              </w:rPr>
            </w:pPr>
            <w:r w:rsidRPr="006D7DD5">
              <w:rPr>
                <w:rFonts w:ascii="Verdana" w:eastAsia="Times New Roman" w:hAnsi="Verdana" w:cs="Calibri"/>
                <w:color w:val="000000"/>
                <w:sz w:val="16"/>
                <w:szCs w:val="16"/>
                <w:lang w:eastAsia="en-GB"/>
              </w:rPr>
              <w:t>(67,133)</w:t>
            </w:r>
          </w:p>
        </w:tc>
      </w:tr>
      <w:tr w:rsidR="002174FD" w:rsidRPr="003516A4" w14:paraId="1E4E5FC3" w14:textId="77777777" w:rsidTr="006D7DD5">
        <w:trPr>
          <w:trHeight w:val="124"/>
          <w:jc w:val="center"/>
        </w:trPr>
        <w:tc>
          <w:tcPr>
            <w:tcW w:w="2014" w:type="dxa"/>
            <w:tcBorders>
              <w:top w:val="nil"/>
              <w:left w:val="nil"/>
              <w:bottom w:val="nil"/>
              <w:right w:val="nil"/>
            </w:tcBorders>
            <w:shd w:val="clear" w:color="000000" w:fill="FFFFFF"/>
            <w:noWrap/>
            <w:vAlign w:val="bottom"/>
            <w:hideMark/>
          </w:tcPr>
          <w:p w14:paraId="00CE4021" w14:textId="77777777" w:rsidR="002174FD" w:rsidRPr="00982F9F" w:rsidRDefault="002174FD" w:rsidP="002174FD">
            <w:pPr>
              <w:pStyle w:val="Normal0"/>
              <w:spacing w:line="240" w:lineRule="auto"/>
              <w:jc w:val="right"/>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1,403</w:t>
            </w:r>
          </w:p>
        </w:tc>
        <w:tc>
          <w:tcPr>
            <w:tcW w:w="1231" w:type="dxa"/>
            <w:tcBorders>
              <w:top w:val="nil"/>
              <w:left w:val="nil"/>
              <w:bottom w:val="nil"/>
              <w:right w:val="nil"/>
            </w:tcBorders>
            <w:shd w:val="clear" w:color="000000" w:fill="FFFFFF"/>
            <w:noWrap/>
            <w:vAlign w:val="bottom"/>
            <w:hideMark/>
          </w:tcPr>
          <w:p w14:paraId="037ED3DC" w14:textId="77777777" w:rsidR="002174FD" w:rsidRPr="00982F9F" w:rsidRDefault="002174FD" w:rsidP="002174FD">
            <w:pPr>
              <w:pStyle w:val="Normal0"/>
              <w:spacing w:line="240" w:lineRule="auto"/>
              <w:jc w:val="right"/>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2,027,958</w:t>
            </w:r>
          </w:p>
        </w:tc>
        <w:tc>
          <w:tcPr>
            <w:tcW w:w="3550" w:type="dxa"/>
            <w:tcBorders>
              <w:top w:val="nil"/>
              <w:left w:val="nil"/>
              <w:bottom w:val="nil"/>
              <w:right w:val="nil"/>
            </w:tcBorders>
            <w:shd w:val="clear" w:color="000000" w:fill="FFFFFF"/>
            <w:noWrap/>
            <w:vAlign w:val="bottom"/>
            <w:hideMark/>
          </w:tcPr>
          <w:p w14:paraId="3392564C" w14:textId="77777777" w:rsidR="002174FD" w:rsidRPr="00982F9F" w:rsidRDefault="002174FD" w:rsidP="002174FD">
            <w:pPr>
              <w:pStyle w:val="Normal0"/>
              <w:spacing w:line="240" w:lineRule="auto"/>
              <w:ind w:firstLineChars="100" w:firstLine="160"/>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Pension Reserve</w:t>
            </w:r>
          </w:p>
        </w:tc>
        <w:tc>
          <w:tcPr>
            <w:tcW w:w="2014" w:type="dxa"/>
            <w:tcBorders>
              <w:top w:val="nil"/>
              <w:left w:val="nil"/>
              <w:bottom w:val="nil"/>
              <w:right w:val="nil"/>
            </w:tcBorders>
            <w:shd w:val="clear" w:color="000000" w:fill="FFFFFF"/>
            <w:noWrap/>
            <w:vAlign w:val="bottom"/>
          </w:tcPr>
          <w:p w14:paraId="10056980" w14:textId="32E41D47" w:rsidR="002174FD" w:rsidRPr="006D7DD5" w:rsidRDefault="006D7DD5" w:rsidP="002174FD">
            <w:pPr>
              <w:pStyle w:val="Normal0"/>
              <w:spacing w:line="240" w:lineRule="auto"/>
              <w:jc w:val="right"/>
              <w:rPr>
                <w:rFonts w:ascii="Verdana" w:eastAsia="Times New Roman" w:hAnsi="Verdana" w:cs="Calibri"/>
                <w:color w:val="000000"/>
                <w:sz w:val="16"/>
                <w:szCs w:val="16"/>
                <w:lang w:eastAsia="en-GB"/>
              </w:rPr>
            </w:pPr>
            <w:r w:rsidRPr="006D7DD5">
              <w:rPr>
                <w:rFonts w:ascii="Verdana" w:eastAsia="Times New Roman" w:hAnsi="Verdana" w:cs="Calibri"/>
                <w:color w:val="000000"/>
                <w:sz w:val="16"/>
                <w:szCs w:val="16"/>
                <w:lang w:eastAsia="en-GB"/>
              </w:rPr>
              <w:t>2,461</w:t>
            </w:r>
          </w:p>
        </w:tc>
        <w:tc>
          <w:tcPr>
            <w:tcW w:w="1128" w:type="dxa"/>
            <w:tcBorders>
              <w:top w:val="nil"/>
              <w:left w:val="nil"/>
              <w:bottom w:val="nil"/>
              <w:right w:val="nil"/>
            </w:tcBorders>
            <w:shd w:val="clear" w:color="000000" w:fill="FFFFFF"/>
            <w:noWrap/>
            <w:vAlign w:val="bottom"/>
          </w:tcPr>
          <w:p w14:paraId="3AAD1D6B" w14:textId="77777777" w:rsidR="002174FD" w:rsidRPr="006D7DD5" w:rsidRDefault="00982F9F" w:rsidP="002174FD">
            <w:pPr>
              <w:pStyle w:val="Normal0"/>
              <w:spacing w:line="240" w:lineRule="auto"/>
              <w:jc w:val="right"/>
              <w:rPr>
                <w:rFonts w:ascii="Verdana" w:eastAsia="Times New Roman" w:hAnsi="Verdana" w:cs="Calibri"/>
                <w:color w:val="000000"/>
                <w:sz w:val="16"/>
                <w:szCs w:val="16"/>
                <w:lang w:eastAsia="en-GB"/>
              </w:rPr>
            </w:pPr>
            <w:r w:rsidRPr="006D7DD5">
              <w:rPr>
                <w:rFonts w:ascii="Verdana" w:eastAsia="Times New Roman" w:hAnsi="Verdana" w:cs="Calibri"/>
                <w:color w:val="000000"/>
                <w:sz w:val="16"/>
                <w:szCs w:val="16"/>
                <w:lang w:eastAsia="en-GB"/>
              </w:rPr>
              <w:t>2,176,507</w:t>
            </w:r>
          </w:p>
        </w:tc>
      </w:tr>
      <w:tr w:rsidR="002174FD" w:rsidRPr="003516A4" w14:paraId="02EF72CE" w14:textId="77777777" w:rsidTr="006D7DD5">
        <w:trPr>
          <w:trHeight w:val="124"/>
          <w:jc w:val="center"/>
        </w:trPr>
        <w:tc>
          <w:tcPr>
            <w:tcW w:w="2014" w:type="dxa"/>
            <w:tcBorders>
              <w:top w:val="nil"/>
              <w:left w:val="nil"/>
              <w:bottom w:val="nil"/>
              <w:right w:val="nil"/>
            </w:tcBorders>
            <w:shd w:val="clear" w:color="000000" w:fill="FFFFFF"/>
            <w:noWrap/>
            <w:vAlign w:val="bottom"/>
            <w:hideMark/>
          </w:tcPr>
          <w:p w14:paraId="3FBC7B61" w14:textId="77777777" w:rsidR="002174FD" w:rsidRPr="00982F9F" w:rsidRDefault="002174FD" w:rsidP="002174FD">
            <w:pPr>
              <w:pStyle w:val="Normal0"/>
              <w:spacing w:line="240" w:lineRule="auto"/>
              <w:jc w:val="right"/>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(410)</w:t>
            </w:r>
          </w:p>
        </w:tc>
        <w:tc>
          <w:tcPr>
            <w:tcW w:w="1231" w:type="dxa"/>
            <w:tcBorders>
              <w:top w:val="nil"/>
              <w:left w:val="nil"/>
              <w:bottom w:val="nil"/>
              <w:right w:val="nil"/>
            </w:tcBorders>
            <w:shd w:val="clear" w:color="000000" w:fill="FFFFFF"/>
            <w:noWrap/>
            <w:vAlign w:val="bottom"/>
            <w:hideMark/>
          </w:tcPr>
          <w:p w14:paraId="3CD61347" w14:textId="77777777" w:rsidR="002174FD" w:rsidRPr="00982F9F" w:rsidRDefault="002174FD" w:rsidP="002174FD">
            <w:pPr>
              <w:pStyle w:val="Normal0"/>
              <w:spacing w:line="240" w:lineRule="auto"/>
              <w:jc w:val="right"/>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(410)</w:t>
            </w:r>
          </w:p>
        </w:tc>
        <w:tc>
          <w:tcPr>
            <w:tcW w:w="3550" w:type="dxa"/>
            <w:tcBorders>
              <w:top w:val="nil"/>
              <w:left w:val="nil"/>
              <w:bottom w:val="nil"/>
              <w:right w:val="nil"/>
            </w:tcBorders>
            <w:shd w:val="clear" w:color="000000" w:fill="FFFFFF"/>
            <w:noWrap/>
            <w:vAlign w:val="bottom"/>
            <w:hideMark/>
          </w:tcPr>
          <w:p w14:paraId="7BAE58DD" w14:textId="77777777" w:rsidR="002174FD" w:rsidRPr="00982F9F" w:rsidRDefault="002174FD" w:rsidP="002174FD">
            <w:pPr>
              <w:pStyle w:val="Normal0"/>
              <w:spacing w:line="240" w:lineRule="auto"/>
              <w:ind w:firstLineChars="100" w:firstLine="160"/>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Collection Fund Adjustment Account</w:t>
            </w:r>
          </w:p>
        </w:tc>
        <w:tc>
          <w:tcPr>
            <w:tcW w:w="2014" w:type="dxa"/>
            <w:tcBorders>
              <w:top w:val="nil"/>
              <w:left w:val="nil"/>
              <w:bottom w:val="nil"/>
              <w:right w:val="nil"/>
            </w:tcBorders>
            <w:shd w:val="clear" w:color="000000" w:fill="FFFFFF"/>
            <w:noWrap/>
            <w:vAlign w:val="bottom"/>
          </w:tcPr>
          <w:p w14:paraId="6A9420D3" w14:textId="70467865" w:rsidR="002174FD" w:rsidRPr="006D7DD5" w:rsidRDefault="00BF08A8">
            <w:pPr>
              <w:pStyle w:val="Normal0"/>
              <w:spacing w:line="240" w:lineRule="auto"/>
              <w:jc w:val="right"/>
              <w:rPr>
                <w:rFonts w:ascii="Verdana" w:eastAsia="Times New Roman" w:hAnsi="Verdana" w:cs="Calibri"/>
                <w:color w:val="000000"/>
                <w:sz w:val="16"/>
                <w:szCs w:val="16"/>
                <w:lang w:eastAsia="en-GB"/>
              </w:rPr>
            </w:pPr>
            <w:r>
              <w:rPr>
                <w:rFonts w:ascii="Verdana" w:eastAsia="Times New Roman" w:hAnsi="Verdana" w:cs="Calibri"/>
                <w:color w:val="000000"/>
                <w:sz w:val="16"/>
                <w:szCs w:val="16"/>
                <w:lang w:eastAsia="en-GB"/>
              </w:rPr>
              <w:t>2,076</w:t>
            </w:r>
          </w:p>
        </w:tc>
        <w:tc>
          <w:tcPr>
            <w:tcW w:w="1128" w:type="dxa"/>
            <w:tcBorders>
              <w:top w:val="nil"/>
              <w:left w:val="nil"/>
              <w:bottom w:val="nil"/>
              <w:right w:val="nil"/>
            </w:tcBorders>
            <w:shd w:val="clear" w:color="000000" w:fill="FFFFFF"/>
            <w:noWrap/>
            <w:vAlign w:val="bottom"/>
          </w:tcPr>
          <w:p w14:paraId="4FBC394F" w14:textId="5A85A936" w:rsidR="002174FD" w:rsidRPr="006D7DD5" w:rsidRDefault="00BF08A8">
            <w:pPr>
              <w:pStyle w:val="Normal0"/>
              <w:spacing w:line="240" w:lineRule="auto"/>
              <w:jc w:val="right"/>
              <w:rPr>
                <w:rFonts w:ascii="Verdana" w:eastAsia="Times New Roman" w:hAnsi="Verdana" w:cs="Calibri"/>
                <w:color w:val="000000"/>
                <w:sz w:val="16"/>
                <w:szCs w:val="16"/>
                <w:lang w:eastAsia="en-GB"/>
              </w:rPr>
            </w:pPr>
            <w:r>
              <w:rPr>
                <w:rFonts w:ascii="Verdana" w:eastAsia="Times New Roman" w:hAnsi="Verdana" w:cs="Calibri"/>
                <w:color w:val="000000"/>
                <w:sz w:val="16"/>
                <w:szCs w:val="16"/>
                <w:lang w:eastAsia="en-GB"/>
              </w:rPr>
              <w:t>2,076</w:t>
            </w:r>
          </w:p>
        </w:tc>
      </w:tr>
      <w:tr w:rsidR="002174FD" w:rsidRPr="003516A4" w14:paraId="3E431C50" w14:textId="77777777" w:rsidTr="006D7DD5">
        <w:trPr>
          <w:trHeight w:val="124"/>
          <w:jc w:val="center"/>
        </w:trPr>
        <w:tc>
          <w:tcPr>
            <w:tcW w:w="2014" w:type="dxa"/>
            <w:tcBorders>
              <w:top w:val="nil"/>
              <w:left w:val="nil"/>
              <w:bottom w:val="nil"/>
              <w:right w:val="nil"/>
            </w:tcBorders>
            <w:shd w:val="clear" w:color="000000" w:fill="FFFFFF"/>
            <w:noWrap/>
            <w:vAlign w:val="bottom"/>
            <w:hideMark/>
          </w:tcPr>
          <w:p w14:paraId="3713F9EA" w14:textId="77777777" w:rsidR="002174FD" w:rsidRPr="00982F9F" w:rsidRDefault="002174FD" w:rsidP="002174FD">
            <w:pPr>
              <w:pStyle w:val="Normal0"/>
              <w:spacing w:line="240" w:lineRule="auto"/>
              <w:jc w:val="right"/>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0</w:t>
            </w:r>
          </w:p>
        </w:tc>
        <w:tc>
          <w:tcPr>
            <w:tcW w:w="1231" w:type="dxa"/>
            <w:tcBorders>
              <w:top w:val="nil"/>
              <w:left w:val="nil"/>
              <w:bottom w:val="nil"/>
              <w:right w:val="nil"/>
            </w:tcBorders>
            <w:shd w:val="clear" w:color="000000" w:fill="FFFFFF"/>
            <w:noWrap/>
            <w:vAlign w:val="bottom"/>
            <w:hideMark/>
          </w:tcPr>
          <w:p w14:paraId="14675EE1" w14:textId="77777777" w:rsidR="002174FD" w:rsidRPr="00982F9F" w:rsidRDefault="002174FD" w:rsidP="002174FD">
            <w:pPr>
              <w:pStyle w:val="Normal0"/>
              <w:spacing w:line="240" w:lineRule="auto"/>
              <w:jc w:val="right"/>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1,053</w:t>
            </w:r>
          </w:p>
        </w:tc>
        <w:tc>
          <w:tcPr>
            <w:tcW w:w="3550" w:type="dxa"/>
            <w:tcBorders>
              <w:top w:val="nil"/>
              <w:left w:val="nil"/>
              <w:bottom w:val="nil"/>
              <w:right w:val="nil"/>
            </w:tcBorders>
            <w:shd w:val="clear" w:color="000000" w:fill="FFFFFF"/>
            <w:noWrap/>
            <w:vAlign w:val="bottom"/>
            <w:hideMark/>
          </w:tcPr>
          <w:p w14:paraId="5CAF9230" w14:textId="77777777" w:rsidR="002174FD" w:rsidRPr="00982F9F" w:rsidRDefault="002174FD" w:rsidP="002174FD">
            <w:pPr>
              <w:pStyle w:val="Normal0"/>
              <w:spacing w:line="240" w:lineRule="auto"/>
              <w:ind w:firstLineChars="100" w:firstLine="160"/>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Accumulated Absences Account</w:t>
            </w:r>
          </w:p>
        </w:tc>
        <w:tc>
          <w:tcPr>
            <w:tcW w:w="2014" w:type="dxa"/>
            <w:tcBorders>
              <w:top w:val="nil"/>
              <w:left w:val="nil"/>
              <w:bottom w:val="nil"/>
              <w:right w:val="nil"/>
            </w:tcBorders>
            <w:shd w:val="clear" w:color="000000" w:fill="FFFFFF"/>
            <w:noWrap/>
            <w:vAlign w:val="bottom"/>
          </w:tcPr>
          <w:p w14:paraId="56881AF8" w14:textId="77777777" w:rsidR="002174FD" w:rsidRPr="006D7DD5" w:rsidRDefault="00982F9F" w:rsidP="002174FD">
            <w:pPr>
              <w:pStyle w:val="Normal0"/>
              <w:spacing w:line="240" w:lineRule="auto"/>
              <w:jc w:val="right"/>
              <w:rPr>
                <w:rFonts w:ascii="Verdana" w:eastAsia="Times New Roman" w:hAnsi="Verdana" w:cs="Calibri"/>
                <w:color w:val="000000"/>
                <w:sz w:val="16"/>
                <w:szCs w:val="16"/>
                <w:lang w:eastAsia="en-GB"/>
              </w:rPr>
            </w:pPr>
            <w:r w:rsidRPr="006D7DD5">
              <w:rPr>
                <w:rFonts w:ascii="Verdana" w:eastAsia="Times New Roman" w:hAnsi="Verdana" w:cs="Calibri"/>
                <w:color w:val="000000"/>
                <w:sz w:val="16"/>
                <w:szCs w:val="16"/>
                <w:lang w:eastAsia="en-GB"/>
              </w:rPr>
              <w:t>0</w:t>
            </w:r>
          </w:p>
        </w:tc>
        <w:tc>
          <w:tcPr>
            <w:tcW w:w="1128" w:type="dxa"/>
            <w:tcBorders>
              <w:top w:val="nil"/>
              <w:left w:val="nil"/>
              <w:bottom w:val="nil"/>
              <w:right w:val="nil"/>
            </w:tcBorders>
            <w:shd w:val="clear" w:color="000000" w:fill="FFFFFF"/>
            <w:noWrap/>
            <w:vAlign w:val="bottom"/>
          </w:tcPr>
          <w:p w14:paraId="3E7F8CA3" w14:textId="77777777" w:rsidR="002174FD" w:rsidRPr="006D7DD5" w:rsidRDefault="00982F9F" w:rsidP="002174FD">
            <w:pPr>
              <w:pStyle w:val="Normal0"/>
              <w:spacing w:line="240" w:lineRule="auto"/>
              <w:jc w:val="right"/>
              <w:rPr>
                <w:rFonts w:ascii="Verdana" w:eastAsia="Times New Roman" w:hAnsi="Verdana" w:cs="Calibri"/>
                <w:color w:val="000000"/>
                <w:sz w:val="16"/>
                <w:szCs w:val="16"/>
                <w:lang w:eastAsia="en-GB"/>
              </w:rPr>
            </w:pPr>
            <w:r w:rsidRPr="006D7DD5">
              <w:rPr>
                <w:rFonts w:ascii="Verdana" w:eastAsia="Times New Roman" w:hAnsi="Verdana" w:cs="Calibri"/>
                <w:color w:val="000000"/>
                <w:sz w:val="16"/>
                <w:szCs w:val="16"/>
                <w:lang w:eastAsia="en-GB"/>
              </w:rPr>
              <w:t>1,951</w:t>
            </w:r>
          </w:p>
        </w:tc>
      </w:tr>
      <w:tr w:rsidR="002174FD" w:rsidRPr="003516A4" w14:paraId="42641A7E" w14:textId="77777777" w:rsidTr="006D7DD5">
        <w:trPr>
          <w:trHeight w:val="64"/>
          <w:jc w:val="center"/>
        </w:trPr>
        <w:tc>
          <w:tcPr>
            <w:tcW w:w="2014" w:type="dxa"/>
            <w:tcBorders>
              <w:top w:val="nil"/>
              <w:left w:val="nil"/>
              <w:bottom w:val="single" w:sz="4" w:space="0" w:color="auto"/>
              <w:right w:val="nil"/>
            </w:tcBorders>
            <w:shd w:val="clear" w:color="000000" w:fill="FFFFFF"/>
            <w:noWrap/>
            <w:vAlign w:val="bottom"/>
            <w:hideMark/>
          </w:tcPr>
          <w:p w14:paraId="2FA1ED66" w14:textId="77777777" w:rsidR="002174FD" w:rsidRPr="00982F9F" w:rsidRDefault="002174FD" w:rsidP="002174FD">
            <w:pPr>
              <w:pStyle w:val="Normal0"/>
              <w:spacing w:line="240" w:lineRule="auto"/>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 </w:t>
            </w:r>
          </w:p>
        </w:tc>
        <w:tc>
          <w:tcPr>
            <w:tcW w:w="1231" w:type="dxa"/>
            <w:tcBorders>
              <w:top w:val="nil"/>
              <w:left w:val="nil"/>
              <w:bottom w:val="single" w:sz="4" w:space="0" w:color="auto"/>
              <w:right w:val="nil"/>
            </w:tcBorders>
            <w:shd w:val="clear" w:color="000000" w:fill="FFFFFF"/>
            <w:noWrap/>
            <w:vAlign w:val="bottom"/>
            <w:hideMark/>
          </w:tcPr>
          <w:p w14:paraId="721D2EB4" w14:textId="77777777" w:rsidR="002174FD" w:rsidRPr="00982F9F" w:rsidRDefault="002174FD" w:rsidP="002174FD">
            <w:pPr>
              <w:pStyle w:val="Normal0"/>
              <w:spacing w:line="240" w:lineRule="auto"/>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 </w:t>
            </w:r>
          </w:p>
        </w:tc>
        <w:tc>
          <w:tcPr>
            <w:tcW w:w="3550" w:type="dxa"/>
            <w:tcBorders>
              <w:top w:val="nil"/>
              <w:left w:val="nil"/>
              <w:bottom w:val="single" w:sz="4" w:space="0" w:color="auto"/>
              <w:right w:val="nil"/>
            </w:tcBorders>
            <w:shd w:val="clear" w:color="000000" w:fill="FFFFFF"/>
            <w:noWrap/>
            <w:vAlign w:val="bottom"/>
            <w:hideMark/>
          </w:tcPr>
          <w:p w14:paraId="6495A89F" w14:textId="77777777" w:rsidR="002174FD" w:rsidRPr="00982F9F" w:rsidRDefault="002174FD" w:rsidP="002174FD">
            <w:pPr>
              <w:pStyle w:val="Normal0"/>
              <w:spacing w:line="240" w:lineRule="auto"/>
              <w:ind w:firstLineChars="100" w:firstLine="160"/>
              <w:rPr>
                <w:rFonts w:ascii="Verdana" w:eastAsia="Times New Roman" w:hAnsi="Verdana" w:cs="Calibri"/>
                <w:color w:val="000000"/>
                <w:sz w:val="16"/>
                <w:szCs w:val="16"/>
                <w:lang w:eastAsia="en-GB"/>
              </w:rPr>
            </w:pPr>
            <w:r w:rsidRPr="00982F9F">
              <w:rPr>
                <w:rFonts w:ascii="Verdana" w:eastAsia="Times New Roman" w:hAnsi="Verdana" w:cs="Calibri"/>
                <w:color w:val="000000"/>
                <w:sz w:val="16"/>
                <w:szCs w:val="16"/>
                <w:lang w:eastAsia="en-GB"/>
              </w:rPr>
              <w:t> </w:t>
            </w:r>
          </w:p>
        </w:tc>
        <w:tc>
          <w:tcPr>
            <w:tcW w:w="2014" w:type="dxa"/>
            <w:tcBorders>
              <w:top w:val="nil"/>
              <w:left w:val="nil"/>
              <w:bottom w:val="single" w:sz="4" w:space="0" w:color="auto"/>
              <w:right w:val="nil"/>
            </w:tcBorders>
            <w:shd w:val="clear" w:color="000000" w:fill="FFFFFF"/>
            <w:noWrap/>
            <w:vAlign w:val="bottom"/>
          </w:tcPr>
          <w:p w14:paraId="5C72D811" w14:textId="77777777" w:rsidR="002174FD" w:rsidRPr="00982F9F" w:rsidRDefault="002174FD" w:rsidP="002174FD">
            <w:pPr>
              <w:pStyle w:val="Normal0"/>
              <w:spacing w:line="240" w:lineRule="auto"/>
              <w:rPr>
                <w:rFonts w:ascii="Verdana" w:eastAsia="Times New Roman" w:hAnsi="Verdana" w:cs="Calibri"/>
                <w:color w:val="000000"/>
                <w:sz w:val="16"/>
                <w:szCs w:val="16"/>
                <w:lang w:eastAsia="en-GB"/>
              </w:rPr>
            </w:pPr>
          </w:p>
        </w:tc>
        <w:tc>
          <w:tcPr>
            <w:tcW w:w="1128" w:type="dxa"/>
            <w:tcBorders>
              <w:top w:val="nil"/>
              <w:left w:val="nil"/>
              <w:bottom w:val="single" w:sz="4" w:space="0" w:color="auto"/>
              <w:right w:val="nil"/>
            </w:tcBorders>
            <w:shd w:val="clear" w:color="000000" w:fill="FFFFFF"/>
            <w:noWrap/>
            <w:vAlign w:val="bottom"/>
          </w:tcPr>
          <w:p w14:paraId="3CD7EB21" w14:textId="77777777" w:rsidR="002174FD" w:rsidRPr="00982F9F" w:rsidRDefault="002174FD" w:rsidP="002174FD">
            <w:pPr>
              <w:pStyle w:val="Normal0"/>
              <w:spacing w:line="240" w:lineRule="auto"/>
              <w:rPr>
                <w:rFonts w:ascii="Verdana" w:eastAsia="Times New Roman" w:hAnsi="Verdana" w:cs="Calibri"/>
                <w:color w:val="000000"/>
                <w:sz w:val="16"/>
                <w:szCs w:val="16"/>
                <w:lang w:eastAsia="en-GB"/>
              </w:rPr>
            </w:pPr>
          </w:p>
        </w:tc>
      </w:tr>
      <w:tr w:rsidR="002174FD" w:rsidRPr="003516A4" w14:paraId="6ADFD546" w14:textId="77777777" w:rsidTr="006D7DD5">
        <w:trPr>
          <w:trHeight w:val="124"/>
          <w:jc w:val="center"/>
        </w:trPr>
        <w:tc>
          <w:tcPr>
            <w:tcW w:w="2014" w:type="dxa"/>
            <w:tcBorders>
              <w:top w:val="single" w:sz="4" w:space="0" w:color="auto"/>
              <w:left w:val="nil"/>
              <w:bottom w:val="single" w:sz="4" w:space="0" w:color="auto"/>
              <w:right w:val="nil"/>
            </w:tcBorders>
            <w:shd w:val="clear" w:color="000000" w:fill="FFFFFF"/>
            <w:noWrap/>
            <w:vAlign w:val="bottom"/>
            <w:hideMark/>
          </w:tcPr>
          <w:p w14:paraId="155934E2" w14:textId="77777777" w:rsidR="002174FD" w:rsidRPr="00982F9F" w:rsidRDefault="002174FD" w:rsidP="002174FD">
            <w:pPr>
              <w:pStyle w:val="Normal0"/>
              <w:spacing w:line="240" w:lineRule="auto"/>
              <w:jc w:val="right"/>
              <w:rPr>
                <w:rFonts w:ascii="Verdana" w:eastAsia="Times New Roman" w:hAnsi="Verdana" w:cs="Calibri"/>
                <w:b/>
                <w:color w:val="000000"/>
                <w:sz w:val="16"/>
                <w:szCs w:val="16"/>
                <w:lang w:eastAsia="en-GB"/>
              </w:rPr>
            </w:pPr>
            <w:r w:rsidRPr="00982F9F">
              <w:rPr>
                <w:rFonts w:ascii="Verdana" w:eastAsia="Times New Roman" w:hAnsi="Verdana" w:cs="Calibri"/>
                <w:b/>
                <w:color w:val="000000"/>
                <w:sz w:val="16"/>
                <w:szCs w:val="16"/>
                <w:lang w:eastAsia="en-GB"/>
              </w:rPr>
              <w:t>(108,176)</w:t>
            </w:r>
          </w:p>
        </w:tc>
        <w:tc>
          <w:tcPr>
            <w:tcW w:w="1231" w:type="dxa"/>
            <w:tcBorders>
              <w:top w:val="single" w:sz="4" w:space="0" w:color="auto"/>
              <w:left w:val="nil"/>
              <w:bottom w:val="single" w:sz="4" w:space="0" w:color="auto"/>
              <w:right w:val="nil"/>
            </w:tcBorders>
            <w:shd w:val="clear" w:color="000000" w:fill="FFFFFF"/>
            <w:noWrap/>
            <w:vAlign w:val="bottom"/>
            <w:hideMark/>
          </w:tcPr>
          <w:p w14:paraId="1A4E852A" w14:textId="77777777" w:rsidR="002174FD" w:rsidRPr="00982F9F" w:rsidRDefault="002174FD" w:rsidP="002174FD">
            <w:pPr>
              <w:pStyle w:val="Normal0"/>
              <w:spacing w:line="240" w:lineRule="auto"/>
              <w:jc w:val="right"/>
              <w:rPr>
                <w:rFonts w:ascii="Verdana" w:eastAsia="Times New Roman" w:hAnsi="Verdana" w:cs="Calibri"/>
                <w:b/>
                <w:color w:val="000000"/>
                <w:sz w:val="16"/>
                <w:szCs w:val="16"/>
                <w:lang w:eastAsia="en-GB"/>
              </w:rPr>
            </w:pPr>
            <w:r w:rsidRPr="00982F9F">
              <w:rPr>
                <w:rFonts w:ascii="Verdana" w:eastAsia="Times New Roman" w:hAnsi="Verdana" w:cs="Calibri"/>
                <w:b/>
                <w:color w:val="000000"/>
                <w:sz w:val="16"/>
                <w:szCs w:val="16"/>
                <w:lang w:eastAsia="en-GB"/>
              </w:rPr>
              <w:t>1,919,432</w:t>
            </w:r>
          </w:p>
        </w:tc>
        <w:tc>
          <w:tcPr>
            <w:tcW w:w="3550" w:type="dxa"/>
            <w:tcBorders>
              <w:top w:val="single" w:sz="4" w:space="0" w:color="auto"/>
              <w:left w:val="nil"/>
              <w:bottom w:val="single" w:sz="4" w:space="0" w:color="auto"/>
              <w:right w:val="nil"/>
            </w:tcBorders>
            <w:shd w:val="clear" w:color="000000" w:fill="FFFFFF"/>
            <w:noWrap/>
            <w:vAlign w:val="bottom"/>
            <w:hideMark/>
          </w:tcPr>
          <w:p w14:paraId="51576589" w14:textId="6EDC5C3F" w:rsidR="002174FD" w:rsidRPr="00982F9F" w:rsidRDefault="002174FD" w:rsidP="002174FD">
            <w:pPr>
              <w:pStyle w:val="Normal0"/>
              <w:spacing w:line="240" w:lineRule="auto"/>
              <w:ind w:firstLineChars="100" w:firstLine="161"/>
              <w:rPr>
                <w:rFonts w:ascii="Verdana" w:eastAsia="Times New Roman" w:hAnsi="Verdana" w:cs="Calibri"/>
                <w:b/>
                <w:color w:val="000000"/>
                <w:sz w:val="16"/>
                <w:szCs w:val="16"/>
                <w:lang w:eastAsia="en-GB"/>
              </w:rPr>
            </w:pPr>
            <w:r w:rsidRPr="00982F9F">
              <w:rPr>
                <w:rFonts w:ascii="Verdana" w:eastAsia="Times New Roman" w:hAnsi="Verdana" w:cs="Calibri"/>
                <w:b/>
                <w:color w:val="000000"/>
                <w:sz w:val="16"/>
                <w:szCs w:val="16"/>
                <w:lang w:eastAsia="en-GB"/>
              </w:rPr>
              <w:t> </w:t>
            </w:r>
            <w:r w:rsidR="006D7DD5">
              <w:rPr>
                <w:rFonts w:ascii="Verdana" w:eastAsia="Times New Roman" w:hAnsi="Verdana" w:cs="Calibri"/>
                <w:b/>
                <w:color w:val="000000"/>
                <w:sz w:val="16"/>
                <w:szCs w:val="16"/>
                <w:lang w:eastAsia="en-GB"/>
              </w:rPr>
              <w:t>TOTAL UNUSABLE RESERVES</w:t>
            </w:r>
          </w:p>
        </w:tc>
        <w:tc>
          <w:tcPr>
            <w:tcW w:w="2014" w:type="dxa"/>
            <w:tcBorders>
              <w:top w:val="single" w:sz="4" w:space="0" w:color="auto"/>
              <w:left w:val="nil"/>
              <w:bottom w:val="single" w:sz="4" w:space="0" w:color="auto"/>
              <w:right w:val="nil"/>
            </w:tcBorders>
            <w:shd w:val="clear" w:color="000000" w:fill="FFFFFF"/>
            <w:noWrap/>
            <w:vAlign w:val="bottom"/>
          </w:tcPr>
          <w:p w14:paraId="20DF2B56" w14:textId="64C39D59" w:rsidR="002174FD" w:rsidRPr="00982F9F" w:rsidRDefault="00BC2A8E">
            <w:pPr>
              <w:pStyle w:val="Normal0"/>
              <w:spacing w:line="240" w:lineRule="auto"/>
              <w:jc w:val="right"/>
              <w:rPr>
                <w:rFonts w:ascii="Verdana" w:eastAsia="Times New Roman" w:hAnsi="Verdana" w:cs="Calibri"/>
                <w:b/>
                <w:color w:val="000000"/>
                <w:sz w:val="16"/>
                <w:szCs w:val="16"/>
                <w:lang w:eastAsia="en-GB"/>
              </w:rPr>
            </w:pPr>
            <w:r>
              <w:rPr>
                <w:rFonts w:ascii="Verdana" w:eastAsia="Times New Roman" w:hAnsi="Verdana" w:cs="Calibri"/>
                <w:b/>
                <w:color w:val="000000"/>
                <w:sz w:val="16"/>
                <w:szCs w:val="16"/>
                <w:lang w:eastAsia="en-GB"/>
              </w:rPr>
              <w:t>(10</w:t>
            </w:r>
            <w:r w:rsidR="00BF08A8">
              <w:rPr>
                <w:rFonts w:ascii="Verdana" w:eastAsia="Times New Roman" w:hAnsi="Verdana" w:cs="Calibri"/>
                <w:b/>
                <w:color w:val="000000"/>
                <w:sz w:val="16"/>
                <w:szCs w:val="16"/>
                <w:lang w:eastAsia="en-GB"/>
              </w:rPr>
              <w:t>6</w:t>
            </w:r>
            <w:r>
              <w:rPr>
                <w:rFonts w:ascii="Verdana" w:eastAsia="Times New Roman" w:hAnsi="Verdana" w:cs="Calibri"/>
                <w:b/>
                <w:color w:val="000000"/>
                <w:sz w:val="16"/>
                <w:szCs w:val="16"/>
                <w:lang w:eastAsia="en-GB"/>
              </w:rPr>
              <w:t>,</w:t>
            </w:r>
            <w:r w:rsidR="00BF08A8">
              <w:rPr>
                <w:rFonts w:ascii="Verdana" w:eastAsia="Times New Roman" w:hAnsi="Verdana" w:cs="Calibri"/>
                <w:b/>
                <w:color w:val="000000"/>
                <w:sz w:val="16"/>
                <w:szCs w:val="16"/>
                <w:lang w:eastAsia="en-GB"/>
              </w:rPr>
              <w:t>556</w:t>
            </w:r>
            <w:r>
              <w:rPr>
                <w:rFonts w:ascii="Verdana" w:eastAsia="Times New Roman" w:hAnsi="Verdana" w:cs="Calibri"/>
                <w:b/>
                <w:color w:val="000000"/>
                <w:sz w:val="16"/>
                <w:szCs w:val="16"/>
                <w:lang w:eastAsia="en-GB"/>
              </w:rPr>
              <w:t>)</w:t>
            </w:r>
          </w:p>
        </w:tc>
        <w:tc>
          <w:tcPr>
            <w:tcW w:w="1128" w:type="dxa"/>
            <w:tcBorders>
              <w:top w:val="single" w:sz="4" w:space="0" w:color="auto"/>
              <w:left w:val="nil"/>
              <w:bottom w:val="single" w:sz="4" w:space="0" w:color="auto"/>
              <w:right w:val="nil"/>
            </w:tcBorders>
            <w:shd w:val="clear" w:color="000000" w:fill="FFFFFF"/>
            <w:noWrap/>
            <w:vAlign w:val="bottom"/>
          </w:tcPr>
          <w:p w14:paraId="2C8E51AB" w14:textId="03D9CBC7" w:rsidR="002174FD" w:rsidRPr="00982F9F" w:rsidRDefault="00982F9F">
            <w:pPr>
              <w:pStyle w:val="Normal0"/>
              <w:spacing w:line="240" w:lineRule="auto"/>
              <w:jc w:val="right"/>
              <w:rPr>
                <w:rFonts w:ascii="Verdana" w:eastAsia="Times New Roman" w:hAnsi="Verdana" w:cs="Calibri"/>
                <w:b/>
                <w:color w:val="000000"/>
                <w:sz w:val="16"/>
                <w:szCs w:val="16"/>
                <w:lang w:eastAsia="en-GB"/>
              </w:rPr>
            </w:pPr>
            <w:r w:rsidRPr="00982F9F">
              <w:rPr>
                <w:rFonts w:ascii="Verdana" w:eastAsia="Times New Roman" w:hAnsi="Verdana" w:cs="Calibri"/>
                <w:b/>
                <w:color w:val="000000"/>
                <w:sz w:val="16"/>
                <w:szCs w:val="16"/>
                <w:lang w:eastAsia="en-GB"/>
              </w:rPr>
              <w:t>2,06</w:t>
            </w:r>
            <w:r w:rsidR="00BF08A8">
              <w:rPr>
                <w:rFonts w:ascii="Verdana" w:eastAsia="Times New Roman" w:hAnsi="Verdana" w:cs="Calibri"/>
                <w:b/>
                <w:color w:val="000000"/>
                <w:sz w:val="16"/>
                <w:szCs w:val="16"/>
                <w:lang w:eastAsia="en-GB"/>
              </w:rPr>
              <w:t>9</w:t>
            </w:r>
            <w:r w:rsidRPr="00982F9F">
              <w:rPr>
                <w:rFonts w:ascii="Verdana" w:eastAsia="Times New Roman" w:hAnsi="Verdana" w:cs="Calibri"/>
                <w:b/>
                <w:color w:val="000000"/>
                <w:sz w:val="16"/>
                <w:szCs w:val="16"/>
                <w:lang w:eastAsia="en-GB"/>
              </w:rPr>
              <w:t>,</w:t>
            </w:r>
            <w:r w:rsidR="00BF08A8">
              <w:rPr>
                <w:rFonts w:ascii="Verdana" w:eastAsia="Times New Roman" w:hAnsi="Verdana" w:cs="Calibri"/>
                <w:b/>
                <w:color w:val="000000"/>
                <w:sz w:val="16"/>
                <w:szCs w:val="16"/>
                <w:lang w:eastAsia="en-GB"/>
              </w:rPr>
              <w:t>441</w:t>
            </w:r>
          </w:p>
        </w:tc>
      </w:tr>
    </w:tbl>
    <w:p w14:paraId="492A2EFB" w14:textId="77777777" w:rsidR="00CA6653" w:rsidRDefault="00CA6653">
      <w:pPr>
        <w:pStyle w:val="T1TableStyle"/>
        <w:rPr>
          <w:rFonts w:ascii="Verdana" w:eastAsia="Verdana" w:hAnsi="Verdana" w:cs="Verdana"/>
          <w:sz w:val="22"/>
          <w:highlight w:val="yellow"/>
          <w:lang w:val="en-GB"/>
        </w:rPr>
      </w:pPr>
    </w:p>
    <w:tbl>
      <w:tblPr>
        <w:tblW w:w="10523" w:type="dxa"/>
        <w:jc w:val="center"/>
        <w:tblLook w:val="04A0" w:firstRow="1" w:lastRow="0" w:firstColumn="1" w:lastColumn="0" w:noHBand="0" w:noVBand="1"/>
      </w:tblPr>
      <w:tblGrid>
        <w:gridCol w:w="1470"/>
        <w:gridCol w:w="330"/>
        <w:gridCol w:w="6144"/>
        <w:gridCol w:w="1836"/>
        <w:gridCol w:w="743"/>
      </w:tblGrid>
      <w:tr w:rsidR="006D7DD5" w:rsidRPr="00F31632" w14:paraId="0B752FFB" w14:textId="77777777" w:rsidTr="006D7DD5">
        <w:trPr>
          <w:trHeight w:val="122"/>
          <w:jc w:val="center"/>
        </w:trPr>
        <w:tc>
          <w:tcPr>
            <w:tcW w:w="10523" w:type="dxa"/>
            <w:gridSpan w:val="5"/>
            <w:shd w:val="clear" w:color="auto" w:fill="auto"/>
            <w:tcMar>
              <w:top w:w="20" w:type="dxa"/>
              <w:left w:w="20" w:type="dxa"/>
              <w:bottom w:w="20" w:type="dxa"/>
              <w:right w:w="20" w:type="dxa"/>
            </w:tcMar>
            <w:vAlign w:val="bottom"/>
          </w:tcPr>
          <w:p w14:paraId="5A871673" w14:textId="0AAAFEC6" w:rsidR="006D7DD5" w:rsidRPr="00F31632" w:rsidRDefault="006D7DD5" w:rsidP="006C23ED">
            <w:pPr>
              <w:pStyle w:val="T1TableStyle"/>
              <w:rPr>
                <w:rFonts w:ascii="Verdana" w:eastAsia="Verdana" w:hAnsi="Verdana" w:cs="Verdana"/>
                <w:b/>
                <w:color w:val="000000"/>
                <w:lang w:val="en-GB"/>
              </w:rPr>
            </w:pPr>
            <w:r w:rsidRPr="00F31632">
              <w:rPr>
                <w:rFonts w:ascii="Verdana" w:eastAsia="Verdana" w:hAnsi="Verdana" w:cs="Verdana"/>
                <w:b/>
                <w:color w:val="000000"/>
                <w:lang w:val="en-GB"/>
              </w:rPr>
              <w:t>Revaluation Reserve</w:t>
            </w:r>
            <w:r>
              <w:rPr>
                <w:rFonts w:ascii="Verdana" w:eastAsia="Verdana" w:hAnsi="Verdana" w:cs="Verdana"/>
                <w:b/>
                <w:color w:val="000000"/>
                <w:lang w:val="en-GB"/>
              </w:rPr>
              <w:t xml:space="preserve"> </w:t>
            </w:r>
          </w:p>
        </w:tc>
      </w:tr>
      <w:tr w:rsidR="006D7DD5" w:rsidRPr="00F31632" w14:paraId="6E6CA6AE" w14:textId="77777777" w:rsidTr="006D7DD5">
        <w:trPr>
          <w:gridAfter w:val="1"/>
          <w:wAfter w:w="743" w:type="dxa"/>
          <w:trHeight w:val="122"/>
          <w:jc w:val="center"/>
        </w:trPr>
        <w:tc>
          <w:tcPr>
            <w:tcW w:w="1470" w:type="dxa"/>
            <w:shd w:val="clear" w:color="auto" w:fill="auto"/>
            <w:tcMar>
              <w:top w:w="20" w:type="dxa"/>
              <w:left w:w="20" w:type="dxa"/>
              <w:bottom w:w="20" w:type="dxa"/>
              <w:right w:w="20" w:type="dxa"/>
            </w:tcMar>
            <w:vAlign w:val="bottom"/>
          </w:tcPr>
          <w:p w14:paraId="29BE6516" w14:textId="77777777" w:rsidR="006D7DD5" w:rsidRPr="00F31632" w:rsidRDefault="006D7DD5" w:rsidP="006C23ED">
            <w:pPr>
              <w:pStyle w:val="T1TableStyle"/>
              <w:jc w:val="center"/>
              <w:rPr>
                <w:rFonts w:ascii="Verdana" w:eastAsia="Verdana" w:hAnsi="Verdana" w:cs="Verdana"/>
                <w:b/>
                <w:color w:val="000000"/>
                <w:sz w:val="16"/>
                <w:lang w:val="en-GB"/>
              </w:rPr>
            </w:pPr>
            <w:r w:rsidRPr="00F31632">
              <w:rPr>
                <w:rFonts w:ascii="Verdana" w:eastAsia="Verdana" w:hAnsi="Verdana" w:cs="Verdana"/>
                <w:b/>
                <w:color w:val="000000"/>
                <w:sz w:val="16"/>
                <w:lang w:val="en-GB"/>
              </w:rPr>
              <w:t>31 March 2020</w:t>
            </w:r>
          </w:p>
        </w:tc>
        <w:tc>
          <w:tcPr>
            <w:tcW w:w="330" w:type="dxa"/>
            <w:shd w:val="clear" w:color="auto" w:fill="auto"/>
            <w:tcMar>
              <w:top w:w="20" w:type="dxa"/>
              <w:left w:w="20" w:type="dxa"/>
              <w:bottom w:w="20" w:type="dxa"/>
              <w:right w:w="20" w:type="dxa"/>
            </w:tcMar>
            <w:vAlign w:val="bottom"/>
          </w:tcPr>
          <w:p w14:paraId="0838B99D" w14:textId="77777777" w:rsidR="006D7DD5" w:rsidRPr="00F31632" w:rsidRDefault="006D7DD5" w:rsidP="006C23ED">
            <w:pPr>
              <w:pStyle w:val="T1TableStyle"/>
              <w:jc w:val="center"/>
              <w:rPr>
                <w:rFonts w:ascii="Verdana" w:eastAsia="Verdana" w:hAnsi="Verdana" w:cs="Verdana"/>
                <w:b/>
                <w:color w:val="000000"/>
                <w:sz w:val="2"/>
                <w:lang w:val="en-GB"/>
              </w:rPr>
            </w:pPr>
            <w:r w:rsidRPr="00F31632">
              <w:rPr>
                <w:rFonts w:ascii="Verdana" w:eastAsia="Verdana" w:hAnsi="Verdana" w:cs="Verdana"/>
                <w:b/>
                <w:color w:val="000000"/>
                <w:sz w:val="2"/>
                <w:lang w:val="en-GB"/>
              </w:rPr>
              <w:t xml:space="preserve"> </w:t>
            </w:r>
          </w:p>
        </w:tc>
        <w:tc>
          <w:tcPr>
            <w:tcW w:w="6144" w:type="dxa"/>
            <w:shd w:val="clear" w:color="auto" w:fill="auto"/>
            <w:tcMar>
              <w:top w:w="20" w:type="dxa"/>
              <w:left w:w="20" w:type="dxa"/>
              <w:bottom w:w="20" w:type="dxa"/>
              <w:right w:w="20" w:type="dxa"/>
            </w:tcMar>
            <w:vAlign w:val="bottom"/>
          </w:tcPr>
          <w:p w14:paraId="03356D7E" w14:textId="77777777" w:rsidR="006D7DD5" w:rsidRPr="00F31632" w:rsidRDefault="006D7DD5" w:rsidP="006C23ED">
            <w:pPr>
              <w:pStyle w:val="T1TableStyle"/>
              <w:jc w:val="center"/>
              <w:rPr>
                <w:rFonts w:ascii="Verdana" w:eastAsia="Verdana" w:hAnsi="Verdana" w:cs="Verdana"/>
                <w:b/>
                <w:color w:val="000000"/>
                <w:sz w:val="2"/>
                <w:lang w:val="en-GB"/>
              </w:rPr>
            </w:pPr>
            <w:r w:rsidRPr="00F31632">
              <w:rPr>
                <w:rFonts w:ascii="Verdana" w:eastAsia="Verdana" w:hAnsi="Verdana" w:cs="Verdana"/>
                <w:b/>
                <w:color w:val="000000"/>
                <w:sz w:val="2"/>
                <w:lang w:val="en-GB"/>
              </w:rPr>
              <w:t xml:space="preserve"> </w:t>
            </w:r>
          </w:p>
        </w:tc>
        <w:tc>
          <w:tcPr>
            <w:tcW w:w="1836" w:type="dxa"/>
            <w:shd w:val="clear" w:color="auto" w:fill="auto"/>
            <w:tcMar>
              <w:top w:w="20" w:type="dxa"/>
              <w:left w:w="20" w:type="dxa"/>
              <w:bottom w:w="20" w:type="dxa"/>
              <w:right w:w="20" w:type="dxa"/>
            </w:tcMar>
            <w:vAlign w:val="bottom"/>
          </w:tcPr>
          <w:p w14:paraId="33B629C1" w14:textId="77777777" w:rsidR="006D7DD5" w:rsidRPr="00F31632" w:rsidRDefault="006D7DD5" w:rsidP="006C23ED">
            <w:pPr>
              <w:pStyle w:val="T1TableStyle"/>
              <w:jc w:val="center"/>
              <w:rPr>
                <w:rFonts w:ascii="Verdana" w:eastAsia="Verdana" w:hAnsi="Verdana" w:cs="Verdana"/>
                <w:b/>
                <w:color w:val="000000"/>
                <w:sz w:val="16"/>
                <w:lang w:val="en-GB"/>
              </w:rPr>
            </w:pPr>
            <w:r w:rsidRPr="00F31632">
              <w:rPr>
                <w:rFonts w:ascii="Verdana" w:eastAsia="Verdana" w:hAnsi="Verdana" w:cs="Verdana"/>
                <w:b/>
                <w:color w:val="000000"/>
                <w:sz w:val="16"/>
                <w:lang w:val="en-GB"/>
              </w:rPr>
              <w:t>31 March 2021</w:t>
            </w:r>
          </w:p>
        </w:tc>
      </w:tr>
      <w:tr w:rsidR="006D7DD5" w:rsidRPr="00F31632" w14:paraId="5F76C982" w14:textId="77777777" w:rsidTr="006D7DD5">
        <w:trPr>
          <w:gridAfter w:val="1"/>
          <w:wAfter w:w="743" w:type="dxa"/>
          <w:trHeight w:val="122"/>
          <w:jc w:val="center"/>
        </w:trPr>
        <w:tc>
          <w:tcPr>
            <w:tcW w:w="1470" w:type="dxa"/>
            <w:tcBorders>
              <w:bottom w:val="single" w:sz="2" w:space="0" w:color="000000"/>
            </w:tcBorders>
            <w:shd w:val="clear" w:color="auto" w:fill="auto"/>
            <w:tcMar>
              <w:top w:w="20" w:type="dxa"/>
              <w:left w:w="20" w:type="dxa"/>
              <w:bottom w:w="20" w:type="dxa"/>
              <w:right w:w="20" w:type="dxa"/>
            </w:tcMar>
          </w:tcPr>
          <w:p w14:paraId="594362B0" w14:textId="77777777" w:rsidR="006D7DD5" w:rsidRPr="00F31632" w:rsidRDefault="006D7DD5" w:rsidP="006C23ED">
            <w:pPr>
              <w:pStyle w:val="T1TableStyle"/>
              <w:jc w:val="right"/>
              <w:rPr>
                <w:rFonts w:ascii="Verdana" w:eastAsia="Verdana" w:hAnsi="Verdana" w:cs="Verdana"/>
                <w:b/>
                <w:color w:val="000000"/>
                <w:sz w:val="16"/>
                <w:lang w:val="en-GB"/>
              </w:rPr>
            </w:pPr>
            <w:r w:rsidRPr="00F31632">
              <w:rPr>
                <w:rFonts w:ascii="Verdana" w:eastAsia="Verdana" w:hAnsi="Verdana" w:cs="Verdana"/>
                <w:b/>
                <w:color w:val="000000"/>
                <w:sz w:val="16"/>
                <w:lang w:val="en-GB"/>
              </w:rPr>
              <w:t>£000</w:t>
            </w:r>
          </w:p>
        </w:tc>
        <w:tc>
          <w:tcPr>
            <w:tcW w:w="330" w:type="dxa"/>
            <w:tcBorders>
              <w:bottom w:val="single" w:sz="2" w:space="0" w:color="000000"/>
            </w:tcBorders>
            <w:shd w:val="clear" w:color="auto" w:fill="auto"/>
            <w:tcMar>
              <w:top w:w="20" w:type="dxa"/>
              <w:left w:w="20" w:type="dxa"/>
              <w:bottom w:w="20" w:type="dxa"/>
              <w:right w:w="20" w:type="dxa"/>
            </w:tcMar>
          </w:tcPr>
          <w:p w14:paraId="092DCEFC" w14:textId="77777777" w:rsidR="006D7DD5" w:rsidRPr="00F31632" w:rsidRDefault="006D7DD5" w:rsidP="006C23ED">
            <w:pPr>
              <w:pStyle w:val="T1TableStyle"/>
              <w:jc w:val="right"/>
              <w:rPr>
                <w:rFonts w:ascii="Verdana" w:eastAsia="Verdana" w:hAnsi="Verdana" w:cs="Verdana"/>
                <w:b/>
                <w:color w:val="000000"/>
                <w:sz w:val="2"/>
                <w:lang w:val="en-GB"/>
              </w:rPr>
            </w:pPr>
            <w:r w:rsidRPr="00F31632">
              <w:rPr>
                <w:rFonts w:ascii="Verdana" w:eastAsia="Verdana" w:hAnsi="Verdana" w:cs="Verdana"/>
                <w:b/>
                <w:color w:val="000000"/>
                <w:sz w:val="2"/>
                <w:lang w:val="en-GB"/>
              </w:rPr>
              <w:t xml:space="preserve"> </w:t>
            </w:r>
          </w:p>
        </w:tc>
        <w:tc>
          <w:tcPr>
            <w:tcW w:w="6144" w:type="dxa"/>
            <w:tcBorders>
              <w:bottom w:val="single" w:sz="2" w:space="0" w:color="000000"/>
            </w:tcBorders>
            <w:shd w:val="clear" w:color="auto" w:fill="auto"/>
            <w:tcMar>
              <w:top w:w="20" w:type="dxa"/>
              <w:left w:w="20" w:type="dxa"/>
              <w:bottom w:w="20" w:type="dxa"/>
              <w:right w:w="20" w:type="dxa"/>
            </w:tcMar>
          </w:tcPr>
          <w:p w14:paraId="3D6A533E" w14:textId="77777777" w:rsidR="006D7DD5" w:rsidRPr="00F31632" w:rsidRDefault="006D7DD5" w:rsidP="006C23ED">
            <w:pPr>
              <w:pStyle w:val="T1TableStyle"/>
              <w:jc w:val="right"/>
              <w:rPr>
                <w:rFonts w:ascii="Verdana" w:eastAsia="Verdana" w:hAnsi="Verdana" w:cs="Verdana"/>
                <w:b/>
                <w:color w:val="000000"/>
                <w:sz w:val="2"/>
                <w:lang w:val="en-GB"/>
              </w:rPr>
            </w:pPr>
            <w:r w:rsidRPr="00F31632">
              <w:rPr>
                <w:rFonts w:ascii="Verdana" w:eastAsia="Verdana" w:hAnsi="Verdana" w:cs="Verdana"/>
                <w:b/>
                <w:color w:val="000000"/>
                <w:sz w:val="2"/>
                <w:lang w:val="en-GB"/>
              </w:rPr>
              <w:t xml:space="preserve"> </w:t>
            </w:r>
          </w:p>
        </w:tc>
        <w:tc>
          <w:tcPr>
            <w:tcW w:w="1836" w:type="dxa"/>
            <w:tcBorders>
              <w:bottom w:val="single" w:sz="2" w:space="0" w:color="000000"/>
            </w:tcBorders>
            <w:shd w:val="clear" w:color="auto" w:fill="auto"/>
            <w:tcMar>
              <w:top w:w="20" w:type="dxa"/>
              <w:left w:w="20" w:type="dxa"/>
              <w:bottom w:w="20" w:type="dxa"/>
              <w:right w:w="20" w:type="dxa"/>
            </w:tcMar>
          </w:tcPr>
          <w:p w14:paraId="3308461E" w14:textId="77777777" w:rsidR="006D7DD5" w:rsidRPr="00F31632" w:rsidRDefault="006D7DD5" w:rsidP="006C23ED">
            <w:pPr>
              <w:pStyle w:val="T1TableStyle"/>
              <w:jc w:val="right"/>
              <w:rPr>
                <w:rFonts w:ascii="Verdana" w:eastAsia="Verdana" w:hAnsi="Verdana" w:cs="Verdana"/>
                <w:b/>
                <w:color w:val="000000"/>
                <w:sz w:val="16"/>
                <w:lang w:val="en-GB"/>
              </w:rPr>
            </w:pPr>
            <w:r w:rsidRPr="00F31632">
              <w:rPr>
                <w:rFonts w:ascii="Verdana" w:eastAsia="Verdana" w:hAnsi="Verdana" w:cs="Verdana"/>
                <w:b/>
                <w:color w:val="000000"/>
                <w:sz w:val="16"/>
                <w:lang w:val="en-GB"/>
              </w:rPr>
              <w:t>£000</w:t>
            </w:r>
          </w:p>
        </w:tc>
      </w:tr>
      <w:tr w:rsidR="006D7DD5" w:rsidRPr="00F31632" w14:paraId="5D0F3D4C" w14:textId="77777777" w:rsidTr="006D7DD5">
        <w:trPr>
          <w:gridAfter w:val="1"/>
          <w:wAfter w:w="743" w:type="dxa"/>
          <w:trHeight w:val="122"/>
          <w:jc w:val="center"/>
        </w:trPr>
        <w:tc>
          <w:tcPr>
            <w:tcW w:w="1470" w:type="dxa"/>
            <w:shd w:val="clear" w:color="auto" w:fill="auto"/>
            <w:tcMar>
              <w:top w:w="20" w:type="dxa"/>
              <w:left w:w="20" w:type="dxa"/>
              <w:bottom w:w="20" w:type="dxa"/>
              <w:right w:w="20" w:type="dxa"/>
            </w:tcMar>
          </w:tcPr>
          <w:p w14:paraId="6B1D6D8B" w14:textId="77777777" w:rsidR="006D7DD5" w:rsidRPr="00F31632" w:rsidRDefault="006D7DD5" w:rsidP="006C23ED">
            <w:pPr>
              <w:pStyle w:val="T1TableStyle"/>
              <w:jc w:val="right"/>
              <w:rPr>
                <w:rFonts w:ascii="Verdana" w:eastAsia="Verdana" w:hAnsi="Verdana" w:cs="Verdana"/>
                <w:b/>
                <w:color w:val="000000"/>
                <w:sz w:val="16"/>
                <w:lang w:val="en-GB"/>
              </w:rPr>
            </w:pPr>
            <w:r w:rsidRPr="00F31632">
              <w:rPr>
                <w:rFonts w:ascii="Verdana" w:eastAsia="Verdana" w:hAnsi="Verdana" w:cs="Verdana"/>
                <w:b/>
                <w:color w:val="000000"/>
                <w:sz w:val="16"/>
                <w:lang w:val="en-GB"/>
              </w:rPr>
              <w:t>(36,881)</w:t>
            </w:r>
          </w:p>
        </w:tc>
        <w:tc>
          <w:tcPr>
            <w:tcW w:w="330" w:type="dxa"/>
            <w:shd w:val="clear" w:color="auto" w:fill="auto"/>
            <w:tcMar>
              <w:top w:w="20" w:type="dxa"/>
              <w:left w:w="20" w:type="dxa"/>
              <w:bottom w:w="20" w:type="dxa"/>
              <w:right w:w="20" w:type="dxa"/>
            </w:tcMar>
          </w:tcPr>
          <w:p w14:paraId="63006E39" w14:textId="77777777" w:rsidR="006D7DD5" w:rsidRPr="00F31632" w:rsidRDefault="006D7DD5" w:rsidP="006C23ED">
            <w:pPr>
              <w:pStyle w:val="T1TableStyle"/>
              <w:jc w:val="center"/>
              <w:rPr>
                <w:rFonts w:ascii="Verdana" w:eastAsia="Verdana" w:hAnsi="Verdana" w:cs="Verdana"/>
                <w:b/>
                <w:color w:val="000000"/>
                <w:sz w:val="2"/>
                <w:lang w:val="en-GB"/>
              </w:rPr>
            </w:pPr>
            <w:r w:rsidRPr="00F31632">
              <w:rPr>
                <w:rFonts w:ascii="Verdana" w:eastAsia="Verdana" w:hAnsi="Verdana" w:cs="Verdana"/>
                <w:b/>
                <w:color w:val="000000"/>
                <w:sz w:val="2"/>
                <w:lang w:val="en-GB"/>
              </w:rPr>
              <w:t xml:space="preserve"> </w:t>
            </w:r>
          </w:p>
        </w:tc>
        <w:tc>
          <w:tcPr>
            <w:tcW w:w="6144" w:type="dxa"/>
            <w:shd w:val="clear" w:color="auto" w:fill="auto"/>
            <w:tcMar>
              <w:top w:w="20" w:type="dxa"/>
              <w:left w:w="20" w:type="dxa"/>
              <w:bottom w:w="20" w:type="dxa"/>
              <w:right w:w="20" w:type="dxa"/>
            </w:tcMar>
          </w:tcPr>
          <w:p w14:paraId="22915CF2" w14:textId="77777777" w:rsidR="006D7DD5" w:rsidRPr="00F31632" w:rsidRDefault="006D7DD5" w:rsidP="006C23ED">
            <w:pPr>
              <w:pStyle w:val="T1TableStyle"/>
              <w:rPr>
                <w:rFonts w:ascii="Verdana" w:eastAsia="Verdana" w:hAnsi="Verdana" w:cs="Verdana"/>
                <w:b/>
                <w:color w:val="000000"/>
                <w:sz w:val="16"/>
                <w:lang w:val="en-GB"/>
              </w:rPr>
            </w:pPr>
            <w:r w:rsidRPr="00F31632">
              <w:rPr>
                <w:rFonts w:ascii="Verdana" w:eastAsia="Verdana" w:hAnsi="Verdana" w:cs="Verdana"/>
                <w:b/>
                <w:color w:val="000000"/>
                <w:sz w:val="16"/>
                <w:lang w:val="en-GB"/>
              </w:rPr>
              <w:t xml:space="preserve">Balance 1 April </w:t>
            </w:r>
          </w:p>
        </w:tc>
        <w:tc>
          <w:tcPr>
            <w:tcW w:w="1836" w:type="dxa"/>
            <w:shd w:val="clear" w:color="auto" w:fill="auto"/>
            <w:tcMar>
              <w:top w:w="20" w:type="dxa"/>
              <w:left w:w="20" w:type="dxa"/>
              <w:bottom w:w="20" w:type="dxa"/>
              <w:right w:w="20" w:type="dxa"/>
            </w:tcMar>
          </w:tcPr>
          <w:p w14:paraId="3DA77A65" w14:textId="77777777" w:rsidR="006D7DD5" w:rsidRPr="00F31632" w:rsidRDefault="006D7DD5" w:rsidP="006C23E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Pr="00F31632">
              <w:rPr>
                <w:rFonts w:ascii="Verdana" w:eastAsia="Verdana" w:hAnsi="Verdana" w:cs="Verdana"/>
                <w:b/>
                <w:color w:val="000000"/>
                <w:sz w:val="16"/>
                <w:lang w:val="en-GB"/>
              </w:rPr>
              <w:t>45,005</w:t>
            </w:r>
            <w:r>
              <w:rPr>
                <w:rFonts w:ascii="Verdana" w:eastAsia="Verdana" w:hAnsi="Verdana" w:cs="Verdana"/>
                <w:b/>
                <w:color w:val="000000"/>
                <w:sz w:val="16"/>
                <w:lang w:val="en-GB"/>
              </w:rPr>
              <w:t>)</w:t>
            </w:r>
          </w:p>
        </w:tc>
      </w:tr>
      <w:tr w:rsidR="006D7DD5" w:rsidRPr="00F31632" w14:paraId="1EC36C6F" w14:textId="77777777" w:rsidTr="006D7DD5">
        <w:trPr>
          <w:gridAfter w:val="1"/>
          <w:wAfter w:w="743" w:type="dxa"/>
          <w:trHeight w:val="122"/>
          <w:jc w:val="center"/>
        </w:trPr>
        <w:tc>
          <w:tcPr>
            <w:tcW w:w="1470" w:type="dxa"/>
            <w:shd w:val="clear" w:color="auto" w:fill="auto"/>
            <w:tcMar>
              <w:top w:w="20" w:type="dxa"/>
              <w:left w:w="20" w:type="dxa"/>
              <w:bottom w:w="20" w:type="dxa"/>
              <w:right w:w="20" w:type="dxa"/>
            </w:tcMar>
          </w:tcPr>
          <w:p w14:paraId="2CAF66D3" w14:textId="77777777" w:rsidR="006D7DD5" w:rsidRPr="00F31632" w:rsidRDefault="006D7DD5" w:rsidP="006C23ED">
            <w:pPr>
              <w:pStyle w:val="T1TableStyle"/>
              <w:jc w:val="right"/>
              <w:rPr>
                <w:rFonts w:ascii="Verdana" w:eastAsia="Verdana" w:hAnsi="Verdana" w:cs="Verdana"/>
                <w:color w:val="000000"/>
                <w:sz w:val="16"/>
                <w:lang w:val="en-GB"/>
              </w:rPr>
            </w:pPr>
            <w:r w:rsidRPr="00F31632">
              <w:rPr>
                <w:rFonts w:ascii="Verdana" w:eastAsia="Verdana" w:hAnsi="Verdana" w:cs="Verdana"/>
                <w:color w:val="000000"/>
                <w:sz w:val="16"/>
                <w:lang w:val="en-GB"/>
              </w:rPr>
              <w:t>(10,053)</w:t>
            </w:r>
          </w:p>
        </w:tc>
        <w:tc>
          <w:tcPr>
            <w:tcW w:w="330" w:type="dxa"/>
            <w:shd w:val="clear" w:color="auto" w:fill="auto"/>
            <w:tcMar>
              <w:top w:w="20" w:type="dxa"/>
              <w:left w:w="20" w:type="dxa"/>
              <w:bottom w:w="20" w:type="dxa"/>
              <w:right w:w="20" w:type="dxa"/>
            </w:tcMar>
          </w:tcPr>
          <w:p w14:paraId="60087ACD" w14:textId="77777777" w:rsidR="006D7DD5" w:rsidRPr="00F31632" w:rsidRDefault="006D7DD5" w:rsidP="006C23ED">
            <w:pPr>
              <w:pStyle w:val="T1TableStyle"/>
              <w:jc w:val="center"/>
              <w:rPr>
                <w:rFonts w:ascii="Verdana" w:eastAsia="Verdana" w:hAnsi="Verdana" w:cs="Verdana"/>
                <w:color w:val="000000"/>
                <w:sz w:val="2"/>
                <w:lang w:val="en-GB"/>
              </w:rPr>
            </w:pPr>
            <w:r w:rsidRPr="00F31632">
              <w:rPr>
                <w:rFonts w:ascii="Verdana" w:eastAsia="Verdana" w:hAnsi="Verdana" w:cs="Verdana"/>
                <w:color w:val="000000"/>
                <w:sz w:val="2"/>
                <w:lang w:val="en-GB"/>
              </w:rPr>
              <w:t xml:space="preserve"> </w:t>
            </w:r>
          </w:p>
        </w:tc>
        <w:tc>
          <w:tcPr>
            <w:tcW w:w="6144" w:type="dxa"/>
            <w:shd w:val="clear" w:color="auto" w:fill="auto"/>
            <w:tcMar>
              <w:top w:w="20" w:type="dxa"/>
              <w:left w:w="20" w:type="dxa"/>
              <w:bottom w:w="20" w:type="dxa"/>
              <w:right w:w="20" w:type="dxa"/>
            </w:tcMar>
          </w:tcPr>
          <w:p w14:paraId="405BF59F" w14:textId="77777777" w:rsidR="006D7DD5" w:rsidRPr="00F31632" w:rsidRDefault="006D7DD5" w:rsidP="006C23ED">
            <w:pPr>
              <w:pStyle w:val="T1TableStyle"/>
              <w:rPr>
                <w:rFonts w:ascii="Verdana" w:eastAsia="Verdana" w:hAnsi="Verdana" w:cs="Verdana"/>
                <w:color w:val="000000"/>
                <w:sz w:val="16"/>
                <w:lang w:val="en-GB"/>
              </w:rPr>
            </w:pPr>
            <w:r w:rsidRPr="00F31632">
              <w:rPr>
                <w:rFonts w:ascii="Verdana" w:eastAsia="Verdana" w:hAnsi="Verdana" w:cs="Verdana"/>
                <w:color w:val="000000"/>
                <w:sz w:val="16"/>
                <w:lang w:val="en-GB"/>
              </w:rPr>
              <w:t>Upward revaluation of assets</w:t>
            </w:r>
          </w:p>
        </w:tc>
        <w:tc>
          <w:tcPr>
            <w:tcW w:w="1836" w:type="dxa"/>
            <w:shd w:val="clear" w:color="auto" w:fill="auto"/>
            <w:tcMar>
              <w:top w:w="20" w:type="dxa"/>
              <w:left w:w="20" w:type="dxa"/>
              <w:bottom w:w="20" w:type="dxa"/>
              <w:right w:w="20" w:type="dxa"/>
            </w:tcMar>
          </w:tcPr>
          <w:p w14:paraId="22EAA4DD" w14:textId="77777777" w:rsidR="006D7DD5" w:rsidRPr="00F31632" w:rsidRDefault="006D7DD5" w:rsidP="006C23ED">
            <w:pPr>
              <w:pStyle w:val="T1TableStyle"/>
              <w:jc w:val="right"/>
              <w:rPr>
                <w:rFonts w:ascii="Verdana" w:eastAsia="Verdana" w:hAnsi="Verdana" w:cs="Verdana"/>
                <w:color w:val="000000"/>
                <w:sz w:val="16"/>
                <w:lang w:val="en-GB"/>
              </w:rPr>
            </w:pPr>
            <w:r w:rsidRPr="00F31632">
              <w:rPr>
                <w:rFonts w:ascii="Verdana" w:eastAsia="Verdana" w:hAnsi="Verdana" w:cs="Verdana"/>
                <w:color w:val="000000"/>
                <w:sz w:val="16"/>
                <w:lang w:val="en-GB"/>
              </w:rPr>
              <w:t>(5,139)</w:t>
            </w:r>
          </w:p>
        </w:tc>
      </w:tr>
      <w:tr w:rsidR="006D7DD5" w:rsidRPr="00F31632" w14:paraId="3013A135" w14:textId="77777777" w:rsidTr="006D7DD5">
        <w:trPr>
          <w:gridAfter w:val="1"/>
          <w:wAfter w:w="743" w:type="dxa"/>
          <w:trHeight w:val="344"/>
          <w:jc w:val="center"/>
        </w:trPr>
        <w:tc>
          <w:tcPr>
            <w:tcW w:w="1470" w:type="dxa"/>
            <w:shd w:val="clear" w:color="auto" w:fill="auto"/>
            <w:tcMar>
              <w:top w:w="20" w:type="dxa"/>
              <w:left w:w="20" w:type="dxa"/>
              <w:bottom w:w="20" w:type="dxa"/>
              <w:right w:w="20" w:type="dxa"/>
            </w:tcMar>
          </w:tcPr>
          <w:p w14:paraId="4A239000" w14:textId="77777777" w:rsidR="006D7DD5" w:rsidRPr="00F31632" w:rsidRDefault="006D7DD5" w:rsidP="006C23ED">
            <w:pPr>
              <w:pStyle w:val="T1TableStyle"/>
              <w:jc w:val="right"/>
              <w:rPr>
                <w:rFonts w:ascii="Verdana" w:eastAsia="Verdana" w:hAnsi="Verdana" w:cs="Verdana"/>
                <w:color w:val="000000"/>
                <w:sz w:val="16"/>
                <w:lang w:val="en-GB"/>
              </w:rPr>
            </w:pPr>
            <w:r w:rsidRPr="00F31632">
              <w:rPr>
                <w:rFonts w:ascii="Verdana" w:eastAsia="Verdana" w:hAnsi="Verdana" w:cs="Verdana"/>
                <w:color w:val="000000"/>
                <w:sz w:val="16"/>
                <w:lang w:val="en-GB"/>
              </w:rPr>
              <w:t>712</w:t>
            </w:r>
          </w:p>
        </w:tc>
        <w:tc>
          <w:tcPr>
            <w:tcW w:w="330" w:type="dxa"/>
            <w:shd w:val="clear" w:color="auto" w:fill="auto"/>
            <w:tcMar>
              <w:top w:w="20" w:type="dxa"/>
              <w:left w:w="20" w:type="dxa"/>
              <w:bottom w:w="20" w:type="dxa"/>
              <w:right w:w="20" w:type="dxa"/>
            </w:tcMar>
          </w:tcPr>
          <w:p w14:paraId="51583A3F" w14:textId="77777777" w:rsidR="006D7DD5" w:rsidRPr="00F31632" w:rsidRDefault="006D7DD5" w:rsidP="006C23ED">
            <w:pPr>
              <w:pStyle w:val="T1TableStyle"/>
              <w:jc w:val="center"/>
              <w:rPr>
                <w:rFonts w:ascii="Verdana" w:eastAsia="Verdana" w:hAnsi="Verdana" w:cs="Verdana"/>
                <w:color w:val="000000"/>
                <w:sz w:val="2"/>
                <w:lang w:val="en-GB"/>
              </w:rPr>
            </w:pPr>
            <w:r w:rsidRPr="00F31632">
              <w:rPr>
                <w:rFonts w:ascii="Verdana" w:eastAsia="Verdana" w:hAnsi="Verdana" w:cs="Verdana"/>
                <w:color w:val="000000"/>
                <w:sz w:val="2"/>
                <w:lang w:val="en-GB"/>
              </w:rPr>
              <w:t xml:space="preserve"> </w:t>
            </w:r>
          </w:p>
        </w:tc>
        <w:tc>
          <w:tcPr>
            <w:tcW w:w="6144" w:type="dxa"/>
            <w:shd w:val="clear" w:color="auto" w:fill="auto"/>
            <w:tcMar>
              <w:top w:w="20" w:type="dxa"/>
              <w:left w:w="20" w:type="dxa"/>
              <w:bottom w:w="20" w:type="dxa"/>
              <w:right w:w="20" w:type="dxa"/>
            </w:tcMar>
          </w:tcPr>
          <w:p w14:paraId="40BF7275" w14:textId="77777777" w:rsidR="006D7DD5" w:rsidRPr="00F31632" w:rsidRDefault="006D7DD5" w:rsidP="006C23ED">
            <w:pPr>
              <w:pStyle w:val="T1TableStyle"/>
              <w:rPr>
                <w:rFonts w:ascii="Verdana" w:eastAsia="Verdana" w:hAnsi="Verdana" w:cs="Verdana"/>
                <w:color w:val="000000"/>
                <w:sz w:val="16"/>
                <w:lang w:val="en-GB"/>
              </w:rPr>
            </w:pPr>
            <w:r w:rsidRPr="00F31632">
              <w:rPr>
                <w:rFonts w:ascii="Verdana" w:eastAsia="Verdana" w:hAnsi="Verdana" w:cs="Verdana"/>
                <w:color w:val="000000"/>
                <w:sz w:val="16"/>
                <w:lang w:val="en-GB"/>
              </w:rPr>
              <w:t>Downward revaluation of assets and impairment losses not charged to the Surplus or Deficit on the Provision of Services</w:t>
            </w:r>
          </w:p>
        </w:tc>
        <w:tc>
          <w:tcPr>
            <w:tcW w:w="1836" w:type="dxa"/>
            <w:shd w:val="clear" w:color="auto" w:fill="auto"/>
            <w:tcMar>
              <w:top w:w="20" w:type="dxa"/>
              <w:left w:w="20" w:type="dxa"/>
              <w:bottom w:w="20" w:type="dxa"/>
              <w:right w:w="20" w:type="dxa"/>
            </w:tcMar>
          </w:tcPr>
          <w:p w14:paraId="0B96B7BE" w14:textId="77777777" w:rsidR="006D7DD5" w:rsidRPr="00F31632" w:rsidRDefault="006D7DD5" w:rsidP="006C23ED">
            <w:pPr>
              <w:pStyle w:val="T1TableStyle"/>
              <w:jc w:val="right"/>
              <w:rPr>
                <w:rFonts w:ascii="Verdana" w:eastAsia="Verdana" w:hAnsi="Verdana" w:cs="Verdana"/>
                <w:color w:val="000000"/>
                <w:sz w:val="16"/>
                <w:lang w:val="en-GB"/>
              </w:rPr>
            </w:pPr>
            <w:r w:rsidRPr="00F31632">
              <w:rPr>
                <w:rFonts w:ascii="Verdana" w:eastAsia="Verdana" w:hAnsi="Verdana" w:cs="Verdana"/>
                <w:color w:val="000000"/>
                <w:sz w:val="16"/>
                <w:lang w:val="en-GB"/>
              </w:rPr>
              <w:t>2,809</w:t>
            </w:r>
          </w:p>
        </w:tc>
      </w:tr>
      <w:tr w:rsidR="006D7DD5" w:rsidRPr="00F31632" w14:paraId="54487C41" w14:textId="77777777" w:rsidTr="006D7DD5">
        <w:trPr>
          <w:gridAfter w:val="1"/>
          <w:wAfter w:w="743" w:type="dxa"/>
          <w:trHeight w:val="430"/>
          <w:jc w:val="center"/>
        </w:trPr>
        <w:tc>
          <w:tcPr>
            <w:tcW w:w="1470" w:type="dxa"/>
            <w:tcBorders>
              <w:top w:val="single" w:sz="2" w:space="0" w:color="000000"/>
            </w:tcBorders>
            <w:shd w:val="clear" w:color="auto" w:fill="auto"/>
            <w:tcMar>
              <w:top w:w="20" w:type="dxa"/>
              <w:left w:w="20" w:type="dxa"/>
              <w:bottom w:w="20" w:type="dxa"/>
              <w:right w:w="20" w:type="dxa"/>
            </w:tcMar>
          </w:tcPr>
          <w:p w14:paraId="7C1C3608" w14:textId="77777777" w:rsidR="006D7DD5" w:rsidRPr="00F31632" w:rsidRDefault="006D7DD5" w:rsidP="006C23ED">
            <w:pPr>
              <w:pStyle w:val="T1TableStyle"/>
              <w:jc w:val="right"/>
              <w:rPr>
                <w:rFonts w:ascii="Verdana" w:eastAsia="Verdana" w:hAnsi="Verdana" w:cs="Verdana"/>
                <w:b/>
                <w:color w:val="000000"/>
                <w:sz w:val="16"/>
                <w:lang w:val="en-GB"/>
              </w:rPr>
            </w:pPr>
            <w:r w:rsidRPr="00F31632">
              <w:rPr>
                <w:rFonts w:ascii="Verdana" w:eastAsia="Verdana" w:hAnsi="Verdana" w:cs="Verdana"/>
                <w:b/>
                <w:color w:val="000000"/>
                <w:sz w:val="16"/>
                <w:lang w:val="en-GB"/>
              </w:rPr>
              <w:t>(9,341)</w:t>
            </w:r>
          </w:p>
        </w:tc>
        <w:tc>
          <w:tcPr>
            <w:tcW w:w="330" w:type="dxa"/>
            <w:tcBorders>
              <w:top w:val="single" w:sz="2" w:space="0" w:color="000000"/>
            </w:tcBorders>
            <w:shd w:val="clear" w:color="auto" w:fill="auto"/>
            <w:tcMar>
              <w:top w:w="20" w:type="dxa"/>
              <w:left w:w="20" w:type="dxa"/>
              <w:bottom w:w="20" w:type="dxa"/>
              <w:right w:w="20" w:type="dxa"/>
            </w:tcMar>
          </w:tcPr>
          <w:p w14:paraId="6151D18E" w14:textId="77777777" w:rsidR="006D7DD5" w:rsidRPr="00F31632" w:rsidRDefault="006D7DD5" w:rsidP="006C23ED">
            <w:pPr>
              <w:pStyle w:val="T1TableStyle"/>
              <w:jc w:val="center"/>
              <w:rPr>
                <w:rFonts w:ascii="Verdana" w:eastAsia="Verdana" w:hAnsi="Verdana" w:cs="Verdana"/>
                <w:b/>
                <w:color w:val="000000"/>
                <w:sz w:val="2"/>
                <w:lang w:val="en-GB"/>
              </w:rPr>
            </w:pPr>
            <w:r w:rsidRPr="00F31632">
              <w:rPr>
                <w:rFonts w:ascii="Verdana" w:eastAsia="Verdana" w:hAnsi="Verdana" w:cs="Verdana"/>
                <w:b/>
                <w:color w:val="000000"/>
                <w:sz w:val="2"/>
                <w:lang w:val="en-GB"/>
              </w:rPr>
              <w:t xml:space="preserve"> </w:t>
            </w:r>
          </w:p>
        </w:tc>
        <w:tc>
          <w:tcPr>
            <w:tcW w:w="6144" w:type="dxa"/>
            <w:tcBorders>
              <w:top w:val="single" w:sz="2" w:space="0" w:color="000000"/>
            </w:tcBorders>
            <w:shd w:val="clear" w:color="auto" w:fill="auto"/>
            <w:tcMar>
              <w:top w:w="20" w:type="dxa"/>
              <w:left w:w="20" w:type="dxa"/>
              <w:bottom w:w="20" w:type="dxa"/>
              <w:right w:w="20" w:type="dxa"/>
            </w:tcMar>
          </w:tcPr>
          <w:p w14:paraId="1AE13025" w14:textId="77777777" w:rsidR="006D7DD5" w:rsidRPr="00F31632" w:rsidRDefault="006D7DD5" w:rsidP="006C23ED">
            <w:pPr>
              <w:pStyle w:val="T1TableStyle"/>
              <w:rPr>
                <w:rFonts w:ascii="Verdana" w:eastAsia="Verdana" w:hAnsi="Verdana" w:cs="Verdana"/>
                <w:b/>
                <w:color w:val="000000"/>
                <w:sz w:val="16"/>
                <w:lang w:val="en-GB"/>
              </w:rPr>
            </w:pPr>
            <w:r w:rsidRPr="00F31632">
              <w:rPr>
                <w:rFonts w:ascii="Verdana" w:eastAsia="Verdana" w:hAnsi="Verdana" w:cs="Verdana"/>
                <w:b/>
                <w:color w:val="000000"/>
                <w:sz w:val="16"/>
                <w:lang w:val="en-GB"/>
              </w:rPr>
              <w:t>Surplus or deficit on revaluation of non-current assets not charged to the Surplus or Deficit on the Provision of Services</w:t>
            </w:r>
          </w:p>
        </w:tc>
        <w:tc>
          <w:tcPr>
            <w:tcW w:w="1836" w:type="dxa"/>
            <w:tcBorders>
              <w:top w:val="single" w:sz="2" w:space="0" w:color="000000"/>
            </w:tcBorders>
            <w:shd w:val="clear" w:color="auto" w:fill="auto"/>
            <w:tcMar>
              <w:top w:w="20" w:type="dxa"/>
              <w:left w:w="20" w:type="dxa"/>
              <w:bottom w:w="20" w:type="dxa"/>
              <w:right w:w="20" w:type="dxa"/>
            </w:tcMar>
          </w:tcPr>
          <w:p w14:paraId="4C00C313" w14:textId="77777777" w:rsidR="006D7DD5" w:rsidRPr="00F31632" w:rsidRDefault="006D7DD5" w:rsidP="006C23ED">
            <w:pPr>
              <w:pStyle w:val="T1TableStyle"/>
              <w:jc w:val="right"/>
              <w:rPr>
                <w:rFonts w:ascii="Verdana" w:eastAsia="Verdana" w:hAnsi="Verdana" w:cs="Verdana"/>
                <w:b/>
                <w:color w:val="000000"/>
                <w:sz w:val="16"/>
                <w:lang w:val="en-GB"/>
              </w:rPr>
            </w:pPr>
            <w:r w:rsidRPr="00F31632">
              <w:rPr>
                <w:rFonts w:ascii="Verdana" w:eastAsia="Verdana" w:hAnsi="Verdana" w:cs="Verdana"/>
                <w:b/>
                <w:color w:val="000000"/>
                <w:sz w:val="16"/>
                <w:lang w:val="en-GB"/>
              </w:rPr>
              <w:t>(2,330)</w:t>
            </w:r>
          </w:p>
        </w:tc>
      </w:tr>
      <w:tr w:rsidR="006D7DD5" w:rsidRPr="00F31632" w14:paraId="0D2E77A4" w14:textId="77777777" w:rsidTr="006D7DD5">
        <w:trPr>
          <w:gridAfter w:val="1"/>
          <w:wAfter w:w="743" w:type="dxa"/>
          <w:trHeight w:val="258"/>
          <w:jc w:val="center"/>
        </w:trPr>
        <w:tc>
          <w:tcPr>
            <w:tcW w:w="1470" w:type="dxa"/>
            <w:shd w:val="clear" w:color="auto" w:fill="auto"/>
            <w:tcMar>
              <w:top w:w="20" w:type="dxa"/>
              <w:left w:w="20" w:type="dxa"/>
              <w:bottom w:w="20" w:type="dxa"/>
              <w:right w:w="20" w:type="dxa"/>
            </w:tcMar>
          </w:tcPr>
          <w:p w14:paraId="7BD3A6F8" w14:textId="77777777" w:rsidR="006D7DD5" w:rsidRPr="00F31632" w:rsidRDefault="006D7DD5" w:rsidP="006C23ED">
            <w:pPr>
              <w:pStyle w:val="T1TableStyle"/>
              <w:jc w:val="right"/>
              <w:rPr>
                <w:rFonts w:ascii="Verdana" w:eastAsia="Verdana" w:hAnsi="Verdana" w:cs="Verdana"/>
                <w:color w:val="000000"/>
                <w:sz w:val="16"/>
                <w:lang w:val="en-GB"/>
              </w:rPr>
            </w:pPr>
            <w:r w:rsidRPr="00F31632">
              <w:rPr>
                <w:rFonts w:ascii="Verdana" w:eastAsia="Verdana" w:hAnsi="Verdana" w:cs="Verdana"/>
                <w:color w:val="000000"/>
                <w:sz w:val="16"/>
                <w:lang w:val="en-GB"/>
              </w:rPr>
              <w:t>1,216</w:t>
            </w:r>
          </w:p>
        </w:tc>
        <w:tc>
          <w:tcPr>
            <w:tcW w:w="330" w:type="dxa"/>
            <w:shd w:val="clear" w:color="auto" w:fill="auto"/>
            <w:tcMar>
              <w:top w:w="20" w:type="dxa"/>
              <w:left w:w="20" w:type="dxa"/>
              <w:bottom w:w="20" w:type="dxa"/>
              <w:right w:w="20" w:type="dxa"/>
            </w:tcMar>
          </w:tcPr>
          <w:p w14:paraId="01B984BD" w14:textId="77777777" w:rsidR="006D7DD5" w:rsidRPr="00F31632" w:rsidRDefault="006D7DD5" w:rsidP="006C23ED">
            <w:pPr>
              <w:pStyle w:val="T1TableStyle"/>
              <w:jc w:val="center"/>
              <w:rPr>
                <w:rFonts w:ascii="Verdana" w:eastAsia="Verdana" w:hAnsi="Verdana" w:cs="Verdana"/>
                <w:color w:val="000000"/>
                <w:sz w:val="2"/>
                <w:lang w:val="en-GB"/>
              </w:rPr>
            </w:pPr>
            <w:r w:rsidRPr="00F31632">
              <w:rPr>
                <w:rFonts w:ascii="Verdana" w:eastAsia="Verdana" w:hAnsi="Verdana" w:cs="Verdana"/>
                <w:color w:val="000000"/>
                <w:sz w:val="2"/>
                <w:lang w:val="en-GB"/>
              </w:rPr>
              <w:t xml:space="preserve"> </w:t>
            </w:r>
          </w:p>
        </w:tc>
        <w:tc>
          <w:tcPr>
            <w:tcW w:w="6144" w:type="dxa"/>
            <w:shd w:val="clear" w:color="auto" w:fill="auto"/>
            <w:tcMar>
              <w:top w:w="20" w:type="dxa"/>
              <w:left w:w="20" w:type="dxa"/>
              <w:bottom w:w="20" w:type="dxa"/>
              <w:right w:w="20" w:type="dxa"/>
            </w:tcMar>
          </w:tcPr>
          <w:p w14:paraId="4525F7E3" w14:textId="77777777" w:rsidR="006D7DD5" w:rsidRPr="00F31632" w:rsidRDefault="006D7DD5" w:rsidP="006C23ED">
            <w:pPr>
              <w:pStyle w:val="T1TableStyle"/>
              <w:rPr>
                <w:rFonts w:ascii="Verdana" w:eastAsia="Verdana" w:hAnsi="Verdana" w:cs="Verdana"/>
                <w:color w:val="000000"/>
                <w:sz w:val="16"/>
                <w:lang w:val="en-GB"/>
              </w:rPr>
            </w:pPr>
            <w:r w:rsidRPr="00F31632">
              <w:rPr>
                <w:rFonts w:ascii="Verdana" w:eastAsia="Verdana" w:hAnsi="Verdana" w:cs="Verdana"/>
                <w:color w:val="000000"/>
                <w:sz w:val="16"/>
                <w:lang w:val="en-GB"/>
              </w:rPr>
              <w:t xml:space="preserve">Difference between fair value depreciation and historical cost depreciation </w:t>
            </w:r>
          </w:p>
        </w:tc>
        <w:tc>
          <w:tcPr>
            <w:tcW w:w="1836" w:type="dxa"/>
            <w:shd w:val="clear" w:color="auto" w:fill="auto"/>
            <w:tcMar>
              <w:top w:w="20" w:type="dxa"/>
              <w:left w:w="20" w:type="dxa"/>
              <w:bottom w:w="20" w:type="dxa"/>
              <w:right w:w="20" w:type="dxa"/>
            </w:tcMar>
          </w:tcPr>
          <w:p w14:paraId="5CA3A644" w14:textId="77777777" w:rsidR="006D7DD5" w:rsidRPr="00F31632" w:rsidRDefault="006D7DD5" w:rsidP="006C23ED">
            <w:pPr>
              <w:pStyle w:val="T1TableStyle"/>
              <w:jc w:val="right"/>
              <w:rPr>
                <w:rFonts w:ascii="Verdana" w:eastAsia="Verdana" w:hAnsi="Verdana" w:cs="Verdana"/>
                <w:color w:val="000000"/>
                <w:sz w:val="16"/>
                <w:lang w:val="en-GB"/>
              </w:rPr>
            </w:pPr>
            <w:r w:rsidRPr="00F31632">
              <w:rPr>
                <w:rFonts w:ascii="Verdana" w:eastAsia="Verdana" w:hAnsi="Verdana" w:cs="Verdana"/>
                <w:color w:val="000000"/>
                <w:sz w:val="16"/>
                <w:lang w:val="en-GB"/>
              </w:rPr>
              <w:t>1,339</w:t>
            </w:r>
          </w:p>
        </w:tc>
      </w:tr>
      <w:tr w:rsidR="006D7DD5" w:rsidRPr="00F31632" w14:paraId="718D57BB" w14:textId="77777777" w:rsidTr="006D7DD5">
        <w:trPr>
          <w:gridAfter w:val="1"/>
          <w:wAfter w:w="743" w:type="dxa"/>
          <w:trHeight w:val="54"/>
          <w:jc w:val="center"/>
        </w:trPr>
        <w:tc>
          <w:tcPr>
            <w:tcW w:w="1470" w:type="dxa"/>
            <w:shd w:val="clear" w:color="auto" w:fill="auto"/>
            <w:tcMar>
              <w:top w:w="20" w:type="dxa"/>
              <w:left w:w="20" w:type="dxa"/>
              <w:bottom w:w="20" w:type="dxa"/>
              <w:right w:w="20" w:type="dxa"/>
            </w:tcMar>
          </w:tcPr>
          <w:p w14:paraId="4AB0887F" w14:textId="77777777" w:rsidR="006D7DD5" w:rsidRPr="00F31632" w:rsidRDefault="006D7DD5" w:rsidP="006C23ED">
            <w:pPr>
              <w:pStyle w:val="T1TableStyle"/>
              <w:jc w:val="right"/>
              <w:rPr>
                <w:rFonts w:ascii="Verdana" w:eastAsia="Verdana" w:hAnsi="Verdana" w:cs="Verdana"/>
                <w:color w:val="000000"/>
                <w:sz w:val="16"/>
                <w:lang w:val="en-GB"/>
              </w:rPr>
            </w:pPr>
            <w:r w:rsidRPr="00F31632">
              <w:rPr>
                <w:rFonts w:ascii="Verdana" w:eastAsia="Verdana" w:hAnsi="Verdana" w:cs="Verdana"/>
                <w:color w:val="000000"/>
                <w:sz w:val="16"/>
                <w:lang w:val="en-GB"/>
              </w:rPr>
              <w:t>0</w:t>
            </w:r>
          </w:p>
        </w:tc>
        <w:tc>
          <w:tcPr>
            <w:tcW w:w="330" w:type="dxa"/>
            <w:shd w:val="clear" w:color="auto" w:fill="auto"/>
            <w:tcMar>
              <w:top w:w="20" w:type="dxa"/>
              <w:left w:w="20" w:type="dxa"/>
              <w:bottom w:w="20" w:type="dxa"/>
              <w:right w:w="20" w:type="dxa"/>
            </w:tcMar>
          </w:tcPr>
          <w:p w14:paraId="717159A2" w14:textId="77777777" w:rsidR="006D7DD5" w:rsidRPr="00F31632" w:rsidRDefault="006D7DD5" w:rsidP="006C23ED">
            <w:pPr>
              <w:pStyle w:val="T1TableStyle"/>
              <w:jc w:val="center"/>
              <w:rPr>
                <w:rFonts w:ascii="Verdana" w:eastAsia="Verdana" w:hAnsi="Verdana" w:cs="Verdana"/>
                <w:color w:val="000000"/>
                <w:sz w:val="2"/>
                <w:lang w:val="en-GB"/>
              </w:rPr>
            </w:pPr>
            <w:r w:rsidRPr="00F31632">
              <w:rPr>
                <w:rFonts w:ascii="Verdana" w:eastAsia="Verdana" w:hAnsi="Verdana" w:cs="Verdana"/>
                <w:color w:val="000000"/>
                <w:sz w:val="2"/>
                <w:lang w:val="en-GB"/>
              </w:rPr>
              <w:t xml:space="preserve"> </w:t>
            </w:r>
          </w:p>
        </w:tc>
        <w:tc>
          <w:tcPr>
            <w:tcW w:w="6144" w:type="dxa"/>
            <w:shd w:val="clear" w:color="auto" w:fill="auto"/>
            <w:tcMar>
              <w:top w:w="20" w:type="dxa"/>
              <w:left w:w="20" w:type="dxa"/>
              <w:bottom w:w="20" w:type="dxa"/>
              <w:right w:w="20" w:type="dxa"/>
            </w:tcMar>
          </w:tcPr>
          <w:p w14:paraId="24889277" w14:textId="77777777" w:rsidR="006D7DD5" w:rsidRPr="00F31632" w:rsidRDefault="006D7DD5" w:rsidP="006C23ED">
            <w:pPr>
              <w:pStyle w:val="T1TableStyle"/>
              <w:rPr>
                <w:rFonts w:ascii="Verdana" w:eastAsia="Verdana" w:hAnsi="Verdana" w:cs="Verdana"/>
                <w:color w:val="000000"/>
                <w:sz w:val="16"/>
                <w:lang w:val="en-GB"/>
              </w:rPr>
            </w:pPr>
            <w:r w:rsidRPr="00F31632">
              <w:rPr>
                <w:rFonts w:ascii="Verdana" w:eastAsia="Verdana" w:hAnsi="Verdana" w:cs="Verdana"/>
                <w:color w:val="000000"/>
                <w:sz w:val="16"/>
                <w:lang w:val="en-GB"/>
              </w:rPr>
              <w:t>Accumulated gains on assets sold or scrapped</w:t>
            </w:r>
          </w:p>
        </w:tc>
        <w:tc>
          <w:tcPr>
            <w:tcW w:w="1836" w:type="dxa"/>
            <w:shd w:val="clear" w:color="auto" w:fill="auto"/>
            <w:tcMar>
              <w:top w:w="20" w:type="dxa"/>
              <w:left w:w="20" w:type="dxa"/>
              <w:bottom w:w="20" w:type="dxa"/>
              <w:right w:w="20" w:type="dxa"/>
            </w:tcMar>
          </w:tcPr>
          <w:p w14:paraId="2667A763" w14:textId="77777777" w:rsidR="006D7DD5" w:rsidRPr="00F31632" w:rsidRDefault="006D7DD5" w:rsidP="006C23ED">
            <w:pPr>
              <w:pStyle w:val="T1TableStyle"/>
              <w:jc w:val="right"/>
              <w:rPr>
                <w:rFonts w:ascii="Verdana" w:eastAsia="Verdana" w:hAnsi="Verdana" w:cs="Verdana"/>
                <w:color w:val="000000"/>
                <w:sz w:val="16"/>
                <w:lang w:val="en-GB"/>
              </w:rPr>
            </w:pPr>
            <w:r w:rsidRPr="00F31632">
              <w:rPr>
                <w:rFonts w:ascii="Verdana" w:eastAsia="Verdana" w:hAnsi="Verdana" w:cs="Verdana"/>
                <w:color w:val="000000"/>
                <w:sz w:val="16"/>
                <w:lang w:val="en-GB"/>
              </w:rPr>
              <w:t>2,037</w:t>
            </w:r>
          </w:p>
        </w:tc>
      </w:tr>
      <w:tr w:rsidR="006D7DD5" w:rsidRPr="00F31632" w14:paraId="3CD7E6D4" w14:textId="77777777" w:rsidTr="006D7DD5">
        <w:trPr>
          <w:gridAfter w:val="1"/>
          <w:wAfter w:w="743" w:type="dxa"/>
          <w:trHeight w:val="171"/>
          <w:jc w:val="center"/>
        </w:trPr>
        <w:tc>
          <w:tcPr>
            <w:tcW w:w="1470" w:type="dxa"/>
            <w:tcBorders>
              <w:top w:val="single" w:sz="2" w:space="0" w:color="000000"/>
            </w:tcBorders>
            <w:shd w:val="clear" w:color="auto" w:fill="auto"/>
            <w:tcMar>
              <w:top w:w="20" w:type="dxa"/>
              <w:left w:w="20" w:type="dxa"/>
              <w:bottom w:w="20" w:type="dxa"/>
              <w:right w:w="20" w:type="dxa"/>
            </w:tcMar>
          </w:tcPr>
          <w:p w14:paraId="566B87CF" w14:textId="77777777" w:rsidR="006D7DD5" w:rsidRPr="00F31632" w:rsidRDefault="006D7DD5" w:rsidP="006C23ED">
            <w:pPr>
              <w:pStyle w:val="T1TableStyle"/>
              <w:jc w:val="right"/>
              <w:rPr>
                <w:rFonts w:ascii="Verdana" w:eastAsia="Verdana" w:hAnsi="Verdana" w:cs="Verdana"/>
                <w:b/>
                <w:color w:val="000000"/>
                <w:sz w:val="16"/>
                <w:lang w:val="en-GB"/>
              </w:rPr>
            </w:pPr>
            <w:r w:rsidRPr="00F31632">
              <w:rPr>
                <w:rFonts w:ascii="Verdana" w:eastAsia="Verdana" w:hAnsi="Verdana" w:cs="Verdana"/>
                <w:b/>
                <w:color w:val="000000"/>
                <w:sz w:val="16"/>
                <w:lang w:val="en-GB"/>
              </w:rPr>
              <w:t>1,216</w:t>
            </w:r>
          </w:p>
        </w:tc>
        <w:tc>
          <w:tcPr>
            <w:tcW w:w="330" w:type="dxa"/>
            <w:tcBorders>
              <w:top w:val="single" w:sz="2" w:space="0" w:color="000000"/>
            </w:tcBorders>
            <w:shd w:val="clear" w:color="auto" w:fill="auto"/>
            <w:tcMar>
              <w:top w:w="20" w:type="dxa"/>
              <w:left w:w="20" w:type="dxa"/>
              <w:bottom w:w="20" w:type="dxa"/>
              <w:right w:w="20" w:type="dxa"/>
            </w:tcMar>
          </w:tcPr>
          <w:p w14:paraId="7645F92C" w14:textId="77777777" w:rsidR="006D7DD5" w:rsidRPr="00F31632" w:rsidRDefault="006D7DD5" w:rsidP="006C23ED">
            <w:pPr>
              <w:pStyle w:val="T1TableStyle"/>
              <w:jc w:val="center"/>
              <w:rPr>
                <w:rFonts w:ascii="Verdana" w:eastAsia="Verdana" w:hAnsi="Verdana" w:cs="Verdana"/>
                <w:b/>
                <w:color w:val="000000"/>
                <w:sz w:val="2"/>
                <w:lang w:val="en-GB"/>
              </w:rPr>
            </w:pPr>
            <w:r w:rsidRPr="00F31632">
              <w:rPr>
                <w:rFonts w:ascii="Verdana" w:eastAsia="Verdana" w:hAnsi="Verdana" w:cs="Verdana"/>
                <w:b/>
                <w:color w:val="000000"/>
                <w:sz w:val="2"/>
                <w:lang w:val="en-GB"/>
              </w:rPr>
              <w:t xml:space="preserve"> </w:t>
            </w:r>
          </w:p>
        </w:tc>
        <w:tc>
          <w:tcPr>
            <w:tcW w:w="6144" w:type="dxa"/>
            <w:tcBorders>
              <w:top w:val="single" w:sz="2" w:space="0" w:color="000000"/>
            </w:tcBorders>
            <w:shd w:val="clear" w:color="auto" w:fill="auto"/>
            <w:tcMar>
              <w:top w:w="20" w:type="dxa"/>
              <w:left w:w="20" w:type="dxa"/>
              <w:bottom w:w="20" w:type="dxa"/>
              <w:right w:w="20" w:type="dxa"/>
            </w:tcMar>
          </w:tcPr>
          <w:p w14:paraId="7574F92E" w14:textId="77777777" w:rsidR="006D7DD5" w:rsidRPr="00F31632" w:rsidRDefault="006D7DD5" w:rsidP="006C23ED">
            <w:pPr>
              <w:pStyle w:val="T1TableStyle"/>
              <w:rPr>
                <w:rFonts w:ascii="Verdana" w:eastAsia="Verdana" w:hAnsi="Verdana" w:cs="Verdana"/>
                <w:b/>
                <w:color w:val="000000"/>
                <w:sz w:val="16"/>
                <w:lang w:val="en-GB"/>
              </w:rPr>
            </w:pPr>
            <w:r w:rsidRPr="00F31632">
              <w:rPr>
                <w:rFonts w:ascii="Verdana" w:eastAsia="Verdana" w:hAnsi="Verdana" w:cs="Verdana"/>
                <w:b/>
                <w:color w:val="000000"/>
                <w:sz w:val="16"/>
                <w:lang w:val="en-GB"/>
              </w:rPr>
              <w:t>Amount written off to the Capital Adjustment Account</w:t>
            </w:r>
          </w:p>
        </w:tc>
        <w:tc>
          <w:tcPr>
            <w:tcW w:w="1836" w:type="dxa"/>
            <w:tcBorders>
              <w:top w:val="single" w:sz="2" w:space="0" w:color="000000"/>
            </w:tcBorders>
            <w:shd w:val="clear" w:color="auto" w:fill="auto"/>
            <w:tcMar>
              <w:top w:w="20" w:type="dxa"/>
              <w:left w:w="20" w:type="dxa"/>
              <w:bottom w:w="20" w:type="dxa"/>
              <w:right w:w="20" w:type="dxa"/>
            </w:tcMar>
          </w:tcPr>
          <w:p w14:paraId="23883EA4" w14:textId="77777777" w:rsidR="006D7DD5" w:rsidRPr="00F31632" w:rsidRDefault="006D7DD5" w:rsidP="006C23ED">
            <w:pPr>
              <w:pStyle w:val="T1TableStyle"/>
              <w:jc w:val="right"/>
              <w:rPr>
                <w:rFonts w:ascii="Verdana" w:eastAsia="Verdana" w:hAnsi="Verdana" w:cs="Verdana"/>
                <w:b/>
                <w:color w:val="000000"/>
                <w:sz w:val="16"/>
                <w:lang w:val="en-GB"/>
              </w:rPr>
            </w:pPr>
            <w:r w:rsidRPr="00F31632">
              <w:rPr>
                <w:rFonts w:ascii="Verdana" w:eastAsia="Verdana" w:hAnsi="Verdana" w:cs="Verdana"/>
                <w:b/>
                <w:color w:val="000000"/>
                <w:sz w:val="16"/>
                <w:lang w:val="en-GB"/>
              </w:rPr>
              <w:t>3,376</w:t>
            </w:r>
          </w:p>
        </w:tc>
      </w:tr>
      <w:tr w:rsidR="006D7DD5" w:rsidRPr="00F31632" w14:paraId="62A8FAC8" w14:textId="77777777" w:rsidTr="006D7DD5">
        <w:trPr>
          <w:gridAfter w:val="1"/>
          <w:wAfter w:w="743" w:type="dxa"/>
          <w:trHeight w:val="122"/>
          <w:jc w:val="center"/>
        </w:trPr>
        <w:tc>
          <w:tcPr>
            <w:tcW w:w="1470" w:type="dxa"/>
            <w:shd w:val="clear" w:color="auto" w:fill="auto"/>
            <w:tcMar>
              <w:top w:w="20" w:type="dxa"/>
              <w:left w:w="20" w:type="dxa"/>
              <w:bottom w:w="20" w:type="dxa"/>
              <w:right w:w="20" w:type="dxa"/>
            </w:tcMar>
          </w:tcPr>
          <w:p w14:paraId="41BF3745" w14:textId="77777777" w:rsidR="006D7DD5" w:rsidRPr="00F31632" w:rsidRDefault="006D7DD5" w:rsidP="006C23ED">
            <w:pPr>
              <w:pStyle w:val="T1TableStyle"/>
              <w:jc w:val="right"/>
              <w:rPr>
                <w:rFonts w:ascii="Verdana" w:eastAsia="Verdana" w:hAnsi="Verdana" w:cs="Verdana"/>
                <w:color w:val="000000"/>
                <w:sz w:val="16"/>
                <w:lang w:val="en-GB"/>
              </w:rPr>
            </w:pPr>
            <w:r w:rsidRPr="00F31632">
              <w:rPr>
                <w:rFonts w:ascii="Verdana" w:eastAsia="Verdana" w:hAnsi="Verdana" w:cs="Verdana"/>
                <w:color w:val="000000"/>
                <w:sz w:val="16"/>
                <w:lang w:val="en-GB"/>
              </w:rPr>
              <w:t>1</w:t>
            </w:r>
          </w:p>
        </w:tc>
        <w:tc>
          <w:tcPr>
            <w:tcW w:w="330" w:type="dxa"/>
            <w:shd w:val="clear" w:color="auto" w:fill="auto"/>
            <w:tcMar>
              <w:top w:w="20" w:type="dxa"/>
              <w:left w:w="20" w:type="dxa"/>
              <w:bottom w:w="20" w:type="dxa"/>
              <w:right w:w="20" w:type="dxa"/>
            </w:tcMar>
          </w:tcPr>
          <w:p w14:paraId="5FB82D41" w14:textId="77777777" w:rsidR="006D7DD5" w:rsidRPr="00F31632" w:rsidRDefault="006D7DD5" w:rsidP="006C23ED">
            <w:pPr>
              <w:pStyle w:val="T1TableStyle"/>
              <w:jc w:val="center"/>
              <w:rPr>
                <w:rFonts w:ascii="Verdana" w:eastAsia="Verdana" w:hAnsi="Verdana" w:cs="Verdana"/>
                <w:color w:val="000000"/>
                <w:sz w:val="2"/>
                <w:lang w:val="en-GB"/>
              </w:rPr>
            </w:pPr>
            <w:r w:rsidRPr="00F31632">
              <w:rPr>
                <w:rFonts w:ascii="Verdana" w:eastAsia="Verdana" w:hAnsi="Verdana" w:cs="Verdana"/>
                <w:color w:val="000000"/>
                <w:sz w:val="2"/>
                <w:lang w:val="en-GB"/>
              </w:rPr>
              <w:t xml:space="preserve"> </w:t>
            </w:r>
          </w:p>
        </w:tc>
        <w:tc>
          <w:tcPr>
            <w:tcW w:w="6144" w:type="dxa"/>
            <w:shd w:val="clear" w:color="auto" w:fill="auto"/>
            <w:tcMar>
              <w:top w:w="20" w:type="dxa"/>
              <w:left w:w="20" w:type="dxa"/>
              <w:bottom w:w="20" w:type="dxa"/>
              <w:right w:w="20" w:type="dxa"/>
            </w:tcMar>
          </w:tcPr>
          <w:p w14:paraId="37ACF2A0" w14:textId="77777777" w:rsidR="006D7DD5" w:rsidRPr="00F31632" w:rsidRDefault="006D7DD5" w:rsidP="006C23ED">
            <w:pPr>
              <w:pStyle w:val="T1TableStyle"/>
              <w:rPr>
                <w:rFonts w:ascii="Verdana" w:eastAsia="Verdana" w:hAnsi="Verdana" w:cs="Verdana"/>
                <w:color w:val="000000"/>
                <w:sz w:val="16"/>
                <w:lang w:val="en-GB"/>
              </w:rPr>
            </w:pPr>
            <w:r w:rsidRPr="00F31632">
              <w:rPr>
                <w:rFonts w:ascii="Verdana" w:eastAsia="Verdana" w:hAnsi="Verdana" w:cs="Verdana"/>
                <w:color w:val="000000"/>
                <w:sz w:val="16"/>
                <w:lang w:val="en-GB"/>
              </w:rPr>
              <w:t>Other movements</w:t>
            </w:r>
          </w:p>
        </w:tc>
        <w:tc>
          <w:tcPr>
            <w:tcW w:w="1836" w:type="dxa"/>
            <w:shd w:val="clear" w:color="auto" w:fill="auto"/>
            <w:tcMar>
              <w:top w:w="20" w:type="dxa"/>
              <w:left w:w="20" w:type="dxa"/>
              <w:bottom w:w="20" w:type="dxa"/>
              <w:right w:w="20" w:type="dxa"/>
            </w:tcMar>
          </w:tcPr>
          <w:p w14:paraId="00E4C011" w14:textId="77777777" w:rsidR="006D7DD5" w:rsidRPr="006D7DD5" w:rsidRDefault="006D7DD5" w:rsidP="006C23ED">
            <w:pPr>
              <w:pStyle w:val="T1TableStyle"/>
              <w:jc w:val="right"/>
              <w:rPr>
                <w:rFonts w:ascii="Verdana" w:eastAsia="Verdana" w:hAnsi="Verdana" w:cs="Verdana"/>
                <w:color w:val="000000"/>
                <w:sz w:val="16"/>
                <w:lang w:val="en-GB"/>
              </w:rPr>
            </w:pPr>
            <w:r w:rsidRPr="006D7DD5">
              <w:rPr>
                <w:rFonts w:ascii="Verdana" w:eastAsia="Verdana" w:hAnsi="Verdana" w:cs="Verdana"/>
                <w:color w:val="000000"/>
                <w:sz w:val="16"/>
                <w:lang w:val="en-GB"/>
              </w:rPr>
              <w:t>(1)</w:t>
            </w:r>
          </w:p>
        </w:tc>
      </w:tr>
      <w:tr w:rsidR="006D7DD5" w:rsidRPr="00F31632" w14:paraId="10B638B8" w14:textId="77777777" w:rsidTr="006D7DD5">
        <w:trPr>
          <w:gridAfter w:val="1"/>
          <w:wAfter w:w="743" w:type="dxa"/>
          <w:trHeight w:val="128"/>
          <w:jc w:val="center"/>
        </w:trPr>
        <w:tc>
          <w:tcPr>
            <w:tcW w:w="1470" w:type="dxa"/>
            <w:tcBorders>
              <w:top w:val="single" w:sz="2" w:space="0" w:color="000000"/>
              <w:bottom w:val="single" w:sz="12" w:space="0" w:color="000000"/>
            </w:tcBorders>
            <w:shd w:val="clear" w:color="auto" w:fill="auto"/>
            <w:tcMar>
              <w:top w:w="20" w:type="dxa"/>
              <w:left w:w="20" w:type="dxa"/>
              <w:bottom w:w="20" w:type="dxa"/>
              <w:right w:w="20" w:type="dxa"/>
            </w:tcMar>
          </w:tcPr>
          <w:p w14:paraId="07A9A3C0" w14:textId="77777777" w:rsidR="006D7DD5" w:rsidRPr="00F31632" w:rsidRDefault="006D7DD5" w:rsidP="006C23ED">
            <w:pPr>
              <w:pStyle w:val="T1TableStyle"/>
              <w:jc w:val="right"/>
              <w:rPr>
                <w:rFonts w:ascii="Verdana" w:eastAsia="Verdana" w:hAnsi="Verdana" w:cs="Verdana"/>
                <w:b/>
                <w:color w:val="000000"/>
                <w:sz w:val="16"/>
                <w:lang w:val="en-GB"/>
              </w:rPr>
            </w:pPr>
            <w:r w:rsidRPr="00F31632">
              <w:rPr>
                <w:rFonts w:ascii="Verdana" w:eastAsia="Verdana" w:hAnsi="Verdana" w:cs="Verdana"/>
                <w:b/>
                <w:color w:val="000000"/>
                <w:sz w:val="16"/>
                <w:lang w:val="en-GB"/>
              </w:rPr>
              <w:t>(45,005)</w:t>
            </w:r>
          </w:p>
        </w:tc>
        <w:tc>
          <w:tcPr>
            <w:tcW w:w="330" w:type="dxa"/>
            <w:tcBorders>
              <w:top w:val="single" w:sz="2" w:space="0" w:color="000000"/>
              <w:bottom w:val="single" w:sz="12" w:space="0" w:color="000000"/>
            </w:tcBorders>
            <w:shd w:val="clear" w:color="auto" w:fill="auto"/>
            <w:tcMar>
              <w:top w:w="20" w:type="dxa"/>
              <w:left w:w="20" w:type="dxa"/>
              <w:bottom w:w="20" w:type="dxa"/>
              <w:right w:w="20" w:type="dxa"/>
            </w:tcMar>
          </w:tcPr>
          <w:p w14:paraId="11FBBA92" w14:textId="77777777" w:rsidR="006D7DD5" w:rsidRPr="00F31632" w:rsidRDefault="006D7DD5" w:rsidP="006C23ED">
            <w:pPr>
              <w:pStyle w:val="T1TableStyle"/>
              <w:jc w:val="center"/>
              <w:rPr>
                <w:rFonts w:ascii="Verdana" w:eastAsia="Verdana" w:hAnsi="Verdana" w:cs="Verdana"/>
                <w:b/>
                <w:color w:val="000000"/>
                <w:sz w:val="2"/>
                <w:lang w:val="en-GB"/>
              </w:rPr>
            </w:pPr>
            <w:r w:rsidRPr="00F31632">
              <w:rPr>
                <w:rFonts w:ascii="Verdana" w:eastAsia="Verdana" w:hAnsi="Verdana" w:cs="Verdana"/>
                <w:b/>
                <w:color w:val="000000"/>
                <w:sz w:val="2"/>
                <w:lang w:val="en-GB"/>
              </w:rPr>
              <w:t xml:space="preserve"> </w:t>
            </w:r>
          </w:p>
        </w:tc>
        <w:tc>
          <w:tcPr>
            <w:tcW w:w="6144" w:type="dxa"/>
            <w:tcBorders>
              <w:top w:val="single" w:sz="2" w:space="0" w:color="000000"/>
              <w:bottom w:val="single" w:sz="12" w:space="0" w:color="000000"/>
            </w:tcBorders>
            <w:shd w:val="clear" w:color="auto" w:fill="auto"/>
            <w:tcMar>
              <w:top w:w="20" w:type="dxa"/>
              <w:left w:w="20" w:type="dxa"/>
              <w:bottom w:w="20" w:type="dxa"/>
              <w:right w:w="20" w:type="dxa"/>
            </w:tcMar>
          </w:tcPr>
          <w:p w14:paraId="013120E6" w14:textId="77777777" w:rsidR="006D7DD5" w:rsidRPr="00F31632" w:rsidRDefault="006D7DD5" w:rsidP="006C23ED">
            <w:pPr>
              <w:pStyle w:val="T1TableStyle"/>
              <w:rPr>
                <w:rFonts w:ascii="Verdana" w:eastAsia="Verdana" w:hAnsi="Verdana" w:cs="Verdana"/>
                <w:b/>
                <w:color w:val="000000"/>
                <w:sz w:val="16"/>
                <w:lang w:val="en-GB"/>
              </w:rPr>
            </w:pPr>
            <w:r w:rsidRPr="00F31632">
              <w:rPr>
                <w:rFonts w:ascii="Verdana" w:eastAsia="Verdana" w:hAnsi="Verdana" w:cs="Verdana"/>
                <w:b/>
                <w:color w:val="000000"/>
                <w:sz w:val="16"/>
                <w:lang w:val="en-GB"/>
              </w:rPr>
              <w:t xml:space="preserve">Balance 31 March </w:t>
            </w:r>
          </w:p>
        </w:tc>
        <w:tc>
          <w:tcPr>
            <w:tcW w:w="1836" w:type="dxa"/>
            <w:tcBorders>
              <w:top w:val="single" w:sz="2" w:space="0" w:color="000000"/>
              <w:bottom w:val="single" w:sz="12" w:space="0" w:color="000000"/>
            </w:tcBorders>
            <w:shd w:val="clear" w:color="auto" w:fill="auto"/>
            <w:tcMar>
              <w:top w:w="20" w:type="dxa"/>
              <w:left w:w="20" w:type="dxa"/>
              <w:bottom w:w="20" w:type="dxa"/>
              <w:right w:w="20" w:type="dxa"/>
            </w:tcMar>
          </w:tcPr>
          <w:p w14:paraId="54C7D153" w14:textId="556B5075" w:rsidR="006D7DD5" w:rsidRPr="006D7DD5" w:rsidRDefault="006D7DD5" w:rsidP="006C23ED">
            <w:pPr>
              <w:pStyle w:val="T1TableStyle"/>
              <w:jc w:val="right"/>
              <w:rPr>
                <w:rFonts w:ascii="Verdana" w:eastAsia="Verdana" w:hAnsi="Verdana" w:cs="Verdana"/>
                <w:b/>
                <w:color w:val="000000"/>
                <w:sz w:val="16"/>
                <w:lang w:val="en-GB"/>
              </w:rPr>
            </w:pPr>
            <w:r w:rsidRPr="006D7DD5">
              <w:rPr>
                <w:rFonts w:ascii="Verdana" w:eastAsia="Verdana" w:hAnsi="Verdana" w:cs="Verdana"/>
                <w:b/>
                <w:color w:val="000000"/>
                <w:sz w:val="16"/>
                <w:lang w:val="en-GB"/>
              </w:rPr>
              <w:t>(43,9</w:t>
            </w:r>
            <w:r w:rsidR="00553E5D">
              <w:rPr>
                <w:rFonts w:ascii="Verdana" w:eastAsia="Verdana" w:hAnsi="Verdana" w:cs="Verdana"/>
                <w:b/>
                <w:color w:val="000000"/>
                <w:sz w:val="16"/>
                <w:lang w:val="en-GB"/>
              </w:rPr>
              <w:t>60</w:t>
            </w:r>
            <w:r w:rsidRPr="006D7DD5">
              <w:rPr>
                <w:rFonts w:ascii="Verdana" w:eastAsia="Verdana" w:hAnsi="Verdana" w:cs="Verdana"/>
                <w:b/>
                <w:color w:val="000000"/>
                <w:sz w:val="16"/>
                <w:lang w:val="en-GB"/>
              </w:rPr>
              <w:t>)</w:t>
            </w:r>
          </w:p>
        </w:tc>
      </w:tr>
    </w:tbl>
    <w:p w14:paraId="0D045250" w14:textId="77777777" w:rsidR="006D7DD5" w:rsidRDefault="006D7DD5">
      <w:pPr>
        <w:pStyle w:val="T1TableStyle"/>
        <w:rPr>
          <w:rFonts w:ascii="Verdana" w:eastAsia="Verdana" w:hAnsi="Verdana" w:cs="Verdana"/>
          <w:sz w:val="22"/>
          <w:highlight w:val="yellow"/>
          <w:lang w:val="en-GB"/>
        </w:rPr>
      </w:pPr>
    </w:p>
    <w:p w14:paraId="7259411A" w14:textId="77777777" w:rsidR="00CA4917" w:rsidRPr="0056279A" w:rsidRDefault="00CA4917" w:rsidP="00CA4917">
      <w:pPr>
        <w:pStyle w:val="T1TableStyle"/>
        <w:jc w:val="both"/>
        <w:rPr>
          <w:rFonts w:ascii="Verdana" w:eastAsia="Verdana" w:hAnsi="Verdana" w:cs="Verdana"/>
          <w:sz w:val="22"/>
          <w:lang w:val="en-GB"/>
        </w:rPr>
      </w:pPr>
      <w:r w:rsidRPr="0056279A">
        <w:rPr>
          <w:rFonts w:ascii="Verdana" w:eastAsia="Verdana" w:hAnsi="Verdana" w:cs="Verdana"/>
          <w:sz w:val="22"/>
          <w:lang w:val="en-GB"/>
        </w:rPr>
        <w:t>The Revaluation Reserve contains the gains made by the Police and Crime Commissioner arising from increases in the value of its Property, Plant and Equipment and Intangible Assets.  The balance is reduced when assets with accumulated gains are:</w:t>
      </w:r>
    </w:p>
    <w:p w14:paraId="65236E31" w14:textId="77777777" w:rsidR="00CA4917" w:rsidRPr="0056279A" w:rsidRDefault="00CA4917" w:rsidP="00EF7B6D">
      <w:pPr>
        <w:pStyle w:val="T1TableStyle"/>
        <w:numPr>
          <w:ilvl w:val="0"/>
          <w:numId w:val="7"/>
        </w:numPr>
        <w:jc w:val="both"/>
        <w:rPr>
          <w:rFonts w:ascii="Verdana" w:eastAsia="Verdana" w:hAnsi="Verdana" w:cs="Verdana"/>
          <w:sz w:val="22"/>
          <w:lang w:val="en-GB"/>
        </w:rPr>
      </w:pPr>
      <w:r w:rsidRPr="0056279A">
        <w:rPr>
          <w:rFonts w:ascii="Verdana" w:eastAsia="Verdana" w:hAnsi="Verdana" w:cs="Verdana"/>
          <w:sz w:val="22"/>
          <w:lang w:val="en-GB"/>
        </w:rPr>
        <w:t>re-valued downwards or impaired and the gains are lost</w:t>
      </w:r>
    </w:p>
    <w:p w14:paraId="1B472F6F" w14:textId="77777777" w:rsidR="00CA4917" w:rsidRPr="0056279A" w:rsidRDefault="00CA4917" w:rsidP="00EF7B6D">
      <w:pPr>
        <w:pStyle w:val="T1TableStyle"/>
        <w:numPr>
          <w:ilvl w:val="0"/>
          <w:numId w:val="7"/>
        </w:numPr>
        <w:jc w:val="both"/>
        <w:rPr>
          <w:rFonts w:ascii="Verdana" w:eastAsia="Verdana" w:hAnsi="Verdana" w:cs="Verdana"/>
          <w:sz w:val="22"/>
          <w:lang w:val="en-GB"/>
        </w:rPr>
      </w:pPr>
      <w:r w:rsidRPr="0056279A">
        <w:rPr>
          <w:rFonts w:ascii="Verdana" w:eastAsia="Verdana" w:hAnsi="Verdana" w:cs="Verdana"/>
          <w:sz w:val="22"/>
          <w:lang w:val="en-GB"/>
        </w:rPr>
        <w:t>used in the provision of services and the gains are consumed through depreciation, or</w:t>
      </w:r>
    </w:p>
    <w:p w14:paraId="14F382CE" w14:textId="77777777" w:rsidR="00CA4917" w:rsidRPr="0056279A" w:rsidRDefault="00CA4917" w:rsidP="00EF7B6D">
      <w:pPr>
        <w:pStyle w:val="T1TableStyle"/>
        <w:numPr>
          <w:ilvl w:val="0"/>
          <w:numId w:val="7"/>
        </w:numPr>
        <w:jc w:val="both"/>
        <w:rPr>
          <w:rFonts w:ascii="Verdana" w:eastAsia="Verdana" w:hAnsi="Verdana" w:cs="Verdana"/>
          <w:sz w:val="22"/>
          <w:lang w:val="en-GB"/>
        </w:rPr>
      </w:pPr>
      <w:r w:rsidRPr="0056279A">
        <w:rPr>
          <w:rFonts w:ascii="Verdana" w:eastAsia="Verdana" w:hAnsi="Verdana" w:cs="Verdana"/>
          <w:sz w:val="22"/>
          <w:lang w:val="en-GB"/>
        </w:rPr>
        <w:t>disposed of and the gains are realised.</w:t>
      </w:r>
    </w:p>
    <w:p w14:paraId="5CEDC544" w14:textId="77777777" w:rsidR="00CA4917" w:rsidRPr="0056279A" w:rsidRDefault="00CA4917" w:rsidP="00CA4917">
      <w:pPr>
        <w:pStyle w:val="T1TableStyle"/>
        <w:jc w:val="both"/>
        <w:rPr>
          <w:rFonts w:ascii="Verdana" w:eastAsia="Verdana" w:hAnsi="Verdana" w:cs="Verdana"/>
          <w:sz w:val="22"/>
          <w:lang w:val="en-GB"/>
        </w:rPr>
      </w:pPr>
    </w:p>
    <w:p w14:paraId="28B5B6E5" w14:textId="77777777" w:rsidR="00CA4917" w:rsidRPr="0056279A" w:rsidRDefault="00CA4917" w:rsidP="00CA4917">
      <w:pPr>
        <w:pStyle w:val="Normal0"/>
        <w:spacing w:after="160"/>
        <w:jc w:val="both"/>
        <w:rPr>
          <w:rFonts w:ascii="Verdana" w:eastAsia="Verdana" w:hAnsi="Verdana" w:cs="Verdana"/>
          <w:sz w:val="22"/>
          <w:szCs w:val="22"/>
          <w:lang w:val="en-GB"/>
        </w:rPr>
      </w:pPr>
      <w:r w:rsidRPr="0056279A">
        <w:rPr>
          <w:rFonts w:ascii="Verdana" w:eastAsia="Verdana" w:hAnsi="Verdana" w:cs="Verdana"/>
          <w:sz w:val="22"/>
          <w:lang w:val="en-GB"/>
        </w:rPr>
        <w:t>The Revaluation Reserve contains only revaluation gains accumulated since 1 April 2007, the date that the reserve was created.  Accumulated gains arising before that date are consolidated into the balance on the Capital Adjustment Account</w:t>
      </w:r>
    </w:p>
    <w:p w14:paraId="5E3625F6" w14:textId="77777777" w:rsidR="00F32EC6" w:rsidRPr="0056279A" w:rsidRDefault="00CA4917" w:rsidP="00CA4917">
      <w:pPr>
        <w:pStyle w:val="Normal0"/>
        <w:spacing w:after="160"/>
        <w:jc w:val="both"/>
        <w:rPr>
          <w:rFonts w:ascii="Verdana" w:eastAsia="Verdana" w:hAnsi="Verdana" w:cs="Verdana"/>
          <w:sz w:val="22"/>
          <w:szCs w:val="22"/>
          <w:lang w:val="en-GB"/>
        </w:rPr>
      </w:pPr>
      <w:r w:rsidRPr="0056279A">
        <w:rPr>
          <w:rFonts w:ascii="Verdana" w:eastAsia="Verdana" w:hAnsi="Verdana" w:cs="Verdana"/>
          <w:sz w:val="22"/>
          <w:szCs w:val="22"/>
          <w:lang w:val="en-GB"/>
        </w:rPr>
        <w:t>This reserve records the accumulated gains on non-current assets held by the Group and equity loans to police officers to assist in the purchase of their properties.</w:t>
      </w:r>
    </w:p>
    <w:tbl>
      <w:tblPr>
        <w:tblW w:w="0" w:type="auto"/>
        <w:tblLayout w:type="fixed"/>
        <w:tblLook w:val="04A0" w:firstRow="1" w:lastRow="0" w:firstColumn="1" w:lastColumn="0" w:noHBand="0" w:noVBand="1"/>
      </w:tblPr>
      <w:tblGrid>
        <w:gridCol w:w="2992"/>
        <w:gridCol w:w="403"/>
        <w:gridCol w:w="7232"/>
        <w:gridCol w:w="2997"/>
      </w:tblGrid>
      <w:tr w:rsidR="004D417B" w:rsidRPr="00673DFF" w14:paraId="28FE6D8A" w14:textId="77777777" w:rsidTr="006D7DD5">
        <w:trPr>
          <w:trHeight w:val="101"/>
        </w:trPr>
        <w:tc>
          <w:tcPr>
            <w:tcW w:w="13624" w:type="dxa"/>
            <w:gridSpan w:val="4"/>
            <w:shd w:val="clear" w:color="auto" w:fill="auto"/>
            <w:tcMar>
              <w:top w:w="20" w:type="dxa"/>
              <w:left w:w="20" w:type="dxa"/>
              <w:bottom w:w="20" w:type="dxa"/>
              <w:right w:w="20" w:type="dxa"/>
            </w:tcMar>
            <w:vAlign w:val="bottom"/>
          </w:tcPr>
          <w:p w14:paraId="6E9D3752" w14:textId="77777777" w:rsidR="00495838" w:rsidRPr="00673DFF" w:rsidRDefault="00495838">
            <w:pPr>
              <w:pStyle w:val="T1TableStyle"/>
              <w:rPr>
                <w:rFonts w:ascii="Verdana" w:eastAsia="Verdana" w:hAnsi="Verdana" w:cs="Verdana"/>
                <w:b/>
                <w:color w:val="000000"/>
                <w:lang w:val="en-GB"/>
              </w:rPr>
            </w:pPr>
          </w:p>
          <w:p w14:paraId="206049DD" w14:textId="77777777" w:rsidR="00CA6653" w:rsidRPr="00673DFF" w:rsidRDefault="00CA6653">
            <w:pPr>
              <w:pStyle w:val="T1TableStyle"/>
              <w:rPr>
                <w:rFonts w:ascii="Verdana" w:eastAsia="Verdana" w:hAnsi="Verdana" w:cs="Verdana"/>
                <w:b/>
                <w:color w:val="000000"/>
                <w:lang w:val="en-GB"/>
              </w:rPr>
            </w:pPr>
            <w:r w:rsidRPr="00673DFF">
              <w:rPr>
                <w:rFonts w:ascii="Verdana" w:eastAsia="Verdana" w:hAnsi="Verdana" w:cs="Verdana"/>
                <w:b/>
                <w:color w:val="000000"/>
                <w:lang w:val="en-GB"/>
              </w:rPr>
              <w:t>Capital Adjustment Account</w:t>
            </w:r>
          </w:p>
        </w:tc>
      </w:tr>
      <w:tr w:rsidR="004D417B" w:rsidRPr="00673DFF" w14:paraId="0D82EF18" w14:textId="77777777" w:rsidTr="006D7DD5">
        <w:trPr>
          <w:trHeight w:hRule="exact" w:val="121"/>
        </w:trPr>
        <w:tc>
          <w:tcPr>
            <w:tcW w:w="2992" w:type="dxa"/>
            <w:shd w:val="clear" w:color="auto" w:fill="auto"/>
            <w:tcMar>
              <w:top w:w="20" w:type="dxa"/>
              <w:left w:w="20" w:type="dxa"/>
              <w:bottom w:w="20" w:type="dxa"/>
              <w:right w:w="20" w:type="dxa"/>
            </w:tcMar>
            <w:vAlign w:val="bottom"/>
          </w:tcPr>
          <w:p w14:paraId="43BD2132" w14:textId="77777777" w:rsidR="00CA6653" w:rsidRPr="00673DFF" w:rsidRDefault="00CA6653">
            <w:pPr>
              <w:pStyle w:val="T1TableStyle"/>
              <w:rPr>
                <w:rFonts w:ascii="Verdana" w:eastAsia="Verdana" w:hAnsi="Verdana" w:cs="Verdana"/>
                <w:b/>
                <w:color w:val="000000"/>
                <w:sz w:val="2"/>
                <w:lang w:val="en-GB"/>
              </w:rPr>
            </w:pPr>
            <w:r w:rsidRPr="00673DFF">
              <w:rPr>
                <w:rFonts w:ascii="Verdana" w:eastAsia="Verdana" w:hAnsi="Verdana" w:cs="Verdana"/>
                <w:b/>
                <w:color w:val="000000"/>
                <w:sz w:val="2"/>
                <w:lang w:val="en-GB"/>
              </w:rPr>
              <w:t xml:space="preserve"> </w:t>
            </w:r>
          </w:p>
        </w:tc>
        <w:tc>
          <w:tcPr>
            <w:tcW w:w="403" w:type="dxa"/>
            <w:shd w:val="clear" w:color="auto" w:fill="auto"/>
            <w:tcMar>
              <w:top w:w="20" w:type="dxa"/>
              <w:left w:w="20" w:type="dxa"/>
              <w:bottom w:w="20" w:type="dxa"/>
              <w:right w:w="20" w:type="dxa"/>
            </w:tcMar>
            <w:vAlign w:val="bottom"/>
          </w:tcPr>
          <w:p w14:paraId="49AF61BE" w14:textId="77777777" w:rsidR="00CA6653" w:rsidRPr="00673DFF" w:rsidRDefault="00CA6653">
            <w:pPr>
              <w:pStyle w:val="T1TableStyle"/>
              <w:rPr>
                <w:rFonts w:ascii="Verdana" w:eastAsia="Verdana" w:hAnsi="Verdana" w:cs="Verdana"/>
                <w:b/>
                <w:color w:val="000000"/>
                <w:sz w:val="2"/>
                <w:lang w:val="en-GB"/>
              </w:rPr>
            </w:pPr>
            <w:r w:rsidRPr="00673DFF">
              <w:rPr>
                <w:rFonts w:ascii="Verdana" w:eastAsia="Verdana" w:hAnsi="Verdana" w:cs="Verdana"/>
                <w:b/>
                <w:color w:val="000000"/>
                <w:sz w:val="2"/>
                <w:lang w:val="en-GB"/>
              </w:rPr>
              <w:t xml:space="preserve"> </w:t>
            </w:r>
          </w:p>
        </w:tc>
        <w:tc>
          <w:tcPr>
            <w:tcW w:w="7232" w:type="dxa"/>
            <w:shd w:val="clear" w:color="auto" w:fill="auto"/>
            <w:tcMar>
              <w:top w:w="20" w:type="dxa"/>
              <w:left w:w="20" w:type="dxa"/>
              <w:bottom w:w="20" w:type="dxa"/>
              <w:right w:w="20" w:type="dxa"/>
            </w:tcMar>
            <w:vAlign w:val="bottom"/>
          </w:tcPr>
          <w:p w14:paraId="6845830C" w14:textId="77777777" w:rsidR="00CA6653" w:rsidRPr="00673DFF" w:rsidRDefault="00CA6653">
            <w:pPr>
              <w:pStyle w:val="T1TableStyle"/>
              <w:rPr>
                <w:rFonts w:ascii="Verdana" w:eastAsia="Verdana" w:hAnsi="Verdana" w:cs="Verdana"/>
                <w:b/>
                <w:color w:val="000000"/>
                <w:sz w:val="2"/>
                <w:lang w:val="en-GB"/>
              </w:rPr>
            </w:pPr>
            <w:r w:rsidRPr="00673DFF">
              <w:rPr>
                <w:rFonts w:ascii="Verdana" w:eastAsia="Verdana" w:hAnsi="Verdana" w:cs="Verdana"/>
                <w:b/>
                <w:color w:val="000000"/>
                <w:sz w:val="2"/>
                <w:lang w:val="en-GB"/>
              </w:rPr>
              <w:t xml:space="preserve"> </w:t>
            </w:r>
          </w:p>
        </w:tc>
        <w:tc>
          <w:tcPr>
            <w:tcW w:w="2995" w:type="dxa"/>
            <w:shd w:val="clear" w:color="auto" w:fill="auto"/>
            <w:tcMar>
              <w:top w:w="20" w:type="dxa"/>
              <w:left w:w="20" w:type="dxa"/>
              <w:bottom w:w="20" w:type="dxa"/>
              <w:right w:w="20" w:type="dxa"/>
            </w:tcMar>
            <w:vAlign w:val="bottom"/>
          </w:tcPr>
          <w:p w14:paraId="4DC15912" w14:textId="77777777" w:rsidR="00CA6653" w:rsidRPr="00673DFF" w:rsidRDefault="00CA6653">
            <w:pPr>
              <w:pStyle w:val="T1TableStyle"/>
              <w:rPr>
                <w:rFonts w:ascii="Verdana" w:eastAsia="Verdana" w:hAnsi="Verdana" w:cs="Verdana"/>
                <w:b/>
                <w:color w:val="000000"/>
                <w:sz w:val="2"/>
                <w:lang w:val="en-GB"/>
              </w:rPr>
            </w:pPr>
            <w:r w:rsidRPr="00673DFF">
              <w:rPr>
                <w:rFonts w:ascii="Verdana" w:eastAsia="Verdana" w:hAnsi="Verdana" w:cs="Verdana"/>
                <w:b/>
                <w:color w:val="000000"/>
                <w:sz w:val="2"/>
                <w:lang w:val="en-GB"/>
              </w:rPr>
              <w:t xml:space="preserve"> </w:t>
            </w:r>
            <w:r w:rsidR="00BE65D1" w:rsidRPr="00673DFF">
              <w:rPr>
                <w:rFonts w:ascii="Verdana" w:eastAsia="Verdana" w:hAnsi="Verdana" w:cs="Verdana"/>
                <w:b/>
                <w:color w:val="000000"/>
                <w:sz w:val="2"/>
                <w:lang w:val="en-GB"/>
              </w:rPr>
              <w:t>9</w:t>
            </w:r>
          </w:p>
        </w:tc>
      </w:tr>
      <w:tr w:rsidR="004D417B" w:rsidRPr="00673DFF" w14:paraId="0F148B8F" w14:textId="77777777" w:rsidTr="006D7DD5">
        <w:trPr>
          <w:trHeight w:val="101"/>
        </w:trPr>
        <w:tc>
          <w:tcPr>
            <w:tcW w:w="2992" w:type="dxa"/>
            <w:shd w:val="clear" w:color="auto" w:fill="auto"/>
            <w:tcMar>
              <w:top w:w="20" w:type="dxa"/>
              <w:left w:w="20" w:type="dxa"/>
              <w:bottom w:w="20" w:type="dxa"/>
              <w:right w:w="20" w:type="dxa"/>
            </w:tcMar>
            <w:vAlign w:val="bottom"/>
          </w:tcPr>
          <w:p w14:paraId="731B203E" w14:textId="77777777" w:rsidR="00CA6653" w:rsidRPr="00673DFF" w:rsidRDefault="00CA6653" w:rsidP="007F7DDF">
            <w:pPr>
              <w:pStyle w:val="T1TableStyle"/>
              <w:jc w:val="center"/>
              <w:rPr>
                <w:rFonts w:ascii="Verdana" w:eastAsia="Verdana" w:hAnsi="Verdana" w:cs="Verdana"/>
                <w:b/>
                <w:color w:val="000000"/>
                <w:sz w:val="16"/>
                <w:lang w:val="en-GB"/>
              </w:rPr>
            </w:pPr>
            <w:r w:rsidRPr="00673DFF">
              <w:rPr>
                <w:rFonts w:ascii="Verdana" w:eastAsia="Verdana" w:hAnsi="Verdana" w:cs="Verdana"/>
                <w:b/>
                <w:color w:val="000000"/>
                <w:sz w:val="16"/>
                <w:lang w:val="en-GB"/>
              </w:rPr>
              <w:t>31 March 20</w:t>
            </w:r>
            <w:r w:rsidR="007F7DDF" w:rsidRPr="00673DFF">
              <w:rPr>
                <w:rFonts w:ascii="Verdana" w:eastAsia="Verdana" w:hAnsi="Verdana" w:cs="Verdana"/>
                <w:b/>
                <w:color w:val="000000"/>
                <w:sz w:val="16"/>
                <w:lang w:val="en-GB"/>
              </w:rPr>
              <w:t>20</w:t>
            </w:r>
          </w:p>
        </w:tc>
        <w:tc>
          <w:tcPr>
            <w:tcW w:w="403" w:type="dxa"/>
            <w:shd w:val="clear" w:color="auto" w:fill="auto"/>
            <w:tcMar>
              <w:top w:w="20" w:type="dxa"/>
              <w:left w:w="20" w:type="dxa"/>
              <w:bottom w:w="20" w:type="dxa"/>
              <w:right w:w="20" w:type="dxa"/>
            </w:tcMar>
            <w:vAlign w:val="bottom"/>
          </w:tcPr>
          <w:p w14:paraId="72B0D106" w14:textId="77777777" w:rsidR="00CA6653" w:rsidRPr="00673DFF" w:rsidRDefault="00CA6653">
            <w:pPr>
              <w:pStyle w:val="T1TableStyle"/>
              <w:jc w:val="center"/>
              <w:rPr>
                <w:rFonts w:ascii="Verdana" w:eastAsia="Verdana" w:hAnsi="Verdana" w:cs="Verdana"/>
                <w:b/>
                <w:color w:val="000000"/>
                <w:sz w:val="2"/>
                <w:lang w:val="en-GB"/>
              </w:rPr>
            </w:pPr>
            <w:r w:rsidRPr="00673DFF">
              <w:rPr>
                <w:rFonts w:ascii="Verdana" w:eastAsia="Verdana" w:hAnsi="Verdana" w:cs="Verdana"/>
                <w:b/>
                <w:color w:val="000000"/>
                <w:sz w:val="2"/>
                <w:lang w:val="en-GB"/>
              </w:rPr>
              <w:t xml:space="preserve"> </w:t>
            </w:r>
          </w:p>
        </w:tc>
        <w:tc>
          <w:tcPr>
            <w:tcW w:w="7232" w:type="dxa"/>
            <w:shd w:val="clear" w:color="auto" w:fill="auto"/>
            <w:tcMar>
              <w:top w:w="20" w:type="dxa"/>
              <w:left w:w="20" w:type="dxa"/>
              <w:bottom w:w="20" w:type="dxa"/>
              <w:right w:w="20" w:type="dxa"/>
            </w:tcMar>
            <w:vAlign w:val="bottom"/>
          </w:tcPr>
          <w:p w14:paraId="044FBF9B" w14:textId="77777777" w:rsidR="00CA6653" w:rsidRPr="00673DFF" w:rsidRDefault="00CA6653">
            <w:pPr>
              <w:pStyle w:val="T1TableStyle"/>
              <w:jc w:val="center"/>
              <w:rPr>
                <w:rFonts w:ascii="Verdana" w:eastAsia="Verdana" w:hAnsi="Verdana" w:cs="Verdana"/>
                <w:b/>
                <w:color w:val="000000"/>
                <w:sz w:val="2"/>
                <w:lang w:val="en-GB"/>
              </w:rPr>
            </w:pPr>
            <w:r w:rsidRPr="00673DFF">
              <w:rPr>
                <w:rFonts w:ascii="Verdana" w:eastAsia="Verdana" w:hAnsi="Verdana" w:cs="Verdana"/>
                <w:b/>
                <w:color w:val="000000"/>
                <w:sz w:val="2"/>
                <w:lang w:val="en-GB"/>
              </w:rPr>
              <w:t xml:space="preserve"> </w:t>
            </w:r>
          </w:p>
        </w:tc>
        <w:tc>
          <w:tcPr>
            <w:tcW w:w="2995" w:type="dxa"/>
            <w:shd w:val="clear" w:color="auto" w:fill="auto"/>
            <w:tcMar>
              <w:top w:w="20" w:type="dxa"/>
              <w:left w:w="20" w:type="dxa"/>
              <w:bottom w:w="20" w:type="dxa"/>
              <w:right w:w="20" w:type="dxa"/>
            </w:tcMar>
            <w:vAlign w:val="bottom"/>
          </w:tcPr>
          <w:p w14:paraId="02764A7F" w14:textId="77777777" w:rsidR="00CA6653" w:rsidRPr="00673DFF" w:rsidRDefault="00CA6653" w:rsidP="007F7DDF">
            <w:pPr>
              <w:pStyle w:val="T1TableStyle"/>
              <w:jc w:val="center"/>
              <w:rPr>
                <w:rFonts w:ascii="Verdana" w:eastAsia="Verdana" w:hAnsi="Verdana" w:cs="Verdana"/>
                <w:b/>
                <w:color w:val="000000"/>
                <w:sz w:val="16"/>
                <w:lang w:val="en-GB"/>
              </w:rPr>
            </w:pPr>
            <w:r w:rsidRPr="00673DFF">
              <w:rPr>
                <w:rFonts w:ascii="Verdana" w:eastAsia="Verdana" w:hAnsi="Verdana" w:cs="Verdana"/>
                <w:b/>
                <w:color w:val="000000"/>
                <w:sz w:val="16"/>
                <w:lang w:val="en-GB"/>
              </w:rPr>
              <w:t>31 March 202</w:t>
            </w:r>
            <w:r w:rsidR="007F7DDF" w:rsidRPr="00673DFF">
              <w:rPr>
                <w:rFonts w:ascii="Verdana" w:eastAsia="Verdana" w:hAnsi="Verdana" w:cs="Verdana"/>
                <w:b/>
                <w:color w:val="000000"/>
                <w:sz w:val="16"/>
                <w:lang w:val="en-GB"/>
              </w:rPr>
              <w:t>1</w:t>
            </w:r>
          </w:p>
        </w:tc>
      </w:tr>
      <w:tr w:rsidR="004D417B" w:rsidRPr="00673DFF" w14:paraId="41265D26" w14:textId="77777777" w:rsidTr="006D7DD5">
        <w:trPr>
          <w:trHeight w:val="101"/>
        </w:trPr>
        <w:tc>
          <w:tcPr>
            <w:tcW w:w="2992" w:type="dxa"/>
            <w:shd w:val="clear" w:color="auto" w:fill="auto"/>
            <w:tcMar>
              <w:top w:w="20" w:type="dxa"/>
              <w:left w:w="20" w:type="dxa"/>
              <w:bottom w:w="20" w:type="dxa"/>
              <w:right w:w="20" w:type="dxa"/>
            </w:tcMar>
          </w:tcPr>
          <w:p w14:paraId="223AA0E1" w14:textId="77777777" w:rsidR="00CA6653" w:rsidRPr="00673DFF" w:rsidRDefault="00CA6653">
            <w:pPr>
              <w:pStyle w:val="T1TableStyle"/>
              <w:jc w:val="right"/>
              <w:rPr>
                <w:rFonts w:ascii="Verdana" w:eastAsia="Verdana" w:hAnsi="Verdana" w:cs="Verdana"/>
                <w:b/>
                <w:color w:val="000000"/>
                <w:sz w:val="16"/>
                <w:lang w:val="en-GB"/>
              </w:rPr>
            </w:pPr>
            <w:r w:rsidRPr="00673DFF">
              <w:rPr>
                <w:rFonts w:ascii="Verdana" w:eastAsia="Verdana" w:hAnsi="Verdana" w:cs="Verdana"/>
                <w:b/>
                <w:color w:val="000000"/>
                <w:sz w:val="16"/>
                <w:lang w:val="en-GB"/>
              </w:rPr>
              <w:t>£000</w:t>
            </w:r>
          </w:p>
        </w:tc>
        <w:tc>
          <w:tcPr>
            <w:tcW w:w="403" w:type="dxa"/>
            <w:shd w:val="clear" w:color="auto" w:fill="auto"/>
            <w:tcMar>
              <w:top w:w="20" w:type="dxa"/>
              <w:left w:w="20" w:type="dxa"/>
              <w:bottom w:w="20" w:type="dxa"/>
              <w:right w:w="20" w:type="dxa"/>
            </w:tcMar>
          </w:tcPr>
          <w:p w14:paraId="3E3A9D7F" w14:textId="77777777" w:rsidR="00CA6653" w:rsidRPr="00673DFF" w:rsidRDefault="00CA6653">
            <w:pPr>
              <w:pStyle w:val="T1TableStyle"/>
              <w:jc w:val="right"/>
              <w:rPr>
                <w:rFonts w:ascii="Verdana" w:eastAsia="Verdana" w:hAnsi="Verdana" w:cs="Verdana"/>
                <w:b/>
                <w:color w:val="000000"/>
                <w:sz w:val="2"/>
                <w:lang w:val="en-GB"/>
              </w:rPr>
            </w:pPr>
            <w:r w:rsidRPr="00673DFF">
              <w:rPr>
                <w:rFonts w:ascii="Verdana" w:eastAsia="Verdana" w:hAnsi="Verdana" w:cs="Verdana"/>
                <w:b/>
                <w:color w:val="000000"/>
                <w:sz w:val="2"/>
                <w:lang w:val="en-GB"/>
              </w:rPr>
              <w:t xml:space="preserve"> </w:t>
            </w:r>
          </w:p>
        </w:tc>
        <w:tc>
          <w:tcPr>
            <w:tcW w:w="7232" w:type="dxa"/>
            <w:shd w:val="clear" w:color="auto" w:fill="auto"/>
            <w:tcMar>
              <w:top w:w="20" w:type="dxa"/>
              <w:left w:w="20" w:type="dxa"/>
              <w:bottom w:w="20" w:type="dxa"/>
              <w:right w:w="20" w:type="dxa"/>
            </w:tcMar>
          </w:tcPr>
          <w:p w14:paraId="69B8EF18" w14:textId="77777777" w:rsidR="00CA6653" w:rsidRPr="00673DFF" w:rsidRDefault="00CA6653">
            <w:pPr>
              <w:pStyle w:val="T1TableStyle"/>
              <w:jc w:val="right"/>
              <w:rPr>
                <w:rFonts w:ascii="Verdana" w:eastAsia="Verdana" w:hAnsi="Verdana" w:cs="Verdana"/>
                <w:b/>
                <w:color w:val="000000"/>
                <w:sz w:val="2"/>
                <w:lang w:val="en-GB"/>
              </w:rPr>
            </w:pPr>
            <w:r w:rsidRPr="00673DFF">
              <w:rPr>
                <w:rFonts w:ascii="Verdana" w:eastAsia="Verdana" w:hAnsi="Verdana" w:cs="Verdana"/>
                <w:b/>
                <w:color w:val="000000"/>
                <w:sz w:val="2"/>
                <w:lang w:val="en-GB"/>
              </w:rPr>
              <w:t xml:space="preserve"> </w:t>
            </w:r>
          </w:p>
        </w:tc>
        <w:tc>
          <w:tcPr>
            <w:tcW w:w="2995" w:type="dxa"/>
            <w:shd w:val="clear" w:color="auto" w:fill="auto"/>
            <w:tcMar>
              <w:top w:w="20" w:type="dxa"/>
              <w:left w:w="20" w:type="dxa"/>
              <w:bottom w:w="20" w:type="dxa"/>
              <w:right w:w="20" w:type="dxa"/>
            </w:tcMar>
          </w:tcPr>
          <w:p w14:paraId="76B96360" w14:textId="77777777" w:rsidR="00CA6653" w:rsidRPr="00673DFF" w:rsidRDefault="00CA6653">
            <w:pPr>
              <w:pStyle w:val="T1TableStyle"/>
              <w:jc w:val="right"/>
              <w:rPr>
                <w:rFonts w:ascii="Verdana" w:eastAsia="Verdana" w:hAnsi="Verdana" w:cs="Verdana"/>
                <w:b/>
                <w:color w:val="000000"/>
                <w:sz w:val="16"/>
                <w:lang w:val="en-GB"/>
              </w:rPr>
            </w:pPr>
            <w:r w:rsidRPr="00673DFF">
              <w:rPr>
                <w:rFonts w:ascii="Verdana" w:eastAsia="Verdana" w:hAnsi="Verdana" w:cs="Verdana"/>
                <w:b/>
                <w:color w:val="000000"/>
                <w:sz w:val="16"/>
                <w:lang w:val="en-GB"/>
              </w:rPr>
              <w:t>£000</w:t>
            </w:r>
          </w:p>
        </w:tc>
      </w:tr>
      <w:tr w:rsidR="007F7DDF" w:rsidRPr="00673DFF" w14:paraId="1A899478" w14:textId="77777777" w:rsidTr="006D7DD5">
        <w:trPr>
          <w:trHeight w:val="101"/>
        </w:trPr>
        <w:tc>
          <w:tcPr>
            <w:tcW w:w="2992" w:type="dxa"/>
            <w:tcBorders>
              <w:top w:val="single" w:sz="2" w:space="0" w:color="000000"/>
            </w:tcBorders>
            <w:shd w:val="clear" w:color="auto" w:fill="auto"/>
            <w:tcMar>
              <w:top w:w="20" w:type="dxa"/>
              <w:left w:w="20" w:type="dxa"/>
              <w:bottom w:w="20" w:type="dxa"/>
              <w:right w:w="20" w:type="dxa"/>
            </w:tcMar>
          </w:tcPr>
          <w:p w14:paraId="77D05DA2" w14:textId="77777777" w:rsidR="007F7DDF" w:rsidRPr="00673DFF" w:rsidRDefault="007F7DDF" w:rsidP="007F7DDF">
            <w:pPr>
              <w:pStyle w:val="T1TableStyle"/>
              <w:jc w:val="right"/>
              <w:rPr>
                <w:rFonts w:ascii="Verdana" w:eastAsia="Verdana" w:hAnsi="Verdana" w:cs="Verdana"/>
                <w:color w:val="000000"/>
                <w:sz w:val="16"/>
                <w:lang w:val="en-GB"/>
              </w:rPr>
            </w:pPr>
            <w:r w:rsidRPr="00673DFF">
              <w:rPr>
                <w:rFonts w:ascii="Verdana" w:eastAsia="Verdana" w:hAnsi="Verdana" w:cs="Verdana"/>
                <w:color w:val="000000"/>
                <w:sz w:val="16"/>
                <w:lang w:val="en-GB"/>
              </w:rPr>
              <w:t>(63,700)</w:t>
            </w:r>
          </w:p>
        </w:tc>
        <w:tc>
          <w:tcPr>
            <w:tcW w:w="403" w:type="dxa"/>
            <w:tcBorders>
              <w:top w:val="single" w:sz="2" w:space="0" w:color="000000"/>
            </w:tcBorders>
            <w:shd w:val="clear" w:color="auto" w:fill="auto"/>
            <w:tcMar>
              <w:top w:w="20" w:type="dxa"/>
              <w:left w:w="20" w:type="dxa"/>
              <w:bottom w:w="20" w:type="dxa"/>
              <w:right w:w="20" w:type="dxa"/>
            </w:tcMar>
          </w:tcPr>
          <w:p w14:paraId="0FA50019" w14:textId="77777777" w:rsidR="007F7DDF" w:rsidRPr="00673DFF" w:rsidRDefault="007F7DDF" w:rsidP="007F7DDF">
            <w:pPr>
              <w:pStyle w:val="T1TableStyle"/>
              <w:jc w:val="center"/>
              <w:rPr>
                <w:rFonts w:ascii="Verdana" w:eastAsia="Verdana" w:hAnsi="Verdana" w:cs="Verdana"/>
                <w:color w:val="000000"/>
                <w:sz w:val="2"/>
                <w:lang w:val="en-GB"/>
              </w:rPr>
            </w:pPr>
            <w:r w:rsidRPr="00673DFF">
              <w:rPr>
                <w:rFonts w:ascii="Verdana" w:eastAsia="Verdana" w:hAnsi="Verdana" w:cs="Verdana"/>
                <w:color w:val="000000"/>
                <w:sz w:val="2"/>
                <w:lang w:val="en-GB"/>
              </w:rPr>
              <w:t xml:space="preserve"> </w:t>
            </w:r>
          </w:p>
        </w:tc>
        <w:tc>
          <w:tcPr>
            <w:tcW w:w="7232" w:type="dxa"/>
            <w:tcBorders>
              <w:top w:val="single" w:sz="2" w:space="0" w:color="000000"/>
            </w:tcBorders>
            <w:shd w:val="clear" w:color="auto" w:fill="auto"/>
            <w:tcMar>
              <w:top w:w="20" w:type="dxa"/>
              <w:left w:w="20" w:type="dxa"/>
              <w:bottom w:w="20" w:type="dxa"/>
              <w:right w:w="20" w:type="dxa"/>
            </w:tcMar>
          </w:tcPr>
          <w:p w14:paraId="48017674" w14:textId="77777777" w:rsidR="007F7DDF" w:rsidRPr="00673DFF" w:rsidRDefault="007F7DDF" w:rsidP="007F7DDF">
            <w:pPr>
              <w:pStyle w:val="T1TableStyle"/>
              <w:rPr>
                <w:rFonts w:ascii="Verdana" w:eastAsia="Verdana" w:hAnsi="Verdana" w:cs="Verdana"/>
                <w:b/>
                <w:color w:val="000000"/>
                <w:sz w:val="16"/>
                <w:lang w:val="en-GB"/>
              </w:rPr>
            </w:pPr>
            <w:r w:rsidRPr="00673DFF">
              <w:rPr>
                <w:rFonts w:ascii="Verdana" w:eastAsia="Verdana" w:hAnsi="Verdana" w:cs="Verdana"/>
                <w:b/>
                <w:color w:val="000000"/>
                <w:sz w:val="16"/>
                <w:lang w:val="en-GB"/>
              </w:rPr>
              <w:t xml:space="preserve">Balance 1 April </w:t>
            </w:r>
          </w:p>
        </w:tc>
        <w:tc>
          <w:tcPr>
            <w:tcW w:w="2995" w:type="dxa"/>
            <w:tcBorders>
              <w:top w:val="single" w:sz="2" w:space="0" w:color="000000"/>
            </w:tcBorders>
            <w:shd w:val="clear" w:color="auto" w:fill="auto"/>
            <w:tcMar>
              <w:top w:w="20" w:type="dxa"/>
              <w:left w:w="20" w:type="dxa"/>
              <w:bottom w:w="20" w:type="dxa"/>
              <w:right w:w="20" w:type="dxa"/>
            </w:tcMar>
          </w:tcPr>
          <w:p w14:paraId="7B2A22E5" w14:textId="77777777" w:rsidR="007F7DDF" w:rsidRPr="00673DFF" w:rsidRDefault="007F7DDF" w:rsidP="007F7DDF">
            <w:pPr>
              <w:pStyle w:val="T1TableStyle"/>
              <w:jc w:val="right"/>
              <w:rPr>
                <w:rFonts w:ascii="Verdana" w:eastAsia="Verdana" w:hAnsi="Verdana" w:cs="Verdana"/>
                <w:color w:val="000000"/>
                <w:sz w:val="16"/>
                <w:lang w:val="en-GB"/>
              </w:rPr>
            </w:pPr>
            <w:r w:rsidRPr="00673DFF">
              <w:rPr>
                <w:rFonts w:ascii="Verdana" w:eastAsia="Verdana" w:hAnsi="Verdana" w:cs="Verdana"/>
                <w:color w:val="000000"/>
                <w:sz w:val="16"/>
                <w:lang w:val="en-GB"/>
              </w:rPr>
              <w:t>(64,164)</w:t>
            </w:r>
          </w:p>
        </w:tc>
      </w:tr>
      <w:tr w:rsidR="007F7DDF" w:rsidRPr="00673DFF" w14:paraId="28B8AB82" w14:textId="77777777" w:rsidTr="006D7DD5">
        <w:trPr>
          <w:trHeight w:val="141"/>
        </w:trPr>
        <w:tc>
          <w:tcPr>
            <w:tcW w:w="2992" w:type="dxa"/>
            <w:shd w:val="clear" w:color="auto" w:fill="auto"/>
            <w:tcMar>
              <w:top w:w="20" w:type="dxa"/>
              <w:left w:w="20" w:type="dxa"/>
              <w:bottom w:w="20" w:type="dxa"/>
              <w:right w:w="20" w:type="dxa"/>
            </w:tcMar>
          </w:tcPr>
          <w:p w14:paraId="2B117B03" w14:textId="77777777" w:rsidR="007F7DDF" w:rsidRPr="00673DFF" w:rsidRDefault="007F7DDF" w:rsidP="007F7DDF">
            <w:pPr>
              <w:pStyle w:val="T1TableStyle"/>
              <w:jc w:val="right"/>
              <w:rPr>
                <w:rFonts w:ascii="Verdana" w:eastAsia="Verdana" w:hAnsi="Verdana" w:cs="Verdana"/>
                <w:color w:val="000000"/>
                <w:sz w:val="16"/>
                <w:lang w:val="en-GB"/>
              </w:rPr>
            </w:pPr>
            <w:r w:rsidRPr="00673DFF">
              <w:rPr>
                <w:rFonts w:ascii="Verdana" w:eastAsia="Verdana" w:hAnsi="Verdana" w:cs="Verdana"/>
                <w:color w:val="000000"/>
                <w:sz w:val="16"/>
                <w:lang w:val="en-GB"/>
              </w:rPr>
              <w:t>7,339</w:t>
            </w:r>
          </w:p>
        </w:tc>
        <w:tc>
          <w:tcPr>
            <w:tcW w:w="403" w:type="dxa"/>
            <w:shd w:val="clear" w:color="auto" w:fill="auto"/>
            <w:tcMar>
              <w:top w:w="20" w:type="dxa"/>
              <w:left w:w="20" w:type="dxa"/>
              <w:bottom w:w="20" w:type="dxa"/>
              <w:right w:w="20" w:type="dxa"/>
            </w:tcMar>
          </w:tcPr>
          <w:p w14:paraId="58A8FD80" w14:textId="77777777" w:rsidR="007F7DDF" w:rsidRPr="00673DFF" w:rsidRDefault="007F7DDF" w:rsidP="007F7DDF">
            <w:pPr>
              <w:pStyle w:val="T1TableStyle"/>
              <w:jc w:val="center"/>
              <w:rPr>
                <w:rFonts w:ascii="Verdana" w:eastAsia="Verdana" w:hAnsi="Verdana" w:cs="Verdana"/>
                <w:color w:val="000000"/>
                <w:sz w:val="2"/>
                <w:lang w:val="en-GB"/>
              </w:rPr>
            </w:pPr>
            <w:r w:rsidRPr="00673DFF">
              <w:rPr>
                <w:rFonts w:ascii="Verdana" w:eastAsia="Verdana" w:hAnsi="Verdana" w:cs="Verdana"/>
                <w:color w:val="000000"/>
                <w:sz w:val="2"/>
                <w:lang w:val="en-GB"/>
              </w:rPr>
              <w:t xml:space="preserve"> </w:t>
            </w:r>
          </w:p>
        </w:tc>
        <w:tc>
          <w:tcPr>
            <w:tcW w:w="7232" w:type="dxa"/>
            <w:shd w:val="clear" w:color="auto" w:fill="auto"/>
            <w:tcMar>
              <w:top w:w="20" w:type="dxa"/>
              <w:left w:w="20" w:type="dxa"/>
              <w:bottom w:w="20" w:type="dxa"/>
              <w:right w:w="20" w:type="dxa"/>
            </w:tcMar>
          </w:tcPr>
          <w:p w14:paraId="6612086A" w14:textId="77777777" w:rsidR="007F7DDF" w:rsidRPr="00673DFF" w:rsidRDefault="007F7DDF" w:rsidP="007F7DDF">
            <w:pPr>
              <w:pStyle w:val="T1TableStyle"/>
              <w:rPr>
                <w:rFonts w:ascii="Verdana" w:eastAsia="Verdana" w:hAnsi="Verdana" w:cs="Verdana"/>
                <w:color w:val="000000"/>
                <w:sz w:val="16"/>
                <w:lang w:val="en-GB"/>
              </w:rPr>
            </w:pPr>
            <w:r w:rsidRPr="00673DFF">
              <w:rPr>
                <w:rFonts w:ascii="Verdana" w:eastAsia="Verdana" w:hAnsi="Verdana" w:cs="Verdana"/>
                <w:color w:val="000000"/>
                <w:sz w:val="16"/>
                <w:lang w:val="en-GB"/>
              </w:rPr>
              <w:t>Charges for depreciation and impairment of non-current assets</w:t>
            </w:r>
          </w:p>
        </w:tc>
        <w:tc>
          <w:tcPr>
            <w:tcW w:w="2995" w:type="dxa"/>
            <w:shd w:val="clear" w:color="auto" w:fill="auto"/>
            <w:tcMar>
              <w:top w:w="20" w:type="dxa"/>
              <w:left w:w="20" w:type="dxa"/>
              <w:bottom w:w="20" w:type="dxa"/>
              <w:right w:w="20" w:type="dxa"/>
            </w:tcMar>
          </w:tcPr>
          <w:p w14:paraId="5CD9C072" w14:textId="77777777" w:rsidR="007F7DDF" w:rsidRPr="00673DFF" w:rsidRDefault="00673DFF" w:rsidP="007F7D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7,485</w:t>
            </w:r>
          </w:p>
        </w:tc>
      </w:tr>
      <w:tr w:rsidR="007F7DDF" w:rsidRPr="00673DFF" w14:paraId="2C3EDEDC" w14:textId="77777777" w:rsidTr="006D7DD5">
        <w:trPr>
          <w:trHeight w:val="141"/>
        </w:trPr>
        <w:tc>
          <w:tcPr>
            <w:tcW w:w="2992" w:type="dxa"/>
            <w:shd w:val="clear" w:color="auto" w:fill="auto"/>
            <w:tcMar>
              <w:top w:w="20" w:type="dxa"/>
              <w:left w:w="20" w:type="dxa"/>
              <w:bottom w:w="20" w:type="dxa"/>
              <w:right w:w="20" w:type="dxa"/>
            </w:tcMar>
          </w:tcPr>
          <w:p w14:paraId="4F9868C0" w14:textId="77777777" w:rsidR="007F7DDF" w:rsidRPr="00673DFF" w:rsidRDefault="007F7DDF" w:rsidP="007F7DDF">
            <w:pPr>
              <w:pStyle w:val="T1TableStyle"/>
              <w:jc w:val="right"/>
              <w:rPr>
                <w:rFonts w:ascii="Verdana" w:eastAsia="Verdana" w:hAnsi="Verdana" w:cs="Verdana"/>
                <w:color w:val="000000"/>
                <w:sz w:val="16"/>
                <w:lang w:val="en-GB"/>
              </w:rPr>
            </w:pPr>
            <w:r w:rsidRPr="00673DFF">
              <w:rPr>
                <w:rFonts w:ascii="Verdana" w:eastAsia="Verdana" w:hAnsi="Verdana" w:cs="Verdana"/>
                <w:color w:val="000000"/>
                <w:sz w:val="16"/>
                <w:lang w:val="en-GB"/>
              </w:rPr>
              <w:t>2,081</w:t>
            </w:r>
          </w:p>
        </w:tc>
        <w:tc>
          <w:tcPr>
            <w:tcW w:w="403" w:type="dxa"/>
            <w:shd w:val="clear" w:color="auto" w:fill="auto"/>
            <w:tcMar>
              <w:top w:w="20" w:type="dxa"/>
              <w:left w:w="20" w:type="dxa"/>
              <w:bottom w:w="20" w:type="dxa"/>
              <w:right w:w="20" w:type="dxa"/>
            </w:tcMar>
          </w:tcPr>
          <w:p w14:paraId="24F77561" w14:textId="77777777" w:rsidR="007F7DDF" w:rsidRPr="00673DFF" w:rsidRDefault="007F7DDF" w:rsidP="007F7DDF">
            <w:pPr>
              <w:pStyle w:val="T1TableStyle"/>
              <w:jc w:val="center"/>
              <w:rPr>
                <w:rFonts w:ascii="Verdana" w:eastAsia="Verdana" w:hAnsi="Verdana" w:cs="Verdana"/>
                <w:color w:val="000000"/>
                <w:sz w:val="2"/>
                <w:lang w:val="en-GB"/>
              </w:rPr>
            </w:pPr>
            <w:r w:rsidRPr="00673DFF">
              <w:rPr>
                <w:rFonts w:ascii="Verdana" w:eastAsia="Verdana" w:hAnsi="Verdana" w:cs="Verdana"/>
                <w:color w:val="000000"/>
                <w:sz w:val="2"/>
                <w:lang w:val="en-GB"/>
              </w:rPr>
              <w:t xml:space="preserve"> </w:t>
            </w:r>
          </w:p>
        </w:tc>
        <w:tc>
          <w:tcPr>
            <w:tcW w:w="7232" w:type="dxa"/>
            <w:shd w:val="clear" w:color="auto" w:fill="auto"/>
            <w:tcMar>
              <w:top w:w="20" w:type="dxa"/>
              <w:left w:w="20" w:type="dxa"/>
              <w:bottom w:w="20" w:type="dxa"/>
              <w:right w:w="20" w:type="dxa"/>
            </w:tcMar>
          </w:tcPr>
          <w:p w14:paraId="445EC5BB" w14:textId="77777777" w:rsidR="007F7DDF" w:rsidRPr="00673DFF" w:rsidRDefault="007F7DDF" w:rsidP="007F7DDF">
            <w:pPr>
              <w:pStyle w:val="T1TableStyle"/>
              <w:rPr>
                <w:rFonts w:ascii="Verdana" w:eastAsia="Verdana" w:hAnsi="Verdana" w:cs="Verdana"/>
                <w:color w:val="000000"/>
                <w:sz w:val="16"/>
                <w:lang w:val="en-GB"/>
              </w:rPr>
            </w:pPr>
            <w:r w:rsidRPr="00673DFF">
              <w:rPr>
                <w:rFonts w:ascii="Verdana" w:eastAsia="Verdana" w:hAnsi="Verdana" w:cs="Verdana"/>
                <w:color w:val="000000"/>
                <w:sz w:val="16"/>
                <w:lang w:val="en-GB"/>
              </w:rPr>
              <w:t>Revaluation losses on non-current assets</w:t>
            </w:r>
          </w:p>
        </w:tc>
        <w:tc>
          <w:tcPr>
            <w:tcW w:w="2995" w:type="dxa"/>
            <w:shd w:val="clear" w:color="auto" w:fill="auto"/>
            <w:tcMar>
              <w:top w:w="20" w:type="dxa"/>
              <w:left w:w="20" w:type="dxa"/>
              <w:bottom w:w="20" w:type="dxa"/>
              <w:right w:w="20" w:type="dxa"/>
            </w:tcMar>
          </w:tcPr>
          <w:p w14:paraId="02D47952" w14:textId="77777777" w:rsidR="007F7DDF" w:rsidRPr="00673DFF" w:rsidRDefault="00673DFF" w:rsidP="007F7D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2,003</w:t>
            </w:r>
          </w:p>
        </w:tc>
      </w:tr>
      <w:tr w:rsidR="007F7DDF" w:rsidRPr="00673DFF" w14:paraId="344523E3" w14:textId="77777777" w:rsidTr="006D7DD5">
        <w:trPr>
          <w:trHeight w:val="101"/>
        </w:trPr>
        <w:tc>
          <w:tcPr>
            <w:tcW w:w="2992" w:type="dxa"/>
            <w:shd w:val="clear" w:color="auto" w:fill="auto"/>
            <w:tcMar>
              <w:top w:w="20" w:type="dxa"/>
              <w:left w:w="20" w:type="dxa"/>
              <w:bottom w:w="20" w:type="dxa"/>
              <w:right w:w="20" w:type="dxa"/>
            </w:tcMar>
          </w:tcPr>
          <w:p w14:paraId="02F86DE0" w14:textId="77777777" w:rsidR="007F7DDF" w:rsidRPr="00673DFF" w:rsidRDefault="007F7DDF" w:rsidP="007F7DDF">
            <w:pPr>
              <w:pStyle w:val="T1TableStyle"/>
              <w:jc w:val="right"/>
              <w:rPr>
                <w:rFonts w:ascii="Verdana" w:eastAsia="Verdana" w:hAnsi="Verdana" w:cs="Verdana"/>
                <w:color w:val="000000"/>
                <w:sz w:val="16"/>
                <w:lang w:val="en-GB"/>
              </w:rPr>
            </w:pPr>
            <w:r w:rsidRPr="00673DFF">
              <w:rPr>
                <w:rFonts w:ascii="Verdana" w:eastAsia="Verdana" w:hAnsi="Verdana" w:cs="Verdana"/>
                <w:color w:val="000000"/>
                <w:sz w:val="16"/>
                <w:lang w:val="en-GB"/>
              </w:rPr>
              <w:t>1,776</w:t>
            </w:r>
          </w:p>
        </w:tc>
        <w:tc>
          <w:tcPr>
            <w:tcW w:w="403" w:type="dxa"/>
            <w:shd w:val="clear" w:color="auto" w:fill="auto"/>
            <w:tcMar>
              <w:top w:w="20" w:type="dxa"/>
              <w:left w:w="20" w:type="dxa"/>
              <w:bottom w:w="20" w:type="dxa"/>
              <w:right w:w="20" w:type="dxa"/>
            </w:tcMar>
          </w:tcPr>
          <w:p w14:paraId="0F9BED97" w14:textId="77777777" w:rsidR="007F7DDF" w:rsidRPr="00673DFF" w:rsidRDefault="007F7DDF" w:rsidP="007F7DDF">
            <w:pPr>
              <w:pStyle w:val="T1TableStyle"/>
              <w:jc w:val="center"/>
              <w:rPr>
                <w:rFonts w:ascii="Verdana" w:eastAsia="Verdana" w:hAnsi="Verdana" w:cs="Verdana"/>
                <w:color w:val="000000"/>
                <w:sz w:val="2"/>
                <w:lang w:val="en-GB"/>
              </w:rPr>
            </w:pPr>
            <w:r w:rsidRPr="00673DFF">
              <w:rPr>
                <w:rFonts w:ascii="Verdana" w:eastAsia="Verdana" w:hAnsi="Verdana" w:cs="Verdana"/>
                <w:color w:val="000000"/>
                <w:sz w:val="2"/>
                <w:lang w:val="en-GB"/>
              </w:rPr>
              <w:t xml:space="preserve"> </w:t>
            </w:r>
          </w:p>
        </w:tc>
        <w:tc>
          <w:tcPr>
            <w:tcW w:w="7232" w:type="dxa"/>
            <w:shd w:val="clear" w:color="auto" w:fill="auto"/>
            <w:tcMar>
              <w:top w:w="20" w:type="dxa"/>
              <w:left w:w="20" w:type="dxa"/>
              <w:bottom w:w="20" w:type="dxa"/>
              <w:right w:w="20" w:type="dxa"/>
            </w:tcMar>
          </w:tcPr>
          <w:p w14:paraId="6BF66AB5" w14:textId="77777777" w:rsidR="007F7DDF" w:rsidRPr="00673DFF" w:rsidRDefault="007F7DDF" w:rsidP="007F7DDF">
            <w:pPr>
              <w:pStyle w:val="T1TableStyle"/>
              <w:rPr>
                <w:rFonts w:ascii="Verdana" w:eastAsia="Verdana" w:hAnsi="Verdana" w:cs="Verdana"/>
                <w:color w:val="000000"/>
                <w:sz w:val="16"/>
                <w:lang w:val="en-GB"/>
              </w:rPr>
            </w:pPr>
            <w:r w:rsidRPr="00673DFF">
              <w:rPr>
                <w:rFonts w:ascii="Verdana" w:eastAsia="Verdana" w:hAnsi="Verdana" w:cs="Verdana"/>
                <w:color w:val="000000"/>
                <w:sz w:val="16"/>
                <w:lang w:val="en-GB"/>
              </w:rPr>
              <w:t>Amortisation of intangible assets</w:t>
            </w:r>
          </w:p>
        </w:tc>
        <w:tc>
          <w:tcPr>
            <w:tcW w:w="2995" w:type="dxa"/>
            <w:shd w:val="clear" w:color="auto" w:fill="auto"/>
            <w:tcMar>
              <w:top w:w="20" w:type="dxa"/>
              <w:left w:w="20" w:type="dxa"/>
              <w:bottom w:w="20" w:type="dxa"/>
              <w:right w:w="20" w:type="dxa"/>
            </w:tcMar>
          </w:tcPr>
          <w:p w14:paraId="6768A314" w14:textId="77777777" w:rsidR="007F7DDF" w:rsidRPr="00673DFF" w:rsidRDefault="00673DFF" w:rsidP="007F7D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987</w:t>
            </w:r>
          </w:p>
        </w:tc>
      </w:tr>
      <w:tr w:rsidR="007F7DDF" w:rsidRPr="00673DFF" w14:paraId="6FEEB14C" w14:textId="77777777" w:rsidTr="006D7DD5">
        <w:trPr>
          <w:trHeight w:val="354"/>
        </w:trPr>
        <w:tc>
          <w:tcPr>
            <w:tcW w:w="2992" w:type="dxa"/>
            <w:shd w:val="clear" w:color="auto" w:fill="auto"/>
            <w:tcMar>
              <w:top w:w="20" w:type="dxa"/>
              <w:left w:w="20" w:type="dxa"/>
              <w:bottom w:w="20" w:type="dxa"/>
              <w:right w:w="20" w:type="dxa"/>
            </w:tcMar>
          </w:tcPr>
          <w:p w14:paraId="5B7E8B56" w14:textId="77777777" w:rsidR="007F7DDF" w:rsidRPr="00673DFF" w:rsidRDefault="007F7DDF" w:rsidP="007F7DDF">
            <w:pPr>
              <w:pStyle w:val="T1TableStyle"/>
              <w:jc w:val="right"/>
              <w:rPr>
                <w:rFonts w:ascii="Verdana" w:eastAsia="Verdana" w:hAnsi="Verdana" w:cs="Verdana"/>
                <w:color w:val="000000"/>
                <w:sz w:val="16"/>
                <w:lang w:val="en-GB"/>
              </w:rPr>
            </w:pPr>
            <w:r w:rsidRPr="00673DFF">
              <w:rPr>
                <w:rFonts w:ascii="Verdana" w:eastAsia="Verdana" w:hAnsi="Verdana" w:cs="Verdana"/>
                <w:color w:val="000000"/>
                <w:sz w:val="16"/>
                <w:lang w:val="en-GB"/>
              </w:rPr>
              <w:t>164</w:t>
            </w:r>
          </w:p>
        </w:tc>
        <w:tc>
          <w:tcPr>
            <w:tcW w:w="403" w:type="dxa"/>
            <w:shd w:val="clear" w:color="auto" w:fill="auto"/>
            <w:tcMar>
              <w:top w:w="20" w:type="dxa"/>
              <w:left w:w="20" w:type="dxa"/>
              <w:bottom w:w="20" w:type="dxa"/>
              <w:right w:w="20" w:type="dxa"/>
            </w:tcMar>
          </w:tcPr>
          <w:p w14:paraId="20B45436" w14:textId="77777777" w:rsidR="007F7DDF" w:rsidRPr="00673DFF" w:rsidRDefault="007F7DDF" w:rsidP="007F7DDF">
            <w:pPr>
              <w:pStyle w:val="T1TableStyle"/>
              <w:jc w:val="center"/>
              <w:rPr>
                <w:rFonts w:ascii="Verdana" w:eastAsia="Verdana" w:hAnsi="Verdana" w:cs="Verdana"/>
                <w:color w:val="000000"/>
                <w:sz w:val="2"/>
                <w:lang w:val="en-GB"/>
              </w:rPr>
            </w:pPr>
            <w:r w:rsidRPr="00673DFF">
              <w:rPr>
                <w:rFonts w:ascii="Verdana" w:eastAsia="Verdana" w:hAnsi="Verdana" w:cs="Verdana"/>
                <w:color w:val="000000"/>
                <w:sz w:val="2"/>
                <w:lang w:val="en-GB"/>
              </w:rPr>
              <w:t xml:space="preserve"> </w:t>
            </w:r>
          </w:p>
        </w:tc>
        <w:tc>
          <w:tcPr>
            <w:tcW w:w="7232" w:type="dxa"/>
            <w:shd w:val="clear" w:color="auto" w:fill="auto"/>
            <w:tcMar>
              <w:top w:w="20" w:type="dxa"/>
              <w:left w:w="20" w:type="dxa"/>
              <w:bottom w:w="20" w:type="dxa"/>
              <w:right w:w="20" w:type="dxa"/>
            </w:tcMar>
          </w:tcPr>
          <w:p w14:paraId="410F59A8" w14:textId="77777777" w:rsidR="007F7DDF" w:rsidRPr="00673DFF" w:rsidRDefault="007F7DDF" w:rsidP="007F7DDF">
            <w:pPr>
              <w:pStyle w:val="T1TableStyle"/>
              <w:rPr>
                <w:rFonts w:ascii="Verdana" w:eastAsia="Verdana" w:hAnsi="Verdana" w:cs="Verdana"/>
                <w:color w:val="000000"/>
                <w:sz w:val="16"/>
                <w:lang w:val="en-GB"/>
              </w:rPr>
            </w:pPr>
            <w:r w:rsidRPr="00673DFF">
              <w:rPr>
                <w:rFonts w:ascii="Verdana" w:eastAsia="Verdana" w:hAnsi="Verdana" w:cs="Verdana"/>
                <w:color w:val="000000"/>
                <w:sz w:val="16"/>
                <w:lang w:val="en-GB"/>
              </w:rPr>
              <w:t>Amounts of non-current assets written off on disposal or sale as part of the gain/loss on disposal to the Comprehensive Income and Expenditure Statement</w:t>
            </w:r>
          </w:p>
        </w:tc>
        <w:tc>
          <w:tcPr>
            <w:tcW w:w="2995" w:type="dxa"/>
            <w:shd w:val="clear" w:color="auto" w:fill="auto"/>
            <w:tcMar>
              <w:top w:w="20" w:type="dxa"/>
              <w:left w:w="20" w:type="dxa"/>
              <w:bottom w:w="20" w:type="dxa"/>
              <w:right w:w="20" w:type="dxa"/>
            </w:tcMar>
          </w:tcPr>
          <w:p w14:paraId="04EF6B29" w14:textId="77777777" w:rsidR="007F7DDF" w:rsidRPr="00673DFF" w:rsidRDefault="00673DFF" w:rsidP="007F7D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3,542</w:t>
            </w:r>
          </w:p>
        </w:tc>
      </w:tr>
      <w:tr w:rsidR="007F7DDF" w:rsidRPr="00673DFF" w14:paraId="2888A0BD" w14:textId="77777777" w:rsidTr="006D7DD5">
        <w:trPr>
          <w:trHeight w:val="304"/>
        </w:trPr>
        <w:tc>
          <w:tcPr>
            <w:tcW w:w="2992" w:type="dxa"/>
            <w:tcBorders>
              <w:top w:val="single" w:sz="2" w:space="0" w:color="000000"/>
            </w:tcBorders>
            <w:shd w:val="clear" w:color="auto" w:fill="auto"/>
            <w:tcMar>
              <w:top w:w="20" w:type="dxa"/>
              <w:left w:w="20" w:type="dxa"/>
              <w:bottom w:w="20" w:type="dxa"/>
              <w:right w:w="20" w:type="dxa"/>
            </w:tcMar>
          </w:tcPr>
          <w:p w14:paraId="3314B3A9" w14:textId="77777777" w:rsidR="007F7DDF" w:rsidRPr="00673DFF" w:rsidRDefault="007F7DDF" w:rsidP="007F7DDF">
            <w:pPr>
              <w:pStyle w:val="T1TableStyle"/>
              <w:jc w:val="right"/>
              <w:rPr>
                <w:rFonts w:ascii="Verdana" w:eastAsia="Verdana" w:hAnsi="Verdana" w:cs="Verdana"/>
                <w:color w:val="000000"/>
                <w:sz w:val="16"/>
                <w:lang w:val="en-GB"/>
              </w:rPr>
            </w:pPr>
            <w:r w:rsidRPr="00673DFF">
              <w:rPr>
                <w:rFonts w:ascii="Verdana" w:eastAsia="Verdana" w:hAnsi="Verdana" w:cs="Verdana"/>
                <w:color w:val="000000"/>
                <w:sz w:val="16"/>
                <w:lang w:val="en-GB"/>
              </w:rPr>
              <w:t>11,360</w:t>
            </w:r>
          </w:p>
        </w:tc>
        <w:tc>
          <w:tcPr>
            <w:tcW w:w="403" w:type="dxa"/>
            <w:tcBorders>
              <w:top w:val="single" w:sz="2" w:space="0" w:color="000000"/>
            </w:tcBorders>
            <w:shd w:val="clear" w:color="auto" w:fill="auto"/>
            <w:tcMar>
              <w:top w:w="20" w:type="dxa"/>
              <w:left w:w="20" w:type="dxa"/>
              <w:bottom w:w="20" w:type="dxa"/>
              <w:right w:w="20" w:type="dxa"/>
            </w:tcMar>
          </w:tcPr>
          <w:p w14:paraId="3C3D2865" w14:textId="77777777" w:rsidR="007F7DDF" w:rsidRPr="00673DFF" w:rsidRDefault="007F7DDF" w:rsidP="007F7DDF">
            <w:pPr>
              <w:pStyle w:val="T1TableStyle"/>
              <w:jc w:val="center"/>
              <w:rPr>
                <w:rFonts w:ascii="Verdana" w:eastAsia="Verdana" w:hAnsi="Verdana" w:cs="Verdana"/>
                <w:color w:val="000000"/>
                <w:sz w:val="2"/>
                <w:lang w:val="en-GB"/>
              </w:rPr>
            </w:pPr>
            <w:r w:rsidRPr="00673DFF">
              <w:rPr>
                <w:rFonts w:ascii="Verdana" w:eastAsia="Verdana" w:hAnsi="Verdana" w:cs="Verdana"/>
                <w:color w:val="000000"/>
                <w:sz w:val="2"/>
                <w:lang w:val="en-GB"/>
              </w:rPr>
              <w:t xml:space="preserve"> </w:t>
            </w:r>
          </w:p>
        </w:tc>
        <w:tc>
          <w:tcPr>
            <w:tcW w:w="7232" w:type="dxa"/>
            <w:tcBorders>
              <w:top w:val="single" w:sz="2" w:space="0" w:color="000000"/>
            </w:tcBorders>
            <w:shd w:val="clear" w:color="auto" w:fill="auto"/>
            <w:tcMar>
              <w:top w:w="20" w:type="dxa"/>
              <w:left w:w="20" w:type="dxa"/>
              <w:bottom w:w="20" w:type="dxa"/>
              <w:right w:w="20" w:type="dxa"/>
            </w:tcMar>
          </w:tcPr>
          <w:p w14:paraId="114387E8" w14:textId="77777777" w:rsidR="007F7DDF" w:rsidRPr="00673DFF" w:rsidRDefault="007F7DDF" w:rsidP="007F7DDF">
            <w:pPr>
              <w:pStyle w:val="T1TableStyle"/>
              <w:rPr>
                <w:rFonts w:ascii="Verdana" w:eastAsia="Verdana" w:hAnsi="Verdana" w:cs="Verdana"/>
                <w:color w:val="000000"/>
                <w:sz w:val="16"/>
                <w:lang w:val="en-GB"/>
              </w:rPr>
            </w:pPr>
            <w:r w:rsidRPr="00673DFF">
              <w:rPr>
                <w:rFonts w:ascii="Verdana" w:eastAsia="Verdana" w:hAnsi="Verdana" w:cs="Verdana"/>
                <w:color w:val="000000"/>
                <w:sz w:val="16"/>
                <w:lang w:val="en-GB"/>
              </w:rPr>
              <w:t>Reversal of Items relating to capital expenditure debited or credited to the Comprehensive Income and Expenditure Statement</w:t>
            </w:r>
          </w:p>
        </w:tc>
        <w:tc>
          <w:tcPr>
            <w:tcW w:w="2995" w:type="dxa"/>
            <w:tcBorders>
              <w:top w:val="single" w:sz="2" w:space="0" w:color="000000"/>
            </w:tcBorders>
            <w:shd w:val="clear" w:color="auto" w:fill="auto"/>
            <w:tcMar>
              <w:top w:w="20" w:type="dxa"/>
              <w:left w:w="20" w:type="dxa"/>
              <w:bottom w:w="20" w:type="dxa"/>
              <w:right w:w="20" w:type="dxa"/>
            </w:tcMar>
          </w:tcPr>
          <w:p w14:paraId="66C18142" w14:textId="77777777" w:rsidR="007F7DDF" w:rsidRPr="00673DFF" w:rsidRDefault="00673DFF" w:rsidP="007F7D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14,017</w:t>
            </w:r>
          </w:p>
        </w:tc>
      </w:tr>
      <w:tr w:rsidR="007F7DDF" w:rsidRPr="00673DFF" w14:paraId="58216A1A" w14:textId="77777777" w:rsidTr="006D7DD5">
        <w:trPr>
          <w:trHeight w:val="156"/>
        </w:trPr>
        <w:tc>
          <w:tcPr>
            <w:tcW w:w="2992" w:type="dxa"/>
            <w:shd w:val="clear" w:color="auto" w:fill="auto"/>
            <w:tcMar>
              <w:top w:w="20" w:type="dxa"/>
              <w:left w:w="20" w:type="dxa"/>
              <w:bottom w:w="20" w:type="dxa"/>
              <w:right w:w="20" w:type="dxa"/>
            </w:tcMar>
          </w:tcPr>
          <w:p w14:paraId="1C8B2B62" w14:textId="77777777" w:rsidR="007F7DDF" w:rsidRPr="00673DFF" w:rsidRDefault="007F7DDF" w:rsidP="007F7DDF">
            <w:pPr>
              <w:pStyle w:val="T1TableStyle"/>
              <w:jc w:val="right"/>
              <w:rPr>
                <w:rFonts w:ascii="Verdana" w:eastAsia="Verdana" w:hAnsi="Verdana" w:cs="Verdana"/>
                <w:color w:val="000000"/>
                <w:sz w:val="16"/>
                <w:lang w:val="en-GB"/>
              </w:rPr>
            </w:pPr>
            <w:r w:rsidRPr="00673DFF">
              <w:rPr>
                <w:rFonts w:ascii="Verdana" w:eastAsia="Verdana" w:hAnsi="Verdana" w:cs="Verdana"/>
                <w:color w:val="000000"/>
                <w:sz w:val="16"/>
                <w:lang w:val="en-GB"/>
              </w:rPr>
              <w:t>(1,216)</w:t>
            </w:r>
          </w:p>
        </w:tc>
        <w:tc>
          <w:tcPr>
            <w:tcW w:w="403" w:type="dxa"/>
            <w:shd w:val="clear" w:color="auto" w:fill="auto"/>
            <w:tcMar>
              <w:top w:w="20" w:type="dxa"/>
              <w:left w:w="20" w:type="dxa"/>
              <w:bottom w:w="20" w:type="dxa"/>
              <w:right w:w="20" w:type="dxa"/>
            </w:tcMar>
          </w:tcPr>
          <w:p w14:paraId="220C1556" w14:textId="77777777" w:rsidR="007F7DDF" w:rsidRPr="00673DFF" w:rsidRDefault="007F7DDF" w:rsidP="007F7DDF">
            <w:pPr>
              <w:pStyle w:val="T1TableStyle"/>
              <w:jc w:val="center"/>
              <w:rPr>
                <w:rFonts w:ascii="Verdana" w:eastAsia="Verdana" w:hAnsi="Verdana" w:cs="Verdana"/>
                <w:color w:val="000000"/>
                <w:sz w:val="2"/>
                <w:lang w:val="en-GB"/>
              </w:rPr>
            </w:pPr>
            <w:r w:rsidRPr="00673DFF">
              <w:rPr>
                <w:rFonts w:ascii="Verdana" w:eastAsia="Verdana" w:hAnsi="Verdana" w:cs="Verdana"/>
                <w:color w:val="000000"/>
                <w:sz w:val="2"/>
                <w:lang w:val="en-GB"/>
              </w:rPr>
              <w:t xml:space="preserve"> </w:t>
            </w:r>
          </w:p>
        </w:tc>
        <w:tc>
          <w:tcPr>
            <w:tcW w:w="7232" w:type="dxa"/>
            <w:shd w:val="clear" w:color="auto" w:fill="auto"/>
            <w:tcMar>
              <w:top w:w="20" w:type="dxa"/>
              <w:left w:w="20" w:type="dxa"/>
              <w:bottom w:w="20" w:type="dxa"/>
              <w:right w:w="20" w:type="dxa"/>
            </w:tcMar>
          </w:tcPr>
          <w:p w14:paraId="449B49B3" w14:textId="77777777" w:rsidR="007F7DDF" w:rsidRPr="00673DFF" w:rsidRDefault="007F7DDF" w:rsidP="007F7DDF">
            <w:pPr>
              <w:pStyle w:val="T1TableStyle"/>
              <w:rPr>
                <w:rFonts w:ascii="Verdana" w:eastAsia="Verdana" w:hAnsi="Verdana" w:cs="Verdana"/>
                <w:color w:val="000000"/>
                <w:sz w:val="16"/>
                <w:lang w:val="en-GB"/>
              </w:rPr>
            </w:pPr>
            <w:r w:rsidRPr="00673DFF">
              <w:rPr>
                <w:rFonts w:ascii="Verdana" w:eastAsia="Verdana" w:hAnsi="Verdana" w:cs="Verdana"/>
                <w:color w:val="000000"/>
                <w:sz w:val="16"/>
                <w:lang w:val="en-GB"/>
              </w:rPr>
              <w:t>Adjusting Amounts written out of the Revaluation Reserve</w:t>
            </w:r>
          </w:p>
        </w:tc>
        <w:tc>
          <w:tcPr>
            <w:tcW w:w="2995" w:type="dxa"/>
            <w:shd w:val="clear" w:color="auto" w:fill="auto"/>
            <w:tcMar>
              <w:top w:w="20" w:type="dxa"/>
              <w:left w:w="20" w:type="dxa"/>
              <w:bottom w:w="20" w:type="dxa"/>
              <w:right w:w="20" w:type="dxa"/>
            </w:tcMar>
          </w:tcPr>
          <w:p w14:paraId="1467407B" w14:textId="77777777" w:rsidR="007F7DDF" w:rsidRPr="00673DFF" w:rsidRDefault="00673DFF" w:rsidP="007F7D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(3,376)</w:t>
            </w:r>
          </w:p>
        </w:tc>
      </w:tr>
      <w:tr w:rsidR="007F7DDF" w:rsidRPr="00673DFF" w14:paraId="138FA50C" w14:textId="77777777" w:rsidTr="006D7DD5">
        <w:trPr>
          <w:trHeight w:val="212"/>
        </w:trPr>
        <w:tc>
          <w:tcPr>
            <w:tcW w:w="2992" w:type="dxa"/>
            <w:tcBorders>
              <w:top w:val="single" w:sz="2" w:space="0" w:color="000000"/>
            </w:tcBorders>
            <w:shd w:val="clear" w:color="auto" w:fill="auto"/>
            <w:tcMar>
              <w:top w:w="20" w:type="dxa"/>
              <w:left w:w="20" w:type="dxa"/>
              <w:bottom w:w="20" w:type="dxa"/>
              <w:right w:w="20" w:type="dxa"/>
            </w:tcMar>
          </w:tcPr>
          <w:p w14:paraId="14F042DC" w14:textId="77777777" w:rsidR="007F7DDF" w:rsidRPr="00673DFF" w:rsidRDefault="007F7DDF" w:rsidP="007F7DDF">
            <w:pPr>
              <w:pStyle w:val="T1TableStyle"/>
              <w:jc w:val="right"/>
              <w:rPr>
                <w:rFonts w:ascii="Verdana" w:eastAsia="Verdana" w:hAnsi="Verdana" w:cs="Verdana"/>
                <w:color w:val="000000"/>
                <w:sz w:val="16"/>
                <w:lang w:val="en-GB"/>
              </w:rPr>
            </w:pPr>
            <w:r w:rsidRPr="00673DFF">
              <w:rPr>
                <w:rFonts w:ascii="Verdana" w:eastAsia="Verdana" w:hAnsi="Verdana" w:cs="Verdana"/>
                <w:color w:val="000000"/>
                <w:sz w:val="16"/>
                <w:lang w:val="en-GB"/>
              </w:rPr>
              <w:t>10,144</w:t>
            </w:r>
          </w:p>
        </w:tc>
        <w:tc>
          <w:tcPr>
            <w:tcW w:w="403" w:type="dxa"/>
            <w:tcBorders>
              <w:top w:val="single" w:sz="2" w:space="0" w:color="000000"/>
            </w:tcBorders>
            <w:shd w:val="clear" w:color="auto" w:fill="auto"/>
            <w:tcMar>
              <w:top w:w="20" w:type="dxa"/>
              <w:left w:w="20" w:type="dxa"/>
              <w:bottom w:w="20" w:type="dxa"/>
              <w:right w:w="20" w:type="dxa"/>
            </w:tcMar>
          </w:tcPr>
          <w:p w14:paraId="6041BC79" w14:textId="77777777" w:rsidR="007F7DDF" w:rsidRPr="00673DFF" w:rsidRDefault="007F7DDF" w:rsidP="007F7DDF">
            <w:pPr>
              <w:pStyle w:val="T1TableStyle"/>
              <w:jc w:val="center"/>
              <w:rPr>
                <w:rFonts w:ascii="Verdana" w:eastAsia="Verdana" w:hAnsi="Verdana" w:cs="Verdana"/>
                <w:color w:val="000000"/>
                <w:sz w:val="2"/>
                <w:lang w:val="en-GB"/>
              </w:rPr>
            </w:pPr>
            <w:r w:rsidRPr="00673DFF">
              <w:rPr>
                <w:rFonts w:ascii="Verdana" w:eastAsia="Verdana" w:hAnsi="Verdana" w:cs="Verdana"/>
                <w:color w:val="000000"/>
                <w:sz w:val="2"/>
                <w:lang w:val="en-GB"/>
              </w:rPr>
              <w:t xml:space="preserve"> </w:t>
            </w:r>
          </w:p>
        </w:tc>
        <w:tc>
          <w:tcPr>
            <w:tcW w:w="7232" w:type="dxa"/>
            <w:tcBorders>
              <w:top w:val="single" w:sz="2" w:space="0" w:color="000000"/>
            </w:tcBorders>
            <w:shd w:val="clear" w:color="auto" w:fill="auto"/>
            <w:tcMar>
              <w:top w:w="20" w:type="dxa"/>
              <w:left w:w="20" w:type="dxa"/>
              <w:bottom w:w="20" w:type="dxa"/>
              <w:right w:w="20" w:type="dxa"/>
            </w:tcMar>
          </w:tcPr>
          <w:p w14:paraId="54E863E5" w14:textId="77777777" w:rsidR="007F7DDF" w:rsidRPr="00673DFF" w:rsidRDefault="007F7DDF" w:rsidP="007F7DDF">
            <w:pPr>
              <w:pStyle w:val="T1TableStyle"/>
              <w:rPr>
                <w:rFonts w:ascii="Verdana" w:eastAsia="Verdana" w:hAnsi="Verdana" w:cs="Verdana"/>
                <w:b/>
                <w:color w:val="000000"/>
                <w:sz w:val="16"/>
                <w:lang w:val="en-GB"/>
              </w:rPr>
            </w:pPr>
            <w:r w:rsidRPr="00673DFF">
              <w:rPr>
                <w:rFonts w:ascii="Verdana" w:eastAsia="Verdana" w:hAnsi="Verdana" w:cs="Verdana"/>
                <w:b/>
                <w:color w:val="000000"/>
                <w:sz w:val="16"/>
                <w:lang w:val="en-GB"/>
              </w:rPr>
              <w:t>Net written out amount of the cost of non-current assets consumed in the year</w:t>
            </w:r>
          </w:p>
        </w:tc>
        <w:tc>
          <w:tcPr>
            <w:tcW w:w="2995" w:type="dxa"/>
            <w:tcBorders>
              <w:top w:val="single" w:sz="2" w:space="0" w:color="000000"/>
            </w:tcBorders>
            <w:shd w:val="clear" w:color="auto" w:fill="auto"/>
            <w:tcMar>
              <w:top w:w="20" w:type="dxa"/>
              <w:left w:w="20" w:type="dxa"/>
              <w:bottom w:w="20" w:type="dxa"/>
              <w:right w:w="20" w:type="dxa"/>
            </w:tcMar>
          </w:tcPr>
          <w:p w14:paraId="724D1E48" w14:textId="77777777" w:rsidR="007F7DDF" w:rsidRPr="00673DFF" w:rsidRDefault="007F7DDF" w:rsidP="007F7DDF">
            <w:pPr>
              <w:pStyle w:val="T1TableStyle"/>
              <w:jc w:val="right"/>
              <w:rPr>
                <w:rFonts w:ascii="Verdana" w:eastAsia="Verdana" w:hAnsi="Verdana" w:cs="Verdana"/>
                <w:color w:val="000000"/>
                <w:sz w:val="16"/>
                <w:lang w:val="en-GB"/>
              </w:rPr>
            </w:pPr>
          </w:p>
        </w:tc>
      </w:tr>
      <w:tr w:rsidR="007F7DDF" w:rsidRPr="00673DFF" w14:paraId="051C534F" w14:textId="77777777" w:rsidTr="006D7DD5">
        <w:trPr>
          <w:trHeight w:hRule="exact" w:val="94"/>
        </w:trPr>
        <w:tc>
          <w:tcPr>
            <w:tcW w:w="2992" w:type="dxa"/>
            <w:shd w:val="clear" w:color="auto" w:fill="auto"/>
            <w:tcMar>
              <w:top w:w="20" w:type="dxa"/>
              <w:left w:w="20" w:type="dxa"/>
              <w:bottom w:w="20" w:type="dxa"/>
              <w:right w:w="20" w:type="dxa"/>
            </w:tcMar>
          </w:tcPr>
          <w:p w14:paraId="08BB7EA0" w14:textId="77777777" w:rsidR="007F7DDF" w:rsidRPr="00673DFF" w:rsidRDefault="007F7DDF" w:rsidP="007F7DDF">
            <w:pPr>
              <w:pStyle w:val="T1TableStyle"/>
              <w:jc w:val="center"/>
              <w:rPr>
                <w:rFonts w:ascii="Verdana" w:eastAsia="Verdana" w:hAnsi="Verdana" w:cs="Verdana"/>
                <w:color w:val="000000"/>
                <w:sz w:val="2"/>
                <w:lang w:val="en-GB"/>
              </w:rPr>
            </w:pPr>
            <w:r w:rsidRPr="00673DFF">
              <w:rPr>
                <w:rFonts w:ascii="Verdana" w:eastAsia="Verdana" w:hAnsi="Verdana" w:cs="Verdana"/>
                <w:color w:val="000000"/>
                <w:sz w:val="2"/>
                <w:lang w:val="en-GB"/>
              </w:rPr>
              <w:t xml:space="preserve"> </w:t>
            </w:r>
          </w:p>
        </w:tc>
        <w:tc>
          <w:tcPr>
            <w:tcW w:w="403" w:type="dxa"/>
            <w:shd w:val="clear" w:color="auto" w:fill="auto"/>
            <w:tcMar>
              <w:top w:w="20" w:type="dxa"/>
              <w:left w:w="20" w:type="dxa"/>
              <w:bottom w:w="20" w:type="dxa"/>
              <w:right w:w="20" w:type="dxa"/>
            </w:tcMar>
          </w:tcPr>
          <w:p w14:paraId="1BF57B9F" w14:textId="77777777" w:rsidR="007F7DDF" w:rsidRPr="00673DFF" w:rsidRDefault="007F7DDF" w:rsidP="007F7DDF">
            <w:pPr>
              <w:pStyle w:val="T1TableStyle"/>
              <w:jc w:val="center"/>
              <w:rPr>
                <w:rFonts w:ascii="Verdana" w:eastAsia="Verdana" w:hAnsi="Verdana" w:cs="Verdana"/>
                <w:color w:val="000000"/>
                <w:sz w:val="2"/>
                <w:lang w:val="en-GB"/>
              </w:rPr>
            </w:pPr>
            <w:r w:rsidRPr="00673DFF">
              <w:rPr>
                <w:rFonts w:ascii="Verdana" w:eastAsia="Verdana" w:hAnsi="Verdana" w:cs="Verdana"/>
                <w:color w:val="000000"/>
                <w:sz w:val="2"/>
                <w:lang w:val="en-GB"/>
              </w:rPr>
              <w:t xml:space="preserve"> </w:t>
            </w:r>
          </w:p>
        </w:tc>
        <w:tc>
          <w:tcPr>
            <w:tcW w:w="7232" w:type="dxa"/>
            <w:shd w:val="clear" w:color="auto" w:fill="auto"/>
            <w:tcMar>
              <w:top w:w="20" w:type="dxa"/>
              <w:left w:w="20" w:type="dxa"/>
              <w:bottom w:w="20" w:type="dxa"/>
              <w:right w:w="20" w:type="dxa"/>
            </w:tcMar>
          </w:tcPr>
          <w:p w14:paraId="33943EC8" w14:textId="77777777" w:rsidR="007F7DDF" w:rsidRPr="00673DFF" w:rsidRDefault="007F7DDF" w:rsidP="007F7DDF">
            <w:pPr>
              <w:pStyle w:val="T1TableStyle"/>
              <w:jc w:val="center"/>
              <w:rPr>
                <w:rFonts w:ascii="Verdana" w:eastAsia="Verdana" w:hAnsi="Verdana" w:cs="Verdana"/>
                <w:b/>
                <w:color w:val="000000"/>
                <w:sz w:val="2"/>
                <w:lang w:val="en-GB"/>
              </w:rPr>
            </w:pPr>
            <w:r w:rsidRPr="00673DFF">
              <w:rPr>
                <w:rFonts w:ascii="Verdana" w:eastAsia="Verdana" w:hAnsi="Verdana" w:cs="Verdana"/>
                <w:b/>
                <w:color w:val="000000"/>
                <w:sz w:val="2"/>
                <w:lang w:val="en-GB"/>
              </w:rPr>
              <w:t xml:space="preserve"> </w:t>
            </w:r>
          </w:p>
        </w:tc>
        <w:tc>
          <w:tcPr>
            <w:tcW w:w="2995" w:type="dxa"/>
            <w:shd w:val="clear" w:color="auto" w:fill="auto"/>
            <w:tcMar>
              <w:top w:w="20" w:type="dxa"/>
              <w:left w:w="20" w:type="dxa"/>
              <w:bottom w:w="20" w:type="dxa"/>
              <w:right w:w="20" w:type="dxa"/>
            </w:tcMar>
          </w:tcPr>
          <w:p w14:paraId="59394516" w14:textId="77777777" w:rsidR="007F7DDF" w:rsidRPr="00673DFF" w:rsidRDefault="007F7DDF" w:rsidP="007F7DDF">
            <w:pPr>
              <w:pStyle w:val="T1TableStyle"/>
              <w:jc w:val="center"/>
              <w:rPr>
                <w:rFonts w:ascii="Verdana" w:eastAsia="Verdana" w:hAnsi="Verdana" w:cs="Verdana"/>
                <w:color w:val="000000"/>
                <w:sz w:val="2"/>
                <w:lang w:val="en-GB"/>
              </w:rPr>
            </w:pPr>
          </w:p>
        </w:tc>
      </w:tr>
      <w:tr w:rsidR="007F7DDF" w:rsidRPr="00673DFF" w14:paraId="225074A5" w14:textId="77777777" w:rsidTr="006D7DD5">
        <w:trPr>
          <w:trHeight w:val="54"/>
        </w:trPr>
        <w:tc>
          <w:tcPr>
            <w:tcW w:w="2992" w:type="dxa"/>
            <w:shd w:val="clear" w:color="auto" w:fill="auto"/>
            <w:tcMar>
              <w:top w:w="20" w:type="dxa"/>
              <w:left w:w="20" w:type="dxa"/>
              <w:bottom w:w="20" w:type="dxa"/>
              <w:right w:w="20" w:type="dxa"/>
            </w:tcMar>
          </w:tcPr>
          <w:p w14:paraId="2AB4A9E9" w14:textId="77777777" w:rsidR="007F7DDF" w:rsidRPr="00673DFF" w:rsidRDefault="007F7DDF" w:rsidP="007F7DDF">
            <w:pPr>
              <w:pStyle w:val="T1TableStyle"/>
              <w:jc w:val="right"/>
              <w:rPr>
                <w:rFonts w:ascii="Verdana" w:eastAsia="Verdana" w:hAnsi="Verdana" w:cs="Verdana"/>
                <w:color w:val="000000"/>
                <w:sz w:val="16"/>
                <w:lang w:val="en-GB"/>
              </w:rPr>
            </w:pPr>
            <w:r w:rsidRPr="00673DFF">
              <w:rPr>
                <w:rFonts w:ascii="Verdana" w:eastAsia="Verdana" w:hAnsi="Verdana" w:cs="Verdana"/>
                <w:color w:val="000000"/>
                <w:sz w:val="16"/>
                <w:lang w:val="en-GB"/>
              </w:rPr>
              <w:t>(4,266)</w:t>
            </w:r>
          </w:p>
        </w:tc>
        <w:tc>
          <w:tcPr>
            <w:tcW w:w="403" w:type="dxa"/>
            <w:shd w:val="clear" w:color="auto" w:fill="auto"/>
            <w:tcMar>
              <w:top w:w="20" w:type="dxa"/>
              <w:left w:w="20" w:type="dxa"/>
              <w:bottom w:w="20" w:type="dxa"/>
              <w:right w:w="20" w:type="dxa"/>
            </w:tcMar>
          </w:tcPr>
          <w:p w14:paraId="6FE70990" w14:textId="77777777" w:rsidR="007F7DDF" w:rsidRPr="00673DFF" w:rsidRDefault="007F7DDF" w:rsidP="007F7DDF">
            <w:pPr>
              <w:pStyle w:val="T1TableStyle"/>
              <w:jc w:val="center"/>
              <w:rPr>
                <w:rFonts w:ascii="Verdana" w:eastAsia="Verdana" w:hAnsi="Verdana" w:cs="Verdana"/>
                <w:color w:val="000000"/>
                <w:sz w:val="2"/>
                <w:lang w:val="en-GB"/>
              </w:rPr>
            </w:pPr>
            <w:r w:rsidRPr="00673DFF">
              <w:rPr>
                <w:rFonts w:ascii="Verdana" w:eastAsia="Verdana" w:hAnsi="Verdana" w:cs="Verdana"/>
                <w:color w:val="000000"/>
                <w:sz w:val="2"/>
                <w:lang w:val="en-GB"/>
              </w:rPr>
              <w:t xml:space="preserve"> </w:t>
            </w:r>
          </w:p>
        </w:tc>
        <w:tc>
          <w:tcPr>
            <w:tcW w:w="7232" w:type="dxa"/>
            <w:shd w:val="clear" w:color="auto" w:fill="auto"/>
            <w:tcMar>
              <w:top w:w="20" w:type="dxa"/>
              <w:left w:w="20" w:type="dxa"/>
              <w:bottom w:w="20" w:type="dxa"/>
              <w:right w:w="20" w:type="dxa"/>
            </w:tcMar>
          </w:tcPr>
          <w:p w14:paraId="0D66C2D1" w14:textId="77777777" w:rsidR="007F7DDF" w:rsidRPr="00673DFF" w:rsidRDefault="007F7DDF" w:rsidP="007F7DDF">
            <w:pPr>
              <w:pStyle w:val="T1TableStyle"/>
              <w:rPr>
                <w:rFonts w:ascii="Verdana" w:eastAsia="Verdana" w:hAnsi="Verdana" w:cs="Verdana"/>
                <w:color w:val="000000"/>
                <w:sz w:val="16"/>
                <w:lang w:val="en-GB"/>
              </w:rPr>
            </w:pPr>
            <w:r w:rsidRPr="00673DFF">
              <w:rPr>
                <w:rFonts w:ascii="Verdana" w:eastAsia="Verdana" w:hAnsi="Verdana" w:cs="Verdana"/>
                <w:color w:val="000000"/>
                <w:sz w:val="16"/>
                <w:lang w:val="en-GB"/>
              </w:rPr>
              <w:t>Use of Capital Receipts Reserve to finance new capital expenditure</w:t>
            </w:r>
          </w:p>
        </w:tc>
        <w:tc>
          <w:tcPr>
            <w:tcW w:w="2995" w:type="dxa"/>
            <w:shd w:val="clear" w:color="auto" w:fill="auto"/>
            <w:tcMar>
              <w:top w:w="20" w:type="dxa"/>
              <w:left w:w="20" w:type="dxa"/>
              <w:bottom w:w="20" w:type="dxa"/>
              <w:right w:w="20" w:type="dxa"/>
            </w:tcMar>
          </w:tcPr>
          <w:p w14:paraId="3A4C75D0" w14:textId="77777777" w:rsidR="007F7DDF" w:rsidRPr="00673DFF" w:rsidRDefault="00673DFF" w:rsidP="007F7D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(3,575)</w:t>
            </w:r>
          </w:p>
        </w:tc>
      </w:tr>
      <w:tr w:rsidR="007F7DDF" w:rsidRPr="00673DFF" w14:paraId="3EF4F57B" w14:textId="77777777" w:rsidTr="006D7DD5">
        <w:trPr>
          <w:trHeight w:val="354"/>
        </w:trPr>
        <w:tc>
          <w:tcPr>
            <w:tcW w:w="2992" w:type="dxa"/>
            <w:shd w:val="clear" w:color="auto" w:fill="auto"/>
            <w:tcMar>
              <w:top w:w="20" w:type="dxa"/>
              <w:left w:w="20" w:type="dxa"/>
              <w:bottom w:w="20" w:type="dxa"/>
              <w:right w:w="20" w:type="dxa"/>
            </w:tcMar>
          </w:tcPr>
          <w:p w14:paraId="0397ADBE" w14:textId="77777777" w:rsidR="007F7DDF" w:rsidRPr="00673DFF" w:rsidRDefault="007F7DDF" w:rsidP="007F7DDF">
            <w:pPr>
              <w:pStyle w:val="T1TableStyle"/>
              <w:jc w:val="right"/>
              <w:rPr>
                <w:rFonts w:ascii="Verdana" w:eastAsia="Verdana" w:hAnsi="Verdana" w:cs="Verdana"/>
                <w:color w:val="000000"/>
                <w:sz w:val="16"/>
                <w:lang w:val="en-GB"/>
              </w:rPr>
            </w:pPr>
            <w:r w:rsidRPr="00673DFF">
              <w:rPr>
                <w:rFonts w:ascii="Verdana" w:eastAsia="Verdana" w:hAnsi="Verdana" w:cs="Verdana"/>
                <w:color w:val="000000"/>
                <w:sz w:val="16"/>
                <w:lang w:val="en-GB"/>
              </w:rPr>
              <w:t>(645)</w:t>
            </w:r>
          </w:p>
        </w:tc>
        <w:tc>
          <w:tcPr>
            <w:tcW w:w="403" w:type="dxa"/>
            <w:shd w:val="clear" w:color="auto" w:fill="auto"/>
            <w:tcMar>
              <w:top w:w="20" w:type="dxa"/>
              <w:left w:w="20" w:type="dxa"/>
              <w:bottom w:w="20" w:type="dxa"/>
              <w:right w:w="20" w:type="dxa"/>
            </w:tcMar>
          </w:tcPr>
          <w:p w14:paraId="6CF116A8" w14:textId="77777777" w:rsidR="007F7DDF" w:rsidRPr="00673DFF" w:rsidRDefault="007F7DDF" w:rsidP="007F7DDF">
            <w:pPr>
              <w:pStyle w:val="T1TableStyle"/>
              <w:jc w:val="center"/>
              <w:rPr>
                <w:rFonts w:ascii="Verdana" w:eastAsia="Verdana" w:hAnsi="Verdana" w:cs="Verdana"/>
                <w:color w:val="000000"/>
                <w:sz w:val="2"/>
                <w:lang w:val="en-GB"/>
              </w:rPr>
            </w:pPr>
            <w:r w:rsidRPr="00673DFF">
              <w:rPr>
                <w:rFonts w:ascii="Verdana" w:eastAsia="Verdana" w:hAnsi="Verdana" w:cs="Verdana"/>
                <w:color w:val="000000"/>
                <w:sz w:val="2"/>
                <w:lang w:val="en-GB"/>
              </w:rPr>
              <w:t xml:space="preserve"> </w:t>
            </w:r>
          </w:p>
        </w:tc>
        <w:tc>
          <w:tcPr>
            <w:tcW w:w="7232" w:type="dxa"/>
            <w:shd w:val="clear" w:color="auto" w:fill="auto"/>
            <w:tcMar>
              <w:top w:w="20" w:type="dxa"/>
              <w:left w:w="20" w:type="dxa"/>
              <w:bottom w:w="20" w:type="dxa"/>
              <w:right w:w="20" w:type="dxa"/>
            </w:tcMar>
          </w:tcPr>
          <w:p w14:paraId="77FF138E" w14:textId="77777777" w:rsidR="007F7DDF" w:rsidRPr="00673DFF" w:rsidRDefault="007F7DDF" w:rsidP="007F7DDF">
            <w:pPr>
              <w:pStyle w:val="T1TableStyle"/>
              <w:rPr>
                <w:rFonts w:ascii="Verdana" w:eastAsia="Verdana" w:hAnsi="Verdana" w:cs="Verdana"/>
                <w:color w:val="000000"/>
                <w:sz w:val="16"/>
                <w:lang w:val="en-GB"/>
              </w:rPr>
            </w:pPr>
            <w:r w:rsidRPr="00673DFF">
              <w:rPr>
                <w:rFonts w:ascii="Verdana" w:eastAsia="Verdana" w:hAnsi="Verdana" w:cs="Verdana"/>
                <w:color w:val="000000"/>
                <w:sz w:val="16"/>
                <w:lang w:val="en-GB"/>
              </w:rPr>
              <w:t>Capital Grants and Contributions credited to the Comprehensive Income and Expenditure Statement that have been applied to capital financing</w:t>
            </w:r>
          </w:p>
        </w:tc>
        <w:tc>
          <w:tcPr>
            <w:tcW w:w="2995" w:type="dxa"/>
            <w:shd w:val="clear" w:color="auto" w:fill="auto"/>
            <w:tcMar>
              <w:top w:w="20" w:type="dxa"/>
              <w:left w:w="20" w:type="dxa"/>
              <w:bottom w:w="20" w:type="dxa"/>
              <w:right w:w="20" w:type="dxa"/>
            </w:tcMar>
          </w:tcPr>
          <w:p w14:paraId="0F9E176A" w14:textId="10FA7711" w:rsidR="007F7DDF" w:rsidRPr="00673DFF" w:rsidRDefault="00673DFF" w:rsidP="007F7D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467579">
              <w:rPr>
                <w:rFonts w:ascii="Verdana" w:eastAsia="Verdana" w:hAnsi="Verdana" w:cs="Verdana"/>
                <w:color w:val="000000"/>
                <w:sz w:val="16"/>
                <w:lang w:val="en-GB"/>
              </w:rPr>
              <w:t>297</w:t>
            </w:r>
            <w:r>
              <w:rPr>
                <w:rFonts w:ascii="Verdana" w:eastAsia="Verdana" w:hAnsi="Verdana" w:cs="Verdana"/>
                <w:color w:val="000000"/>
                <w:sz w:val="16"/>
                <w:lang w:val="en-GB"/>
              </w:rPr>
              <w:t>)</w:t>
            </w:r>
          </w:p>
        </w:tc>
      </w:tr>
      <w:tr w:rsidR="007F7DDF" w:rsidRPr="00673DFF" w14:paraId="4657CCB0" w14:textId="77777777" w:rsidTr="006D7DD5">
        <w:trPr>
          <w:trHeight w:val="54"/>
        </w:trPr>
        <w:tc>
          <w:tcPr>
            <w:tcW w:w="2992" w:type="dxa"/>
            <w:shd w:val="clear" w:color="auto" w:fill="auto"/>
            <w:tcMar>
              <w:top w:w="20" w:type="dxa"/>
              <w:left w:w="20" w:type="dxa"/>
              <w:bottom w:w="20" w:type="dxa"/>
              <w:right w:w="20" w:type="dxa"/>
            </w:tcMar>
          </w:tcPr>
          <w:p w14:paraId="567A3D75" w14:textId="77777777" w:rsidR="007F7DDF" w:rsidRPr="00673DFF" w:rsidRDefault="007F7DDF" w:rsidP="007F7DDF">
            <w:pPr>
              <w:pStyle w:val="T1TableStyle"/>
              <w:jc w:val="right"/>
              <w:rPr>
                <w:rFonts w:ascii="Verdana" w:eastAsia="Verdana" w:hAnsi="Verdana" w:cs="Verdana"/>
                <w:color w:val="000000"/>
                <w:sz w:val="16"/>
                <w:lang w:val="en-GB"/>
              </w:rPr>
            </w:pPr>
            <w:r w:rsidRPr="00673DFF">
              <w:rPr>
                <w:rFonts w:ascii="Verdana" w:eastAsia="Verdana" w:hAnsi="Verdana" w:cs="Verdana"/>
                <w:color w:val="000000"/>
                <w:sz w:val="16"/>
                <w:lang w:val="en-GB"/>
              </w:rPr>
              <w:t>(1,366)</w:t>
            </w:r>
          </w:p>
        </w:tc>
        <w:tc>
          <w:tcPr>
            <w:tcW w:w="403" w:type="dxa"/>
            <w:shd w:val="clear" w:color="auto" w:fill="auto"/>
            <w:tcMar>
              <w:top w:w="20" w:type="dxa"/>
              <w:left w:w="20" w:type="dxa"/>
              <w:bottom w:w="20" w:type="dxa"/>
              <w:right w:w="20" w:type="dxa"/>
            </w:tcMar>
          </w:tcPr>
          <w:p w14:paraId="2A94A02D" w14:textId="77777777" w:rsidR="007F7DDF" w:rsidRPr="00673DFF" w:rsidRDefault="007F7DDF" w:rsidP="007F7DDF">
            <w:pPr>
              <w:pStyle w:val="T1TableStyle"/>
              <w:jc w:val="center"/>
              <w:rPr>
                <w:rFonts w:ascii="Verdana" w:eastAsia="Verdana" w:hAnsi="Verdana" w:cs="Verdana"/>
                <w:color w:val="000000"/>
                <w:sz w:val="2"/>
                <w:lang w:val="en-GB"/>
              </w:rPr>
            </w:pPr>
            <w:r w:rsidRPr="00673DFF">
              <w:rPr>
                <w:rFonts w:ascii="Verdana" w:eastAsia="Verdana" w:hAnsi="Verdana" w:cs="Verdana"/>
                <w:color w:val="000000"/>
                <w:sz w:val="2"/>
                <w:lang w:val="en-GB"/>
              </w:rPr>
              <w:t xml:space="preserve"> </w:t>
            </w:r>
          </w:p>
        </w:tc>
        <w:tc>
          <w:tcPr>
            <w:tcW w:w="7232" w:type="dxa"/>
            <w:shd w:val="clear" w:color="auto" w:fill="auto"/>
            <w:tcMar>
              <w:top w:w="20" w:type="dxa"/>
              <w:left w:w="20" w:type="dxa"/>
              <w:bottom w:w="20" w:type="dxa"/>
              <w:right w:w="20" w:type="dxa"/>
            </w:tcMar>
          </w:tcPr>
          <w:p w14:paraId="22D19CB1" w14:textId="5CF74C3A" w:rsidR="007F7DDF" w:rsidRPr="00673DFF" w:rsidRDefault="007F7DDF" w:rsidP="006D7DD5">
            <w:pPr>
              <w:pStyle w:val="T1TableStyle"/>
              <w:rPr>
                <w:rFonts w:ascii="Verdana" w:eastAsia="Verdana" w:hAnsi="Verdana" w:cs="Verdana"/>
                <w:color w:val="000000"/>
                <w:sz w:val="16"/>
                <w:lang w:val="en-GB"/>
              </w:rPr>
            </w:pPr>
            <w:r w:rsidRPr="00673DFF">
              <w:rPr>
                <w:rFonts w:ascii="Verdana" w:eastAsia="Verdana" w:hAnsi="Verdana" w:cs="Verdana"/>
                <w:color w:val="000000"/>
                <w:sz w:val="16"/>
                <w:lang w:val="en-GB"/>
              </w:rPr>
              <w:t xml:space="preserve">Statutory provision for financing of capital investment charged against the General Fund </w:t>
            </w:r>
          </w:p>
        </w:tc>
        <w:tc>
          <w:tcPr>
            <w:tcW w:w="2995" w:type="dxa"/>
            <w:shd w:val="clear" w:color="auto" w:fill="auto"/>
            <w:tcMar>
              <w:top w:w="20" w:type="dxa"/>
              <w:left w:w="20" w:type="dxa"/>
              <w:bottom w:w="20" w:type="dxa"/>
              <w:right w:w="20" w:type="dxa"/>
            </w:tcMar>
          </w:tcPr>
          <w:p w14:paraId="5E74EA92" w14:textId="77777777" w:rsidR="007F7DDF" w:rsidRPr="00673DFF" w:rsidRDefault="00673DFF" w:rsidP="007F7D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(1,070)</w:t>
            </w:r>
          </w:p>
        </w:tc>
      </w:tr>
      <w:tr w:rsidR="007F7DDF" w:rsidRPr="00673DFF" w14:paraId="19823291" w14:textId="77777777" w:rsidTr="006D7DD5">
        <w:trPr>
          <w:trHeight w:val="162"/>
        </w:trPr>
        <w:tc>
          <w:tcPr>
            <w:tcW w:w="2992" w:type="dxa"/>
            <w:shd w:val="clear" w:color="auto" w:fill="auto"/>
            <w:tcMar>
              <w:top w:w="20" w:type="dxa"/>
              <w:left w:w="20" w:type="dxa"/>
              <w:bottom w:w="20" w:type="dxa"/>
              <w:right w:w="20" w:type="dxa"/>
            </w:tcMar>
          </w:tcPr>
          <w:p w14:paraId="31545A20" w14:textId="77777777" w:rsidR="007F7DDF" w:rsidRPr="00673DFF" w:rsidRDefault="007F7DDF" w:rsidP="007F7DDF">
            <w:pPr>
              <w:pStyle w:val="T1TableStyle"/>
              <w:jc w:val="right"/>
              <w:rPr>
                <w:rFonts w:ascii="Verdana" w:eastAsia="Verdana" w:hAnsi="Verdana" w:cs="Verdana"/>
                <w:color w:val="000000"/>
                <w:sz w:val="16"/>
                <w:lang w:val="en-GB"/>
              </w:rPr>
            </w:pPr>
            <w:r w:rsidRPr="00673DFF">
              <w:rPr>
                <w:rFonts w:ascii="Verdana" w:eastAsia="Verdana" w:hAnsi="Verdana" w:cs="Verdana"/>
                <w:color w:val="000000"/>
                <w:sz w:val="16"/>
                <w:lang w:val="en-GB"/>
              </w:rPr>
              <w:t>(4,496)</w:t>
            </w:r>
          </w:p>
        </w:tc>
        <w:tc>
          <w:tcPr>
            <w:tcW w:w="403" w:type="dxa"/>
            <w:shd w:val="clear" w:color="auto" w:fill="auto"/>
            <w:tcMar>
              <w:top w:w="20" w:type="dxa"/>
              <w:left w:w="20" w:type="dxa"/>
              <w:bottom w:w="20" w:type="dxa"/>
              <w:right w:w="20" w:type="dxa"/>
            </w:tcMar>
          </w:tcPr>
          <w:p w14:paraId="0C123D78" w14:textId="77777777" w:rsidR="007F7DDF" w:rsidRPr="00673DFF" w:rsidRDefault="007F7DDF" w:rsidP="007F7DDF">
            <w:pPr>
              <w:pStyle w:val="T1TableStyle"/>
              <w:jc w:val="center"/>
              <w:rPr>
                <w:rFonts w:ascii="Verdana" w:eastAsia="Verdana" w:hAnsi="Verdana" w:cs="Verdana"/>
                <w:color w:val="000000"/>
                <w:sz w:val="2"/>
                <w:lang w:val="en-GB"/>
              </w:rPr>
            </w:pPr>
            <w:r w:rsidRPr="00673DFF">
              <w:rPr>
                <w:rFonts w:ascii="Verdana" w:eastAsia="Verdana" w:hAnsi="Verdana" w:cs="Verdana"/>
                <w:color w:val="000000"/>
                <w:sz w:val="2"/>
                <w:lang w:val="en-GB"/>
              </w:rPr>
              <w:t xml:space="preserve"> </w:t>
            </w:r>
          </w:p>
        </w:tc>
        <w:tc>
          <w:tcPr>
            <w:tcW w:w="7232" w:type="dxa"/>
            <w:shd w:val="clear" w:color="auto" w:fill="auto"/>
            <w:tcMar>
              <w:top w:w="20" w:type="dxa"/>
              <w:left w:w="20" w:type="dxa"/>
              <w:bottom w:w="20" w:type="dxa"/>
              <w:right w:w="20" w:type="dxa"/>
            </w:tcMar>
          </w:tcPr>
          <w:p w14:paraId="32CCCEC8" w14:textId="77777777" w:rsidR="007F7DDF" w:rsidRPr="00673DFF" w:rsidRDefault="007F7DDF" w:rsidP="007F7DDF">
            <w:pPr>
              <w:pStyle w:val="T1TableStyle"/>
              <w:rPr>
                <w:rFonts w:ascii="Verdana" w:eastAsia="Verdana" w:hAnsi="Verdana" w:cs="Verdana"/>
                <w:color w:val="000000"/>
                <w:sz w:val="16"/>
                <w:lang w:val="en-GB"/>
              </w:rPr>
            </w:pPr>
            <w:r w:rsidRPr="00673DFF">
              <w:rPr>
                <w:rFonts w:ascii="Verdana" w:eastAsia="Verdana" w:hAnsi="Verdana" w:cs="Verdana"/>
                <w:color w:val="000000"/>
                <w:sz w:val="16"/>
                <w:lang w:val="en-GB"/>
              </w:rPr>
              <w:t>Capital expenditure charged against the General Fund and HRA balances</w:t>
            </w:r>
          </w:p>
        </w:tc>
        <w:tc>
          <w:tcPr>
            <w:tcW w:w="2995" w:type="dxa"/>
            <w:shd w:val="clear" w:color="auto" w:fill="auto"/>
            <w:tcMar>
              <w:top w:w="20" w:type="dxa"/>
              <w:left w:w="20" w:type="dxa"/>
              <w:bottom w:w="20" w:type="dxa"/>
              <w:right w:w="20" w:type="dxa"/>
            </w:tcMar>
          </w:tcPr>
          <w:p w14:paraId="76258C3F" w14:textId="73B6837D" w:rsidR="007F7DDF" w:rsidRPr="00673DFF" w:rsidRDefault="00673DFF" w:rsidP="007F7D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w:t>
            </w:r>
            <w:r w:rsidR="00467579">
              <w:rPr>
                <w:rFonts w:ascii="Verdana" w:eastAsia="Verdana" w:hAnsi="Verdana" w:cs="Verdana"/>
                <w:color w:val="000000"/>
                <w:sz w:val="16"/>
                <w:lang w:val="en-GB"/>
              </w:rPr>
              <w:t>714</w:t>
            </w:r>
            <w:r>
              <w:rPr>
                <w:rFonts w:ascii="Verdana" w:eastAsia="Verdana" w:hAnsi="Verdana" w:cs="Verdana"/>
                <w:color w:val="000000"/>
                <w:sz w:val="16"/>
                <w:lang w:val="en-GB"/>
              </w:rPr>
              <w:t>)</w:t>
            </w:r>
          </w:p>
        </w:tc>
      </w:tr>
      <w:tr w:rsidR="007F7DDF" w:rsidRPr="00673DFF" w14:paraId="517489C9" w14:textId="77777777" w:rsidTr="006D7DD5">
        <w:trPr>
          <w:trHeight w:val="141"/>
        </w:trPr>
        <w:tc>
          <w:tcPr>
            <w:tcW w:w="2992" w:type="dxa"/>
            <w:tcBorders>
              <w:top w:val="single" w:sz="2" w:space="0" w:color="000000"/>
            </w:tcBorders>
            <w:shd w:val="clear" w:color="auto" w:fill="auto"/>
            <w:tcMar>
              <w:top w:w="20" w:type="dxa"/>
              <w:left w:w="20" w:type="dxa"/>
              <w:bottom w:w="20" w:type="dxa"/>
              <w:right w:w="20" w:type="dxa"/>
            </w:tcMar>
          </w:tcPr>
          <w:p w14:paraId="32DAAAE2" w14:textId="77777777" w:rsidR="007F7DDF" w:rsidRPr="00673DFF" w:rsidRDefault="007F7DDF" w:rsidP="007F7DDF">
            <w:pPr>
              <w:pStyle w:val="T1TableStyle"/>
              <w:jc w:val="right"/>
              <w:rPr>
                <w:rFonts w:ascii="Verdana" w:eastAsia="Verdana" w:hAnsi="Verdana" w:cs="Verdana"/>
                <w:color w:val="000000"/>
                <w:sz w:val="16"/>
                <w:lang w:val="en-GB"/>
              </w:rPr>
            </w:pPr>
            <w:r w:rsidRPr="00673DFF">
              <w:rPr>
                <w:rFonts w:ascii="Verdana" w:eastAsia="Verdana" w:hAnsi="Verdana" w:cs="Verdana"/>
                <w:color w:val="000000"/>
                <w:sz w:val="16"/>
                <w:lang w:val="en-GB"/>
              </w:rPr>
              <w:t>(10,773)</w:t>
            </w:r>
          </w:p>
        </w:tc>
        <w:tc>
          <w:tcPr>
            <w:tcW w:w="403" w:type="dxa"/>
            <w:tcBorders>
              <w:top w:val="single" w:sz="2" w:space="0" w:color="000000"/>
            </w:tcBorders>
            <w:shd w:val="clear" w:color="auto" w:fill="auto"/>
            <w:tcMar>
              <w:top w:w="20" w:type="dxa"/>
              <w:left w:w="20" w:type="dxa"/>
              <w:bottom w:w="20" w:type="dxa"/>
              <w:right w:w="20" w:type="dxa"/>
            </w:tcMar>
          </w:tcPr>
          <w:p w14:paraId="09DA8183" w14:textId="77777777" w:rsidR="007F7DDF" w:rsidRPr="00673DFF" w:rsidRDefault="007F7DDF" w:rsidP="007F7DDF">
            <w:pPr>
              <w:pStyle w:val="T1TableStyle"/>
              <w:jc w:val="center"/>
              <w:rPr>
                <w:rFonts w:ascii="Verdana" w:eastAsia="Verdana" w:hAnsi="Verdana" w:cs="Verdana"/>
                <w:color w:val="000000"/>
                <w:sz w:val="2"/>
                <w:lang w:val="en-GB"/>
              </w:rPr>
            </w:pPr>
            <w:r w:rsidRPr="00673DFF">
              <w:rPr>
                <w:rFonts w:ascii="Verdana" w:eastAsia="Verdana" w:hAnsi="Verdana" w:cs="Verdana"/>
                <w:color w:val="000000"/>
                <w:sz w:val="2"/>
                <w:lang w:val="en-GB"/>
              </w:rPr>
              <w:t xml:space="preserve"> </w:t>
            </w:r>
          </w:p>
        </w:tc>
        <w:tc>
          <w:tcPr>
            <w:tcW w:w="7232" w:type="dxa"/>
            <w:tcBorders>
              <w:top w:val="single" w:sz="2" w:space="0" w:color="000000"/>
            </w:tcBorders>
            <w:shd w:val="clear" w:color="auto" w:fill="auto"/>
            <w:tcMar>
              <w:top w:w="20" w:type="dxa"/>
              <w:left w:w="20" w:type="dxa"/>
              <w:bottom w:w="20" w:type="dxa"/>
              <w:right w:w="20" w:type="dxa"/>
            </w:tcMar>
          </w:tcPr>
          <w:p w14:paraId="1EA7372A" w14:textId="77777777" w:rsidR="007F7DDF" w:rsidRPr="00673DFF" w:rsidRDefault="007F7DDF" w:rsidP="007F7DDF">
            <w:pPr>
              <w:pStyle w:val="T1TableStyle"/>
              <w:rPr>
                <w:rFonts w:ascii="Verdana" w:eastAsia="Verdana" w:hAnsi="Verdana" w:cs="Verdana"/>
                <w:b/>
                <w:color w:val="000000"/>
                <w:sz w:val="16"/>
                <w:lang w:val="en-GB"/>
              </w:rPr>
            </w:pPr>
            <w:r w:rsidRPr="00673DFF">
              <w:rPr>
                <w:rFonts w:ascii="Verdana" w:eastAsia="Verdana" w:hAnsi="Verdana" w:cs="Verdana"/>
                <w:b/>
                <w:color w:val="000000"/>
                <w:sz w:val="16"/>
                <w:lang w:val="en-GB"/>
              </w:rPr>
              <w:t>Capital financing applied in year:</w:t>
            </w:r>
          </w:p>
        </w:tc>
        <w:tc>
          <w:tcPr>
            <w:tcW w:w="2995" w:type="dxa"/>
            <w:tcBorders>
              <w:top w:val="single" w:sz="2" w:space="0" w:color="000000"/>
            </w:tcBorders>
            <w:shd w:val="clear" w:color="auto" w:fill="auto"/>
            <w:tcMar>
              <w:top w:w="20" w:type="dxa"/>
              <w:left w:w="20" w:type="dxa"/>
              <w:bottom w:w="20" w:type="dxa"/>
              <w:right w:w="20" w:type="dxa"/>
            </w:tcMar>
          </w:tcPr>
          <w:p w14:paraId="0FFBFF0F" w14:textId="77777777" w:rsidR="007F7DDF" w:rsidRPr="00673DFF" w:rsidRDefault="00673DFF" w:rsidP="007F7D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(13,656)</w:t>
            </w:r>
          </w:p>
        </w:tc>
      </w:tr>
      <w:tr w:rsidR="00673DFF" w:rsidRPr="00673DFF" w14:paraId="160AE077" w14:textId="77777777" w:rsidTr="006D7DD5">
        <w:trPr>
          <w:trHeight w:val="101"/>
        </w:trPr>
        <w:tc>
          <w:tcPr>
            <w:tcW w:w="2992" w:type="dxa"/>
            <w:shd w:val="clear" w:color="auto" w:fill="auto"/>
            <w:tcMar>
              <w:top w:w="20" w:type="dxa"/>
              <w:left w:w="20" w:type="dxa"/>
              <w:bottom w:w="20" w:type="dxa"/>
              <w:right w:w="20" w:type="dxa"/>
            </w:tcMar>
          </w:tcPr>
          <w:p w14:paraId="7ED6CBB7" w14:textId="77777777" w:rsidR="00673DFF" w:rsidRPr="00673DFF" w:rsidRDefault="00673DFF" w:rsidP="007F7D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403" w:type="dxa"/>
            <w:shd w:val="clear" w:color="auto" w:fill="auto"/>
            <w:tcMar>
              <w:top w:w="20" w:type="dxa"/>
              <w:left w:w="20" w:type="dxa"/>
              <w:bottom w:w="20" w:type="dxa"/>
              <w:right w:w="20" w:type="dxa"/>
            </w:tcMar>
          </w:tcPr>
          <w:p w14:paraId="11523AAC" w14:textId="77777777" w:rsidR="00673DFF" w:rsidRPr="00673DFF" w:rsidRDefault="00673DFF" w:rsidP="007F7DDF">
            <w:pPr>
              <w:pStyle w:val="T1TableStyle"/>
              <w:jc w:val="center"/>
              <w:rPr>
                <w:rFonts w:ascii="Verdana" w:eastAsia="Verdana" w:hAnsi="Verdana" w:cs="Verdana"/>
                <w:color w:val="000000"/>
                <w:sz w:val="2"/>
                <w:lang w:val="en-GB"/>
              </w:rPr>
            </w:pPr>
          </w:p>
        </w:tc>
        <w:tc>
          <w:tcPr>
            <w:tcW w:w="7232" w:type="dxa"/>
            <w:shd w:val="clear" w:color="auto" w:fill="auto"/>
            <w:tcMar>
              <w:top w:w="20" w:type="dxa"/>
              <w:left w:w="20" w:type="dxa"/>
              <w:bottom w:w="20" w:type="dxa"/>
              <w:right w:w="20" w:type="dxa"/>
            </w:tcMar>
          </w:tcPr>
          <w:p w14:paraId="1AA19075" w14:textId="77777777" w:rsidR="00673DFF" w:rsidRPr="00673DFF" w:rsidRDefault="00673DFF" w:rsidP="007F7DDF">
            <w:pPr>
              <w:pStyle w:val="T1TableStyle"/>
              <w:rPr>
                <w:rFonts w:ascii="Verdana" w:eastAsia="Verdana" w:hAnsi="Verdana" w:cs="Verdana"/>
                <w:color w:val="000000"/>
                <w:sz w:val="16"/>
                <w:lang w:val="en-GB"/>
              </w:rPr>
            </w:pPr>
            <w:r>
              <w:rPr>
                <w:rFonts w:ascii="Verdana" w:eastAsia="Verdana" w:hAnsi="Verdana" w:cs="Verdana"/>
                <w:color w:val="000000"/>
                <w:sz w:val="16"/>
                <w:lang w:val="en-GB"/>
              </w:rPr>
              <w:t>Movements in the market value of investment properties debited or credited to the Comprehensive Income and Expenditure Statement</w:t>
            </w:r>
          </w:p>
        </w:tc>
        <w:tc>
          <w:tcPr>
            <w:tcW w:w="2995" w:type="dxa"/>
            <w:shd w:val="clear" w:color="auto" w:fill="auto"/>
            <w:tcMar>
              <w:top w:w="20" w:type="dxa"/>
              <w:left w:w="20" w:type="dxa"/>
              <w:bottom w:w="20" w:type="dxa"/>
              <w:right w:w="20" w:type="dxa"/>
            </w:tcMar>
          </w:tcPr>
          <w:p w14:paraId="432FA648" w14:textId="77777777" w:rsidR="00673DFF" w:rsidRPr="00673DFF" w:rsidRDefault="00673DFF" w:rsidP="007F7D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46</w:t>
            </w:r>
          </w:p>
        </w:tc>
      </w:tr>
      <w:tr w:rsidR="007F7DDF" w:rsidRPr="00673DFF" w14:paraId="5C13D9B6" w14:textId="77777777" w:rsidTr="006D7DD5">
        <w:trPr>
          <w:trHeight w:val="101"/>
        </w:trPr>
        <w:tc>
          <w:tcPr>
            <w:tcW w:w="2992" w:type="dxa"/>
            <w:shd w:val="clear" w:color="auto" w:fill="auto"/>
            <w:tcMar>
              <w:top w:w="20" w:type="dxa"/>
              <w:left w:w="20" w:type="dxa"/>
              <w:bottom w:w="20" w:type="dxa"/>
              <w:right w:w="20" w:type="dxa"/>
            </w:tcMar>
          </w:tcPr>
          <w:p w14:paraId="3A51F392" w14:textId="77777777" w:rsidR="007F7DDF" w:rsidRPr="00673DFF" w:rsidRDefault="007F7DDF" w:rsidP="007F7DDF">
            <w:pPr>
              <w:pStyle w:val="T1TableStyle"/>
              <w:jc w:val="right"/>
              <w:rPr>
                <w:rFonts w:ascii="Verdana" w:eastAsia="Verdana" w:hAnsi="Verdana" w:cs="Verdana"/>
                <w:color w:val="000000"/>
                <w:sz w:val="16"/>
                <w:lang w:val="en-GB"/>
              </w:rPr>
            </w:pPr>
            <w:r w:rsidRPr="00673DFF">
              <w:rPr>
                <w:rFonts w:ascii="Verdana" w:eastAsia="Verdana" w:hAnsi="Verdana" w:cs="Verdana"/>
                <w:color w:val="000000"/>
                <w:sz w:val="16"/>
                <w:lang w:val="en-GB"/>
              </w:rPr>
              <w:t>165</w:t>
            </w:r>
          </w:p>
        </w:tc>
        <w:tc>
          <w:tcPr>
            <w:tcW w:w="403" w:type="dxa"/>
            <w:shd w:val="clear" w:color="auto" w:fill="auto"/>
            <w:tcMar>
              <w:top w:w="20" w:type="dxa"/>
              <w:left w:w="20" w:type="dxa"/>
              <w:bottom w:w="20" w:type="dxa"/>
              <w:right w:w="20" w:type="dxa"/>
            </w:tcMar>
          </w:tcPr>
          <w:p w14:paraId="74FA06AC" w14:textId="77777777" w:rsidR="007F7DDF" w:rsidRPr="00673DFF" w:rsidRDefault="007F7DDF" w:rsidP="007F7DDF">
            <w:pPr>
              <w:pStyle w:val="T1TableStyle"/>
              <w:jc w:val="center"/>
              <w:rPr>
                <w:rFonts w:ascii="Verdana" w:eastAsia="Verdana" w:hAnsi="Verdana" w:cs="Verdana"/>
                <w:color w:val="000000"/>
                <w:sz w:val="2"/>
                <w:lang w:val="en-GB"/>
              </w:rPr>
            </w:pPr>
            <w:r w:rsidRPr="00673DFF">
              <w:rPr>
                <w:rFonts w:ascii="Verdana" w:eastAsia="Verdana" w:hAnsi="Verdana" w:cs="Verdana"/>
                <w:color w:val="000000"/>
                <w:sz w:val="2"/>
                <w:lang w:val="en-GB"/>
              </w:rPr>
              <w:t xml:space="preserve"> </w:t>
            </w:r>
          </w:p>
        </w:tc>
        <w:tc>
          <w:tcPr>
            <w:tcW w:w="7232" w:type="dxa"/>
            <w:shd w:val="clear" w:color="auto" w:fill="auto"/>
            <w:tcMar>
              <w:top w:w="20" w:type="dxa"/>
              <w:left w:w="20" w:type="dxa"/>
              <w:bottom w:w="20" w:type="dxa"/>
              <w:right w:w="20" w:type="dxa"/>
            </w:tcMar>
          </w:tcPr>
          <w:p w14:paraId="36DEDE22" w14:textId="77777777" w:rsidR="007F7DDF" w:rsidRPr="00673DFF" w:rsidRDefault="007F7DDF" w:rsidP="007F7DDF">
            <w:pPr>
              <w:pStyle w:val="T1TableStyle"/>
              <w:rPr>
                <w:rFonts w:ascii="Verdana" w:eastAsia="Verdana" w:hAnsi="Verdana" w:cs="Verdana"/>
                <w:color w:val="000000"/>
                <w:sz w:val="16"/>
                <w:lang w:val="en-GB"/>
              </w:rPr>
            </w:pPr>
            <w:r w:rsidRPr="00673DFF">
              <w:rPr>
                <w:rFonts w:ascii="Verdana" w:eastAsia="Verdana" w:hAnsi="Verdana" w:cs="Verdana"/>
                <w:color w:val="000000"/>
                <w:sz w:val="16"/>
                <w:lang w:val="en-GB"/>
              </w:rPr>
              <w:t>Other movements</w:t>
            </w:r>
          </w:p>
        </w:tc>
        <w:tc>
          <w:tcPr>
            <w:tcW w:w="2995" w:type="dxa"/>
            <w:shd w:val="clear" w:color="auto" w:fill="auto"/>
            <w:tcMar>
              <w:top w:w="20" w:type="dxa"/>
              <w:left w:w="20" w:type="dxa"/>
              <w:bottom w:w="20" w:type="dxa"/>
              <w:right w:w="20" w:type="dxa"/>
            </w:tcMar>
          </w:tcPr>
          <w:p w14:paraId="1EFC9CB0" w14:textId="77777777" w:rsidR="007F7DDF" w:rsidRPr="00673DFF" w:rsidRDefault="00673DFF" w:rsidP="007F7D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7F7DDF" w:rsidRPr="00673DFF" w14:paraId="662F8A82" w14:textId="77777777" w:rsidTr="006D7DD5">
        <w:trPr>
          <w:trHeight w:val="106"/>
        </w:trPr>
        <w:tc>
          <w:tcPr>
            <w:tcW w:w="2992" w:type="dxa"/>
            <w:tcBorders>
              <w:top w:val="single" w:sz="2" w:space="0" w:color="000000"/>
              <w:bottom w:val="single" w:sz="12" w:space="0" w:color="000000"/>
            </w:tcBorders>
            <w:shd w:val="clear" w:color="auto" w:fill="auto"/>
            <w:tcMar>
              <w:top w:w="20" w:type="dxa"/>
              <w:left w:w="20" w:type="dxa"/>
              <w:bottom w:w="20" w:type="dxa"/>
              <w:right w:w="20" w:type="dxa"/>
            </w:tcMar>
          </w:tcPr>
          <w:p w14:paraId="009409CA" w14:textId="77777777" w:rsidR="007F7DDF" w:rsidRPr="00673DFF" w:rsidRDefault="007F7DDF" w:rsidP="007F7DDF">
            <w:pPr>
              <w:pStyle w:val="T1TableStyle"/>
              <w:jc w:val="right"/>
              <w:rPr>
                <w:rFonts w:ascii="Verdana" w:eastAsia="Verdana" w:hAnsi="Verdana" w:cs="Verdana"/>
                <w:b/>
                <w:color w:val="000000"/>
                <w:sz w:val="16"/>
                <w:lang w:val="en-GB"/>
              </w:rPr>
            </w:pPr>
            <w:r w:rsidRPr="00673DFF">
              <w:rPr>
                <w:rFonts w:ascii="Verdana" w:eastAsia="Verdana" w:hAnsi="Verdana" w:cs="Verdana"/>
                <w:b/>
                <w:color w:val="000000"/>
                <w:sz w:val="16"/>
                <w:lang w:val="en-GB"/>
              </w:rPr>
              <w:t>(64,164)</w:t>
            </w:r>
          </w:p>
        </w:tc>
        <w:tc>
          <w:tcPr>
            <w:tcW w:w="403" w:type="dxa"/>
            <w:tcBorders>
              <w:top w:val="single" w:sz="2" w:space="0" w:color="000000"/>
              <w:bottom w:val="single" w:sz="12" w:space="0" w:color="000000"/>
            </w:tcBorders>
            <w:shd w:val="clear" w:color="auto" w:fill="auto"/>
            <w:tcMar>
              <w:top w:w="20" w:type="dxa"/>
              <w:left w:w="20" w:type="dxa"/>
              <w:bottom w:w="20" w:type="dxa"/>
              <w:right w:w="20" w:type="dxa"/>
            </w:tcMar>
          </w:tcPr>
          <w:p w14:paraId="4A4848B9" w14:textId="77777777" w:rsidR="007F7DDF" w:rsidRPr="00673DFF" w:rsidRDefault="007F7DDF" w:rsidP="007F7DDF">
            <w:pPr>
              <w:pStyle w:val="T1TableStyle"/>
              <w:jc w:val="center"/>
              <w:rPr>
                <w:rFonts w:ascii="Verdana" w:eastAsia="Verdana" w:hAnsi="Verdana" w:cs="Verdana"/>
                <w:b/>
                <w:color w:val="000000"/>
                <w:sz w:val="2"/>
                <w:lang w:val="en-GB"/>
              </w:rPr>
            </w:pPr>
            <w:r w:rsidRPr="00673DFF">
              <w:rPr>
                <w:rFonts w:ascii="Verdana" w:eastAsia="Verdana" w:hAnsi="Verdana" w:cs="Verdana"/>
                <w:b/>
                <w:color w:val="000000"/>
                <w:sz w:val="2"/>
                <w:lang w:val="en-GB"/>
              </w:rPr>
              <w:t xml:space="preserve"> </w:t>
            </w:r>
          </w:p>
        </w:tc>
        <w:tc>
          <w:tcPr>
            <w:tcW w:w="7232" w:type="dxa"/>
            <w:tcBorders>
              <w:top w:val="single" w:sz="2" w:space="0" w:color="000000"/>
              <w:bottom w:val="single" w:sz="12" w:space="0" w:color="000000"/>
            </w:tcBorders>
            <w:shd w:val="clear" w:color="auto" w:fill="auto"/>
            <w:tcMar>
              <w:top w:w="20" w:type="dxa"/>
              <w:left w:w="20" w:type="dxa"/>
              <w:bottom w:w="20" w:type="dxa"/>
              <w:right w:w="20" w:type="dxa"/>
            </w:tcMar>
          </w:tcPr>
          <w:p w14:paraId="521ABFD8" w14:textId="77777777" w:rsidR="007F7DDF" w:rsidRPr="00673DFF" w:rsidRDefault="007F7DDF" w:rsidP="007F7DDF">
            <w:pPr>
              <w:pStyle w:val="T1TableStyle"/>
              <w:rPr>
                <w:rFonts w:ascii="Verdana" w:eastAsia="Verdana" w:hAnsi="Verdana" w:cs="Verdana"/>
                <w:b/>
                <w:color w:val="000000"/>
                <w:sz w:val="16"/>
                <w:lang w:val="en-GB"/>
              </w:rPr>
            </w:pPr>
            <w:r w:rsidRPr="00673DFF">
              <w:rPr>
                <w:rFonts w:ascii="Verdana" w:eastAsia="Verdana" w:hAnsi="Verdana" w:cs="Verdana"/>
                <w:b/>
                <w:color w:val="000000"/>
                <w:sz w:val="16"/>
                <w:lang w:val="en-GB"/>
              </w:rPr>
              <w:t xml:space="preserve">Balance 31 March </w:t>
            </w:r>
          </w:p>
        </w:tc>
        <w:tc>
          <w:tcPr>
            <w:tcW w:w="2995" w:type="dxa"/>
            <w:tcBorders>
              <w:top w:val="single" w:sz="2" w:space="0" w:color="000000"/>
              <w:bottom w:val="single" w:sz="12" w:space="0" w:color="000000"/>
            </w:tcBorders>
            <w:shd w:val="clear" w:color="auto" w:fill="auto"/>
            <w:tcMar>
              <w:top w:w="20" w:type="dxa"/>
              <w:left w:w="20" w:type="dxa"/>
              <w:bottom w:w="20" w:type="dxa"/>
              <w:right w:w="20" w:type="dxa"/>
            </w:tcMar>
          </w:tcPr>
          <w:p w14:paraId="673E9037" w14:textId="77777777" w:rsidR="007F7DDF" w:rsidRPr="00673DFF" w:rsidRDefault="00673DFF" w:rsidP="007F7DDF">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(67,133)</w:t>
            </w:r>
          </w:p>
        </w:tc>
      </w:tr>
    </w:tbl>
    <w:p w14:paraId="48E19915" w14:textId="77777777" w:rsidR="00CA6653" w:rsidRPr="003516A4" w:rsidRDefault="00CA6653">
      <w:pPr>
        <w:pStyle w:val="T1TableStyle"/>
        <w:rPr>
          <w:rFonts w:ascii="Verdana" w:eastAsia="Verdana" w:hAnsi="Verdana" w:cs="Verdana"/>
          <w:sz w:val="22"/>
          <w:highlight w:val="yellow"/>
          <w:lang w:val="en-GB"/>
        </w:rPr>
      </w:pPr>
    </w:p>
    <w:p w14:paraId="3F516095" w14:textId="1D666A27" w:rsidR="00CA6653" w:rsidRDefault="00CA6653" w:rsidP="00CA4917">
      <w:pPr>
        <w:pStyle w:val="Normal0"/>
        <w:spacing w:after="160"/>
        <w:jc w:val="both"/>
        <w:rPr>
          <w:rFonts w:ascii="Verdana" w:eastAsia="Verdana" w:hAnsi="Verdana" w:cs="Verdana"/>
          <w:sz w:val="22"/>
          <w:szCs w:val="22"/>
          <w:lang w:val="en-GB"/>
        </w:rPr>
      </w:pPr>
      <w:r w:rsidRPr="0056279A">
        <w:rPr>
          <w:rFonts w:ascii="Verdana" w:eastAsia="Verdana" w:hAnsi="Verdana" w:cs="Verdana"/>
          <w:sz w:val="22"/>
          <w:szCs w:val="22"/>
          <w:lang w:val="en-GB"/>
        </w:rPr>
        <w:t xml:space="preserve">The </w:t>
      </w:r>
      <w:r w:rsidR="00B95916">
        <w:rPr>
          <w:rFonts w:ascii="Verdana" w:eastAsia="Verdana" w:hAnsi="Verdana" w:cs="Verdana"/>
          <w:sz w:val="22"/>
          <w:szCs w:val="22"/>
          <w:lang w:val="en-GB"/>
        </w:rPr>
        <w:t>Capital Adjustment A</w:t>
      </w:r>
      <w:r w:rsidRPr="0056279A">
        <w:rPr>
          <w:rFonts w:ascii="Verdana" w:eastAsia="Verdana" w:hAnsi="Verdana" w:cs="Verdana"/>
          <w:sz w:val="22"/>
          <w:szCs w:val="22"/>
          <w:lang w:val="en-GB"/>
        </w:rPr>
        <w:t>ccount accumulates the write down of the historical cost of non-current assets as they are consumed by depreciation and impairments, or written off on disposal. The written down historical cost is offset by the resources that have been set aside to finance capital expenditure. The account balance will reflect the timing difference between the cost of non-current assets consumed and the capital financing set aside to pay for them.</w:t>
      </w:r>
    </w:p>
    <w:tbl>
      <w:tblPr>
        <w:tblW w:w="12586" w:type="dxa"/>
        <w:jc w:val="center"/>
        <w:tblLook w:val="04A0" w:firstRow="1" w:lastRow="0" w:firstColumn="1" w:lastColumn="0" w:noHBand="0" w:noVBand="1"/>
      </w:tblPr>
      <w:tblGrid>
        <w:gridCol w:w="1111"/>
        <w:gridCol w:w="1922"/>
        <w:gridCol w:w="5691"/>
        <w:gridCol w:w="1920"/>
        <w:gridCol w:w="1942"/>
      </w:tblGrid>
      <w:tr w:rsidR="00EC23C3" w:rsidRPr="00EC23C3" w14:paraId="4779DBE4" w14:textId="77777777" w:rsidTr="00B95916">
        <w:trPr>
          <w:trHeight w:val="194"/>
          <w:jc w:val="center"/>
        </w:trPr>
        <w:tc>
          <w:tcPr>
            <w:tcW w:w="3033" w:type="dxa"/>
            <w:gridSpan w:val="2"/>
            <w:tcBorders>
              <w:top w:val="nil"/>
              <w:left w:val="nil"/>
              <w:bottom w:val="nil"/>
              <w:right w:val="nil"/>
            </w:tcBorders>
            <w:shd w:val="clear" w:color="auto" w:fill="auto"/>
            <w:vAlign w:val="center"/>
            <w:hideMark/>
          </w:tcPr>
          <w:p w14:paraId="2FF312FD" w14:textId="77777777" w:rsidR="00EC23C3" w:rsidRPr="00EC23C3" w:rsidRDefault="00EC23C3" w:rsidP="00EC23C3">
            <w:pPr>
              <w:rPr>
                <w:rFonts w:eastAsia="Times New Roman" w:cs="Calibri"/>
                <w:b/>
                <w:bCs/>
                <w:color w:val="000000"/>
                <w:sz w:val="20"/>
                <w:szCs w:val="20"/>
                <w:lang w:val="en-GB" w:eastAsia="en-GB"/>
              </w:rPr>
            </w:pPr>
            <w:r w:rsidRPr="00EC23C3">
              <w:rPr>
                <w:rFonts w:eastAsia="Times New Roman" w:cs="Calibri"/>
                <w:b/>
                <w:bCs/>
                <w:color w:val="000000"/>
                <w:sz w:val="20"/>
                <w:szCs w:val="20"/>
                <w:lang w:val="en-GB" w:eastAsia="en-GB"/>
              </w:rPr>
              <w:t>Pension Reserve</w:t>
            </w:r>
          </w:p>
        </w:tc>
        <w:tc>
          <w:tcPr>
            <w:tcW w:w="5691" w:type="dxa"/>
            <w:tcBorders>
              <w:top w:val="nil"/>
              <w:left w:val="nil"/>
              <w:bottom w:val="nil"/>
              <w:right w:val="nil"/>
            </w:tcBorders>
            <w:shd w:val="clear" w:color="auto" w:fill="auto"/>
            <w:vAlign w:val="center"/>
            <w:hideMark/>
          </w:tcPr>
          <w:p w14:paraId="1B2C4C1A" w14:textId="77777777" w:rsidR="00EC23C3" w:rsidRPr="00EC23C3" w:rsidRDefault="00EC23C3" w:rsidP="00EC23C3">
            <w:pPr>
              <w:rPr>
                <w:rFonts w:eastAsia="Times New Roman" w:cs="Calibri"/>
                <w:b/>
                <w:bCs/>
                <w:color w:val="000000"/>
                <w:sz w:val="20"/>
                <w:szCs w:val="20"/>
                <w:lang w:val="en-GB" w:eastAsia="en-GB"/>
              </w:rPr>
            </w:pPr>
          </w:p>
        </w:tc>
        <w:tc>
          <w:tcPr>
            <w:tcW w:w="1920" w:type="dxa"/>
            <w:tcBorders>
              <w:top w:val="nil"/>
              <w:left w:val="nil"/>
              <w:bottom w:val="nil"/>
              <w:right w:val="nil"/>
            </w:tcBorders>
            <w:shd w:val="clear" w:color="auto" w:fill="auto"/>
            <w:vAlign w:val="center"/>
            <w:hideMark/>
          </w:tcPr>
          <w:p w14:paraId="0D705345" w14:textId="77777777" w:rsidR="00EC23C3" w:rsidRPr="00EC23C3" w:rsidRDefault="00EC23C3" w:rsidP="00EC23C3">
            <w:pPr>
              <w:rPr>
                <w:rFonts w:ascii="Times New Roman" w:eastAsia="Times New Roman" w:hAnsi="Times New Roman" w:cs="Times New Roman"/>
                <w:sz w:val="20"/>
                <w:szCs w:val="20"/>
                <w:lang w:val="en-GB" w:eastAsia="en-GB"/>
              </w:rPr>
            </w:pPr>
          </w:p>
        </w:tc>
        <w:tc>
          <w:tcPr>
            <w:tcW w:w="1942" w:type="dxa"/>
            <w:tcBorders>
              <w:top w:val="nil"/>
              <w:left w:val="nil"/>
              <w:bottom w:val="nil"/>
              <w:right w:val="nil"/>
            </w:tcBorders>
            <w:shd w:val="clear" w:color="auto" w:fill="auto"/>
            <w:noWrap/>
            <w:vAlign w:val="bottom"/>
            <w:hideMark/>
          </w:tcPr>
          <w:p w14:paraId="29373F08" w14:textId="77777777" w:rsidR="00EC23C3" w:rsidRPr="00EC23C3" w:rsidRDefault="00EC23C3" w:rsidP="00EC23C3">
            <w:pPr>
              <w:rPr>
                <w:rFonts w:ascii="Times New Roman" w:eastAsia="Times New Roman" w:hAnsi="Times New Roman" w:cs="Times New Roman"/>
                <w:sz w:val="20"/>
                <w:szCs w:val="20"/>
                <w:lang w:val="en-GB" w:eastAsia="en-GB"/>
              </w:rPr>
            </w:pPr>
          </w:p>
        </w:tc>
      </w:tr>
      <w:tr w:rsidR="00EC23C3" w:rsidRPr="00EC23C3" w14:paraId="1A3069E1" w14:textId="77777777" w:rsidTr="00B95916">
        <w:trPr>
          <w:trHeight w:val="194"/>
          <w:jc w:val="center"/>
        </w:trPr>
        <w:tc>
          <w:tcPr>
            <w:tcW w:w="1111" w:type="dxa"/>
            <w:tcBorders>
              <w:top w:val="nil"/>
              <w:left w:val="nil"/>
              <w:bottom w:val="nil"/>
              <w:right w:val="nil"/>
            </w:tcBorders>
            <w:shd w:val="clear" w:color="000000" w:fill="FFFFFF"/>
            <w:noWrap/>
            <w:vAlign w:val="bottom"/>
            <w:hideMark/>
          </w:tcPr>
          <w:p w14:paraId="1E84D866" w14:textId="77777777" w:rsidR="00EC23C3" w:rsidRPr="00EC23C3" w:rsidRDefault="00EC23C3" w:rsidP="00EC23C3">
            <w:pPr>
              <w:rPr>
                <w:rFonts w:ascii="Calibri" w:eastAsia="Times New Roman" w:hAnsi="Calibri" w:cs="Calibri"/>
                <w:color w:val="000000"/>
                <w:lang w:val="en-GB" w:eastAsia="en-GB"/>
              </w:rPr>
            </w:pPr>
            <w:r w:rsidRPr="00EC23C3">
              <w:rPr>
                <w:rFonts w:ascii="Calibri" w:eastAsia="Times New Roman" w:hAnsi="Calibri" w:cs="Calibri"/>
                <w:color w:val="000000"/>
                <w:lang w:val="en-GB" w:eastAsia="en-GB"/>
              </w:rPr>
              <w:t> </w:t>
            </w:r>
          </w:p>
        </w:tc>
        <w:tc>
          <w:tcPr>
            <w:tcW w:w="1922" w:type="dxa"/>
            <w:tcBorders>
              <w:top w:val="nil"/>
              <w:left w:val="nil"/>
              <w:bottom w:val="nil"/>
              <w:right w:val="nil"/>
            </w:tcBorders>
            <w:shd w:val="clear" w:color="000000" w:fill="FFFFFF"/>
            <w:vAlign w:val="center"/>
            <w:hideMark/>
          </w:tcPr>
          <w:p w14:paraId="696E7E45" w14:textId="77777777" w:rsidR="00EC23C3" w:rsidRPr="00EC23C3" w:rsidRDefault="00EC23C3" w:rsidP="00EC23C3">
            <w:pPr>
              <w:jc w:val="center"/>
              <w:rPr>
                <w:rFonts w:eastAsia="Times New Roman" w:cs="Calibri"/>
                <w:b/>
                <w:bCs/>
                <w:color w:val="000000"/>
                <w:sz w:val="16"/>
                <w:szCs w:val="16"/>
                <w:lang w:val="en-GB" w:eastAsia="en-GB"/>
              </w:rPr>
            </w:pPr>
            <w:r w:rsidRPr="00EC23C3">
              <w:rPr>
                <w:rFonts w:eastAsia="Times New Roman" w:cs="Calibri"/>
                <w:b/>
                <w:bCs/>
                <w:color w:val="000000"/>
                <w:sz w:val="16"/>
                <w:szCs w:val="16"/>
                <w:lang w:val="en-GB" w:eastAsia="en-GB"/>
              </w:rPr>
              <w:t>31 March 2020</w:t>
            </w:r>
          </w:p>
        </w:tc>
        <w:tc>
          <w:tcPr>
            <w:tcW w:w="5691" w:type="dxa"/>
            <w:tcBorders>
              <w:top w:val="nil"/>
              <w:left w:val="nil"/>
              <w:bottom w:val="nil"/>
              <w:right w:val="nil"/>
            </w:tcBorders>
            <w:shd w:val="clear" w:color="000000" w:fill="FFFFFF"/>
            <w:vAlign w:val="center"/>
            <w:hideMark/>
          </w:tcPr>
          <w:p w14:paraId="4EEF11C4" w14:textId="77777777" w:rsidR="00EC23C3" w:rsidRPr="00EC23C3" w:rsidRDefault="00EC23C3" w:rsidP="00EC23C3">
            <w:pPr>
              <w:jc w:val="center"/>
              <w:rPr>
                <w:rFonts w:eastAsia="Times New Roman" w:cs="Calibri"/>
                <w:b/>
                <w:bCs/>
                <w:color w:val="000000"/>
                <w:sz w:val="2"/>
                <w:szCs w:val="2"/>
                <w:lang w:val="en-GB" w:eastAsia="en-GB"/>
              </w:rPr>
            </w:pPr>
            <w:r w:rsidRPr="00EC23C3">
              <w:rPr>
                <w:rFonts w:eastAsia="Times New Roman" w:cs="Calibri"/>
                <w:b/>
                <w:bCs/>
                <w:color w:val="000000"/>
                <w:sz w:val="2"/>
                <w:szCs w:val="2"/>
                <w:lang w:val="en-GB" w:eastAsia="en-GB"/>
              </w:rPr>
              <w:t xml:space="preserve"> </w:t>
            </w:r>
          </w:p>
        </w:tc>
        <w:tc>
          <w:tcPr>
            <w:tcW w:w="1920" w:type="dxa"/>
            <w:tcBorders>
              <w:top w:val="nil"/>
              <w:left w:val="nil"/>
              <w:bottom w:val="nil"/>
              <w:right w:val="nil"/>
            </w:tcBorders>
            <w:shd w:val="clear" w:color="000000" w:fill="FFFFFF"/>
            <w:vAlign w:val="center"/>
            <w:hideMark/>
          </w:tcPr>
          <w:p w14:paraId="4489758D" w14:textId="77777777" w:rsidR="00EC23C3" w:rsidRPr="00EC23C3" w:rsidRDefault="00EC23C3" w:rsidP="00EC23C3">
            <w:pPr>
              <w:ind w:firstLineChars="200" w:firstLine="40"/>
              <w:rPr>
                <w:rFonts w:eastAsia="Times New Roman" w:cs="Calibri"/>
                <w:b/>
                <w:bCs/>
                <w:color w:val="000000"/>
                <w:sz w:val="2"/>
                <w:szCs w:val="2"/>
                <w:lang w:val="en-GB" w:eastAsia="en-GB"/>
              </w:rPr>
            </w:pPr>
            <w:r w:rsidRPr="00EC23C3">
              <w:rPr>
                <w:rFonts w:eastAsia="Times New Roman" w:cs="Calibri"/>
                <w:b/>
                <w:bCs/>
                <w:color w:val="000000"/>
                <w:sz w:val="2"/>
                <w:szCs w:val="2"/>
                <w:lang w:val="en-GB" w:eastAsia="en-GB"/>
              </w:rPr>
              <w:t xml:space="preserve"> </w:t>
            </w:r>
          </w:p>
        </w:tc>
        <w:tc>
          <w:tcPr>
            <w:tcW w:w="1942" w:type="dxa"/>
            <w:tcBorders>
              <w:top w:val="nil"/>
              <w:left w:val="nil"/>
              <w:bottom w:val="nil"/>
              <w:right w:val="nil"/>
            </w:tcBorders>
            <w:shd w:val="clear" w:color="000000" w:fill="FFFFFF"/>
            <w:vAlign w:val="center"/>
            <w:hideMark/>
          </w:tcPr>
          <w:p w14:paraId="686F8AE5" w14:textId="77777777" w:rsidR="00EC23C3" w:rsidRPr="00EC23C3" w:rsidRDefault="00EC23C3" w:rsidP="00EC23C3">
            <w:pPr>
              <w:jc w:val="center"/>
              <w:rPr>
                <w:rFonts w:eastAsia="Times New Roman" w:cs="Calibri"/>
                <w:b/>
                <w:bCs/>
                <w:color w:val="000000"/>
                <w:sz w:val="16"/>
                <w:szCs w:val="16"/>
                <w:lang w:val="en-GB" w:eastAsia="en-GB"/>
              </w:rPr>
            </w:pPr>
            <w:r w:rsidRPr="00EC23C3">
              <w:rPr>
                <w:rFonts w:eastAsia="Times New Roman" w:cs="Calibri"/>
                <w:b/>
                <w:bCs/>
                <w:color w:val="000000"/>
                <w:sz w:val="16"/>
                <w:szCs w:val="16"/>
                <w:lang w:val="en-GB" w:eastAsia="en-GB"/>
              </w:rPr>
              <w:t>31 March 2021</w:t>
            </w:r>
          </w:p>
        </w:tc>
      </w:tr>
      <w:tr w:rsidR="00EC23C3" w:rsidRPr="00EC23C3" w14:paraId="787E097D" w14:textId="77777777" w:rsidTr="00B95916">
        <w:trPr>
          <w:trHeight w:val="194"/>
          <w:jc w:val="center"/>
        </w:trPr>
        <w:tc>
          <w:tcPr>
            <w:tcW w:w="1111" w:type="dxa"/>
            <w:tcBorders>
              <w:top w:val="nil"/>
              <w:left w:val="nil"/>
              <w:bottom w:val="nil"/>
              <w:right w:val="nil"/>
            </w:tcBorders>
            <w:shd w:val="clear" w:color="000000" w:fill="FFFFFF"/>
            <w:vAlign w:val="center"/>
            <w:hideMark/>
          </w:tcPr>
          <w:p w14:paraId="4E5AABC9" w14:textId="77777777" w:rsidR="00EC23C3" w:rsidRPr="00EC23C3" w:rsidRDefault="00EC23C3" w:rsidP="00EC23C3">
            <w:pPr>
              <w:jc w:val="center"/>
              <w:rPr>
                <w:rFonts w:eastAsia="Times New Roman" w:cs="Calibri"/>
                <w:b/>
                <w:bCs/>
                <w:color w:val="000000"/>
                <w:sz w:val="16"/>
                <w:szCs w:val="16"/>
                <w:lang w:val="en-GB" w:eastAsia="en-GB"/>
              </w:rPr>
            </w:pPr>
            <w:r w:rsidRPr="00EC23C3">
              <w:rPr>
                <w:rFonts w:eastAsia="Times New Roman" w:cs="Calibri"/>
                <w:b/>
                <w:bCs/>
                <w:color w:val="000000"/>
                <w:sz w:val="16"/>
                <w:szCs w:val="16"/>
                <w:lang w:val="en-GB" w:eastAsia="en-GB"/>
              </w:rPr>
              <w:t>PCC</w:t>
            </w:r>
          </w:p>
        </w:tc>
        <w:tc>
          <w:tcPr>
            <w:tcW w:w="1922" w:type="dxa"/>
            <w:tcBorders>
              <w:top w:val="nil"/>
              <w:left w:val="nil"/>
              <w:bottom w:val="nil"/>
              <w:right w:val="nil"/>
            </w:tcBorders>
            <w:shd w:val="clear" w:color="000000" w:fill="FFFFFF"/>
            <w:vAlign w:val="center"/>
            <w:hideMark/>
          </w:tcPr>
          <w:p w14:paraId="077D3010" w14:textId="77777777" w:rsidR="00EC23C3" w:rsidRPr="00EC23C3" w:rsidRDefault="00EC23C3" w:rsidP="00EC23C3">
            <w:pPr>
              <w:jc w:val="center"/>
              <w:rPr>
                <w:rFonts w:eastAsia="Times New Roman" w:cs="Calibri"/>
                <w:b/>
                <w:bCs/>
                <w:color w:val="000000"/>
                <w:sz w:val="16"/>
                <w:szCs w:val="16"/>
                <w:lang w:val="en-GB" w:eastAsia="en-GB"/>
              </w:rPr>
            </w:pPr>
            <w:r w:rsidRPr="00EC23C3">
              <w:rPr>
                <w:rFonts w:eastAsia="Times New Roman" w:cs="Calibri"/>
                <w:b/>
                <w:bCs/>
                <w:color w:val="000000"/>
                <w:sz w:val="16"/>
                <w:szCs w:val="16"/>
                <w:lang w:val="en-GB" w:eastAsia="en-GB"/>
              </w:rPr>
              <w:t>Group</w:t>
            </w:r>
          </w:p>
        </w:tc>
        <w:tc>
          <w:tcPr>
            <w:tcW w:w="5691" w:type="dxa"/>
            <w:tcBorders>
              <w:top w:val="nil"/>
              <w:left w:val="nil"/>
              <w:bottom w:val="nil"/>
              <w:right w:val="nil"/>
            </w:tcBorders>
            <w:shd w:val="clear" w:color="000000" w:fill="FFFFFF"/>
            <w:vAlign w:val="center"/>
            <w:hideMark/>
          </w:tcPr>
          <w:p w14:paraId="68A99AD2" w14:textId="77777777" w:rsidR="00EC23C3" w:rsidRPr="00EC23C3" w:rsidRDefault="00EC23C3" w:rsidP="00EC23C3">
            <w:pPr>
              <w:ind w:firstLineChars="100" w:firstLine="20"/>
              <w:rPr>
                <w:rFonts w:eastAsia="Times New Roman" w:cs="Calibri"/>
                <w:b/>
                <w:bCs/>
                <w:color w:val="000000"/>
                <w:sz w:val="2"/>
                <w:szCs w:val="2"/>
                <w:lang w:val="en-GB" w:eastAsia="en-GB"/>
              </w:rPr>
            </w:pPr>
            <w:r w:rsidRPr="00EC23C3">
              <w:rPr>
                <w:rFonts w:eastAsia="Times New Roman" w:cs="Calibri"/>
                <w:b/>
                <w:bCs/>
                <w:color w:val="000000"/>
                <w:sz w:val="2"/>
                <w:szCs w:val="2"/>
                <w:lang w:val="en-GB" w:eastAsia="en-GB"/>
              </w:rPr>
              <w:t> </w:t>
            </w:r>
          </w:p>
        </w:tc>
        <w:tc>
          <w:tcPr>
            <w:tcW w:w="1920" w:type="dxa"/>
            <w:tcBorders>
              <w:top w:val="nil"/>
              <w:left w:val="nil"/>
              <w:bottom w:val="nil"/>
              <w:right w:val="nil"/>
            </w:tcBorders>
            <w:shd w:val="clear" w:color="000000" w:fill="FFFFFF"/>
            <w:vAlign w:val="center"/>
            <w:hideMark/>
          </w:tcPr>
          <w:p w14:paraId="4DA54F4B" w14:textId="77777777" w:rsidR="00EC23C3" w:rsidRPr="00EC23C3" w:rsidRDefault="00EC23C3" w:rsidP="00EC23C3">
            <w:pPr>
              <w:jc w:val="center"/>
              <w:rPr>
                <w:rFonts w:eastAsia="Times New Roman" w:cs="Calibri"/>
                <w:b/>
                <w:bCs/>
                <w:color w:val="000000"/>
                <w:sz w:val="16"/>
                <w:szCs w:val="16"/>
                <w:lang w:val="en-GB" w:eastAsia="en-GB"/>
              </w:rPr>
            </w:pPr>
            <w:r w:rsidRPr="00EC23C3">
              <w:rPr>
                <w:rFonts w:eastAsia="Times New Roman" w:cs="Calibri"/>
                <w:b/>
                <w:bCs/>
                <w:color w:val="000000"/>
                <w:sz w:val="16"/>
                <w:szCs w:val="16"/>
                <w:lang w:val="en-GB" w:eastAsia="en-GB"/>
              </w:rPr>
              <w:t>PCC</w:t>
            </w:r>
          </w:p>
        </w:tc>
        <w:tc>
          <w:tcPr>
            <w:tcW w:w="1942" w:type="dxa"/>
            <w:tcBorders>
              <w:top w:val="nil"/>
              <w:left w:val="nil"/>
              <w:bottom w:val="nil"/>
              <w:right w:val="nil"/>
            </w:tcBorders>
            <w:shd w:val="clear" w:color="000000" w:fill="FFFFFF"/>
            <w:vAlign w:val="center"/>
            <w:hideMark/>
          </w:tcPr>
          <w:p w14:paraId="59DFC464" w14:textId="77777777" w:rsidR="00EC23C3" w:rsidRPr="00EC23C3" w:rsidRDefault="00EC23C3" w:rsidP="00EC23C3">
            <w:pPr>
              <w:jc w:val="center"/>
              <w:rPr>
                <w:rFonts w:eastAsia="Times New Roman" w:cs="Calibri"/>
                <w:b/>
                <w:bCs/>
                <w:color w:val="000000"/>
                <w:sz w:val="16"/>
                <w:szCs w:val="16"/>
                <w:lang w:val="en-GB" w:eastAsia="en-GB"/>
              </w:rPr>
            </w:pPr>
            <w:r w:rsidRPr="00EC23C3">
              <w:rPr>
                <w:rFonts w:eastAsia="Times New Roman" w:cs="Calibri"/>
                <w:b/>
                <w:bCs/>
                <w:color w:val="000000"/>
                <w:sz w:val="16"/>
                <w:szCs w:val="16"/>
                <w:lang w:val="en-GB" w:eastAsia="en-GB"/>
              </w:rPr>
              <w:t>Group</w:t>
            </w:r>
          </w:p>
        </w:tc>
      </w:tr>
      <w:tr w:rsidR="00EC23C3" w:rsidRPr="00EC23C3" w14:paraId="17A4EC4C" w14:textId="77777777" w:rsidTr="00B95916">
        <w:trPr>
          <w:trHeight w:val="204"/>
          <w:jc w:val="center"/>
        </w:trPr>
        <w:tc>
          <w:tcPr>
            <w:tcW w:w="1111" w:type="dxa"/>
            <w:tcBorders>
              <w:top w:val="nil"/>
              <w:left w:val="nil"/>
              <w:bottom w:val="single" w:sz="8" w:space="0" w:color="000000"/>
              <w:right w:val="nil"/>
            </w:tcBorders>
            <w:shd w:val="clear" w:color="000000" w:fill="FFFFFF"/>
            <w:vAlign w:val="center"/>
            <w:hideMark/>
          </w:tcPr>
          <w:p w14:paraId="163F0676" w14:textId="77777777" w:rsidR="00EC23C3" w:rsidRPr="00EC23C3" w:rsidRDefault="00EC23C3" w:rsidP="00EC23C3">
            <w:pPr>
              <w:jc w:val="right"/>
              <w:rPr>
                <w:rFonts w:eastAsia="Times New Roman" w:cs="Calibri"/>
                <w:b/>
                <w:bCs/>
                <w:color w:val="000000"/>
                <w:sz w:val="16"/>
                <w:szCs w:val="16"/>
                <w:lang w:val="en-GB" w:eastAsia="en-GB"/>
              </w:rPr>
            </w:pPr>
            <w:r w:rsidRPr="00EC23C3">
              <w:rPr>
                <w:rFonts w:eastAsia="Times New Roman" w:cs="Calibri"/>
                <w:b/>
                <w:bCs/>
                <w:color w:val="000000"/>
                <w:sz w:val="16"/>
                <w:szCs w:val="16"/>
                <w:lang w:val="en-GB" w:eastAsia="en-GB"/>
              </w:rPr>
              <w:t>£000</w:t>
            </w:r>
          </w:p>
        </w:tc>
        <w:tc>
          <w:tcPr>
            <w:tcW w:w="1922" w:type="dxa"/>
            <w:tcBorders>
              <w:top w:val="nil"/>
              <w:left w:val="nil"/>
              <w:bottom w:val="single" w:sz="8" w:space="0" w:color="000000"/>
              <w:right w:val="nil"/>
            </w:tcBorders>
            <w:shd w:val="clear" w:color="000000" w:fill="FFFFFF"/>
            <w:vAlign w:val="center"/>
            <w:hideMark/>
          </w:tcPr>
          <w:p w14:paraId="0AE78EB3" w14:textId="77777777" w:rsidR="00EC23C3" w:rsidRPr="00EC23C3" w:rsidRDefault="00EC23C3" w:rsidP="00EC23C3">
            <w:pPr>
              <w:jc w:val="right"/>
              <w:rPr>
                <w:rFonts w:eastAsia="Times New Roman" w:cs="Calibri"/>
                <w:b/>
                <w:bCs/>
                <w:color w:val="000000"/>
                <w:sz w:val="16"/>
                <w:szCs w:val="16"/>
                <w:lang w:val="en-GB" w:eastAsia="en-GB"/>
              </w:rPr>
            </w:pPr>
            <w:r w:rsidRPr="00EC23C3">
              <w:rPr>
                <w:rFonts w:eastAsia="Times New Roman" w:cs="Calibri"/>
                <w:b/>
                <w:bCs/>
                <w:color w:val="000000"/>
                <w:sz w:val="16"/>
                <w:szCs w:val="16"/>
                <w:lang w:val="en-GB" w:eastAsia="en-GB"/>
              </w:rPr>
              <w:t>£000</w:t>
            </w:r>
          </w:p>
        </w:tc>
        <w:tc>
          <w:tcPr>
            <w:tcW w:w="5691" w:type="dxa"/>
            <w:tcBorders>
              <w:top w:val="nil"/>
              <w:left w:val="nil"/>
              <w:bottom w:val="single" w:sz="8" w:space="0" w:color="000000"/>
              <w:right w:val="nil"/>
            </w:tcBorders>
            <w:shd w:val="clear" w:color="000000" w:fill="FFFFFF"/>
            <w:vAlign w:val="center"/>
            <w:hideMark/>
          </w:tcPr>
          <w:p w14:paraId="705A147C" w14:textId="77777777" w:rsidR="00EC23C3" w:rsidRPr="00EC23C3" w:rsidRDefault="00EC23C3" w:rsidP="00EC23C3">
            <w:pPr>
              <w:jc w:val="right"/>
              <w:rPr>
                <w:rFonts w:eastAsia="Times New Roman" w:cs="Calibri"/>
                <w:b/>
                <w:bCs/>
                <w:color w:val="000000"/>
                <w:sz w:val="2"/>
                <w:szCs w:val="2"/>
                <w:lang w:val="en-GB" w:eastAsia="en-GB"/>
              </w:rPr>
            </w:pPr>
            <w:r w:rsidRPr="00EC23C3">
              <w:rPr>
                <w:rFonts w:eastAsia="Times New Roman" w:cs="Calibri"/>
                <w:b/>
                <w:bCs/>
                <w:color w:val="000000"/>
                <w:sz w:val="2"/>
                <w:szCs w:val="2"/>
                <w:lang w:val="en-GB" w:eastAsia="en-GB"/>
              </w:rPr>
              <w:t xml:space="preserve"> </w:t>
            </w:r>
          </w:p>
        </w:tc>
        <w:tc>
          <w:tcPr>
            <w:tcW w:w="1920" w:type="dxa"/>
            <w:tcBorders>
              <w:top w:val="nil"/>
              <w:left w:val="nil"/>
              <w:bottom w:val="single" w:sz="8" w:space="0" w:color="000000"/>
              <w:right w:val="nil"/>
            </w:tcBorders>
            <w:shd w:val="clear" w:color="000000" w:fill="FFFFFF"/>
            <w:vAlign w:val="center"/>
            <w:hideMark/>
          </w:tcPr>
          <w:p w14:paraId="4AD0C05F" w14:textId="77777777" w:rsidR="00EC23C3" w:rsidRPr="00EC23C3" w:rsidRDefault="00EC23C3" w:rsidP="00EC23C3">
            <w:pPr>
              <w:jc w:val="right"/>
              <w:rPr>
                <w:rFonts w:eastAsia="Times New Roman" w:cs="Calibri"/>
                <w:b/>
                <w:bCs/>
                <w:color w:val="000000"/>
                <w:sz w:val="16"/>
                <w:szCs w:val="16"/>
                <w:lang w:val="en-GB" w:eastAsia="en-GB"/>
              </w:rPr>
            </w:pPr>
            <w:r w:rsidRPr="00EC23C3">
              <w:rPr>
                <w:rFonts w:eastAsia="Times New Roman" w:cs="Calibri"/>
                <w:b/>
                <w:bCs/>
                <w:color w:val="000000"/>
                <w:sz w:val="16"/>
                <w:szCs w:val="16"/>
                <w:lang w:val="en-GB" w:eastAsia="en-GB"/>
              </w:rPr>
              <w:t>£000</w:t>
            </w:r>
          </w:p>
        </w:tc>
        <w:tc>
          <w:tcPr>
            <w:tcW w:w="1942" w:type="dxa"/>
            <w:tcBorders>
              <w:top w:val="nil"/>
              <w:left w:val="nil"/>
              <w:bottom w:val="single" w:sz="8" w:space="0" w:color="000000"/>
              <w:right w:val="nil"/>
            </w:tcBorders>
            <w:shd w:val="clear" w:color="000000" w:fill="FFFFFF"/>
            <w:vAlign w:val="center"/>
            <w:hideMark/>
          </w:tcPr>
          <w:p w14:paraId="4570E8EF" w14:textId="77777777" w:rsidR="00EC23C3" w:rsidRPr="00EC23C3" w:rsidRDefault="00EC23C3" w:rsidP="00EC23C3">
            <w:pPr>
              <w:jc w:val="right"/>
              <w:rPr>
                <w:rFonts w:eastAsia="Times New Roman" w:cs="Calibri"/>
                <w:b/>
                <w:bCs/>
                <w:color w:val="000000"/>
                <w:sz w:val="16"/>
                <w:szCs w:val="16"/>
                <w:lang w:val="en-GB" w:eastAsia="en-GB"/>
              </w:rPr>
            </w:pPr>
            <w:r w:rsidRPr="00EC23C3">
              <w:rPr>
                <w:rFonts w:eastAsia="Times New Roman" w:cs="Calibri"/>
                <w:b/>
                <w:bCs/>
                <w:color w:val="000000"/>
                <w:sz w:val="16"/>
                <w:szCs w:val="16"/>
                <w:lang w:val="en-GB" w:eastAsia="en-GB"/>
              </w:rPr>
              <w:t>£000</w:t>
            </w:r>
          </w:p>
        </w:tc>
      </w:tr>
      <w:tr w:rsidR="00EC23C3" w:rsidRPr="00EC23C3" w14:paraId="1ACD779D" w14:textId="77777777" w:rsidTr="00B95916">
        <w:trPr>
          <w:trHeight w:val="194"/>
          <w:jc w:val="center"/>
        </w:trPr>
        <w:tc>
          <w:tcPr>
            <w:tcW w:w="1111" w:type="dxa"/>
            <w:tcBorders>
              <w:top w:val="nil"/>
              <w:left w:val="nil"/>
              <w:bottom w:val="nil"/>
              <w:right w:val="nil"/>
            </w:tcBorders>
            <w:shd w:val="clear" w:color="000000" w:fill="FFFFFF"/>
            <w:vAlign w:val="center"/>
            <w:hideMark/>
          </w:tcPr>
          <w:p w14:paraId="2D09E06D" w14:textId="77777777" w:rsidR="00EC23C3" w:rsidRPr="00EC23C3" w:rsidRDefault="00EC23C3" w:rsidP="00EC23C3">
            <w:pPr>
              <w:jc w:val="right"/>
              <w:rPr>
                <w:rFonts w:eastAsia="Times New Roman" w:cs="Calibri"/>
                <w:color w:val="000000"/>
                <w:sz w:val="16"/>
                <w:szCs w:val="16"/>
                <w:lang w:val="en-GB" w:eastAsia="en-GB"/>
              </w:rPr>
            </w:pPr>
            <w:r w:rsidRPr="00EC23C3">
              <w:rPr>
                <w:rFonts w:eastAsia="Times New Roman" w:cs="Calibri"/>
                <w:color w:val="000000"/>
                <w:sz w:val="16"/>
                <w:szCs w:val="16"/>
                <w:lang w:val="en-GB" w:eastAsia="en-GB"/>
              </w:rPr>
              <w:t>0</w:t>
            </w:r>
          </w:p>
        </w:tc>
        <w:tc>
          <w:tcPr>
            <w:tcW w:w="1922" w:type="dxa"/>
            <w:tcBorders>
              <w:top w:val="nil"/>
              <w:left w:val="nil"/>
              <w:bottom w:val="nil"/>
              <w:right w:val="nil"/>
            </w:tcBorders>
            <w:shd w:val="clear" w:color="000000" w:fill="FFFFFF"/>
            <w:vAlign w:val="center"/>
            <w:hideMark/>
          </w:tcPr>
          <w:p w14:paraId="6EF36DA4" w14:textId="77777777" w:rsidR="00EC23C3" w:rsidRPr="00EC23C3" w:rsidRDefault="00EC23C3" w:rsidP="00EC23C3">
            <w:pPr>
              <w:jc w:val="right"/>
              <w:rPr>
                <w:rFonts w:eastAsia="Times New Roman" w:cs="Calibri"/>
                <w:color w:val="000000"/>
                <w:sz w:val="16"/>
                <w:szCs w:val="16"/>
                <w:lang w:val="en-GB" w:eastAsia="en-GB"/>
              </w:rPr>
            </w:pPr>
            <w:r w:rsidRPr="00EC23C3">
              <w:rPr>
                <w:rFonts w:eastAsia="Times New Roman" w:cs="Calibri"/>
                <w:color w:val="000000"/>
                <w:sz w:val="16"/>
                <w:szCs w:val="16"/>
                <w:lang w:val="en-GB" w:eastAsia="en-GB"/>
              </w:rPr>
              <w:t>2,156,930</w:t>
            </w:r>
          </w:p>
        </w:tc>
        <w:tc>
          <w:tcPr>
            <w:tcW w:w="5691" w:type="dxa"/>
            <w:tcBorders>
              <w:top w:val="nil"/>
              <w:left w:val="nil"/>
              <w:bottom w:val="nil"/>
              <w:right w:val="nil"/>
            </w:tcBorders>
            <w:shd w:val="clear" w:color="000000" w:fill="FFFFFF"/>
            <w:vAlign w:val="center"/>
            <w:hideMark/>
          </w:tcPr>
          <w:p w14:paraId="0BC227B0" w14:textId="77777777" w:rsidR="00EC23C3" w:rsidRPr="00EC23C3" w:rsidRDefault="00EC23C3" w:rsidP="00EC23C3">
            <w:pPr>
              <w:ind w:firstLineChars="100" w:firstLine="160"/>
              <w:rPr>
                <w:rFonts w:eastAsia="Times New Roman" w:cs="Calibri"/>
                <w:color w:val="000000"/>
                <w:sz w:val="16"/>
                <w:szCs w:val="16"/>
                <w:lang w:val="en-GB" w:eastAsia="en-GB"/>
              </w:rPr>
            </w:pPr>
            <w:r w:rsidRPr="00EC23C3">
              <w:rPr>
                <w:rFonts w:eastAsia="Times New Roman" w:cs="Calibri"/>
                <w:color w:val="000000"/>
                <w:sz w:val="16"/>
                <w:szCs w:val="16"/>
                <w:lang w:val="en-GB" w:eastAsia="en-GB"/>
              </w:rPr>
              <w:t xml:space="preserve">Balance 1 April </w:t>
            </w:r>
          </w:p>
        </w:tc>
        <w:tc>
          <w:tcPr>
            <w:tcW w:w="1920" w:type="dxa"/>
            <w:tcBorders>
              <w:top w:val="nil"/>
              <w:left w:val="nil"/>
              <w:bottom w:val="nil"/>
              <w:right w:val="nil"/>
            </w:tcBorders>
            <w:shd w:val="clear" w:color="000000" w:fill="FFFFFF"/>
            <w:vAlign w:val="center"/>
            <w:hideMark/>
          </w:tcPr>
          <w:p w14:paraId="32794F33" w14:textId="77777777" w:rsidR="00EC23C3" w:rsidRPr="00EC23C3" w:rsidRDefault="00EC23C3" w:rsidP="00EC23C3">
            <w:pPr>
              <w:jc w:val="right"/>
              <w:rPr>
                <w:rFonts w:eastAsia="Times New Roman" w:cs="Calibri"/>
                <w:color w:val="000000"/>
                <w:sz w:val="16"/>
                <w:szCs w:val="16"/>
                <w:lang w:val="en-GB" w:eastAsia="en-GB"/>
              </w:rPr>
            </w:pPr>
            <w:r w:rsidRPr="00EC23C3">
              <w:rPr>
                <w:rFonts w:eastAsia="Times New Roman" w:cs="Calibri"/>
                <w:color w:val="000000"/>
                <w:sz w:val="16"/>
                <w:szCs w:val="16"/>
                <w:lang w:val="en-GB" w:eastAsia="en-GB"/>
              </w:rPr>
              <w:t>1,403</w:t>
            </w:r>
          </w:p>
        </w:tc>
        <w:tc>
          <w:tcPr>
            <w:tcW w:w="1942" w:type="dxa"/>
            <w:tcBorders>
              <w:top w:val="nil"/>
              <w:left w:val="nil"/>
              <w:bottom w:val="nil"/>
              <w:right w:val="nil"/>
            </w:tcBorders>
            <w:shd w:val="clear" w:color="000000" w:fill="FFFFFF"/>
            <w:vAlign w:val="center"/>
            <w:hideMark/>
          </w:tcPr>
          <w:p w14:paraId="72E01D35" w14:textId="77777777" w:rsidR="00EC23C3" w:rsidRPr="00EC23C3" w:rsidRDefault="00EC23C3" w:rsidP="00EC23C3">
            <w:pPr>
              <w:jc w:val="right"/>
              <w:rPr>
                <w:rFonts w:eastAsia="Times New Roman" w:cs="Calibri"/>
                <w:color w:val="000000"/>
                <w:sz w:val="16"/>
                <w:szCs w:val="16"/>
                <w:lang w:val="en-GB" w:eastAsia="en-GB"/>
              </w:rPr>
            </w:pPr>
            <w:r w:rsidRPr="00EC23C3">
              <w:rPr>
                <w:rFonts w:eastAsia="Times New Roman" w:cs="Calibri"/>
                <w:color w:val="000000"/>
                <w:sz w:val="16"/>
                <w:szCs w:val="16"/>
                <w:lang w:val="en-GB" w:eastAsia="en-GB"/>
              </w:rPr>
              <w:t>2,027,958</w:t>
            </w:r>
          </w:p>
        </w:tc>
      </w:tr>
      <w:tr w:rsidR="00EC23C3" w:rsidRPr="00EC23C3" w14:paraId="1B7DCAB6" w14:textId="77777777" w:rsidTr="00B95916">
        <w:trPr>
          <w:trHeight w:val="204"/>
          <w:jc w:val="center"/>
        </w:trPr>
        <w:tc>
          <w:tcPr>
            <w:tcW w:w="1111" w:type="dxa"/>
            <w:tcBorders>
              <w:top w:val="nil"/>
              <w:left w:val="nil"/>
              <w:bottom w:val="nil"/>
              <w:right w:val="nil"/>
            </w:tcBorders>
            <w:shd w:val="clear" w:color="000000" w:fill="FFFFFF"/>
            <w:vAlign w:val="center"/>
            <w:hideMark/>
          </w:tcPr>
          <w:p w14:paraId="5772712A" w14:textId="77777777" w:rsidR="00EC23C3" w:rsidRPr="00EC23C3" w:rsidRDefault="00EC23C3" w:rsidP="00EC23C3">
            <w:pPr>
              <w:jc w:val="right"/>
              <w:rPr>
                <w:rFonts w:eastAsia="Times New Roman" w:cs="Calibri"/>
                <w:color w:val="000000"/>
                <w:sz w:val="16"/>
                <w:szCs w:val="16"/>
                <w:lang w:val="en-GB" w:eastAsia="en-GB"/>
              </w:rPr>
            </w:pPr>
            <w:r w:rsidRPr="00EC23C3">
              <w:rPr>
                <w:rFonts w:eastAsia="Times New Roman" w:cs="Calibri"/>
                <w:color w:val="000000"/>
                <w:sz w:val="16"/>
                <w:szCs w:val="16"/>
                <w:lang w:val="en-GB" w:eastAsia="en-GB"/>
              </w:rPr>
              <w:t>1,414</w:t>
            </w:r>
          </w:p>
        </w:tc>
        <w:tc>
          <w:tcPr>
            <w:tcW w:w="1922" w:type="dxa"/>
            <w:tcBorders>
              <w:top w:val="nil"/>
              <w:left w:val="nil"/>
              <w:bottom w:val="nil"/>
              <w:right w:val="nil"/>
            </w:tcBorders>
            <w:shd w:val="clear" w:color="000000" w:fill="FFFFFF"/>
            <w:vAlign w:val="center"/>
            <w:hideMark/>
          </w:tcPr>
          <w:p w14:paraId="5C6C3BC3" w14:textId="77777777" w:rsidR="00EC23C3" w:rsidRPr="00EC23C3" w:rsidRDefault="00EC23C3" w:rsidP="00EC23C3">
            <w:pPr>
              <w:jc w:val="right"/>
              <w:rPr>
                <w:rFonts w:eastAsia="Times New Roman" w:cs="Calibri"/>
                <w:color w:val="000000"/>
                <w:sz w:val="16"/>
                <w:szCs w:val="16"/>
                <w:lang w:val="en-GB" w:eastAsia="en-GB"/>
              </w:rPr>
            </w:pPr>
            <w:r w:rsidRPr="00EC23C3">
              <w:rPr>
                <w:rFonts w:eastAsia="Times New Roman" w:cs="Calibri"/>
                <w:color w:val="000000"/>
                <w:sz w:val="16"/>
                <w:szCs w:val="16"/>
                <w:lang w:val="en-GB" w:eastAsia="en-GB"/>
              </w:rPr>
              <w:t>0</w:t>
            </w:r>
          </w:p>
        </w:tc>
        <w:tc>
          <w:tcPr>
            <w:tcW w:w="5691" w:type="dxa"/>
            <w:tcBorders>
              <w:top w:val="nil"/>
              <w:left w:val="nil"/>
              <w:bottom w:val="nil"/>
              <w:right w:val="nil"/>
            </w:tcBorders>
            <w:shd w:val="clear" w:color="000000" w:fill="FFFFFF"/>
            <w:vAlign w:val="center"/>
            <w:hideMark/>
          </w:tcPr>
          <w:p w14:paraId="3F3D8A12" w14:textId="77777777" w:rsidR="00EC23C3" w:rsidRPr="00EC23C3" w:rsidRDefault="00EC23C3" w:rsidP="00EC23C3">
            <w:pPr>
              <w:ind w:firstLineChars="100" w:firstLine="160"/>
              <w:rPr>
                <w:rFonts w:eastAsia="Times New Roman" w:cs="Calibri"/>
                <w:color w:val="000000"/>
                <w:sz w:val="16"/>
                <w:szCs w:val="16"/>
                <w:lang w:val="en-GB" w:eastAsia="en-GB"/>
              </w:rPr>
            </w:pPr>
            <w:r w:rsidRPr="00EC23C3">
              <w:rPr>
                <w:rFonts w:eastAsia="Times New Roman" w:cs="Calibri"/>
                <w:color w:val="000000"/>
                <w:sz w:val="16"/>
                <w:szCs w:val="16"/>
                <w:lang w:val="en-GB" w:eastAsia="en-GB"/>
              </w:rPr>
              <w:t>Transfer from CC to PCC</w:t>
            </w:r>
          </w:p>
        </w:tc>
        <w:tc>
          <w:tcPr>
            <w:tcW w:w="1920" w:type="dxa"/>
            <w:tcBorders>
              <w:top w:val="nil"/>
              <w:left w:val="nil"/>
              <w:bottom w:val="nil"/>
              <w:right w:val="nil"/>
            </w:tcBorders>
            <w:shd w:val="clear" w:color="000000" w:fill="FFFFFF"/>
            <w:vAlign w:val="center"/>
            <w:hideMark/>
          </w:tcPr>
          <w:p w14:paraId="36E6B366" w14:textId="77777777" w:rsidR="00EC23C3" w:rsidRPr="00EC23C3" w:rsidRDefault="00EC23C3" w:rsidP="00EC23C3">
            <w:pPr>
              <w:jc w:val="right"/>
              <w:rPr>
                <w:rFonts w:eastAsia="Times New Roman" w:cs="Calibri"/>
                <w:color w:val="000000"/>
                <w:sz w:val="16"/>
                <w:szCs w:val="16"/>
                <w:lang w:val="en-GB" w:eastAsia="en-GB"/>
              </w:rPr>
            </w:pPr>
            <w:r w:rsidRPr="00EC23C3">
              <w:rPr>
                <w:rFonts w:eastAsia="Times New Roman" w:cs="Calibri"/>
                <w:color w:val="000000"/>
                <w:sz w:val="16"/>
                <w:szCs w:val="16"/>
                <w:lang w:val="en-GB" w:eastAsia="en-GB"/>
              </w:rPr>
              <w:t>0</w:t>
            </w:r>
          </w:p>
        </w:tc>
        <w:tc>
          <w:tcPr>
            <w:tcW w:w="1942" w:type="dxa"/>
            <w:tcBorders>
              <w:top w:val="nil"/>
              <w:left w:val="nil"/>
              <w:bottom w:val="nil"/>
              <w:right w:val="nil"/>
            </w:tcBorders>
            <w:shd w:val="clear" w:color="000000" w:fill="FFFFFF"/>
            <w:vAlign w:val="center"/>
            <w:hideMark/>
          </w:tcPr>
          <w:p w14:paraId="4B7D283F" w14:textId="77777777" w:rsidR="00EC23C3" w:rsidRPr="00EC23C3" w:rsidRDefault="00EC23C3" w:rsidP="00EC23C3">
            <w:pPr>
              <w:jc w:val="right"/>
              <w:rPr>
                <w:rFonts w:eastAsia="Times New Roman" w:cs="Calibri"/>
                <w:color w:val="000000"/>
                <w:sz w:val="16"/>
                <w:szCs w:val="16"/>
                <w:lang w:val="en-GB" w:eastAsia="en-GB"/>
              </w:rPr>
            </w:pPr>
            <w:r w:rsidRPr="00EC23C3">
              <w:rPr>
                <w:rFonts w:eastAsia="Times New Roman" w:cs="Calibri"/>
                <w:color w:val="000000"/>
                <w:sz w:val="16"/>
                <w:szCs w:val="16"/>
                <w:lang w:val="en-GB" w:eastAsia="en-GB"/>
              </w:rPr>
              <w:t>0</w:t>
            </w:r>
          </w:p>
        </w:tc>
      </w:tr>
      <w:tr w:rsidR="00EC23C3" w:rsidRPr="00EC23C3" w14:paraId="57496BE2" w14:textId="77777777" w:rsidTr="00B95916">
        <w:trPr>
          <w:trHeight w:val="204"/>
          <w:jc w:val="center"/>
        </w:trPr>
        <w:tc>
          <w:tcPr>
            <w:tcW w:w="1111" w:type="dxa"/>
            <w:tcBorders>
              <w:top w:val="single" w:sz="8" w:space="0" w:color="auto"/>
              <w:left w:val="nil"/>
              <w:bottom w:val="single" w:sz="8" w:space="0" w:color="auto"/>
              <w:right w:val="nil"/>
            </w:tcBorders>
            <w:shd w:val="clear" w:color="000000" w:fill="FFFFFF"/>
            <w:vAlign w:val="center"/>
            <w:hideMark/>
          </w:tcPr>
          <w:p w14:paraId="43D66915" w14:textId="77777777" w:rsidR="00EC23C3" w:rsidRPr="00EC23C3" w:rsidRDefault="00EC23C3" w:rsidP="00EC23C3">
            <w:pPr>
              <w:jc w:val="right"/>
              <w:rPr>
                <w:rFonts w:eastAsia="Times New Roman" w:cs="Calibri"/>
                <w:b/>
                <w:bCs/>
                <w:color w:val="000000"/>
                <w:sz w:val="16"/>
                <w:szCs w:val="16"/>
                <w:lang w:val="en-GB" w:eastAsia="en-GB"/>
              </w:rPr>
            </w:pPr>
            <w:r w:rsidRPr="00EC23C3">
              <w:rPr>
                <w:rFonts w:eastAsia="Times New Roman" w:cs="Calibri"/>
                <w:b/>
                <w:bCs/>
                <w:color w:val="000000"/>
                <w:sz w:val="16"/>
                <w:szCs w:val="16"/>
                <w:lang w:val="en-GB" w:eastAsia="en-GB"/>
              </w:rPr>
              <w:t>1,414</w:t>
            </w:r>
          </w:p>
        </w:tc>
        <w:tc>
          <w:tcPr>
            <w:tcW w:w="1922" w:type="dxa"/>
            <w:tcBorders>
              <w:top w:val="single" w:sz="8" w:space="0" w:color="auto"/>
              <w:left w:val="nil"/>
              <w:bottom w:val="single" w:sz="8" w:space="0" w:color="auto"/>
              <w:right w:val="nil"/>
            </w:tcBorders>
            <w:shd w:val="clear" w:color="000000" w:fill="FFFFFF"/>
            <w:vAlign w:val="center"/>
            <w:hideMark/>
          </w:tcPr>
          <w:p w14:paraId="138A109D" w14:textId="77777777" w:rsidR="00EC23C3" w:rsidRPr="00EC23C3" w:rsidRDefault="00EC23C3" w:rsidP="00EC23C3">
            <w:pPr>
              <w:jc w:val="right"/>
              <w:rPr>
                <w:rFonts w:eastAsia="Times New Roman" w:cs="Calibri"/>
                <w:b/>
                <w:bCs/>
                <w:color w:val="000000"/>
                <w:sz w:val="16"/>
                <w:szCs w:val="16"/>
                <w:lang w:val="en-GB" w:eastAsia="en-GB"/>
              </w:rPr>
            </w:pPr>
            <w:r w:rsidRPr="00EC23C3">
              <w:rPr>
                <w:rFonts w:eastAsia="Times New Roman" w:cs="Calibri"/>
                <w:b/>
                <w:bCs/>
                <w:color w:val="000000"/>
                <w:sz w:val="16"/>
                <w:szCs w:val="16"/>
                <w:lang w:val="en-GB" w:eastAsia="en-GB"/>
              </w:rPr>
              <w:t>2,156,930</w:t>
            </w:r>
          </w:p>
        </w:tc>
        <w:tc>
          <w:tcPr>
            <w:tcW w:w="5691" w:type="dxa"/>
            <w:tcBorders>
              <w:top w:val="single" w:sz="8" w:space="0" w:color="auto"/>
              <w:left w:val="nil"/>
              <w:bottom w:val="single" w:sz="8" w:space="0" w:color="auto"/>
              <w:right w:val="nil"/>
            </w:tcBorders>
            <w:shd w:val="clear" w:color="000000" w:fill="FFFFFF"/>
            <w:vAlign w:val="center"/>
            <w:hideMark/>
          </w:tcPr>
          <w:p w14:paraId="32AC238A" w14:textId="77777777" w:rsidR="00EC23C3" w:rsidRPr="00EC23C3" w:rsidRDefault="00EC23C3" w:rsidP="00EC23C3">
            <w:pPr>
              <w:ind w:firstLineChars="100" w:firstLine="161"/>
              <w:rPr>
                <w:rFonts w:eastAsia="Times New Roman" w:cs="Calibri"/>
                <w:b/>
                <w:bCs/>
                <w:color w:val="000000"/>
                <w:sz w:val="16"/>
                <w:szCs w:val="16"/>
                <w:lang w:val="en-GB" w:eastAsia="en-GB"/>
              </w:rPr>
            </w:pPr>
            <w:r w:rsidRPr="00EC23C3">
              <w:rPr>
                <w:rFonts w:eastAsia="Times New Roman" w:cs="Calibri"/>
                <w:b/>
                <w:bCs/>
                <w:color w:val="000000"/>
                <w:sz w:val="16"/>
                <w:szCs w:val="16"/>
                <w:lang w:val="en-GB" w:eastAsia="en-GB"/>
              </w:rPr>
              <w:t xml:space="preserve">Revised Balance 1 April </w:t>
            </w:r>
          </w:p>
        </w:tc>
        <w:tc>
          <w:tcPr>
            <w:tcW w:w="1920" w:type="dxa"/>
            <w:tcBorders>
              <w:top w:val="single" w:sz="8" w:space="0" w:color="auto"/>
              <w:left w:val="nil"/>
              <w:bottom w:val="single" w:sz="8" w:space="0" w:color="auto"/>
              <w:right w:val="nil"/>
            </w:tcBorders>
            <w:shd w:val="clear" w:color="000000" w:fill="FFFFFF"/>
            <w:vAlign w:val="center"/>
            <w:hideMark/>
          </w:tcPr>
          <w:p w14:paraId="10DC2A12" w14:textId="77777777" w:rsidR="00EC23C3" w:rsidRPr="00EC23C3" w:rsidRDefault="00EC23C3" w:rsidP="00EC23C3">
            <w:pPr>
              <w:jc w:val="right"/>
              <w:rPr>
                <w:rFonts w:eastAsia="Times New Roman" w:cs="Calibri"/>
                <w:b/>
                <w:bCs/>
                <w:color w:val="000000"/>
                <w:sz w:val="16"/>
                <w:szCs w:val="16"/>
                <w:lang w:val="en-GB" w:eastAsia="en-GB"/>
              </w:rPr>
            </w:pPr>
            <w:r w:rsidRPr="00EC23C3">
              <w:rPr>
                <w:rFonts w:eastAsia="Times New Roman" w:cs="Calibri"/>
                <w:b/>
                <w:bCs/>
                <w:color w:val="000000"/>
                <w:sz w:val="16"/>
                <w:szCs w:val="16"/>
                <w:lang w:val="en-GB" w:eastAsia="en-GB"/>
              </w:rPr>
              <w:t>1,403</w:t>
            </w:r>
          </w:p>
        </w:tc>
        <w:tc>
          <w:tcPr>
            <w:tcW w:w="1942" w:type="dxa"/>
            <w:tcBorders>
              <w:top w:val="single" w:sz="8" w:space="0" w:color="auto"/>
              <w:left w:val="nil"/>
              <w:bottom w:val="single" w:sz="8" w:space="0" w:color="auto"/>
              <w:right w:val="nil"/>
            </w:tcBorders>
            <w:shd w:val="clear" w:color="000000" w:fill="FFFFFF"/>
            <w:vAlign w:val="center"/>
            <w:hideMark/>
          </w:tcPr>
          <w:p w14:paraId="6946AC35" w14:textId="77777777" w:rsidR="00EC23C3" w:rsidRPr="00EC23C3" w:rsidRDefault="00EC23C3" w:rsidP="00EC23C3">
            <w:pPr>
              <w:jc w:val="right"/>
              <w:rPr>
                <w:rFonts w:eastAsia="Times New Roman" w:cs="Calibri"/>
                <w:b/>
                <w:bCs/>
                <w:color w:val="000000"/>
                <w:sz w:val="16"/>
                <w:szCs w:val="16"/>
                <w:lang w:val="en-GB" w:eastAsia="en-GB"/>
              </w:rPr>
            </w:pPr>
            <w:r w:rsidRPr="00EC23C3">
              <w:rPr>
                <w:rFonts w:eastAsia="Times New Roman" w:cs="Calibri"/>
                <w:b/>
                <w:bCs/>
                <w:color w:val="000000"/>
                <w:sz w:val="16"/>
                <w:szCs w:val="16"/>
                <w:lang w:val="en-GB" w:eastAsia="en-GB"/>
              </w:rPr>
              <w:t>2,027,958</w:t>
            </w:r>
          </w:p>
        </w:tc>
      </w:tr>
      <w:tr w:rsidR="00EC23C3" w:rsidRPr="00955A82" w14:paraId="4A496F51" w14:textId="77777777" w:rsidTr="00955A82">
        <w:trPr>
          <w:trHeight w:val="54"/>
          <w:jc w:val="center"/>
        </w:trPr>
        <w:tc>
          <w:tcPr>
            <w:tcW w:w="1111" w:type="dxa"/>
            <w:tcBorders>
              <w:top w:val="nil"/>
              <w:left w:val="nil"/>
              <w:bottom w:val="nil"/>
              <w:right w:val="nil"/>
            </w:tcBorders>
            <w:shd w:val="clear" w:color="000000" w:fill="FFFFFF"/>
            <w:vAlign w:val="center"/>
            <w:hideMark/>
          </w:tcPr>
          <w:p w14:paraId="36BC95E4" w14:textId="77777777" w:rsidR="00EC23C3" w:rsidRPr="00955A82" w:rsidRDefault="00EC23C3" w:rsidP="00EC23C3">
            <w:pPr>
              <w:jc w:val="right"/>
              <w:rPr>
                <w:rFonts w:eastAsia="Times New Roman" w:cs="Calibri"/>
                <w:color w:val="000000"/>
                <w:sz w:val="16"/>
                <w:szCs w:val="16"/>
                <w:lang w:val="en-GB" w:eastAsia="en-GB"/>
              </w:rPr>
            </w:pPr>
            <w:r w:rsidRPr="00955A82">
              <w:rPr>
                <w:rFonts w:eastAsia="Times New Roman" w:cs="Calibri"/>
                <w:color w:val="000000"/>
                <w:sz w:val="16"/>
                <w:szCs w:val="16"/>
                <w:lang w:val="en-GB" w:eastAsia="en-GB"/>
              </w:rPr>
              <w:t>(152)</w:t>
            </w:r>
          </w:p>
        </w:tc>
        <w:tc>
          <w:tcPr>
            <w:tcW w:w="1922" w:type="dxa"/>
            <w:tcBorders>
              <w:top w:val="nil"/>
              <w:left w:val="nil"/>
              <w:bottom w:val="nil"/>
              <w:right w:val="nil"/>
            </w:tcBorders>
            <w:shd w:val="clear" w:color="000000" w:fill="FFFFFF"/>
            <w:vAlign w:val="center"/>
            <w:hideMark/>
          </w:tcPr>
          <w:p w14:paraId="7BCF2F08" w14:textId="77777777" w:rsidR="00EC23C3" w:rsidRPr="00955A82" w:rsidRDefault="00EC23C3" w:rsidP="00EC23C3">
            <w:pPr>
              <w:jc w:val="right"/>
              <w:rPr>
                <w:rFonts w:eastAsia="Times New Roman" w:cs="Calibri"/>
                <w:color w:val="000000"/>
                <w:sz w:val="16"/>
                <w:szCs w:val="16"/>
                <w:lang w:val="en-GB" w:eastAsia="en-GB"/>
              </w:rPr>
            </w:pPr>
            <w:r w:rsidRPr="00955A82">
              <w:rPr>
                <w:rFonts w:eastAsia="Times New Roman" w:cs="Calibri"/>
                <w:color w:val="000000"/>
                <w:sz w:val="16"/>
                <w:szCs w:val="16"/>
                <w:lang w:val="en-GB" w:eastAsia="en-GB"/>
              </w:rPr>
              <w:t>(191,999)</w:t>
            </w:r>
          </w:p>
        </w:tc>
        <w:tc>
          <w:tcPr>
            <w:tcW w:w="5691" w:type="dxa"/>
            <w:tcBorders>
              <w:top w:val="nil"/>
              <w:left w:val="nil"/>
              <w:bottom w:val="nil"/>
              <w:right w:val="nil"/>
            </w:tcBorders>
            <w:shd w:val="clear" w:color="000000" w:fill="FFFFFF"/>
            <w:vAlign w:val="center"/>
            <w:hideMark/>
          </w:tcPr>
          <w:p w14:paraId="564C32A0" w14:textId="77777777" w:rsidR="00EC23C3" w:rsidRPr="00955A82" w:rsidRDefault="00EC23C3" w:rsidP="00EC23C3">
            <w:pPr>
              <w:ind w:firstLineChars="100" w:firstLine="160"/>
              <w:rPr>
                <w:rFonts w:eastAsia="Times New Roman" w:cs="Calibri"/>
                <w:color w:val="000000"/>
                <w:sz w:val="16"/>
                <w:szCs w:val="16"/>
                <w:lang w:val="en-GB" w:eastAsia="en-GB"/>
              </w:rPr>
            </w:pPr>
            <w:r w:rsidRPr="00955A82">
              <w:rPr>
                <w:rFonts w:eastAsia="Times New Roman" w:cs="Calibri"/>
                <w:color w:val="000000"/>
                <w:sz w:val="16"/>
                <w:szCs w:val="16"/>
                <w:lang w:val="en-GB" w:eastAsia="en-GB"/>
              </w:rPr>
              <w:t>Re-measurements of the net defined benefit (liability)/asset</w:t>
            </w:r>
          </w:p>
        </w:tc>
        <w:tc>
          <w:tcPr>
            <w:tcW w:w="1920" w:type="dxa"/>
            <w:tcBorders>
              <w:top w:val="nil"/>
              <w:left w:val="nil"/>
              <w:bottom w:val="nil"/>
              <w:right w:val="nil"/>
            </w:tcBorders>
            <w:shd w:val="clear" w:color="000000" w:fill="FFFFFF"/>
            <w:vAlign w:val="center"/>
            <w:hideMark/>
          </w:tcPr>
          <w:p w14:paraId="443F138B" w14:textId="09CFEEAF" w:rsidR="00EC23C3" w:rsidRPr="00955A82" w:rsidRDefault="00955A82" w:rsidP="00EC23C3">
            <w:pPr>
              <w:jc w:val="right"/>
              <w:rPr>
                <w:rFonts w:eastAsia="Times New Roman" w:cs="Calibri"/>
                <w:color w:val="000000"/>
                <w:sz w:val="16"/>
                <w:szCs w:val="16"/>
                <w:lang w:val="en-GB" w:eastAsia="en-GB"/>
              </w:rPr>
            </w:pPr>
            <w:r w:rsidRPr="00955A82">
              <w:rPr>
                <w:rFonts w:eastAsia="Times New Roman" w:cs="Calibri"/>
                <w:color w:val="000000"/>
                <w:sz w:val="16"/>
                <w:szCs w:val="16"/>
                <w:lang w:val="en-GB" w:eastAsia="en-GB"/>
              </w:rPr>
              <w:t>924</w:t>
            </w:r>
            <w:r w:rsidR="00EC23C3" w:rsidRPr="00955A82">
              <w:rPr>
                <w:rFonts w:eastAsia="Times New Roman" w:cs="Calibri"/>
                <w:color w:val="000000"/>
                <w:sz w:val="16"/>
                <w:szCs w:val="16"/>
                <w:lang w:val="en-GB" w:eastAsia="en-GB"/>
              </w:rPr>
              <w:t> </w:t>
            </w:r>
          </w:p>
        </w:tc>
        <w:tc>
          <w:tcPr>
            <w:tcW w:w="1942" w:type="dxa"/>
            <w:tcBorders>
              <w:top w:val="nil"/>
              <w:left w:val="nil"/>
              <w:bottom w:val="nil"/>
              <w:right w:val="nil"/>
            </w:tcBorders>
            <w:shd w:val="clear" w:color="000000" w:fill="FFFFFF"/>
            <w:vAlign w:val="center"/>
            <w:hideMark/>
          </w:tcPr>
          <w:p w14:paraId="42DD9928" w14:textId="1A4A8013" w:rsidR="00EC23C3" w:rsidRPr="00955A82" w:rsidRDefault="00955A82" w:rsidP="00EC23C3">
            <w:pPr>
              <w:jc w:val="right"/>
              <w:rPr>
                <w:rFonts w:eastAsia="Times New Roman" w:cs="Calibri"/>
                <w:color w:val="000000"/>
                <w:sz w:val="16"/>
                <w:szCs w:val="16"/>
                <w:lang w:val="en-GB" w:eastAsia="en-GB"/>
              </w:rPr>
            </w:pPr>
            <w:r w:rsidRPr="00955A82">
              <w:rPr>
                <w:rFonts w:eastAsia="Times New Roman" w:cs="Calibri"/>
                <w:color w:val="000000"/>
                <w:sz w:val="16"/>
                <w:szCs w:val="16"/>
                <w:lang w:val="en-GB" w:eastAsia="en-GB"/>
              </w:rPr>
              <w:t>80,784</w:t>
            </w:r>
            <w:r w:rsidR="00EC23C3" w:rsidRPr="00955A82">
              <w:rPr>
                <w:rFonts w:eastAsia="Times New Roman" w:cs="Calibri"/>
                <w:color w:val="000000"/>
                <w:sz w:val="16"/>
                <w:szCs w:val="16"/>
                <w:lang w:val="en-GB" w:eastAsia="en-GB"/>
              </w:rPr>
              <w:t> </w:t>
            </w:r>
          </w:p>
        </w:tc>
      </w:tr>
      <w:tr w:rsidR="00EC23C3" w:rsidRPr="00955A82" w14:paraId="1F9EBABE" w14:textId="77777777" w:rsidTr="00955A82">
        <w:trPr>
          <w:trHeight w:val="74"/>
          <w:jc w:val="center"/>
        </w:trPr>
        <w:tc>
          <w:tcPr>
            <w:tcW w:w="1111" w:type="dxa"/>
            <w:tcBorders>
              <w:top w:val="nil"/>
              <w:left w:val="nil"/>
              <w:bottom w:val="nil"/>
              <w:right w:val="nil"/>
            </w:tcBorders>
            <w:shd w:val="clear" w:color="000000" w:fill="FFFFFF"/>
            <w:vAlign w:val="center"/>
            <w:hideMark/>
          </w:tcPr>
          <w:p w14:paraId="7E4063D1" w14:textId="77777777" w:rsidR="00EC23C3" w:rsidRPr="00955A82" w:rsidRDefault="00EC23C3" w:rsidP="00EC23C3">
            <w:pPr>
              <w:jc w:val="right"/>
              <w:rPr>
                <w:rFonts w:eastAsia="Times New Roman" w:cs="Calibri"/>
                <w:color w:val="000000"/>
                <w:sz w:val="16"/>
                <w:szCs w:val="16"/>
                <w:lang w:val="en-GB" w:eastAsia="en-GB"/>
              </w:rPr>
            </w:pPr>
            <w:r w:rsidRPr="00955A82">
              <w:rPr>
                <w:rFonts w:eastAsia="Times New Roman" w:cs="Calibri"/>
                <w:color w:val="000000"/>
                <w:sz w:val="16"/>
                <w:szCs w:val="16"/>
                <w:lang w:val="en-GB" w:eastAsia="en-GB"/>
              </w:rPr>
              <w:t>224</w:t>
            </w:r>
          </w:p>
        </w:tc>
        <w:tc>
          <w:tcPr>
            <w:tcW w:w="1922" w:type="dxa"/>
            <w:tcBorders>
              <w:top w:val="nil"/>
              <w:left w:val="nil"/>
              <w:bottom w:val="nil"/>
              <w:right w:val="nil"/>
            </w:tcBorders>
            <w:shd w:val="clear" w:color="000000" w:fill="FFFFFF"/>
            <w:vAlign w:val="center"/>
            <w:hideMark/>
          </w:tcPr>
          <w:p w14:paraId="074250A0" w14:textId="77777777" w:rsidR="00EC23C3" w:rsidRPr="00955A82" w:rsidRDefault="00EC23C3" w:rsidP="00EC23C3">
            <w:pPr>
              <w:jc w:val="right"/>
              <w:rPr>
                <w:rFonts w:eastAsia="Times New Roman" w:cs="Calibri"/>
                <w:color w:val="000000"/>
                <w:sz w:val="16"/>
                <w:szCs w:val="16"/>
                <w:lang w:val="en-GB" w:eastAsia="en-GB"/>
              </w:rPr>
            </w:pPr>
            <w:r w:rsidRPr="00955A82">
              <w:rPr>
                <w:rFonts w:eastAsia="Times New Roman" w:cs="Calibri"/>
                <w:color w:val="000000"/>
                <w:sz w:val="16"/>
                <w:szCs w:val="16"/>
                <w:lang w:val="en-GB" w:eastAsia="en-GB"/>
              </w:rPr>
              <w:t>113,404</w:t>
            </w:r>
          </w:p>
        </w:tc>
        <w:tc>
          <w:tcPr>
            <w:tcW w:w="5691" w:type="dxa"/>
            <w:tcBorders>
              <w:top w:val="nil"/>
              <w:left w:val="nil"/>
              <w:bottom w:val="nil"/>
              <w:right w:val="nil"/>
            </w:tcBorders>
            <w:shd w:val="clear" w:color="000000" w:fill="FFFFFF"/>
            <w:vAlign w:val="center"/>
            <w:hideMark/>
          </w:tcPr>
          <w:p w14:paraId="161BBBCE" w14:textId="4F5F7453" w:rsidR="00EC23C3" w:rsidRPr="00955A82" w:rsidRDefault="00EC23C3" w:rsidP="00955A82">
            <w:pPr>
              <w:ind w:firstLineChars="100" w:firstLine="160"/>
              <w:rPr>
                <w:rFonts w:eastAsia="Times New Roman" w:cs="Calibri"/>
                <w:color w:val="000000"/>
                <w:sz w:val="16"/>
                <w:szCs w:val="16"/>
                <w:lang w:val="en-GB" w:eastAsia="en-GB"/>
              </w:rPr>
            </w:pPr>
            <w:r w:rsidRPr="00955A82">
              <w:rPr>
                <w:rFonts w:eastAsia="Times New Roman" w:cs="Calibri"/>
                <w:color w:val="000000"/>
                <w:sz w:val="16"/>
                <w:szCs w:val="16"/>
                <w:lang w:val="en-GB" w:eastAsia="en-GB"/>
              </w:rPr>
              <w:t xml:space="preserve">Reversal of items relating to retirement benefits debited or </w:t>
            </w:r>
            <w:r w:rsidR="00955A82">
              <w:rPr>
                <w:rFonts w:eastAsia="Times New Roman" w:cs="Calibri"/>
                <w:color w:val="000000"/>
                <w:sz w:val="16"/>
                <w:szCs w:val="16"/>
                <w:lang w:val="en-GB" w:eastAsia="en-GB"/>
              </w:rPr>
              <w:t xml:space="preserve"> </w:t>
            </w:r>
            <w:r w:rsidRPr="00955A82">
              <w:rPr>
                <w:rFonts w:eastAsia="Times New Roman" w:cs="Calibri"/>
                <w:color w:val="000000"/>
                <w:sz w:val="16"/>
                <w:szCs w:val="16"/>
                <w:lang w:val="en-GB" w:eastAsia="en-GB"/>
              </w:rPr>
              <w:t>credited to Surplus</w:t>
            </w:r>
            <w:r w:rsidR="00955A82">
              <w:rPr>
                <w:rFonts w:eastAsia="Times New Roman" w:cs="Calibri"/>
                <w:color w:val="000000"/>
                <w:sz w:val="16"/>
                <w:szCs w:val="16"/>
                <w:lang w:val="en-GB" w:eastAsia="en-GB"/>
              </w:rPr>
              <w:t>/</w:t>
            </w:r>
            <w:r w:rsidRPr="00955A82">
              <w:rPr>
                <w:rFonts w:eastAsia="Times New Roman" w:cs="Calibri"/>
                <w:color w:val="000000"/>
                <w:sz w:val="16"/>
                <w:szCs w:val="16"/>
                <w:lang w:val="en-GB" w:eastAsia="en-GB"/>
              </w:rPr>
              <w:t xml:space="preserve">Deficit on the Provision of Services in the </w:t>
            </w:r>
            <w:r w:rsidR="00955A82">
              <w:rPr>
                <w:rFonts w:eastAsia="Times New Roman" w:cs="Calibri"/>
                <w:color w:val="000000"/>
                <w:sz w:val="16"/>
                <w:szCs w:val="16"/>
                <w:lang w:val="en-GB" w:eastAsia="en-GB"/>
              </w:rPr>
              <w:t>CIES</w:t>
            </w:r>
            <w:r w:rsidRPr="00955A82">
              <w:rPr>
                <w:rFonts w:eastAsia="Times New Roman" w:cs="Calibri"/>
                <w:color w:val="000000"/>
                <w:sz w:val="16"/>
                <w:szCs w:val="16"/>
                <w:lang w:val="en-GB" w:eastAsia="en-GB"/>
              </w:rPr>
              <w:t xml:space="preserve"> </w:t>
            </w:r>
          </w:p>
        </w:tc>
        <w:tc>
          <w:tcPr>
            <w:tcW w:w="1920" w:type="dxa"/>
            <w:tcBorders>
              <w:top w:val="nil"/>
              <w:left w:val="nil"/>
              <w:bottom w:val="nil"/>
              <w:right w:val="nil"/>
            </w:tcBorders>
            <w:shd w:val="clear" w:color="000000" w:fill="FFFFFF"/>
            <w:vAlign w:val="center"/>
            <w:hideMark/>
          </w:tcPr>
          <w:p w14:paraId="410091B9" w14:textId="424D0601" w:rsidR="00EC23C3" w:rsidRPr="00955A82" w:rsidRDefault="00955A82" w:rsidP="00EC23C3">
            <w:pPr>
              <w:jc w:val="right"/>
              <w:rPr>
                <w:rFonts w:eastAsia="Times New Roman" w:cs="Calibri"/>
                <w:color w:val="000000"/>
                <w:sz w:val="16"/>
                <w:szCs w:val="16"/>
                <w:lang w:val="en-GB" w:eastAsia="en-GB"/>
              </w:rPr>
            </w:pPr>
            <w:r w:rsidRPr="00955A82">
              <w:rPr>
                <w:rFonts w:eastAsia="Times New Roman" w:cs="Calibri"/>
                <w:color w:val="000000"/>
                <w:sz w:val="16"/>
                <w:szCs w:val="16"/>
                <w:lang w:val="en-GB" w:eastAsia="en-GB"/>
              </w:rPr>
              <w:t>247</w:t>
            </w:r>
            <w:r w:rsidR="00EC23C3" w:rsidRPr="00955A82">
              <w:rPr>
                <w:rFonts w:eastAsia="Times New Roman" w:cs="Calibri"/>
                <w:color w:val="000000"/>
                <w:sz w:val="16"/>
                <w:szCs w:val="16"/>
                <w:lang w:val="en-GB" w:eastAsia="en-GB"/>
              </w:rPr>
              <w:t> </w:t>
            </w:r>
          </w:p>
        </w:tc>
        <w:tc>
          <w:tcPr>
            <w:tcW w:w="1942" w:type="dxa"/>
            <w:tcBorders>
              <w:top w:val="nil"/>
              <w:left w:val="nil"/>
              <w:bottom w:val="nil"/>
              <w:right w:val="nil"/>
            </w:tcBorders>
            <w:shd w:val="clear" w:color="000000" w:fill="FFFFFF"/>
            <w:vAlign w:val="center"/>
            <w:hideMark/>
          </w:tcPr>
          <w:p w14:paraId="4DE32F69" w14:textId="3B880EBF" w:rsidR="00EC23C3" w:rsidRPr="00955A82" w:rsidRDefault="00EC23C3" w:rsidP="00955A82">
            <w:pPr>
              <w:jc w:val="right"/>
              <w:rPr>
                <w:rFonts w:eastAsia="Times New Roman" w:cs="Calibri"/>
                <w:color w:val="000000"/>
                <w:sz w:val="16"/>
                <w:szCs w:val="16"/>
                <w:lang w:val="en-GB" w:eastAsia="en-GB"/>
              </w:rPr>
            </w:pPr>
            <w:r w:rsidRPr="00955A82">
              <w:rPr>
                <w:rFonts w:eastAsia="Times New Roman" w:cs="Calibri"/>
                <w:color w:val="000000"/>
                <w:sz w:val="16"/>
                <w:szCs w:val="16"/>
                <w:lang w:val="en-GB" w:eastAsia="en-GB"/>
              </w:rPr>
              <w:t> </w:t>
            </w:r>
            <w:r w:rsidR="00955A82" w:rsidRPr="00955A82">
              <w:rPr>
                <w:rFonts w:eastAsia="Times New Roman" w:cs="Calibri"/>
                <w:color w:val="000000"/>
                <w:sz w:val="16"/>
                <w:szCs w:val="16"/>
                <w:lang w:val="en-GB" w:eastAsia="en-GB"/>
              </w:rPr>
              <w:t>117,180</w:t>
            </w:r>
          </w:p>
        </w:tc>
      </w:tr>
      <w:tr w:rsidR="00EC23C3" w:rsidRPr="00955A82" w14:paraId="38C02D76" w14:textId="77777777" w:rsidTr="00955A82">
        <w:trPr>
          <w:trHeight w:val="74"/>
          <w:jc w:val="center"/>
        </w:trPr>
        <w:tc>
          <w:tcPr>
            <w:tcW w:w="1111" w:type="dxa"/>
            <w:tcBorders>
              <w:top w:val="nil"/>
              <w:left w:val="nil"/>
              <w:bottom w:val="nil"/>
              <w:right w:val="nil"/>
            </w:tcBorders>
            <w:shd w:val="clear" w:color="000000" w:fill="FFFFFF"/>
            <w:vAlign w:val="center"/>
            <w:hideMark/>
          </w:tcPr>
          <w:p w14:paraId="276EDE92" w14:textId="77777777" w:rsidR="00EC23C3" w:rsidRPr="00955A82" w:rsidRDefault="00EC23C3" w:rsidP="00EC23C3">
            <w:pPr>
              <w:jc w:val="right"/>
              <w:rPr>
                <w:rFonts w:eastAsia="Times New Roman" w:cs="Calibri"/>
                <w:color w:val="000000"/>
                <w:sz w:val="16"/>
                <w:szCs w:val="16"/>
                <w:lang w:val="en-GB" w:eastAsia="en-GB"/>
              </w:rPr>
            </w:pPr>
            <w:r w:rsidRPr="00955A82">
              <w:rPr>
                <w:rFonts w:eastAsia="Times New Roman" w:cs="Calibri"/>
                <w:color w:val="000000"/>
                <w:sz w:val="16"/>
                <w:szCs w:val="16"/>
                <w:lang w:val="en-GB" w:eastAsia="en-GB"/>
              </w:rPr>
              <w:t>(83)</w:t>
            </w:r>
          </w:p>
        </w:tc>
        <w:tc>
          <w:tcPr>
            <w:tcW w:w="1922" w:type="dxa"/>
            <w:tcBorders>
              <w:top w:val="nil"/>
              <w:left w:val="nil"/>
              <w:bottom w:val="nil"/>
              <w:right w:val="nil"/>
            </w:tcBorders>
            <w:shd w:val="clear" w:color="000000" w:fill="FFFFFF"/>
            <w:vAlign w:val="center"/>
            <w:hideMark/>
          </w:tcPr>
          <w:p w14:paraId="635D4ED2" w14:textId="77777777" w:rsidR="00EC23C3" w:rsidRPr="00955A82" w:rsidRDefault="00EC23C3" w:rsidP="00EC23C3">
            <w:pPr>
              <w:jc w:val="right"/>
              <w:rPr>
                <w:rFonts w:eastAsia="Times New Roman" w:cs="Calibri"/>
                <w:color w:val="000000"/>
                <w:sz w:val="16"/>
                <w:szCs w:val="16"/>
                <w:lang w:val="en-GB" w:eastAsia="en-GB"/>
              </w:rPr>
            </w:pPr>
            <w:r w:rsidRPr="00955A82">
              <w:rPr>
                <w:rFonts w:eastAsia="Times New Roman" w:cs="Calibri"/>
                <w:color w:val="000000"/>
                <w:sz w:val="16"/>
                <w:szCs w:val="16"/>
                <w:lang w:val="en-GB" w:eastAsia="en-GB"/>
              </w:rPr>
              <w:t>(50,377)</w:t>
            </w:r>
          </w:p>
        </w:tc>
        <w:tc>
          <w:tcPr>
            <w:tcW w:w="5691" w:type="dxa"/>
            <w:tcBorders>
              <w:top w:val="nil"/>
              <w:left w:val="nil"/>
              <w:bottom w:val="nil"/>
              <w:right w:val="nil"/>
            </w:tcBorders>
            <w:shd w:val="clear" w:color="000000" w:fill="FFFFFF"/>
            <w:vAlign w:val="center"/>
            <w:hideMark/>
          </w:tcPr>
          <w:p w14:paraId="0DA5A895" w14:textId="77777777" w:rsidR="00EC23C3" w:rsidRPr="00955A82" w:rsidRDefault="00EC23C3" w:rsidP="00EC23C3">
            <w:pPr>
              <w:ind w:firstLineChars="100" w:firstLine="160"/>
              <w:rPr>
                <w:rFonts w:eastAsia="Times New Roman" w:cs="Calibri"/>
                <w:color w:val="000000"/>
                <w:sz w:val="16"/>
                <w:szCs w:val="16"/>
                <w:lang w:val="en-GB" w:eastAsia="en-GB"/>
              </w:rPr>
            </w:pPr>
            <w:r w:rsidRPr="00955A82">
              <w:rPr>
                <w:rFonts w:eastAsia="Times New Roman" w:cs="Calibri"/>
                <w:color w:val="000000"/>
                <w:sz w:val="16"/>
                <w:szCs w:val="16"/>
                <w:lang w:val="en-GB" w:eastAsia="en-GB"/>
              </w:rPr>
              <w:t>Employer's pensions contributions and direct payments to pensioners payable in the year</w:t>
            </w:r>
          </w:p>
        </w:tc>
        <w:tc>
          <w:tcPr>
            <w:tcW w:w="1920" w:type="dxa"/>
            <w:tcBorders>
              <w:top w:val="nil"/>
              <w:left w:val="nil"/>
              <w:bottom w:val="nil"/>
              <w:right w:val="nil"/>
            </w:tcBorders>
            <w:shd w:val="clear" w:color="000000" w:fill="FFFFFF"/>
            <w:vAlign w:val="center"/>
            <w:hideMark/>
          </w:tcPr>
          <w:p w14:paraId="27410AE3" w14:textId="41234E50" w:rsidR="00EC23C3" w:rsidRPr="00955A82" w:rsidRDefault="00955A82" w:rsidP="00EC23C3">
            <w:pPr>
              <w:jc w:val="right"/>
              <w:rPr>
                <w:rFonts w:eastAsia="Times New Roman" w:cs="Calibri"/>
                <w:color w:val="000000"/>
                <w:sz w:val="16"/>
                <w:szCs w:val="16"/>
                <w:lang w:val="en-GB" w:eastAsia="en-GB"/>
              </w:rPr>
            </w:pPr>
            <w:r w:rsidRPr="00955A82">
              <w:rPr>
                <w:rFonts w:eastAsia="Times New Roman" w:cs="Calibri"/>
                <w:color w:val="000000"/>
                <w:sz w:val="16"/>
                <w:szCs w:val="16"/>
                <w:lang w:val="en-GB" w:eastAsia="en-GB"/>
              </w:rPr>
              <w:t>(113)</w:t>
            </w:r>
            <w:r w:rsidR="00EC23C3" w:rsidRPr="00955A82">
              <w:rPr>
                <w:rFonts w:eastAsia="Times New Roman" w:cs="Calibri"/>
                <w:color w:val="000000"/>
                <w:sz w:val="16"/>
                <w:szCs w:val="16"/>
                <w:lang w:val="en-GB" w:eastAsia="en-GB"/>
              </w:rPr>
              <w:t> </w:t>
            </w:r>
          </w:p>
        </w:tc>
        <w:tc>
          <w:tcPr>
            <w:tcW w:w="1942" w:type="dxa"/>
            <w:tcBorders>
              <w:top w:val="nil"/>
              <w:left w:val="nil"/>
              <w:bottom w:val="nil"/>
              <w:right w:val="nil"/>
            </w:tcBorders>
            <w:shd w:val="clear" w:color="000000" w:fill="FFFFFF"/>
            <w:vAlign w:val="center"/>
            <w:hideMark/>
          </w:tcPr>
          <w:p w14:paraId="054B6722" w14:textId="4107A3D9" w:rsidR="00EC23C3" w:rsidRPr="00955A82" w:rsidRDefault="00EC23C3" w:rsidP="00955A82">
            <w:pPr>
              <w:jc w:val="right"/>
              <w:rPr>
                <w:rFonts w:eastAsia="Times New Roman" w:cs="Calibri"/>
                <w:color w:val="000000"/>
                <w:sz w:val="16"/>
                <w:szCs w:val="16"/>
                <w:lang w:val="en-GB" w:eastAsia="en-GB"/>
              </w:rPr>
            </w:pPr>
            <w:r w:rsidRPr="00955A82">
              <w:rPr>
                <w:rFonts w:eastAsia="Times New Roman" w:cs="Calibri"/>
                <w:color w:val="000000"/>
                <w:sz w:val="16"/>
                <w:szCs w:val="16"/>
                <w:lang w:val="en-GB" w:eastAsia="en-GB"/>
              </w:rPr>
              <w:t> </w:t>
            </w:r>
            <w:r w:rsidR="00955A82" w:rsidRPr="00955A82">
              <w:rPr>
                <w:rFonts w:eastAsia="Times New Roman" w:cs="Calibri"/>
                <w:color w:val="000000"/>
                <w:sz w:val="16"/>
                <w:szCs w:val="16"/>
                <w:lang w:val="en-GB" w:eastAsia="en-GB"/>
              </w:rPr>
              <w:t>(49,415)</w:t>
            </w:r>
          </w:p>
        </w:tc>
      </w:tr>
      <w:tr w:rsidR="00EC23C3" w:rsidRPr="00955A82" w14:paraId="37E00BCA" w14:textId="77777777" w:rsidTr="00B95916">
        <w:trPr>
          <w:trHeight w:val="204"/>
          <w:jc w:val="center"/>
        </w:trPr>
        <w:tc>
          <w:tcPr>
            <w:tcW w:w="1111" w:type="dxa"/>
            <w:tcBorders>
              <w:top w:val="single" w:sz="8" w:space="0" w:color="000000"/>
              <w:left w:val="nil"/>
              <w:bottom w:val="single" w:sz="12" w:space="0" w:color="000000"/>
              <w:right w:val="nil"/>
            </w:tcBorders>
            <w:shd w:val="clear" w:color="000000" w:fill="FFFFFF"/>
            <w:vAlign w:val="center"/>
            <w:hideMark/>
          </w:tcPr>
          <w:p w14:paraId="3F9CE4DB" w14:textId="77777777" w:rsidR="00EC23C3" w:rsidRPr="00955A82" w:rsidRDefault="00EC23C3" w:rsidP="00EC23C3">
            <w:pPr>
              <w:jc w:val="right"/>
              <w:rPr>
                <w:rFonts w:eastAsia="Times New Roman" w:cs="Calibri"/>
                <w:b/>
                <w:bCs/>
                <w:color w:val="000000"/>
                <w:sz w:val="16"/>
                <w:szCs w:val="16"/>
                <w:lang w:val="en-GB" w:eastAsia="en-GB"/>
              </w:rPr>
            </w:pPr>
            <w:r w:rsidRPr="00955A82">
              <w:rPr>
                <w:rFonts w:eastAsia="Times New Roman" w:cs="Calibri"/>
                <w:b/>
                <w:bCs/>
                <w:color w:val="000000"/>
                <w:sz w:val="16"/>
                <w:szCs w:val="16"/>
                <w:lang w:val="en-GB" w:eastAsia="en-GB"/>
              </w:rPr>
              <w:t>1,403</w:t>
            </w:r>
          </w:p>
        </w:tc>
        <w:tc>
          <w:tcPr>
            <w:tcW w:w="1922" w:type="dxa"/>
            <w:tcBorders>
              <w:top w:val="single" w:sz="8" w:space="0" w:color="000000"/>
              <w:left w:val="nil"/>
              <w:bottom w:val="single" w:sz="12" w:space="0" w:color="000000"/>
              <w:right w:val="nil"/>
            </w:tcBorders>
            <w:shd w:val="clear" w:color="000000" w:fill="FFFFFF"/>
            <w:vAlign w:val="center"/>
            <w:hideMark/>
          </w:tcPr>
          <w:p w14:paraId="01046900" w14:textId="77777777" w:rsidR="00EC23C3" w:rsidRPr="00955A82" w:rsidRDefault="00EC23C3" w:rsidP="00EC23C3">
            <w:pPr>
              <w:jc w:val="right"/>
              <w:rPr>
                <w:rFonts w:eastAsia="Times New Roman" w:cs="Calibri"/>
                <w:b/>
                <w:bCs/>
                <w:color w:val="000000"/>
                <w:sz w:val="16"/>
                <w:szCs w:val="16"/>
                <w:lang w:val="en-GB" w:eastAsia="en-GB"/>
              </w:rPr>
            </w:pPr>
            <w:r w:rsidRPr="00955A82">
              <w:rPr>
                <w:rFonts w:eastAsia="Times New Roman" w:cs="Calibri"/>
                <w:b/>
                <w:bCs/>
                <w:color w:val="000000"/>
                <w:sz w:val="16"/>
                <w:szCs w:val="16"/>
                <w:lang w:val="en-GB" w:eastAsia="en-GB"/>
              </w:rPr>
              <w:t>2,027,958</w:t>
            </w:r>
          </w:p>
        </w:tc>
        <w:tc>
          <w:tcPr>
            <w:tcW w:w="5691" w:type="dxa"/>
            <w:tcBorders>
              <w:top w:val="single" w:sz="8" w:space="0" w:color="000000"/>
              <w:left w:val="nil"/>
              <w:bottom w:val="single" w:sz="12" w:space="0" w:color="000000"/>
              <w:right w:val="nil"/>
            </w:tcBorders>
            <w:shd w:val="clear" w:color="000000" w:fill="FFFFFF"/>
            <w:vAlign w:val="center"/>
            <w:hideMark/>
          </w:tcPr>
          <w:p w14:paraId="213CC466" w14:textId="77777777" w:rsidR="00EC23C3" w:rsidRPr="00955A82" w:rsidRDefault="00EC23C3" w:rsidP="00EC23C3">
            <w:pPr>
              <w:ind w:firstLineChars="100" w:firstLine="161"/>
              <w:rPr>
                <w:rFonts w:eastAsia="Times New Roman" w:cs="Calibri"/>
                <w:b/>
                <w:bCs/>
                <w:color w:val="000000"/>
                <w:sz w:val="16"/>
                <w:szCs w:val="16"/>
                <w:lang w:val="en-GB" w:eastAsia="en-GB"/>
              </w:rPr>
            </w:pPr>
            <w:r w:rsidRPr="00955A82">
              <w:rPr>
                <w:rFonts w:eastAsia="Times New Roman" w:cs="Calibri"/>
                <w:b/>
                <w:bCs/>
                <w:color w:val="000000"/>
                <w:sz w:val="16"/>
                <w:szCs w:val="16"/>
                <w:lang w:val="en-GB" w:eastAsia="en-GB"/>
              </w:rPr>
              <w:t xml:space="preserve">Balance 31 March </w:t>
            </w:r>
          </w:p>
        </w:tc>
        <w:tc>
          <w:tcPr>
            <w:tcW w:w="1920" w:type="dxa"/>
            <w:tcBorders>
              <w:top w:val="single" w:sz="8" w:space="0" w:color="000000"/>
              <w:left w:val="nil"/>
              <w:bottom w:val="single" w:sz="12" w:space="0" w:color="000000"/>
              <w:right w:val="nil"/>
            </w:tcBorders>
            <w:shd w:val="clear" w:color="000000" w:fill="FFFFFF"/>
            <w:vAlign w:val="center"/>
          </w:tcPr>
          <w:p w14:paraId="334734A7" w14:textId="7F455855" w:rsidR="00EC23C3" w:rsidRPr="00955A82" w:rsidRDefault="00B7316F" w:rsidP="00EC23C3">
            <w:pPr>
              <w:jc w:val="right"/>
              <w:rPr>
                <w:rFonts w:eastAsia="Times New Roman" w:cs="Calibri"/>
                <w:b/>
                <w:bCs/>
                <w:color w:val="000000"/>
                <w:sz w:val="16"/>
                <w:szCs w:val="16"/>
                <w:lang w:val="en-GB" w:eastAsia="en-GB"/>
              </w:rPr>
            </w:pPr>
            <w:r w:rsidRPr="00955A82">
              <w:rPr>
                <w:rFonts w:eastAsia="Times New Roman" w:cs="Calibri"/>
                <w:b/>
                <w:bCs/>
                <w:color w:val="000000"/>
                <w:sz w:val="16"/>
                <w:szCs w:val="16"/>
                <w:lang w:val="en-GB" w:eastAsia="en-GB"/>
              </w:rPr>
              <w:t>2,461</w:t>
            </w:r>
          </w:p>
        </w:tc>
        <w:tc>
          <w:tcPr>
            <w:tcW w:w="1942" w:type="dxa"/>
            <w:tcBorders>
              <w:top w:val="single" w:sz="8" w:space="0" w:color="000000"/>
              <w:left w:val="nil"/>
              <w:bottom w:val="single" w:sz="12" w:space="0" w:color="000000"/>
              <w:right w:val="nil"/>
            </w:tcBorders>
            <w:shd w:val="clear" w:color="000000" w:fill="FFFFFF"/>
            <w:vAlign w:val="center"/>
          </w:tcPr>
          <w:p w14:paraId="4DBBC777" w14:textId="77A25E29" w:rsidR="00EC23C3" w:rsidRPr="00955A82" w:rsidRDefault="00B7316F" w:rsidP="00EC23C3">
            <w:pPr>
              <w:jc w:val="right"/>
              <w:rPr>
                <w:rFonts w:eastAsia="Times New Roman" w:cs="Calibri"/>
                <w:b/>
                <w:bCs/>
                <w:color w:val="000000"/>
                <w:sz w:val="16"/>
                <w:szCs w:val="16"/>
                <w:lang w:val="en-GB" w:eastAsia="en-GB"/>
              </w:rPr>
            </w:pPr>
            <w:r w:rsidRPr="00955A82">
              <w:rPr>
                <w:rFonts w:eastAsia="Times New Roman" w:cs="Calibri"/>
                <w:b/>
                <w:bCs/>
                <w:color w:val="000000"/>
                <w:sz w:val="16"/>
                <w:szCs w:val="16"/>
                <w:lang w:val="en-GB" w:eastAsia="en-GB"/>
              </w:rPr>
              <w:t>2,176,507</w:t>
            </w:r>
          </w:p>
        </w:tc>
      </w:tr>
    </w:tbl>
    <w:p w14:paraId="563E72BB" w14:textId="77777777" w:rsidR="00FA4173" w:rsidRPr="00955A82" w:rsidRDefault="00FA4173">
      <w:pPr>
        <w:pStyle w:val="Normal0"/>
        <w:spacing w:after="160"/>
        <w:rPr>
          <w:rFonts w:ascii="Verdana" w:eastAsia="Verdana" w:hAnsi="Verdana" w:cs="Verdana"/>
          <w:sz w:val="22"/>
          <w:szCs w:val="22"/>
          <w:lang w:val="en-GB"/>
        </w:rPr>
      </w:pPr>
    </w:p>
    <w:p w14:paraId="34C45157" w14:textId="77777777" w:rsidR="00CA6653" w:rsidRPr="00955A82" w:rsidRDefault="00CA6653" w:rsidP="00CA4917">
      <w:pPr>
        <w:pStyle w:val="Normal0"/>
        <w:spacing w:after="160"/>
        <w:jc w:val="both"/>
        <w:rPr>
          <w:rFonts w:ascii="Verdana" w:eastAsia="Verdana" w:hAnsi="Verdana" w:cs="Verdana"/>
          <w:sz w:val="22"/>
          <w:szCs w:val="22"/>
          <w:lang w:val="en-GB"/>
        </w:rPr>
      </w:pPr>
      <w:r w:rsidRPr="00955A82">
        <w:rPr>
          <w:rFonts w:ascii="Verdana" w:eastAsia="Verdana" w:hAnsi="Verdana" w:cs="Verdana"/>
          <w:sz w:val="22"/>
          <w:szCs w:val="22"/>
          <w:lang w:val="en-GB"/>
        </w:rPr>
        <w:t>The pension reserve is an accounting reserve included in the Group Accounts that equals the total pension liability (Police Officers and Police Staff).</w:t>
      </w:r>
    </w:p>
    <w:p w14:paraId="6A71558A" w14:textId="77777777" w:rsidR="00937DD9" w:rsidRPr="00955A82" w:rsidRDefault="00937DD9" w:rsidP="00937DD9">
      <w:pPr>
        <w:jc w:val="both"/>
        <w:rPr>
          <w:rFonts w:eastAsia="Verdana" w:cs="Verdana"/>
          <w:szCs w:val="20"/>
          <w:lang w:val="en-GB"/>
        </w:rPr>
      </w:pPr>
      <w:r w:rsidRPr="00955A82">
        <w:rPr>
          <w:rFonts w:eastAsia="Verdana" w:cs="Verdana"/>
          <w:szCs w:val="20"/>
          <w:lang w:val="en-GB"/>
        </w:rPr>
        <w:t xml:space="preserve">The Pensions Reserve reflects the timing differences arising from the different arrangements for accounting for post-employment benefits and for funding benefits in accordance with statutory provisions [Statutory Instrument No. 2010/454].  The group accounts for post-employment benefits in the Comprehensive Income and Expenditure Statement as the benefits are earned by employees accruing years of service, updating the liabilities recognised to reflect inflation, changing assumptions and investment returns on any resources set aside to meet the costs.  However, statutory arrangements require benefits earned, to be financed as the Group maker employer contributions to pension funds, or eventual payment of any pensions for which it is directly responsible.  </w:t>
      </w:r>
    </w:p>
    <w:p w14:paraId="18EB6E4B" w14:textId="77777777" w:rsidR="00937DD9" w:rsidRPr="00955A82" w:rsidRDefault="00937DD9" w:rsidP="00937DD9">
      <w:pPr>
        <w:jc w:val="both"/>
        <w:rPr>
          <w:rFonts w:eastAsia="Verdana" w:cs="Verdana"/>
          <w:szCs w:val="20"/>
          <w:lang w:val="en-GB"/>
        </w:rPr>
      </w:pPr>
    </w:p>
    <w:p w14:paraId="1AF300F3" w14:textId="77777777" w:rsidR="00CA6653" w:rsidRPr="00955A82" w:rsidRDefault="00CA6653" w:rsidP="00CA4917">
      <w:pPr>
        <w:pStyle w:val="Normal0"/>
        <w:spacing w:after="160"/>
        <w:jc w:val="both"/>
        <w:rPr>
          <w:rFonts w:ascii="Verdana" w:eastAsia="Verdana" w:hAnsi="Verdana" w:cs="Verdana"/>
          <w:sz w:val="22"/>
          <w:szCs w:val="22"/>
          <w:lang w:val="en-GB"/>
        </w:rPr>
      </w:pPr>
      <w:r w:rsidRPr="00955A82">
        <w:rPr>
          <w:rFonts w:ascii="Verdana" w:eastAsia="Verdana" w:hAnsi="Verdana" w:cs="Verdana"/>
          <w:sz w:val="22"/>
          <w:szCs w:val="22"/>
          <w:lang w:val="en-GB"/>
        </w:rPr>
        <w:t>Where the pension payments made for the year in accordance with the scheme requirements do not match the change in the Group’s recognised liability for the same period, the recognised cost of pensions will not match the amount to be raised in taxation. This is represented by an appropriation to or from the pension reserve, which equals the net change in the pension liability recognised in the Group Comprehensive Income and Expenditure Statement.</w:t>
      </w:r>
    </w:p>
    <w:p w14:paraId="582E0EDC" w14:textId="20A3573D" w:rsidR="00CA6653" w:rsidRPr="00955A82" w:rsidRDefault="00937DD9" w:rsidP="00955A82">
      <w:pPr>
        <w:pStyle w:val="Normal0"/>
        <w:spacing w:after="160"/>
        <w:jc w:val="both"/>
        <w:rPr>
          <w:rFonts w:ascii="Verdana" w:eastAsia="Verdana" w:hAnsi="Verdana" w:cs="Verdana"/>
          <w:sz w:val="22"/>
          <w:szCs w:val="22"/>
          <w:lang w:val="en-GB"/>
        </w:rPr>
      </w:pPr>
      <w:r w:rsidRPr="00955A82">
        <w:rPr>
          <w:rFonts w:ascii="Verdana" w:eastAsia="Verdana" w:hAnsi="Verdana" w:cs="Verdana"/>
          <w:sz w:val="22"/>
          <w:szCs w:val="24"/>
          <w:lang w:val="en-GB"/>
        </w:rPr>
        <w:t xml:space="preserve">The debit balance on the Pensions Reserve therefore shows a substantial shortfall in the benefits earned by past and current employees and the resources set aside to meet them.  The statutory arrangements will ensure that funding will have been set aside by the time the benefits </w:t>
      </w:r>
      <w:r w:rsidRPr="00955A82">
        <w:rPr>
          <w:rFonts w:ascii="Verdana" w:eastAsia="Verdana" w:hAnsi="Verdana" w:cs="Verdana"/>
          <w:sz w:val="22"/>
          <w:szCs w:val="22"/>
          <w:lang w:val="en-GB"/>
        </w:rPr>
        <w:t>come to be paid</w:t>
      </w:r>
      <w:r w:rsidR="00955A82">
        <w:rPr>
          <w:rFonts w:ascii="Verdana" w:eastAsia="Verdana" w:hAnsi="Verdana" w:cs="Verdana"/>
          <w:sz w:val="22"/>
          <w:szCs w:val="22"/>
          <w:lang w:val="en-GB"/>
        </w:rPr>
        <w:t xml:space="preserve">. </w:t>
      </w:r>
      <w:r w:rsidR="00CA6653" w:rsidRPr="00955A82">
        <w:rPr>
          <w:rFonts w:ascii="Verdana" w:eastAsia="Verdana" w:hAnsi="Verdana" w:cs="Verdana"/>
          <w:sz w:val="22"/>
          <w:szCs w:val="22"/>
          <w:lang w:val="en-GB"/>
        </w:rPr>
        <w:t>Actuarial gains and losses are also recognised as movements on reserve above.</w:t>
      </w:r>
    </w:p>
    <w:tbl>
      <w:tblPr>
        <w:tblW w:w="12544" w:type="dxa"/>
        <w:jc w:val="center"/>
        <w:tblLayout w:type="fixed"/>
        <w:tblLook w:val="04A0" w:firstRow="1" w:lastRow="0" w:firstColumn="1" w:lastColumn="0" w:noHBand="0" w:noVBand="1"/>
      </w:tblPr>
      <w:tblGrid>
        <w:gridCol w:w="1537"/>
        <w:gridCol w:w="417"/>
        <w:gridCol w:w="7486"/>
        <w:gridCol w:w="3104"/>
      </w:tblGrid>
      <w:tr w:rsidR="004D417B" w:rsidRPr="003516A4" w14:paraId="3438D03A" w14:textId="77777777" w:rsidTr="00955A82">
        <w:trPr>
          <w:trHeight w:val="102"/>
          <w:jc w:val="center"/>
        </w:trPr>
        <w:tc>
          <w:tcPr>
            <w:tcW w:w="12544" w:type="dxa"/>
            <w:gridSpan w:val="4"/>
            <w:shd w:val="clear" w:color="auto" w:fill="auto"/>
            <w:tcMar>
              <w:top w:w="20" w:type="dxa"/>
              <w:left w:w="20" w:type="dxa"/>
              <w:bottom w:w="20" w:type="dxa"/>
              <w:right w:w="20" w:type="dxa"/>
            </w:tcMar>
            <w:vAlign w:val="bottom"/>
          </w:tcPr>
          <w:p w14:paraId="6606F6D9" w14:textId="77777777" w:rsidR="00CA6653" w:rsidRPr="003516A4" w:rsidRDefault="00CA6653">
            <w:pPr>
              <w:pStyle w:val="T1TableStyle"/>
              <w:rPr>
                <w:rFonts w:ascii="Verdana" w:eastAsia="Verdana" w:hAnsi="Verdana" w:cs="Verdana"/>
                <w:b/>
                <w:color w:val="000000"/>
                <w:highlight w:val="yellow"/>
                <w:lang w:val="en-GB"/>
              </w:rPr>
            </w:pPr>
            <w:r w:rsidRPr="0041394A">
              <w:rPr>
                <w:rFonts w:ascii="Verdana" w:eastAsia="Verdana" w:hAnsi="Verdana" w:cs="Verdana"/>
                <w:b/>
                <w:color w:val="000000"/>
                <w:lang w:val="en-GB"/>
              </w:rPr>
              <w:t>Collection Fund Adjustment Account</w:t>
            </w:r>
          </w:p>
        </w:tc>
      </w:tr>
      <w:tr w:rsidR="004D417B" w:rsidRPr="003516A4" w14:paraId="1D0D9F1F" w14:textId="77777777" w:rsidTr="00955A82">
        <w:trPr>
          <w:trHeight w:hRule="exact" w:val="124"/>
          <w:jc w:val="center"/>
        </w:trPr>
        <w:tc>
          <w:tcPr>
            <w:tcW w:w="1537" w:type="dxa"/>
            <w:shd w:val="clear" w:color="auto" w:fill="auto"/>
            <w:tcMar>
              <w:top w:w="20" w:type="dxa"/>
              <w:left w:w="20" w:type="dxa"/>
              <w:bottom w:w="20" w:type="dxa"/>
              <w:right w:w="20" w:type="dxa"/>
            </w:tcMar>
            <w:vAlign w:val="bottom"/>
          </w:tcPr>
          <w:p w14:paraId="02992268" w14:textId="77777777" w:rsidR="00CA6653" w:rsidRPr="003516A4" w:rsidRDefault="00CA6653">
            <w:pPr>
              <w:pStyle w:val="T1TableStyle"/>
              <w:rPr>
                <w:rFonts w:ascii="Verdana" w:eastAsia="Verdana" w:hAnsi="Verdana" w:cs="Verdana"/>
                <w:b/>
                <w:color w:val="000000"/>
                <w:sz w:val="2"/>
                <w:highlight w:val="yellow"/>
                <w:lang w:val="en-GB"/>
              </w:rPr>
            </w:pPr>
            <w:r w:rsidRPr="003516A4">
              <w:rPr>
                <w:rFonts w:ascii="Verdana" w:eastAsia="Verdana" w:hAnsi="Verdana" w:cs="Verdana"/>
                <w:b/>
                <w:color w:val="000000"/>
                <w:sz w:val="2"/>
                <w:highlight w:val="yellow"/>
                <w:lang w:val="en-GB"/>
              </w:rPr>
              <w:t xml:space="preserve"> </w:t>
            </w:r>
          </w:p>
        </w:tc>
        <w:tc>
          <w:tcPr>
            <w:tcW w:w="417" w:type="dxa"/>
            <w:shd w:val="clear" w:color="auto" w:fill="auto"/>
            <w:tcMar>
              <w:top w:w="20" w:type="dxa"/>
              <w:left w:w="20" w:type="dxa"/>
              <w:bottom w:w="20" w:type="dxa"/>
              <w:right w:w="20" w:type="dxa"/>
            </w:tcMar>
            <w:vAlign w:val="bottom"/>
          </w:tcPr>
          <w:p w14:paraId="47C9A162" w14:textId="77777777" w:rsidR="00CA6653" w:rsidRPr="003516A4" w:rsidRDefault="00CA6653">
            <w:pPr>
              <w:pStyle w:val="T1TableStyle"/>
              <w:rPr>
                <w:rFonts w:ascii="Verdana" w:eastAsia="Verdana" w:hAnsi="Verdana" w:cs="Verdana"/>
                <w:b/>
                <w:color w:val="000000"/>
                <w:sz w:val="2"/>
                <w:highlight w:val="yellow"/>
                <w:lang w:val="en-GB"/>
              </w:rPr>
            </w:pPr>
            <w:r w:rsidRPr="003516A4">
              <w:rPr>
                <w:rFonts w:ascii="Verdana" w:eastAsia="Verdana" w:hAnsi="Verdana" w:cs="Verdana"/>
                <w:b/>
                <w:color w:val="000000"/>
                <w:sz w:val="2"/>
                <w:highlight w:val="yellow"/>
                <w:lang w:val="en-GB"/>
              </w:rPr>
              <w:t xml:space="preserve"> </w:t>
            </w:r>
          </w:p>
        </w:tc>
        <w:tc>
          <w:tcPr>
            <w:tcW w:w="7486" w:type="dxa"/>
            <w:shd w:val="clear" w:color="auto" w:fill="auto"/>
            <w:tcMar>
              <w:top w:w="20" w:type="dxa"/>
              <w:left w:w="20" w:type="dxa"/>
              <w:bottom w:w="20" w:type="dxa"/>
              <w:right w:w="20" w:type="dxa"/>
            </w:tcMar>
            <w:vAlign w:val="bottom"/>
          </w:tcPr>
          <w:p w14:paraId="1D410FE3" w14:textId="77777777" w:rsidR="00CA6653" w:rsidRPr="003516A4" w:rsidRDefault="00CA6653">
            <w:pPr>
              <w:pStyle w:val="T1TableStyle"/>
              <w:rPr>
                <w:rFonts w:ascii="Verdana" w:eastAsia="Verdana" w:hAnsi="Verdana" w:cs="Verdana"/>
                <w:b/>
                <w:color w:val="000000"/>
                <w:sz w:val="2"/>
                <w:highlight w:val="yellow"/>
                <w:lang w:val="en-GB"/>
              </w:rPr>
            </w:pPr>
            <w:r w:rsidRPr="003516A4">
              <w:rPr>
                <w:rFonts w:ascii="Verdana" w:eastAsia="Verdana" w:hAnsi="Verdana" w:cs="Verdana"/>
                <w:b/>
                <w:color w:val="000000"/>
                <w:sz w:val="2"/>
                <w:highlight w:val="yellow"/>
                <w:lang w:val="en-GB"/>
              </w:rPr>
              <w:t xml:space="preserve"> </w:t>
            </w:r>
          </w:p>
        </w:tc>
        <w:tc>
          <w:tcPr>
            <w:tcW w:w="3104" w:type="dxa"/>
            <w:shd w:val="clear" w:color="auto" w:fill="auto"/>
            <w:tcMar>
              <w:top w:w="20" w:type="dxa"/>
              <w:left w:w="20" w:type="dxa"/>
              <w:bottom w:w="20" w:type="dxa"/>
              <w:right w:w="20" w:type="dxa"/>
            </w:tcMar>
            <w:vAlign w:val="bottom"/>
          </w:tcPr>
          <w:p w14:paraId="640B356E" w14:textId="77777777" w:rsidR="00CA6653" w:rsidRPr="003516A4" w:rsidRDefault="00CA6653">
            <w:pPr>
              <w:pStyle w:val="T1TableStyle"/>
              <w:rPr>
                <w:rFonts w:ascii="Verdana" w:eastAsia="Verdana" w:hAnsi="Verdana" w:cs="Verdana"/>
                <w:b/>
                <w:color w:val="000000"/>
                <w:sz w:val="2"/>
                <w:highlight w:val="yellow"/>
                <w:lang w:val="en-GB"/>
              </w:rPr>
            </w:pPr>
            <w:r w:rsidRPr="003516A4">
              <w:rPr>
                <w:rFonts w:ascii="Verdana" w:eastAsia="Verdana" w:hAnsi="Verdana" w:cs="Verdana"/>
                <w:b/>
                <w:color w:val="000000"/>
                <w:sz w:val="2"/>
                <w:highlight w:val="yellow"/>
                <w:lang w:val="en-GB"/>
              </w:rPr>
              <w:t xml:space="preserve"> </w:t>
            </w:r>
          </w:p>
        </w:tc>
      </w:tr>
      <w:tr w:rsidR="004D417B" w:rsidRPr="00395276" w14:paraId="2E5C3669" w14:textId="77777777" w:rsidTr="00955A82">
        <w:trPr>
          <w:trHeight w:val="102"/>
          <w:jc w:val="center"/>
        </w:trPr>
        <w:tc>
          <w:tcPr>
            <w:tcW w:w="1537" w:type="dxa"/>
            <w:shd w:val="clear" w:color="auto" w:fill="auto"/>
            <w:tcMar>
              <w:top w:w="20" w:type="dxa"/>
              <w:left w:w="20" w:type="dxa"/>
              <w:bottom w:w="20" w:type="dxa"/>
              <w:right w:w="20" w:type="dxa"/>
            </w:tcMar>
            <w:vAlign w:val="bottom"/>
          </w:tcPr>
          <w:p w14:paraId="2E9E19CA" w14:textId="77777777" w:rsidR="00CA6653" w:rsidRPr="00EC23C3" w:rsidRDefault="00CA6653" w:rsidP="00B43B3C">
            <w:pPr>
              <w:pStyle w:val="T1TableStyle"/>
              <w:jc w:val="center"/>
              <w:rPr>
                <w:rFonts w:ascii="Verdana" w:eastAsia="Verdana" w:hAnsi="Verdana" w:cs="Verdana"/>
                <w:b/>
                <w:color w:val="000000"/>
                <w:sz w:val="16"/>
                <w:lang w:val="en-GB"/>
              </w:rPr>
            </w:pPr>
            <w:r w:rsidRPr="00EC23C3">
              <w:rPr>
                <w:rFonts w:ascii="Verdana" w:eastAsia="Verdana" w:hAnsi="Verdana" w:cs="Verdana"/>
                <w:b/>
                <w:color w:val="000000"/>
                <w:sz w:val="16"/>
                <w:lang w:val="en-GB"/>
              </w:rPr>
              <w:t>31 March 20</w:t>
            </w:r>
            <w:r w:rsidR="00B43B3C" w:rsidRPr="00EC23C3">
              <w:rPr>
                <w:rFonts w:ascii="Verdana" w:eastAsia="Verdana" w:hAnsi="Verdana" w:cs="Verdana"/>
                <w:b/>
                <w:color w:val="000000"/>
                <w:sz w:val="16"/>
                <w:lang w:val="en-GB"/>
              </w:rPr>
              <w:t>20</w:t>
            </w:r>
          </w:p>
        </w:tc>
        <w:tc>
          <w:tcPr>
            <w:tcW w:w="417" w:type="dxa"/>
            <w:shd w:val="clear" w:color="auto" w:fill="auto"/>
            <w:tcMar>
              <w:top w:w="20" w:type="dxa"/>
              <w:left w:w="20" w:type="dxa"/>
              <w:bottom w:w="20" w:type="dxa"/>
              <w:right w:w="20" w:type="dxa"/>
            </w:tcMar>
            <w:vAlign w:val="bottom"/>
          </w:tcPr>
          <w:p w14:paraId="025036B3" w14:textId="77777777" w:rsidR="00CA6653" w:rsidRPr="00EC23C3" w:rsidRDefault="00CA6653">
            <w:pPr>
              <w:pStyle w:val="T1TableStyle"/>
              <w:jc w:val="center"/>
              <w:rPr>
                <w:rFonts w:ascii="Verdana" w:eastAsia="Verdana" w:hAnsi="Verdana" w:cs="Verdana"/>
                <w:b/>
                <w:color w:val="000000"/>
                <w:sz w:val="2"/>
                <w:lang w:val="en-GB"/>
              </w:rPr>
            </w:pPr>
            <w:r w:rsidRPr="00EC23C3">
              <w:rPr>
                <w:rFonts w:ascii="Verdana" w:eastAsia="Verdana" w:hAnsi="Verdana" w:cs="Verdana"/>
                <w:b/>
                <w:color w:val="000000"/>
                <w:sz w:val="2"/>
                <w:lang w:val="en-GB"/>
              </w:rPr>
              <w:t xml:space="preserve"> </w:t>
            </w:r>
          </w:p>
        </w:tc>
        <w:tc>
          <w:tcPr>
            <w:tcW w:w="7486" w:type="dxa"/>
            <w:shd w:val="clear" w:color="auto" w:fill="auto"/>
            <w:tcMar>
              <w:top w:w="20" w:type="dxa"/>
              <w:left w:w="20" w:type="dxa"/>
              <w:bottom w:w="20" w:type="dxa"/>
              <w:right w:w="20" w:type="dxa"/>
            </w:tcMar>
            <w:vAlign w:val="bottom"/>
          </w:tcPr>
          <w:p w14:paraId="5A4F1C1C" w14:textId="77777777" w:rsidR="00CA6653" w:rsidRPr="00395276" w:rsidRDefault="00CA6653">
            <w:pPr>
              <w:pStyle w:val="T1TableStyle"/>
              <w:jc w:val="center"/>
              <w:rPr>
                <w:rFonts w:ascii="Verdana" w:eastAsia="Verdana" w:hAnsi="Verdana" w:cs="Verdana"/>
                <w:b/>
                <w:color w:val="000000"/>
                <w:sz w:val="2"/>
                <w:lang w:val="en-GB"/>
              </w:rPr>
            </w:pPr>
            <w:r w:rsidRPr="00395276">
              <w:rPr>
                <w:rFonts w:ascii="Verdana" w:eastAsia="Verdana" w:hAnsi="Verdana" w:cs="Verdana"/>
                <w:b/>
                <w:color w:val="000000"/>
                <w:sz w:val="2"/>
                <w:lang w:val="en-GB"/>
              </w:rPr>
              <w:t xml:space="preserve"> </w:t>
            </w:r>
          </w:p>
        </w:tc>
        <w:tc>
          <w:tcPr>
            <w:tcW w:w="3104" w:type="dxa"/>
            <w:shd w:val="clear" w:color="auto" w:fill="auto"/>
            <w:tcMar>
              <w:top w:w="20" w:type="dxa"/>
              <w:left w:w="20" w:type="dxa"/>
              <w:bottom w:w="20" w:type="dxa"/>
              <w:right w:w="20" w:type="dxa"/>
            </w:tcMar>
            <w:vAlign w:val="bottom"/>
          </w:tcPr>
          <w:p w14:paraId="27F64906" w14:textId="77777777" w:rsidR="00CA6653" w:rsidRPr="00395276" w:rsidRDefault="00CA6653" w:rsidP="00B43B3C">
            <w:pPr>
              <w:pStyle w:val="T1TableStyle"/>
              <w:jc w:val="center"/>
              <w:rPr>
                <w:rFonts w:ascii="Verdana" w:eastAsia="Verdana" w:hAnsi="Verdana" w:cs="Verdana"/>
                <w:b/>
                <w:color w:val="000000"/>
                <w:sz w:val="16"/>
                <w:lang w:val="en-GB"/>
              </w:rPr>
            </w:pPr>
            <w:r w:rsidRPr="00395276">
              <w:rPr>
                <w:rFonts w:ascii="Verdana" w:eastAsia="Verdana" w:hAnsi="Verdana" w:cs="Verdana"/>
                <w:b/>
                <w:color w:val="000000"/>
                <w:sz w:val="16"/>
                <w:lang w:val="en-GB"/>
              </w:rPr>
              <w:t>31 March 202</w:t>
            </w:r>
            <w:r w:rsidR="00B43B3C" w:rsidRPr="00395276">
              <w:rPr>
                <w:rFonts w:ascii="Verdana" w:eastAsia="Verdana" w:hAnsi="Verdana" w:cs="Verdana"/>
                <w:b/>
                <w:color w:val="000000"/>
                <w:sz w:val="16"/>
                <w:lang w:val="en-GB"/>
              </w:rPr>
              <w:t>1</w:t>
            </w:r>
          </w:p>
        </w:tc>
      </w:tr>
      <w:tr w:rsidR="004D417B" w:rsidRPr="00395276" w14:paraId="13FB6FD4" w14:textId="77777777" w:rsidTr="00955A82">
        <w:trPr>
          <w:trHeight w:val="102"/>
          <w:jc w:val="center"/>
        </w:trPr>
        <w:tc>
          <w:tcPr>
            <w:tcW w:w="1537" w:type="dxa"/>
            <w:tcBorders>
              <w:bottom w:val="single" w:sz="2" w:space="0" w:color="000000"/>
            </w:tcBorders>
            <w:shd w:val="clear" w:color="auto" w:fill="auto"/>
            <w:tcMar>
              <w:top w:w="20" w:type="dxa"/>
              <w:left w:w="20" w:type="dxa"/>
              <w:bottom w:w="20" w:type="dxa"/>
              <w:right w:w="20" w:type="dxa"/>
            </w:tcMar>
          </w:tcPr>
          <w:p w14:paraId="22A01BB5" w14:textId="77777777" w:rsidR="00CA6653" w:rsidRPr="00EC23C3" w:rsidRDefault="00CA6653">
            <w:pPr>
              <w:pStyle w:val="T1TableStyle"/>
              <w:jc w:val="right"/>
              <w:rPr>
                <w:rFonts w:ascii="Verdana" w:eastAsia="Verdana" w:hAnsi="Verdana" w:cs="Verdana"/>
                <w:b/>
                <w:color w:val="000000"/>
                <w:sz w:val="16"/>
                <w:lang w:val="en-GB"/>
              </w:rPr>
            </w:pPr>
            <w:r w:rsidRPr="00EC23C3">
              <w:rPr>
                <w:rFonts w:ascii="Verdana" w:eastAsia="Verdana" w:hAnsi="Verdana" w:cs="Verdana"/>
                <w:b/>
                <w:color w:val="000000"/>
                <w:sz w:val="16"/>
                <w:lang w:val="en-GB"/>
              </w:rPr>
              <w:t>£000</w:t>
            </w:r>
          </w:p>
        </w:tc>
        <w:tc>
          <w:tcPr>
            <w:tcW w:w="417" w:type="dxa"/>
            <w:tcBorders>
              <w:bottom w:val="single" w:sz="2" w:space="0" w:color="000000"/>
            </w:tcBorders>
            <w:shd w:val="clear" w:color="auto" w:fill="auto"/>
            <w:tcMar>
              <w:top w:w="20" w:type="dxa"/>
              <w:left w:w="20" w:type="dxa"/>
              <w:bottom w:w="20" w:type="dxa"/>
              <w:right w:w="20" w:type="dxa"/>
            </w:tcMar>
          </w:tcPr>
          <w:p w14:paraId="7353C61E" w14:textId="77777777" w:rsidR="00CA6653" w:rsidRPr="00EC23C3" w:rsidRDefault="00CA6653">
            <w:pPr>
              <w:pStyle w:val="T1TableStyle"/>
              <w:jc w:val="right"/>
              <w:rPr>
                <w:rFonts w:ascii="Verdana" w:eastAsia="Verdana" w:hAnsi="Verdana" w:cs="Verdana"/>
                <w:b/>
                <w:color w:val="000000"/>
                <w:sz w:val="2"/>
                <w:lang w:val="en-GB"/>
              </w:rPr>
            </w:pPr>
            <w:r w:rsidRPr="00EC23C3">
              <w:rPr>
                <w:rFonts w:ascii="Verdana" w:eastAsia="Verdana" w:hAnsi="Verdana" w:cs="Verdana"/>
                <w:b/>
                <w:color w:val="000000"/>
                <w:sz w:val="2"/>
                <w:lang w:val="en-GB"/>
              </w:rPr>
              <w:t xml:space="preserve"> </w:t>
            </w:r>
          </w:p>
        </w:tc>
        <w:tc>
          <w:tcPr>
            <w:tcW w:w="7486" w:type="dxa"/>
            <w:tcBorders>
              <w:bottom w:val="single" w:sz="2" w:space="0" w:color="000000"/>
            </w:tcBorders>
            <w:shd w:val="clear" w:color="auto" w:fill="auto"/>
            <w:tcMar>
              <w:top w:w="20" w:type="dxa"/>
              <w:left w:w="20" w:type="dxa"/>
              <w:bottom w:w="20" w:type="dxa"/>
              <w:right w:w="20" w:type="dxa"/>
            </w:tcMar>
          </w:tcPr>
          <w:p w14:paraId="6FE46528" w14:textId="77777777" w:rsidR="00CA6653" w:rsidRPr="00395276" w:rsidRDefault="00CA6653">
            <w:pPr>
              <w:pStyle w:val="T1TableStyle"/>
              <w:jc w:val="right"/>
              <w:rPr>
                <w:rFonts w:ascii="Verdana" w:eastAsia="Verdana" w:hAnsi="Verdana" w:cs="Verdana"/>
                <w:b/>
                <w:color w:val="000000"/>
                <w:sz w:val="2"/>
                <w:lang w:val="en-GB"/>
              </w:rPr>
            </w:pPr>
            <w:r w:rsidRPr="00395276">
              <w:rPr>
                <w:rFonts w:ascii="Verdana" w:eastAsia="Verdana" w:hAnsi="Verdana" w:cs="Verdana"/>
                <w:b/>
                <w:color w:val="000000"/>
                <w:sz w:val="2"/>
                <w:lang w:val="en-GB"/>
              </w:rPr>
              <w:t xml:space="preserve"> </w:t>
            </w:r>
          </w:p>
        </w:tc>
        <w:tc>
          <w:tcPr>
            <w:tcW w:w="3104" w:type="dxa"/>
            <w:tcBorders>
              <w:bottom w:val="single" w:sz="2" w:space="0" w:color="000000"/>
            </w:tcBorders>
            <w:shd w:val="clear" w:color="auto" w:fill="auto"/>
            <w:tcMar>
              <w:top w:w="20" w:type="dxa"/>
              <w:left w:w="20" w:type="dxa"/>
              <w:bottom w:w="20" w:type="dxa"/>
              <w:right w:w="20" w:type="dxa"/>
            </w:tcMar>
          </w:tcPr>
          <w:p w14:paraId="28099DE7" w14:textId="77777777" w:rsidR="00CA6653" w:rsidRPr="00395276" w:rsidRDefault="00CA6653">
            <w:pPr>
              <w:pStyle w:val="T1TableStyle"/>
              <w:jc w:val="right"/>
              <w:rPr>
                <w:rFonts w:ascii="Verdana" w:eastAsia="Verdana" w:hAnsi="Verdana" w:cs="Verdana"/>
                <w:b/>
                <w:color w:val="000000"/>
                <w:sz w:val="16"/>
                <w:lang w:val="en-GB"/>
              </w:rPr>
            </w:pPr>
            <w:r w:rsidRPr="00395276">
              <w:rPr>
                <w:rFonts w:ascii="Verdana" w:eastAsia="Verdana" w:hAnsi="Verdana" w:cs="Verdana"/>
                <w:b/>
                <w:color w:val="000000"/>
                <w:sz w:val="16"/>
                <w:lang w:val="en-GB"/>
              </w:rPr>
              <w:t>£000</w:t>
            </w:r>
          </w:p>
        </w:tc>
      </w:tr>
      <w:tr w:rsidR="00B43B3C" w:rsidRPr="00395276" w14:paraId="6B558FC0" w14:textId="77777777" w:rsidTr="00955A82">
        <w:trPr>
          <w:trHeight w:val="102"/>
          <w:jc w:val="center"/>
        </w:trPr>
        <w:tc>
          <w:tcPr>
            <w:tcW w:w="1537" w:type="dxa"/>
            <w:shd w:val="clear" w:color="auto" w:fill="auto"/>
            <w:tcMar>
              <w:top w:w="20" w:type="dxa"/>
              <w:left w:w="20" w:type="dxa"/>
              <w:bottom w:w="20" w:type="dxa"/>
              <w:right w:w="20" w:type="dxa"/>
            </w:tcMar>
          </w:tcPr>
          <w:p w14:paraId="2FFDC161" w14:textId="77777777" w:rsidR="00B43B3C" w:rsidRPr="00EC23C3" w:rsidRDefault="00B43B3C" w:rsidP="00B43B3C">
            <w:pPr>
              <w:pStyle w:val="T1TableStyle"/>
              <w:jc w:val="right"/>
              <w:rPr>
                <w:rFonts w:ascii="Verdana" w:eastAsia="Verdana" w:hAnsi="Verdana" w:cs="Verdana"/>
                <w:color w:val="000000"/>
                <w:sz w:val="16"/>
                <w:lang w:val="en-GB"/>
              </w:rPr>
            </w:pPr>
            <w:r w:rsidRPr="00EC23C3">
              <w:rPr>
                <w:rFonts w:ascii="Verdana" w:eastAsia="Verdana" w:hAnsi="Verdana" w:cs="Verdana"/>
                <w:color w:val="000000"/>
                <w:sz w:val="16"/>
                <w:lang w:val="en-GB"/>
              </w:rPr>
              <w:t>(321)</w:t>
            </w:r>
          </w:p>
        </w:tc>
        <w:tc>
          <w:tcPr>
            <w:tcW w:w="417" w:type="dxa"/>
            <w:shd w:val="clear" w:color="auto" w:fill="auto"/>
            <w:tcMar>
              <w:top w:w="20" w:type="dxa"/>
              <w:left w:w="20" w:type="dxa"/>
              <w:bottom w:w="20" w:type="dxa"/>
              <w:right w:w="20" w:type="dxa"/>
            </w:tcMar>
          </w:tcPr>
          <w:p w14:paraId="34F063E8" w14:textId="77777777" w:rsidR="00B43B3C" w:rsidRPr="00EC23C3" w:rsidRDefault="00B43B3C" w:rsidP="00B43B3C">
            <w:pPr>
              <w:pStyle w:val="T1TableStyle"/>
              <w:jc w:val="center"/>
              <w:rPr>
                <w:rFonts w:ascii="Verdana" w:eastAsia="Verdana" w:hAnsi="Verdana" w:cs="Verdana"/>
                <w:color w:val="000000"/>
                <w:sz w:val="2"/>
                <w:lang w:val="en-GB"/>
              </w:rPr>
            </w:pPr>
            <w:r w:rsidRPr="00EC23C3">
              <w:rPr>
                <w:rFonts w:ascii="Verdana" w:eastAsia="Verdana" w:hAnsi="Verdana" w:cs="Verdana"/>
                <w:color w:val="000000"/>
                <w:sz w:val="2"/>
                <w:lang w:val="en-GB"/>
              </w:rPr>
              <w:t xml:space="preserve"> </w:t>
            </w:r>
          </w:p>
        </w:tc>
        <w:tc>
          <w:tcPr>
            <w:tcW w:w="7486" w:type="dxa"/>
            <w:shd w:val="clear" w:color="auto" w:fill="auto"/>
            <w:tcMar>
              <w:top w:w="20" w:type="dxa"/>
              <w:left w:w="20" w:type="dxa"/>
              <w:bottom w:w="20" w:type="dxa"/>
              <w:right w:w="20" w:type="dxa"/>
            </w:tcMar>
          </w:tcPr>
          <w:p w14:paraId="05358191" w14:textId="77777777" w:rsidR="00B43B3C" w:rsidRPr="00395276" w:rsidRDefault="00B43B3C" w:rsidP="00B43B3C">
            <w:pPr>
              <w:pStyle w:val="T1TableStyle"/>
              <w:rPr>
                <w:rFonts w:ascii="Verdana" w:eastAsia="Verdana" w:hAnsi="Verdana" w:cs="Verdana"/>
                <w:color w:val="000000"/>
                <w:sz w:val="16"/>
                <w:lang w:val="en-GB"/>
              </w:rPr>
            </w:pPr>
            <w:r w:rsidRPr="00395276">
              <w:rPr>
                <w:rFonts w:ascii="Verdana" w:eastAsia="Verdana" w:hAnsi="Verdana" w:cs="Verdana"/>
                <w:color w:val="000000"/>
                <w:sz w:val="16"/>
                <w:lang w:val="en-GB"/>
              </w:rPr>
              <w:t xml:space="preserve">Balance 1 April </w:t>
            </w:r>
          </w:p>
        </w:tc>
        <w:tc>
          <w:tcPr>
            <w:tcW w:w="3104" w:type="dxa"/>
            <w:shd w:val="clear" w:color="auto" w:fill="auto"/>
            <w:tcMar>
              <w:top w:w="20" w:type="dxa"/>
              <w:left w:w="20" w:type="dxa"/>
              <w:bottom w:w="20" w:type="dxa"/>
              <w:right w:w="20" w:type="dxa"/>
            </w:tcMar>
          </w:tcPr>
          <w:p w14:paraId="70B859AF" w14:textId="77777777" w:rsidR="00B43B3C" w:rsidRPr="00395276" w:rsidRDefault="00B43B3C" w:rsidP="00B43B3C">
            <w:pPr>
              <w:pStyle w:val="T1TableStyle"/>
              <w:jc w:val="right"/>
              <w:rPr>
                <w:rFonts w:ascii="Verdana" w:eastAsia="Verdana" w:hAnsi="Verdana" w:cs="Verdana"/>
                <w:color w:val="000000"/>
                <w:sz w:val="16"/>
                <w:lang w:val="en-GB"/>
              </w:rPr>
            </w:pPr>
            <w:r w:rsidRPr="00395276">
              <w:rPr>
                <w:rFonts w:ascii="Verdana" w:eastAsia="Verdana" w:hAnsi="Verdana" w:cs="Verdana"/>
                <w:color w:val="000000"/>
                <w:sz w:val="16"/>
                <w:lang w:val="en-GB"/>
              </w:rPr>
              <w:t>(410)</w:t>
            </w:r>
          </w:p>
        </w:tc>
      </w:tr>
      <w:tr w:rsidR="00B43B3C" w:rsidRPr="00EF2588" w14:paraId="532AFD4C" w14:textId="77777777" w:rsidTr="00955A82">
        <w:trPr>
          <w:trHeight w:val="357"/>
          <w:jc w:val="center"/>
        </w:trPr>
        <w:tc>
          <w:tcPr>
            <w:tcW w:w="1537" w:type="dxa"/>
            <w:shd w:val="clear" w:color="auto" w:fill="auto"/>
            <w:tcMar>
              <w:top w:w="20" w:type="dxa"/>
              <w:left w:w="20" w:type="dxa"/>
              <w:bottom w:w="20" w:type="dxa"/>
              <w:right w:w="20" w:type="dxa"/>
            </w:tcMar>
          </w:tcPr>
          <w:p w14:paraId="4C789848" w14:textId="77777777" w:rsidR="00B43B3C" w:rsidRPr="00EC23C3" w:rsidRDefault="00B43B3C" w:rsidP="00B43B3C">
            <w:pPr>
              <w:pStyle w:val="T1TableStyle"/>
              <w:jc w:val="right"/>
              <w:rPr>
                <w:rFonts w:ascii="Verdana" w:eastAsia="Verdana" w:hAnsi="Verdana" w:cs="Verdana"/>
                <w:color w:val="000000"/>
                <w:sz w:val="16"/>
                <w:lang w:val="en-GB"/>
              </w:rPr>
            </w:pPr>
            <w:r w:rsidRPr="00EC23C3">
              <w:rPr>
                <w:rFonts w:ascii="Verdana" w:eastAsia="Verdana" w:hAnsi="Verdana" w:cs="Verdana"/>
                <w:color w:val="000000"/>
                <w:sz w:val="16"/>
                <w:lang w:val="en-GB"/>
              </w:rPr>
              <w:t>(89)</w:t>
            </w:r>
          </w:p>
        </w:tc>
        <w:tc>
          <w:tcPr>
            <w:tcW w:w="417" w:type="dxa"/>
            <w:shd w:val="clear" w:color="auto" w:fill="auto"/>
            <w:tcMar>
              <w:top w:w="20" w:type="dxa"/>
              <w:left w:w="20" w:type="dxa"/>
              <w:bottom w:w="20" w:type="dxa"/>
              <w:right w:w="20" w:type="dxa"/>
            </w:tcMar>
          </w:tcPr>
          <w:p w14:paraId="4976F2C6" w14:textId="77777777" w:rsidR="00B43B3C" w:rsidRPr="00EC23C3" w:rsidRDefault="00B43B3C" w:rsidP="00B43B3C">
            <w:pPr>
              <w:pStyle w:val="T1TableStyle"/>
              <w:jc w:val="center"/>
              <w:rPr>
                <w:rFonts w:ascii="Verdana" w:eastAsia="Verdana" w:hAnsi="Verdana" w:cs="Verdana"/>
                <w:color w:val="000000"/>
                <w:sz w:val="2"/>
                <w:lang w:val="en-GB"/>
              </w:rPr>
            </w:pPr>
            <w:r w:rsidRPr="00EC23C3">
              <w:rPr>
                <w:rFonts w:ascii="Verdana" w:eastAsia="Verdana" w:hAnsi="Verdana" w:cs="Verdana"/>
                <w:color w:val="000000"/>
                <w:sz w:val="2"/>
                <w:lang w:val="en-GB"/>
              </w:rPr>
              <w:t xml:space="preserve"> </w:t>
            </w:r>
          </w:p>
        </w:tc>
        <w:tc>
          <w:tcPr>
            <w:tcW w:w="7486" w:type="dxa"/>
            <w:shd w:val="clear" w:color="auto" w:fill="auto"/>
            <w:tcMar>
              <w:top w:w="20" w:type="dxa"/>
              <w:left w:w="20" w:type="dxa"/>
              <w:bottom w:w="20" w:type="dxa"/>
              <w:right w:w="20" w:type="dxa"/>
            </w:tcMar>
          </w:tcPr>
          <w:p w14:paraId="734C6FFE" w14:textId="52671323" w:rsidR="00B43B3C" w:rsidRPr="00395276" w:rsidRDefault="00B43B3C" w:rsidP="00955A82">
            <w:pPr>
              <w:pStyle w:val="T1TableStyle"/>
              <w:rPr>
                <w:rFonts w:ascii="Verdana" w:eastAsia="Verdana" w:hAnsi="Verdana" w:cs="Verdana"/>
                <w:color w:val="000000"/>
                <w:sz w:val="16"/>
                <w:lang w:val="en-GB"/>
              </w:rPr>
            </w:pPr>
            <w:r w:rsidRPr="00395276">
              <w:rPr>
                <w:rFonts w:ascii="Verdana" w:eastAsia="Verdana" w:hAnsi="Verdana" w:cs="Verdana"/>
                <w:color w:val="000000"/>
                <w:sz w:val="16"/>
                <w:lang w:val="en-GB"/>
              </w:rPr>
              <w:t xml:space="preserve">Amount by which council tax and non-domestic rates income credited to the </w:t>
            </w:r>
            <w:r w:rsidR="00955A82">
              <w:rPr>
                <w:rFonts w:ascii="Verdana" w:eastAsia="Verdana" w:hAnsi="Verdana" w:cs="Verdana"/>
                <w:color w:val="000000"/>
                <w:sz w:val="16"/>
                <w:lang w:val="en-GB"/>
              </w:rPr>
              <w:t>CIES</w:t>
            </w:r>
            <w:r w:rsidRPr="00395276">
              <w:rPr>
                <w:rFonts w:ascii="Verdana" w:eastAsia="Verdana" w:hAnsi="Verdana" w:cs="Verdana"/>
                <w:color w:val="000000"/>
                <w:sz w:val="16"/>
                <w:lang w:val="en-GB"/>
              </w:rPr>
              <w:t xml:space="preserve"> </w:t>
            </w:r>
            <w:r w:rsidR="00955A82">
              <w:rPr>
                <w:rFonts w:ascii="Verdana" w:eastAsia="Verdana" w:hAnsi="Verdana" w:cs="Verdana"/>
                <w:color w:val="000000"/>
                <w:sz w:val="16"/>
                <w:lang w:val="en-GB"/>
              </w:rPr>
              <w:t>differs from</w:t>
            </w:r>
            <w:r w:rsidRPr="00395276">
              <w:rPr>
                <w:rFonts w:ascii="Verdana" w:eastAsia="Verdana" w:hAnsi="Verdana" w:cs="Verdana"/>
                <w:color w:val="000000"/>
                <w:sz w:val="16"/>
                <w:lang w:val="en-GB"/>
              </w:rPr>
              <w:t xml:space="preserve"> council tax income calculated for the year in accordance with statutory requirements</w:t>
            </w:r>
          </w:p>
        </w:tc>
        <w:tc>
          <w:tcPr>
            <w:tcW w:w="3104" w:type="dxa"/>
            <w:shd w:val="clear" w:color="auto" w:fill="auto"/>
            <w:tcMar>
              <w:top w:w="20" w:type="dxa"/>
              <w:left w:w="20" w:type="dxa"/>
              <w:bottom w:w="20" w:type="dxa"/>
              <w:right w:w="20" w:type="dxa"/>
            </w:tcMar>
          </w:tcPr>
          <w:p w14:paraId="567149D9" w14:textId="3BDF5B14" w:rsidR="00B43B3C" w:rsidRPr="0041394A" w:rsidRDefault="00EF2588" w:rsidP="00B43B3C">
            <w:pPr>
              <w:pStyle w:val="T1TableStyle"/>
              <w:jc w:val="right"/>
              <w:rPr>
                <w:rFonts w:ascii="Verdana" w:eastAsia="Verdana" w:hAnsi="Verdana" w:cs="Verdana"/>
                <w:color w:val="000000"/>
                <w:sz w:val="16"/>
                <w:lang w:val="en-GB"/>
              </w:rPr>
            </w:pPr>
            <w:r w:rsidRPr="0041394A">
              <w:rPr>
                <w:rFonts w:ascii="Verdana" w:eastAsia="Verdana" w:hAnsi="Verdana" w:cs="Verdana"/>
                <w:color w:val="000000"/>
                <w:sz w:val="16"/>
                <w:lang w:val="en-GB"/>
              </w:rPr>
              <w:t>2,486</w:t>
            </w:r>
          </w:p>
        </w:tc>
      </w:tr>
      <w:tr w:rsidR="00B43B3C" w:rsidRPr="00EF2588" w14:paraId="7EC86D3D" w14:textId="77777777" w:rsidTr="00955A82">
        <w:trPr>
          <w:trHeight w:val="108"/>
          <w:jc w:val="center"/>
        </w:trPr>
        <w:tc>
          <w:tcPr>
            <w:tcW w:w="1537" w:type="dxa"/>
            <w:tcBorders>
              <w:top w:val="single" w:sz="2" w:space="0" w:color="000000"/>
              <w:bottom w:val="single" w:sz="12" w:space="0" w:color="000000"/>
            </w:tcBorders>
            <w:shd w:val="clear" w:color="auto" w:fill="auto"/>
            <w:tcMar>
              <w:top w:w="20" w:type="dxa"/>
              <w:left w:w="20" w:type="dxa"/>
              <w:bottom w:w="20" w:type="dxa"/>
              <w:right w:w="20" w:type="dxa"/>
            </w:tcMar>
          </w:tcPr>
          <w:p w14:paraId="334422EE" w14:textId="77777777" w:rsidR="00B43B3C" w:rsidRPr="00EC23C3" w:rsidRDefault="00B43B3C" w:rsidP="00B43B3C">
            <w:pPr>
              <w:pStyle w:val="T1TableStyle"/>
              <w:jc w:val="right"/>
              <w:rPr>
                <w:rFonts w:ascii="Verdana" w:eastAsia="Verdana" w:hAnsi="Verdana" w:cs="Verdana"/>
                <w:b/>
                <w:color w:val="000000"/>
                <w:sz w:val="16"/>
                <w:lang w:val="en-GB"/>
              </w:rPr>
            </w:pPr>
            <w:r w:rsidRPr="00EC23C3">
              <w:rPr>
                <w:rFonts w:ascii="Verdana" w:eastAsia="Verdana" w:hAnsi="Verdana" w:cs="Verdana"/>
                <w:b/>
                <w:color w:val="000000"/>
                <w:sz w:val="16"/>
                <w:lang w:val="en-GB"/>
              </w:rPr>
              <w:t>(410)</w:t>
            </w:r>
          </w:p>
        </w:tc>
        <w:tc>
          <w:tcPr>
            <w:tcW w:w="417" w:type="dxa"/>
            <w:tcBorders>
              <w:top w:val="single" w:sz="2" w:space="0" w:color="000000"/>
              <w:bottom w:val="single" w:sz="12" w:space="0" w:color="000000"/>
            </w:tcBorders>
            <w:shd w:val="clear" w:color="auto" w:fill="auto"/>
            <w:tcMar>
              <w:top w:w="20" w:type="dxa"/>
              <w:left w:w="20" w:type="dxa"/>
              <w:bottom w:w="20" w:type="dxa"/>
              <w:right w:w="20" w:type="dxa"/>
            </w:tcMar>
          </w:tcPr>
          <w:p w14:paraId="57FCC187" w14:textId="77777777" w:rsidR="00B43B3C" w:rsidRPr="00EC23C3" w:rsidRDefault="00B43B3C" w:rsidP="00B43B3C">
            <w:pPr>
              <w:pStyle w:val="T1TableStyle"/>
              <w:jc w:val="center"/>
              <w:rPr>
                <w:rFonts w:ascii="Verdana" w:eastAsia="Verdana" w:hAnsi="Verdana" w:cs="Verdana"/>
                <w:b/>
                <w:color w:val="000000"/>
                <w:sz w:val="2"/>
                <w:lang w:val="en-GB"/>
              </w:rPr>
            </w:pPr>
            <w:r w:rsidRPr="00EC23C3">
              <w:rPr>
                <w:rFonts w:ascii="Verdana" w:eastAsia="Verdana" w:hAnsi="Verdana" w:cs="Verdana"/>
                <w:b/>
                <w:color w:val="000000"/>
                <w:sz w:val="2"/>
                <w:lang w:val="en-GB"/>
              </w:rPr>
              <w:t xml:space="preserve"> </w:t>
            </w:r>
          </w:p>
        </w:tc>
        <w:tc>
          <w:tcPr>
            <w:tcW w:w="7486" w:type="dxa"/>
            <w:tcBorders>
              <w:top w:val="single" w:sz="2" w:space="0" w:color="000000"/>
              <w:bottom w:val="single" w:sz="12" w:space="0" w:color="000000"/>
            </w:tcBorders>
            <w:shd w:val="clear" w:color="auto" w:fill="auto"/>
            <w:tcMar>
              <w:top w:w="20" w:type="dxa"/>
              <w:left w:w="20" w:type="dxa"/>
              <w:bottom w:w="20" w:type="dxa"/>
              <w:right w:w="20" w:type="dxa"/>
            </w:tcMar>
          </w:tcPr>
          <w:p w14:paraId="1699334F" w14:textId="77777777" w:rsidR="00B43B3C" w:rsidRPr="00395276" w:rsidRDefault="00B43B3C" w:rsidP="00B43B3C">
            <w:pPr>
              <w:pStyle w:val="T1TableStyle"/>
              <w:rPr>
                <w:rFonts w:ascii="Verdana" w:eastAsia="Verdana" w:hAnsi="Verdana" w:cs="Verdana"/>
                <w:b/>
                <w:color w:val="000000"/>
                <w:sz w:val="16"/>
                <w:lang w:val="en-GB"/>
              </w:rPr>
            </w:pPr>
            <w:r w:rsidRPr="00395276">
              <w:rPr>
                <w:rFonts w:ascii="Verdana" w:eastAsia="Verdana" w:hAnsi="Verdana" w:cs="Verdana"/>
                <w:b/>
                <w:color w:val="000000"/>
                <w:sz w:val="16"/>
                <w:lang w:val="en-GB"/>
              </w:rPr>
              <w:t xml:space="preserve">Balance 31 March </w:t>
            </w:r>
          </w:p>
        </w:tc>
        <w:tc>
          <w:tcPr>
            <w:tcW w:w="3104" w:type="dxa"/>
            <w:tcBorders>
              <w:top w:val="single" w:sz="2" w:space="0" w:color="000000"/>
              <w:bottom w:val="single" w:sz="12" w:space="0" w:color="000000"/>
            </w:tcBorders>
            <w:shd w:val="clear" w:color="auto" w:fill="auto"/>
            <w:tcMar>
              <w:top w:w="20" w:type="dxa"/>
              <w:left w:w="20" w:type="dxa"/>
              <w:bottom w:w="20" w:type="dxa"/>
              <w:right w:w="20" w:type="dxa"/>
            </w:tcMar>
          </w:tcPr>
          <w:p w14:paraId="0E521A52" w14:textId="622AE794" w:rsidR="00B43B3C" w:rsidRPr="0041394A" w:rsidRDefault="00EF2588" w:rsidP="008C46D4">
            <w:pPr>
              <w:pStyle w:val="T1TableStyle"/>
              <w:jc w:val="right"/>
              <w:rPr>
                <w:rFonts w:ascii="Verdana" w:eastAsia="Verdana" w:hAnsi="Verdana" w:cs="Verdana"/>
                <w:b/>
                <w:color w:val="000000"/>
                <w:sz w:val="16"/>
                <w:lang w:val="en-GB"/>
              </w:rPr>
            </w:pPr>
            <w:r w:rsidRPr="0041394A">
              <w:rPr>
                <w:rFonts w:ascii="Verdana" w:eastAsia="Verdana" w:hAnsi="Verdana" w:cs="Verdana"/>
                <w:b/>
                <w:color w:val="000000"/>
                <w:sz w:val="16"/>
                <w:lang w:val="en-GB"/>
              </w:rPr>
              <w:t>2,076</w:t>
            </w:r>
          </w:p>
        </w:tc>
      </w:tr>
    </w:tbl>
    <w:p w14:paraId="6A13B8DD" w14:textId="77777777" w:rsidR="00CA6653" w:rsidRPr="003516A4" w:rsidRDefault="00CA6653">
      <w:pPr>
        <w:pStyle w:val="T1TableStyle"/>
        <w:rPr>
          <w:rFonts w:ascii="Verdana" w:eastAsia="Verdana" w:hAnsi="Verdana" w:cs="Verdana"/>
          <w:sz w:val="22"/>
          <w:highlight w:val="yellow"/>
          <w:lang w:val="en-GB"/>
        </w:rPr>
      </w:pPr>
    </w:p>
    <w:p w14:paraId="11A7F24B" w14:textId="77777777" w:rsidR="00EE7B4F" w:rsidRPr="00E11E1F" w:rsidRDefault="00937DD9" w:rsidP="00937DD9">
      <w:pPr>
        <w:pStyle w:val="Normal0"/>
        <w:spacing w:after="160"/>
        <w:jc w:val="both"/>
        <w:rPr>
          <w:rFonts w:ascii="Verdana" w:eastAsia="Verdana" w:hAnsi="Verdana" w:cs="Verdana"/>
          <w:sz w:val="22"/>
          <w:szCs w:val="22"/>
          <w:lang w:val="en-GB"/>
        </w:rPr>
      </w:pPr>
      <w:r w:rsidRPr="00E11E1F">
        <w:rPr>
          <w:rFonts w:ascii="Verdana" w:eastAsia="Verdana" w:hAnsi="Verdana" w:cs="Verdana"/>
          <w:sz w:val="22"/>
          <w:lang w:val="en-GB"/>
        </w:rPr>
        <w:t>The Collection Fund Adjustment Account reflects the differences arising from the recognition of council tax income in the Comprehensive Income and Expenditure Statement as it falls due for council tax payers, compared with the statutory arrangements for paying across amounts to the General Fund from the Collection Fund</w:t>
      </w:r>
      <w:r w:rsidR="00E11E1F" w:rsidRPr="00E11E1F">
        <w:rPr>
          <w:rFonts w:ascii="Verdana" w:eastAsia="Verdana" w:hAnsi="Verdana" w:cs="Verdana"/>
          <w:sz w:val="22"/>
          <w:lang w:val="en-GB"/>
        </w:rPr>
        <w:t>.</w:t>
      </w:r>
    </w:p>
    <w:tbl>
      <w:tblPr>
        <w:tblW w:w="0" w:type="auto"/>
        <w:jc w:val="center"/>
        <w:tblLayout w:type="fixed"/>
        <w:tblLook w:val="04A0" w:firstRow="1" w:lastRow="0" w:firstColumn="1" w:lastColumn="0" w:noHBand="0" w:noVBand="1"/>
      </w:tblPr>
      <w:tblGrid>
        <w:gridCol w:w="2361"/>
        <w:gridCol w:w="318"/>
        <w:gridCol w:w="5705"/>
        <w:gridCol w:w="2364"/>
      </w:tblGrid>
      <w:tr w:rsidR="004D417B" w:rsidRPr="008A05A9" w14:paraId="6C8B3424" w14:textId="77777777" w:rsidTr="00955A82">
        <w:trPr>
          <w:trHeight w:val="479"/>
          <w:jc w:val="center"/>
        </w:trPr>
        <w:tc>
          <w:tcPr>
            <w:tcW w:w="10748" w:type="dxa"/>
            <w:gridSpan w:val="4"/>
            <w:shd w:val="clear" w:color="auto" w:fill="auto"/>
            <w:tcMar>
              <w:top w:w="20" w:type="dxa"/>
              <w:left w:w="20" w:type="dxa"/>
              <w:bottom w:w="20" w:type="dxa"/>
              <w:right w:w="20" w:type="dxa"/>
            </w:tcMar>
            <w:vAlign w:val="bottom"/>
          </w:tcPr>
          <w:p w14:paraId="7306F252" w14:textId="77777777" w:rsidR="00CA6653" w:rsidRPr="008A05A9" w:rsidRDefault="00CA6653">
            <w:pPr>
              <w:pStyle w:val="T1TableStyle"/>
              <w:rPr>
                <w:rFonts w:ascii="Verdana" w:eastAsia="Verdana" w:hAnsi="Verdana" w:cs="Verdana"/>
                <w:b/>
                <w:color w:val="000000"/>
                <w:lang w:val="en-GB"/>
              </w:rPr>
            </w:pPr>
            <w:r w:rsidRPr="008A05A9">
              <w:rPr>
                <w:rFonts w:ascii="Verdana" w:eastAsia="Verdana" w:hAnsi="Verdana" w:cs="Verdana"/>
                <w:b/>
                <w:color w:val="000000"/>
                <w:lang w:val="en-GB"/>
              </w:rPr>
              <w:t>Accumulated Absences Account</w:t>
            </w:r>
          </w:p>
        </w:tc>
      </w:tr>
      <w:tr w:rsidR="004D417B" w:rsidRPr="008A05A9" w14:paraId="47EB5F48" w14:textId="77777777" w:rsidTr="00955A82">
        <w:trPr>
          <w:trHeight w:val="54"/>
          <w:jc w:val="center"/>
        </w:trPr>
        <w:tc>
          <w:tcPr>
            <w:tcW w:w="2361" w:type="dxa"/>
            <w:shd w:val="clear" w:color="auto" w:fill="auto"/>
            <w:tcMar>
              <w:top w:w="20" w:type="dxa"/>
              <w:left w:w="20" w:type="dxa"/>
              <w:bottom w:w="20" w:type="dxa"/>
              <w:right w:w="20" w:type="dxa"/>
            </w:tcMar>
            <w:vAlign w:val="bottom"/>
          </w:tcPr>
          <w:p w14:paraId="0FD2F682" w14:textId="77777777" w:rsidR="00CA6653" w:rsidRPr="008A05A9" w:rsidRDefault="00CA6653" w:rsidP="006D4A31">
            <w:pPr>
              <w:pStyle w:val="T1TableStyle"/>
              <w:jc w:val="center"/>
              <w:rPr>
                <w:rFonts w:ascii="Verdana" w:eastAsia="Verdana" w:hAnsi="Verdana" w:cs="Verdana"/>
                <w:b/>
                <w:color w:val="000000"/>
                <w:sz w:val="16"/>
                <w:lang w:val="en-GB"/>
              </w:rPr>
            </w:pPr>
            <w:r w:rsidRPr="008A05A9">
              <w:rPr>
                <w:rFonts w:ascii="Verdana" w:eastAsia="Verdana" w:hAnsi="Verdana" w:cs="Verdana"/>
                <w:b/>
                <w:color w:val="000000"/>
                <w:sz w:val="16"/>
                <w:lang w:val="en-GB"/>
              </w:rPr>
              <w:t>31 March 20</w:t>
            </w:r>
            <w:r w:rsidR="006D4A31" w:rsidRPr="008A05A9">
              <w:rPr>
                <w:rFonts w:ascii="Verdana" w:eastAsia="Verdana" w:hAnsi="Verdana" w:cs="Verdana"/>
                <w:b/>
                <w:color w:val="000000"/>
                <w:sz w:val="16"/>
                <w:lang w:val="en-GB"/>
              </w:rPr>
              <w:t>20</w:t>
            </w:r>
          </w:p>
        </w:tc>
        <w:tc>
          <w:tcPr>
            <w:tcW w:w="318" w:type="dxa"/>
            <w:shd w:val="clear" w:color="auto" w:fill="auto"/>
            <w:tcMar>
              <w:top w:w="20" w:type="dxa"/>
              <w:left w:w="20" w:type="dxa"/>
              <w:bottom w:w="20" w:type="dxa"/>
              <w:right w:w="20" w:type="dxa"/>
            </w:tcMar>
            <w:vAlign w:val="bottom"/>
          </w:tcPr>
          <w:p w14:paraId="2B479A0B" w14:textId="77777777" w:rsidR="00CA6653" w:rsidRPr="008A05A9" w:rsidRDefault="00CA6653">
            <w:pPr>
              <w:pStyle w:val="T1TableStyle"/>
              <w:jc w:val="center"/>
              <w:rPr>
                <w:rFonts w:ascii="Verdana" w:eastAsia="Verdana" w:hAnsi="Verdana" w:cs="Verdana"/>
                <w:b/>
                <w:color w:val="000000"/>
                <w:sz w:val="2"/>
                <w:lang w:val="en-GB"/>
              </w:rPr>
            </w:pPr>
            <w:r w:rsidRPr="008A05A9">
              <w:rPr>
                <w:rFonts w:ascii="Verdana" w:eastAsia="Verdana" w:hAnsi="Verdana" w:cs="Verdana"/>
                <w:b/>
                <w:color w:val="000000"/>
                <w:sz w:val="2"/>
                <w:lang w:val="en-GB"/>
              </w:rPr>
              <w:t xml:space="preserve"> </w:t>
            </w:r>
          </w:p>
        </w:tc>
        <w:tc>
          <w:tcPr>
            <w:tcW w:w="5705" w:type="dxa"/>
            <w:shd w:val="clear" w:color="auto" w:fill="auto"/>
            <w:tcMar>
              <w:top w:w="20" w:type="dxa"/>
              <w:left w:w="20" w:type="dxa"/>
              <w:bottom w:w="20" w:type="dxa"/>
              <w:right w:w="20" w:type="dxa"/>
            </w:tcMar>
            <w:vAlign w:val="bottom"/>
          </w:tcPr>
          <w:p w14:paraId="74ED500A" w14:textId="77777777" w:rsidR="00CA6653" w:rsidRPr="008A05A9" w:rsidRDefault="00CA6653">
            <w:pPr>
              <w:pStyle w:val="T1TableStyle"/>
              <w:jc w:val="center"/>
              <w:rPr>
                <w:rFonts w:ascii="Verdana" w:eastAsia="Verdana" w:hAnsi="Verdana" w:cs="Verdana"/>
                <w:b/>
                <w:color w:val="000000"/>
                <w:sz w:val="2"/>
                <w:lang w:val="en-GB"/>
              </w:rPr>
            </w:pPr>
            <w:r w:rsidRPr="008A05A9">
              <w:rPr>
                <w:rFonts w:ascii="Verdana" w:eastAsia="Verdana" w:hAnsi="Verdana" w:cs="Verdana"/>
                <w:b/>
                <w:color w:val="000000"/>
                <w:sz w:val="2"/>
                <w:lang w:val="en-GB"/>
              </w:rPr>
              <w:t xml:space="preserve"> </w:t>
            </w:r>
          </w:p>
        </w:tc>
        <w:tc>
          <w:tcPr>
            <w:tcW w:w="2364" w:type="dxa"/>
            <w:shd w:val="clear" w:color="auto" w:fill="auto"/>
            <w:tcMar>
              <w:top w:w="20" w:type="dxa"/>
              <w:left w:w="20" w:type="dxa"/>
              <w:bottom w:w="20" w:type="dxa"/>
              <w:right w:w="20" w:type="dxa"/>
            </w:tcMar>
            <w:vAlign w:val="bottom"/>
          </w:tcPr>
          <w:p w14:paraId="4F248ABD" w14:textId="77777777" w:rsidR="00CA6653" w:rsidRPr="008A05A9" w:rsidRDefault="00CA6653" w:rsidP="006D4A31">
            <w:pPr>
              <w:pStyle w:val="T1TableStyle"/>
              <w:jc w:val="center"/>
              <w:rPr>
                <w:rFonts w:ascii="Verdana" w:eastAsia="Verdana" w:hAnsi="Verdana" w:cs="Verdana"/>
                <w:b/>
                <w:color w:val="000000"/>
                <w:sz w:val="16"/>
                <w:lang w:val="en-GB"/>
              </w:rPr>
            </w:pPr>
            <w:r w:rsidRPr="008A05A9">
              <w:rPr>
                <w:rFonts w:ascii="Verdana" w:eastAsia="Verdana" w:hAnsi="Verdana" w:cs="Verdana"/>
                <w:b/>
                <w:color w:val="000000"/>
                <w:sz w:val="16"/>
                <w:lang w:val="en-GB"/>
              </w:rPr>
              <w:t>31 March 202</w:t>
            </w:r>
            <w:r w:rsidR="006D4A31" w:rsidRPr="008A05A9">
              <w:rPr>
                <w:rFonts w:ascii="Verdana" w:eastAsia="Verdana" w:hAnsi="Verdana" w:cs="Verdana"/>
                <w:b/>
                <w:color w:val="000000"/>
                <w:sz w:val="16"/>
                <w:lang w:val="en-GB"/>
              </w:rPr>
              <w:t>1</w:t>
            </w:r>
          </w:p>
        </w:tc>
      </w:tr>
      <w:tr w:rsidR="004D417B" w:rsidRPr="008A05A9" w14:paraId="74542C8B" w14:textId="77777777" w:rsidTr="00955A82">
        <w:trPr>
          <w:trHeight w:val="54"/>
          <w:jc w:val="center"/>
        </w:trPr>
        <w:tc>
          <w:tcPr>
            <w:tcW w:w="2361" w:type="dxa"/>
            <w:tcBorders>
              <w:bottom w:val="single" w:sz="2" w:space="0" w:color="000000"/>
            </w:tcBorders>
            <w:shd w:val="clear" w:color="auto" w:fill="auto"/>
            <w:tcMar>
              <w:top w:w="20" w:type="dxa"/>
              <w:left w:w="20" w:type="dxa"/>
              <w:bottom w:w="20" w:type="dxa"/>
              <w:right w:w="20" w:type="dxa"/>
            </w:tcMar>
          </w:tcPr>
          <w:p w14:paraId="2BB33934" w14:textId="77777777" w:rsidR="00CA6653" w:rsidRPr="008A05A9" w:rsidRDefault="00CA6653">
            <w:pPr>
              <w:pStyle w:val="T1TableStyle"/>
              <w:jc w:val="right"/>
              <w:rPr>
                <w:rFonts w:ascii="Verdana" w:eastAsia="Verdana" w:hAnsi="Verdana" w:cs="Verdana"/>
                <w:b/>
                <w:color w:val="000000"/>
                <w:sz w:val="16"/>
                <w:lang w:val="en-GB"/>
              </w:rPr>
            </w:pPr>
            <w:r w:rsidRPr="008A05A9">
              <w:rPr>
                <w:rFonts w:ascii="Verdana" w:eastAsia="Verdana" w:hAnsi="Verdana" w:cs="Verdana"/>
                <w:b/>
                <w:color w:val="000000"/>
                <w:sz w:val="16"/>
                <w:lang w:val="en-GB"/>
              </w:rPr>
              <w:t>£000</w:t>
            </w:r>
          </w:p>
        </w:tc>
        <w:tc>
          <w:tcPr>
            <w:tcW w:w="318" w:type="dxa"/>
            <w:tcBorders>
              <w:bottom w:val="single" w:sz="2" w:space="0" w:color="000000"/>
            </w:tcBorders>
            <w:shd w:val="clear" w:color="auto" w:fill="auto"/>
            <w:tcMar>
              <w:top w:w="20" w:type="dxa"/>
              <w:left w:w="20" w:type="dxa"/>
              <w:bottom w:w="20" w:type="dxa"/>
              <w:right w:w="20" w:type="dxa"/>
            </w:tcMar>
          </w:tcPr>
          <w:p w14:paraId="15A656E3" w14:textId="77777777" w:rsidR="00CA6653" w:rsidRPr="008A05A9" w:rsidRDefault="00CA6653">
            <w:pPr>
              <w:pStyle w:val="T1TableStyle"/>
              <w:jc w:val="right"/>
              <w:rPr>
                <w:rFonts w:ascii="Verdana" w:eastAsia="Verdana" w:hAnsi="Verdana" w:cs="Verdana"/>
                <w:b/>
                <w:color w:val="000000"/>
                <w:sz w:val="2"/>
                <w:lang w:val="en-GB"/>
              </w:rPr>
            </w:pPr>
            <w:r w:rsidRPr="008A05A9">
              <w:rPr>
                <w:rFonts w:ascii="Verdana" w:eastAsia="Verdana" w:hAnsi="Verdana" w:cs="Verdana"/>
                <w:b/>
                <w:color w:val="000000"/>
                <w:sz w:val="2"/>
                <w:lang w:val="en-GB"/>
              </w:rPr>
              <w:t xml:space="preserve"> </w:t>
            </w:r>
          </w:p>
        </w:tc>
        <w:tc>
          <w:tcPr>
            <w:tcW w:w="5705" w:type="dxa"/>
            <w:tcBorders>
              <w:bottom w:val="single" w:sz="2" w:space="0" w:color="000000"/>
            </w:tcBorders>
            <w:shd w:val="clear" w:color="auto" w:fill="auto"/>
            <w:tcMar>
              <w:top w:w="20" w:type="dxa"/>
              <w:left w:w="20" w:type="dxa"/>
              <w:bottom w:w="20" w:type="dxa"/>
              <w:right w:w="20" w:type="dxa"/>
            </w:tcMar>
          </w:tcPr>
          <w:p w14:paraId="295FF186" w14:textId="77777777" w:rsidR="00CA6653" w:rsidRPr="008A05A9" w:rsidRDefault="00CA6653">
            <w:pPr>
              <w:pStyle w:val="T1TableStyle"/>
              <w:jc w:val="right"/>
              <w:rPr>
                <w:rFonts w:ascii="Verdana" w:eastAsia="Verdana" w:hAnsi="Verdana" w:cs="Verdana"/>
                <w:b/>
                <w:color w:val="000000"/>
                <w:sz w:val="2"/>
                <w:lang w:val="en-GB"/>
              </w:rPr>
            </w:pPr>
            <w:r w:rsidRPr="008A05A9">
              <w:rPr>
                <w:rFonts w:ascii="Verdana" w:eastAsia="Verdana" w:hAnsi="Verdana" w:cs="Verdana"/>
                <w:b/>
                <w:color w:val="000000"/>
                <w:sz w:val="2"/>
                <w:lang w:val="en-GB"/>
              </w:rPr>
              <w:t xml:space="preserve"> </w:t>
            </w:r>
          </w:p>
        </w:tc>
        <w:tc>
          <w:tcPr>
            <w:tcW w:w="2364" w:type="dxa"/>
            <w:tcBorders>
              <w:bottom w:val="single" w:sz="2" w:space="0" w:color="000000"/>
            </w:tcBorders>
            <w:shd w:val="clear" w:color="auto" w:fill="auto"/>
            <w:tcMar>
              <w:top w:w="20" w:type="dxa"/>
              <w:left w:w="20" w:type="dxa"/>
              <w:bottom w:w="20" w:type="dxa"/>
              <w:right w:w="20" w:type="dxa"/>
            </w:tcMar>
          </w:tcPr>
          <w:p w14:paraId="60C157DA" w14:textId="77777777" w:rsidR="00CA6653" w:rsidRPr="008A05A9" w:rsidRDefault="00CA6653">
            <w:pPr>
              <w:pStyle w:val="T1TableStyle"/>
              <w:jc w:val="right"/>
              <w:rPr>
                <w:rFonts w:ascii="Verdana" w:eastAsia="Verdana" w:hAnsi="Verdana" w:cs="Verdana"/>
                <w:b/>
                <w:color w:val="000000"/>
                <w:sz w:val="16"/>
                <w:lang w:val="en-GB"/>
              </w:rPr>
            </w:pPr>
            <w:r w:rsidRPr="008A05A9">
              <w:rPr>
                <w:rFonts w:ascii="Verdana" w:eastAsia="Verdana" w:hAnsi="Verdana" w:cs="Verdana"/>
                <w:b/>
                <w:color w:val="000000"/>
                <w:sz w:val="16"/>
                <w:lang w:val="en-GB"/>
              </w:rPr>
              <w:t>£000</w:t>
            </w:r>
          </w:p>
        </w:tc>
      </w:tr>
      <w:tr w:rsidR="006D4A31" w:rsidRPr="008A05A9" w14:paraId="23E42EEB" w14:textId="77777777" w:rsidTr="00955A82">
        <w:trPr>
          <w:trHeight w:val="54"/>
          <w:jc w:val="center"/>
        </w:trPr>
        <w:tc>
          <w:tcPr>
            <w:tcW w:w="2361" w:type="dxa"/>
            <w:shd w:val="clear" w:color="auto" w:fill="auto"/>
            <w:tcMar>
              <w:top w:w="20" w:type="dxa"/>
              <w:left w:w="20" w:type="dxa"/>
              <w:bottom w:w="20" w:type="dxa"/>
              <w:right w:w="20" w:type="dxa"/>
            </w:tcMar>
          </w:tcPr>
          <w:p w14:paraId="5C3DD558" w14:textId="77777777" w:rsidR="006D4A31" w:rsidRPr="008A05A9" w:rsidRDefault="006D4A31" w:rsidP="006D4A31">
            <w:pPr>
              <w:pStyle w:val="T1TableStyle"/>
              <w:jc w:val="right"/>
              <w:rPr>
                <w:rFonts w:ascii="Verdana" w:eastAsia="Verdana" w:hAnsi="Verdana" w:cs="Verdana"/>
                <w:color w:val="000000"/>
                <w:sz w:val="16"/>
                <w:lang w:val="en-GB"/>
              </w:rPr>
            </w:pPr>
            <w:r w:rsidRPr="008A05A9">
              <w:rPr>
                <w:rFonts w:ascii="Verdana" w:eastAsia="Verdana" w:hAnsi="Verdana" w:cs="Verdana"/>
                <w:color w:val="000000"/>
                <w:sz w:val="16"/>
                <w:lang w:val="en-GB"/>
              </w:rPr>
              <w:t>908</w:t>
            </w:r>
          </w:p>
        </w:tc>
        <w:tc>
          <w:tcPr>
            <w:tcW w:w="318" w:type="dxa"/>
            <w:shd w:val="clear" w:color="auto" w:fill="auto"/>
            <w:tcMar>
              <w:top w:w="20" w:type="dxa"/>
              <w:left w:w="20" w:type="dxa"/>
              <w:bottom w:w="20" w:type="dxa"/>
              <w:right w:w="20" w:type="dxa"/>
            </w:tcMar>
          </w:tcPr>
          <w:p w14:paraId="4B2E6CC1" w14:textId="77777777" w:rsidR="006D4A31" w:rsidRPr="008A05A9" w:rsidRDefault="006D4A31" w:rsidP="006D4A31">
            <w:pPr>
              <w:pStyle w:val="T1TableStyle"/>
              <w:jc w:val="center"/>
              <w:rPr>
                <w:rFonts w:ascii="Verdana" w:eastAsia="Verdana" w:hAnsi="Verdana" w:cs="Verdana"/>
                <w:color w:val="000000"/>
                <w:sz w:val="2"/>
                <w:lang w:val="en-GB"/>
              </w:rPr>
            </w:pPr>
            <w:r w:rsidRPr="008A05A9">
              <w:rPr>
                <w:rFonts w:ascii="Verdana" w:eastAsia="Verdana" w:hAnsi="Verdana" w:cs="Verdana"/>
                <w:color w:val="000000"/>
                <w:sz w:val="2"/>
                <w:lang w:val="en-GB"/>
              </w:rPr>
              <w:t xml:space="preserve"> </w:t>
            </w:r>
          </w:p>
        </w:tc>
        <w:tc>
          <w:tcPr>
            <w:tcW w:w="5705" w:type="dxa"/>
            <w:shd w:val="clear" w:color="auto" w:fill="auto"/>
            <w:tcMar>
              <w:top w:w="20" w:type="dxa"/>
              <w:left w:w="20" w:type="dxa"/>
              <w:bottom w:w="20" w:type="dxa"/>
              <w:right w:w="20" w:type="dxa"/>
            </w:tcMar>
          </w:tcPr>
          <w:p w14:paraId="4F0F1582" w14:textId="77777777" w:rsidR="006D4A31" w:rsidRPr="008A05A9" w:rsidRDefault="006D4A31" w:rsidP="006D4A31">
            <w:pPr>
              <w:pStyle w:val="T1TableStyle"/>
              <w:rPr>
                <w:rFonts w:ascii="Verdana" w:eastAsia="Verdana" w:hAnsi="Verdana" w:cs="Verdana"/>
                <w:b/>
                <w:color w:val="000000"/>
                <w:sz w:val="16"/>
                <w:lang w:val="en-GB"/>
              </w:rPr>
            </w:pPr>
            <w:r w:rsidRPr="008A05A9">
              <w:rPr>
                <w:rFonts w:ascii="Verdana" w:eastAsia="Verdana" w:hAnsi="Verdana" w:cs="Verdana"/>
                <w:b/>
                <w:color w:val="000000"/>
                <w:sz w:val="16"/>
                <w:lang w:val="en-GB"/>
              </w:rPr>
              <w:t xml:space="preserve">Balance 1 April </w:t>
            </w:r>
          </w:p>
        </w:tc>
        <w:tc>
          <w:tcPr>
            <w:tcW w:w="2364" w:type="dxa"/>
            <w:shd w:val="clear" w:color="auto" w:fill="auto"/>
            <w:tcMar>
              <w:top w:w="20" w:type="dxa"/>
              <w:left w:w="20" w:type="dxa"/>
              <w:bottom w:w="20" w:type="dxa"/>
              <w:right w:w="20" w:type="dxa"/>
            </w:tcMar>
          </w:tcPr>
          <w:p w14:paraId="10B8FD90" w14:textId="77777777" w:rsidR="006D4A31" w:rsidRPr="008A05A9" w:rsidRDefault="006D4A31" w:rsidP="006D4A31">
            <w:pPr>
              <w:pStyle w:val="T1TableStyle"/>
              <w:jc w:val="right"/>
              <w:rPr>
                <w:rFonts w:ascii="Verdana" w:eastAsia="Verdana" w:hAnsi="Verdana" w:cs="Verdana"/>
                <w:color w:val="000000"/>
                <w:sz w:val="16"/>
                <w:lang w:val="en-GB"/>
              </w:rPr>
            </w:pPr>
            <w:r w:rsidRPr="008A05A9">
              <w:rPr>
                <w:rFonts w:ascii="Verdana" w:eastAsia="Verdana" w:hAnsi="Verdana" w:cs="Verdana"/>
                <w:color w:val="000000"/>
                <w:sz w:val="16"/>
                <w:lang w:val="en-GB"/>
              </w:rPr>
              <w:t>1</w:t>
            </w:r>
            <w:r w:rsidR="008A05A9" w:rsidRPr="008A05A9">
              <w:rPr>
                <w:rFonts w:ascii="Verdana" w:eastAsia="Verdana" w:hAnsi="Verdana" w:cs="Verdana"/>
                <w:color w:val="000000"/>
                <w:sz w:val="16"/>
                <w:lang w:val="en-GB"/>
              </w:rPr>
              <w:t>,</w:t>
            </w:r>
            <w:r w:rsidRPr="008A05A9">
              <w:rPr>
                <w:rFonts w:ascii="Verdana" w:eastAsia="Verdana" w:hAnsi="Verdana" w:cs="Verdana"/>
                <w:color w:val="000000"/>
                <w:sz w:val="16"/>
                <w:lang w:val="en-GB"/>
              </w:rPr>
              <w:t>053</w:t>
            </w:r>
          </w:p>
        </w:tc>
      </w:tr>
      <w:tr w:rsidR="006D4A31" w:rsidRPr="008A05A9" w14:paraId="0CC0EF5B" w14:textId="77777777" w:rsidTr="00955A82">
        <w:trPr>
          <w:trHeight w:val="54"/>
          <w:jc w:val="center"/>
        </w:trPr>
        <w:tc>
          <w:tcPr>
            <w:tcW w:w="2361" w:type="dxa"/>
            <w:shd w:val="clear" w:color="auto" w:fill="auto"/>
            <w:tcMar>
              <w:top w:w="20" w:type="dxa"/>
              <w:left w:w="20" w:type="dxa"/>
              <w:bottom w:w="20" w:type="dxa"/>
              <w:right w:w="20" w:type="dxa"/>
            </w:tcMar>
          </w:tcPr>
          <w:p w14:paraId="03E8AA4B" w14:textId="77777777" w:rsidR="006D4A31" w:rsidRPr="008A05A9" w:rsidRDefault="006D4A31" w:rsidP="006D4A31">
            <w:pPr>
              <w:pStyle w:val="T1TableStyle"/>
              <w:jc w:val="right"/>
              <w:rPr>
                <w:rFonts w:ascii="Verdana" w:eastAsia="Verdana" w:hAnsi="Verdana" w:cs="Verdana"/>
                <w:color w:val="000000"/>
                <w:sz w:val="16"/>
                <w:lang w:val="en-GB"/>
              </w:rPr>
            </w:pPr>
            <w:r w:rsidRPr="008A05A9">
              <w:rPr>
                <w:rFonts w:ascii="Verdana" w:eastAsia="Verdana" w:hAnsi="Verdana" w:cs="Verdana"/>
                <w:color w:val="000000"/>
                <w:sz w:val="16"/>
                <w:lang w:val="en-GB"/>
              </w:rPr>
              <w:t>(908)</w:t>
            </w:r>
          </w:p>
        </w:tc>
        <w:tc>
          <w:tcPr>
            <w:tcW w:w="318" w:type="dxa"/>
            <w:shd w:val="clear" w:color="auto" w:fill="auto"/>
            <w:tcMar>
              <w:top w:w="20" w:type="dxa"/>
              <w:left w:w="20" w:type="dxa"/>
              <w:bottom w:w="20" w:type="dxa"/>
              <w:right w:w="20" w:type="dxa"/>
            </w:tcMar>
          </w:tcPr>
          <w:p w14:paraId="0FD9A636" w14:textId="77777777" w:rsidR="006D4A31" w:rsidRPr="008A05A9" w:rsidRDefault="006D4A31" w:rsidP="006D4A31">
            <w:pPr>
              <w:pStyle w:val="T1TableStyle"/>
              <w:jc w:val="center"/>
              <w:rPr>
                <w:rFonts w:ascii="Verdana" w:eastAsia="Verdana" w:hAnsi="Verdana" w:cs="Verdana"/>
                <w:color w:val="000000"/>
                <w:sz w:val="2"/>
                <w:lang w:val="en-GB"/>
              </w:rPr>
            </w:pPr>
            <w:r w:rsidRPr="008A05A9">
              <w:rPr>
                <w:rFonts w:ascii="Verdana" w:eastAsia="Verdana" w:hAnsi="Verdana" w:cs="Verdana"/>
                <w:color w:val="000000"/>
                <w:sz w:val="2"/>
                <w:lang w:val="en-GB"/>
              </w:rPr>
              <w:t xml:space="preserve"> </w:t>
            </w:r>
          </w:p>
        </w:tc>
        <w:tc>
          <w:tcPr>
            <w:tcW w:w="5705" w:type="dxa"/>
            <w:shd w:val="clear" w:color="auto" w:fill="auto"/>
            <w:tcMar>
              <w:top w:w="20" w:type="dxa"/>
              <w:left w:w="20" w:type="dxa"/>
              <w:bottom w:w="20" w:type="dxa"/>
              <w:right w:w="20" w:type="dxa"/>
            </w:tcMar>
          </w:tcPr>
          <w:p w14:paraId="2BCA2A7A" w14:textId="77777777" w:rsidR="006D4A31" w:rsidRPr="008A05A9" w:rsidRDefault="006D4A31" w:rsidP="006D4A31">
            <w:pPr>
              <w:pStyle w:val="T1TableStyle"/>
              <w:rPr>
                <w:rFonts w:ascii="Verdana" w:eastAsia="Verdana" w:hAnsi="Verdana" w:cs="Verdana"/>
                <w:color w:val="000000"/>
                <w:sz w:val="16"/>
                <w:lang w:val="en-GB"/>
              </w:rPr>
            </w:pPr>
            <w:r w:rsidRPr="008A05A9">
              <w:rPr>
                <w:rFonts w:ascii="Verdana" w:eastAsia="Verdana" w:hAnsi="Verdana" w:cs="Verdana"/>
                <w:color w:val="000000"/>
                <w:sz w:val="16"/>
                <w:lang w:val="en-GB"/>
              </w:rPr>
              <w:t>Settlement or cancellation of accrual made at the end of the preceding year</w:t>
            </w:r>
          </w:p>
        </w:tc>
        <w:tc>
          <w:tcPr>
            <w:tcW w:w="2364" w:type="dxa"/>
            <w:shd w:val="clear" w:color="auto" w:fill="auto"/>
            <w:tcMar>
              <w:top w:w="20" w:type="dxa"/>
              <w:left w:w="20" w:type="dxa"/>
              <w:bottom w:w="20" w:type="dxa"/>
              <w:right w:w="20" w:type="dxa"/>
            </w:tcMar>
          </w:tcPr>
          <w:p w14:paraId="05CC6164" w14:textId="77777777" w:rsidR="006D4A31" w:rsidRPr="008A05A9" w:rsidRDefault="008A05A9" w:rsidP="006D4A31">
            <w:pPr>
              <w:pStyle w:val="T1TableStyle"/>
              <w:jc w:val="right"/>
              <w:rPr>
                <w:rFonts w:ascii="Verdana" w:eastAsia="Verdana" w:hAnsi="Verdana" w:cs="Verdana"/>
                <w:color w:val="000000"/>
                <w:sz w:val="16"/>
                <w:lang w:val="en-GB"/>
              </w:rPr>
            </w:pPr>
            <w:r w:rsidRPr="008A05A9">
              <w:rPr>
                <w:rFonts w:ascii="Verdana" w:eastAsia="Verdana" w:hAnsi="Verdana" w:cs="Verdana"/>
                <w:color w:val="000000"/>
                <w:sz w:val="16"/>
                <w:lang w:val="en-GB"/>
              </w:rPr>
              <w:t>(1,053)</w:t>
            </w:r>
          </w:p>
        </w:tc>
      </w:tr>
      <w:tr w:rsidR="006D4A31" w:rsidRPr="008A05A9" w14:paraId="39775A89" w14:textId="77777777" w:rsidTr="00955A82">
        <w:trPr>
          <w:trHeight w:val="54"/>
          <w:jc w:val="center"/>
        </w:trPr>
        <w:tc>
          <w:tcPr>
            <w:tcW w:w="2361" w:type="dxa"/>
            <w:shd w:val="clear" w:color="auto" w:fill="auto"/>
            <w:tcMar>
              <w:top w:w="20" w:type="dxa"/>
              <w:left w:w="20" w:type="dxa"/>
              <w:bottom w:w="20" w:type="dxa"/>
              <w:right w:w="20" w:type="dxa"/>
            </w:tcMar>
          </w:tcPr>
          <w:p w14:paraId="60AB281C" w14:textId="77777777" w:rsidR="006D4A31" w:rsidRPr="008A05A9" w:rsidRDefault="006D4A31" w:rsidP="006D4A31">
            <w:pPr>
              <w:pStyle w:val="T1TableStyle"/>
              <w:jc w:val="right"/>
              <w:rPr>
                <w:rFonts w:ascii="Verdana" w:eastAsia="Verdana" w:hAnsi="Verdana" w:cs="Verdana"/>
                <w:color w:val="000000"/>
                <w:sz w:val="16"/>
                <w:lang w:val="en-GB"/>
              </w:rPr>
            </w:pPr>
            <w:r w:rsidRPr="008A05A9">
              <w:rPr>
                <w:rFonts w:ascii="Verdana" w:eastAsia="Verdana" w:hAnsi="Verdana" w:cs="Verdana"/>
                <w:color w:val="000000"/>
                <w:sz w:val="16"/>
                <w:lang w:val="en-GB"/>
              </w:rPr>
              <w:t>1,053</w:t>
            </w:r>
          </w:p>
        </w:tc>
        <w:tc>
          <w:tcPr>
            <w:tcW w:w="318" w:type="dxa"/>
            <w:shd w:val="clear" w:color="auto" w:fill="auto"/>
            <w:tcMar>
              <w:top w:w="20" w:type="dxa"/>
              <w:left w:w="20" w:type="dxa"/>
              <w:bottom w:w="20" w:type="dxa"/>
              <w:right w:w="20" w:type="dxa"/>
            </w:tcMar>
          </w:tcPr>
          <w:p w14:paraId="212EA0E7" w14:textId="77777777" w:rsidR="006D4A31" w:rsidRPr="008A05A9" w:rsidRDefault="006D4A31" w:rsidP="006D4A31">
            <w:pPr>
              <w:pStyle w:val="T1TableStyle"/>
              <w:jc w:val="center"/>
              <w:rPr>
                <w:rFonts w:ascii="Verdana" w:eastAsia="Verdana" w:hAnsi="Verdana" w:cs="Verdana"/>
                <w:color w:val="000000"/>
                <w:sz w:val="2"/>
                <w:lang w:val="en-GB"/>
              </w:rPr>
            </w:pPr>
            <w:r w:rsidRPr="008A05A9">
              <w:rPr>
                <w:rFonts w:ascii="Verdana" w:eastAsia="Verdana" w:hAnsi="Verdana" w:cs="Verdana"/>
                <w:color w:val="000000"/>
                <w:sz w:val="2"/>
                <w:lang w:val="en-GB"/>
              </w:rPr>
              <w:t xml:space="preserve"> </w:t>
            </w:r>
          </w:p>
        </w:tc>
        <w:tc>
          <w:tcPr>
            <w:tcW w:w="5705" w:type="dxa"/>
            <w:shd w:val="clear" w:color="auto" w:fill="auto"/>
            <w:tcMar>
              <w:top w:w="20" w:type="dxa"/>
              <w:left w:w="20" w:type="dxa"/>
              <w:bottom w:w="20" w:type="dxa"/>
              <w:right w:w="20" w:type="dxa"/>
            </w:tcMar>
          </w:tcPr>
          <w:p w14:paraId="14DF7285" w14:textId="77777777" w:rsidR="006D4A31" w:rsidRPr="008A05A9" w:rsidRDefault="006D4A31" w:rsidP="006D4A31">
            <w:pPr>
              <w:pStyle w:val="T1TableStyle"/>
              <w:rPr>
                <w:rFonts w:ascii="Verdana" w:eastAsia="Verdana" w:hAnsi="Verdana" w:cs="Verdana"/>
                <w:color w:val="000000"/>
                <w:sz w:val="16"/>
                <w:lang w:val="en-GB"/>
              </w:rPr>
            </w:pPr>
            <w:r w:rsidRPr="008A05A9">
              <w:rPr>
                <w:rFonts w:ascii="Verdana" w:eastAsia="Verdana" w:hAnsi="Verdana" w:cs="Verdana"/>
                <w:color w:val="000000"/>
                <w:sz w:val="16"/>
                <w:lang w:val="en-GB"/>
              </w:rPr>
              <w:t>Amounts accrued at the end of the current year</w:t>
            </w:r>
          </w:p>
        </w:tc>
        <w:tc>
          <w:tcPr>
            <w:tcW w:w="2364" w:type="dxa"/>
            <w:shd w:val="clear" w:color="auto" w:fill="auto"/>
            <w:tcMar>
              <w:top w:w="20" w:type="dxa"/>
              <w:left w:w="20" w:type="dxa"/>
              <w:bottom w:w="20" w:type="dxa"/>
              <w:right w:w="20" w:type="dxa"/>
            </w:tcMar>
          </w:tcPr>
          <w:p w14:paraId="5B391F6C" w14:textId="77777777" w:rsidR="006D4A31" w:rsidRPr="008A05A9" w:rsidRDefault="008A05A9" w:rsidP="006D4A31">
            <w:pPr>
              <w:pStyle w:val="T1TableStyle"/>
              <w:jc w:val="right"/>
              <w:rPr>
                <w:rFonts w:ascii="Verdana" w:eastAsia="Verdana" w:hAnsi="Verdana" w:cs="Verdana"/>
                <w:color w:val="000000"/>
                <w:sz w:val="16"/>
                <w:lang w:val="en-GB"/>
              </w:rPr>
            </w:pPr>
            <w:r w:rsidRPr="008A05A9">
              <w:rPr>
                <w:rFonts w:ascii="Verdana" w:eastAsia="Verdana" w:hAnsi="Verdana" w:cs="Verdana"/>
                <w:color w:val="000000"/>
                <w:sz w:val="16"/>
                <w:lang w:val="en-GB"/>
              </w:rPr>
              <w:t>1,951</w:t>
            </w:r>
          </w:p>
        </w:tc>
      </w:tr>
      <w:tr w:rsidR="006D4A31" w:rsidRPr="008A05A9" w14:paraId="49ADC78A" w14:textId="77777777" w:rsidTr="00955A82">
        <w:trPr>
          <w:trHeight w:val="64"/>
          <w:jc w:val="center"/>
        </w:trPr>
        <w:tc>
          <w:tcPr>
            <w:tcW w:w="2361" w:type="dxa"/>
            <w:tcBorders>
              <w:top w:val="single" w:sz="2" w:space="0" w:color="000000"/>
              <w:bottom w:val="single" w:sz="2" w:space="0" w:color="000000"/>
            </w:tcBorders>
            <w:shd w:val="clear" w:color="auto" w:fill="auto"/>
            <w:tcMar>
              <w:top w:w="20" w:type="dxa"/>
              <w:left w:w="20" w:type="dxa"/>
              <w:bottom w:w="20" w:type="dxa"/>
              <w:right w:w="20" w:type="dxa"/>
            </w:tcMar>
          </w:tcPr>
          <w:p w14:paraId="32D90D9E" w14:textId="77777777" w:rsidR="006D4A31" w:rsidRPr="008A05A9" w:rsidRDefault="006D4A31" w:rsidP="006D4A31">
            <w:pPr>
              <w:pStyle w:val="T1TableStyle"/>
              <w:jc w:val="right"/>
              <w:rPr>
                <w:rFonts w:ascii="Verdana" w:eastAsia="Verdana" w:hAnsi="Verdana" w:cs="Verdana"/>
                <w:color w:val="000000"/>
                <w:sz w:val="16"/>
                <w:lang w:val="en-GB"/>
              </w:rPr>
            </w:pPr>
            <w:r w:rsidRPr="008A05A9">
              <w:rPr>
                <w:rFonts w:ascii="Verdana" w:eastAsia="Verdana" w:hAnsi="Verdana" w:cs="Verdana"/>
                <w:color w:val="000000"/>
                <w:sz w:val="16"/>
                <w:lang w:val="en-GB"/>
              </w:rPr>
              <w:t>145</w:t>
            </w:r>
          </w:p>
        </w:tc>
        <w:tc>
          <w:tcPr>
            <w:tcW w:w="318" w:type="dxa"/>
            <w:tcBorders>
              <w:top w:val="single" w:sz="2" w:space="0" w:color="000000"/>
              <w:bottom w:val="single" w:sz="2" w:space="0" w:color="000000"/>
            </w:tcBorders>
            <w:shd w:val="clear" w:color="auto" w:fill="auto"/>
            <w:tcMar>
              <w:top w:w="20" w:type="dxa"/>
              <w:left w:w="20" w:type="dxa"/>
              <w:bottom w:w="20" w:type="dxa"/>
              <w:right w:w="20" w:type="dxa"/>
            </w:tcMar>
          </w:tcPr>
          <w:p w14:paraId="4BEC23B0" w14:textId="77777777" w:rsidR="006D4A31" w:rsidRPr="008A05A9" w:rsidRDefault="006D4A31" w:rsidP="006D4A31">
            <w:pPr>
              <w:pStyle w:val="T1TableStyle"/>
              <w:jc w:val="center"/>
              <w:rPr>
                <w:rFonts w:ascii="Verdana" w:eastAsia="Verdana" w:hAnsi="Verdana" w:cs="Verdana"/>
                <w:color w:val="000000"/>
                <w:sz w:val="2"/>
                <w:lang w:val="en-GB"/>
              </w:rPr>
            </w:pPr>
            <w:r w:rsidRPr="008A05A9">
              <w:rPr>
                <w:rFonts w:ascii="Verdana" w:eastAsia="Verdana" w:hAnsi="Verdana" w:cs="Verdana"/>
                <w:color w:val="000000"/>
                <w:sz w:val="2"/>
                <w:lang w:val="en-GB"/>
              </w:rPr>
              <w:t xml:space="preserve"> </w:t>
            </w:r>
          </w:p>
        </w:tc>
        <w:tc>
          <w:tcPr>
            <w:tcW w:w="5705" w:type="dxa"/>
            <w:tcBorders>
              <w:top w:val="single" w:sz="2" w:space="0" w:color="000000"/>
              <w:bottom w:val="single" w:sz="2" w:space="0" w:color="000000"/>
            </w:tcBorders>
            <w:shd w:val="clear" w:color="auto" w:fill="auto"/>
            <w:tcMar>
              <w:top w:w="20" w:type="dxa"/>
              <w:left w:w="20" w:type="dxa"/>
              <w:bottom w:w="20" w:type="dxa"/>
              <w:right w:w="20" w:type="dxa"/>
            </w:tcMar>
          </w:tcPr>
          <w:p w14:paraId="3D22071B" w14:textId="77777777" w:rsidR="006D4A31" w:rsidRPr="008A05A9" w:rsidRDefault="006D4A31" w:rsidP="006D4A31">
            <w:pPr>
              <w:pStyle w:val="T1TableStyle"/>
              <w:rPr>
                <w:rFonts w:ascii="Verdana" w:eastAsia="Verdana" w:hAnsi="Verdana" w:cs="Verdana"/>
                <w:color w:val="000000"/>
                <w:sz w:val="16"/>
                <w:lang w:val="en-GB"/>
              </w:rPr>
            </w:pPr>
            <w:r w:rsidRPr="008A05A9">
              <w:rPr>
                <w:rFonts w:ascii="Verdana" w:eastAsia="Verdana" w:hAnsi="Verdana" w:cs="Verdana"/>
                <w:color w:val="000000"/>
                <w:sz w:val="16"/>
                <w:lang w:val="en-GB"/>
              </w:rPr>
              <w:t>Amount by which officer remuneration charged to the Comprehensive Income and Expenditure Statement on an accruals basis is different from remuneration chargeable in year in accordance with statutory requirements</w:t>
            </w:r>
          </w:p>
        </w:tc>
        <w:tc>
          <w:tcPr>
            <w:tcW w:w="2364" w:type="dxa"/>
            <w:tcBorders>
              <w:top w:val="single" w:sz="2" w:space="0" w:color="000000"/>
              <w:bottom w:val="single" w:sz="2" w:space="0" w:color="000000"/>
            </w:tcBorders>
            <w:shd w:val="clear" w:color="auto" w:fill="auto"/>
            <w:tcMar>
              <w:top w:w="20" w:type="dxa"/>
              <w:left w:w="20" w:type="dxa"/>
              <w:bottom w:w="20" w:type="dxa"/>
              <w:right w:w="20" w:type="dxa"/>
            </w:tcMar>
          </w:tcPr>
          <w:p w14:paraId="5D776D6D" w14:textId="77777777" w:rsidR="006D4A31" w:rsidRPr="008A05A9" w:rsidRDefault="008A05A9" w:rsidP="006D4A31">
            <w:pPr>
              <w:pStyle w:val="T1TableStyle"/>
              <w:jc w:val="right"/>
              <w:rPr>
                <w:rFonts w:ascii="Verdana" w:eastAsia="Verdana" w:hAnsi="Verdana" w:cs="Verdana"/>
                <w:color w:val="000000"/>
                <w:sz w:val="16"/>
                <w:lang w:val="en-GB"/>
              </w:rPr>
            </w:pPr>
            <w:r w:rsidRPr="008A05A9">
              <w:rPr>
                <w:rFonts w:ascii="Verdana" w:eastAsia="Verdana" w:hAnsi="Verdana" w:cs="Verdana"/>
                <w:color w:val="000000"/>
                <w:sz w:val="16"/>
                <w:lang w:val="en-GB"/>
              </w:rPr>
              <w:t>898</w:t>
            </w:r>
          </w:p>
        </w:tc>
      </w:tr>
      <w:tr w:rsidR="006D4A31" w:rsidRPr="008A05A9" w14:paraId="79C5A1D0" w14:textId="77777777" w:rsidTr="00955A82">
        <w:trPr>
          <w:trHeight w:val="49"/>
          <w:jc w:val="center"/>
        </w:trPr>
        <w:tc>
          <w:tcPr>
            <w:tcW w:w="2361" w:type="dxa"/>
            <w:tcBorders>
              <w:top w:val="single" w:sz="2" w:space="0" w:color="000000"/>
              <w:bottom w:val="single" w:sz="12" w:space="0" w:color="000000"/>
            </w:tcBorders>
            <w:shd w:val="clear" w:color="auto" w:fill="auto"/>
            <w:tcMar>
              <w:top w:w="20" w:type="dxa"/>
              <w:left w:w="20" w:type="dxa"/>
              <w:bottom w:w="20" w:type="dxa"/>
              <w:right w:w="20" w:type="dxa"/>
            </w:tcMar>
          </w:tcPr>
          <w:p w14:paraId="2ACCC3EA" w14:textId="77777777" w:rsidR="006D4A31" w:rsidRPr="008A05A9" w:rsidRDefault="006D4A31" w:rsidP="006D4A31">
            <w:pPr>
              <w:pStyle w:val="T1TableStyle"/>
              <w:jc w:val="right"/>
              <w:rPr>
                <w:rFonts w:ascii="Verdana" w:eastAsia="Verdana" w:hAnsi="Verdana" w:cs="Verdana"/>
                <w:b/>
                <w:color w:val="000000"/>
                <w:sz w:val="16"/>
                <w:lang w:val="en-GB"/>
              </w:rPr>
            </w:pPr>
            <w:r w:rsidRPr="008A05A9">
              <w:rPr>
                <w:rFonts w:ascii="Verdana" w:eastAsia="Verdana" w:hAnsi="Verdana" w:cs="Verdana"/>
                <w:b/>
                <w:color w:val="000000"/>
                <w:sz w:val="16"/>
                <w:lang w:val="en-GB"/>
              </w:rPr>
              <w:t>1,053</w:t>
            </w:r>
          </w:p>
        </w:tc>
        <w:tc>
          <w:tcPr>
            <w:tcW w:w="318" w:type="dxa"/>
            <w:tcBorders>
              <w:top w:val="single" w:sz="2" w:space="0" w:color="000000"/>
              <w:bottom w:val="single" w:sz="12" w:space="0" w:color="000000"/>
            </w:tcBorders>
            <w:shd w:val="clear" w:color="auto" w:fill="auto"/>
            <w:tcMar>
              <w:top w:w="20" w:type="dxa"/>
              <w:left w:w="20" w:type="dxa"/>
              <w:bottom w:w="20" w:type="dxa"/>
              <w:right w:w="20" w:type="dxa"/>
            </w:tcMar>
          </w:tcPr>
          <w:p w14:paraId="0C84A620" w14:textId="77777777" w:rsidR="006D4A31" w:rsidRPr="008A05A9" w:rsidRDefault="006D4A31" w:rsidP="006D4A31">
            <w:pPr>
              <w:pStyle w:val="T1TableStyle"/>
              <w:jc w:val="center"/>
              <w:rPr>
                <w:rFonts w:ascii="Verdana" w:eastAsia="Verdana" w:hAnsi="Verdana" w:cs="Verdana"/>
                <w:b/>
                <w:color w:val="000000"/>
                <w:sz w:val="2"/>
                <w:lang w:val="en-GB"/>
              </w:rPr>
            </w:pPr>
            <w:r w:rsidRPr="008A05A9">
              <w:rPr>
                <w:rFonts w:ascii="Verdana" w:eastAsia="Verdana" w:hAnsi="Verdana" w:cs="Verdana"/>
                <w:b/>
                <w:color w:val="000000"/>
                <w:sz w:val="2"/>
                <w:lang w:val="en-GB"/>
              </w:rPr>
              <w:t xml:space="preserve"> </w:t>
            </w:r>
          </w:p>
        </w:tc>
        <w:tc>
          <w:tcPr>
            <w:tcW w:w="5705" w:type="dxa"/>
            <w:tcBorders>
              <w:top w:val="single" w:sz="2" w:space="0" w:color="000000"/>
              <w:bottom w:val="single" w:sz="12" w:space="0" w:color="000000"/>
            </w:tcBorders>
            <w:shd w:val="clear" w:color="auto" w:fill="auto"/>
            <w:tcMar>
              <w:top w:w="20" w:type="dxa"/>
              <w:left w:w="20" w:type="dxa"/>
              <w:bottom w:w="20" w:type="dxa"/>
              <w:right w:w="20" w:type="dxa"/>
            </w:tcMar>
          </w:tcPr>
          <w:p w14:paraId="57E5E35A" w14:textId="77777777" w:rsidR="006D4A31" w:rsidRPr="008A05A9" w:rsidRDefault="006D4A31" w:rsidP="006D4A31">
            <w:pPr>
              <w:pStyle w:val="T1TableStyle"/>
              <w:rPr>
                <w:rFonts w:ascii="Verdana" w:eastAsia="Verdana" w:hAnsi="Verdana" w:cs="Verdana"/>
                <w:b/>
                <w:color w:val="000000"/>
                <w:sz w:val="16"/>
                <w:lang w:val="en-GB"/>
              </w:rPr>
            </w:pPr>
            <w:r w:rsidRPr="008A05A9">
              <w:rPr>
                <w:rFonts w:ascii="Verdana" w:eastAsia="Verdana" w:hAnsi="Verdana" w:cs="Verdana"/>
                <w:b/>
                <w:color w:val="000000"/>
                <w:sz w:val="16"/>
                <w:lang w:val="en-GB"/>
              </w:rPr>
              <w:t xml:space="preserve">Balance 31 March </w:t>
            </w:r>
          </w:p>
        </w:tc>
        <w:tc>
          <w:tcPr>
            <w:tcW w:w="2364" w:type="dxa"/>
            <w:tcBorders>
              <w:top w:val="single" w:sz="2" w:space="0" w:color="000000"/>
              <w:bottom w:val="single" w:sz="12" w:space="0" w:color="000000"/>
            </w:tcBorders>
            <w:shd w:val="clear" w:color="auto" w:fill="auto"/>
            <w:tcMar>
              <w:top w:w="20" w:type="dxa"/>
              <w:left w:w="20" w:type="dxa"/>
              <w:bottom w:w="20" w:type="dxa"/>
              <w:right w:w="20" w:type="dxa"/>
            </w:tcMar>
          </w:tcPr>
          <w:p w14:paraId="294FE9B6" w14:textId="77777777" w:rsidR="006D4A31" w:rsidRPr="008A05A9" w:rsidRDefault="008A05A9" w:rsidP="006D4A31">
            <w:pPr>
              <w:pStyle w:val="T1TableStyle"/>
              <w:jc w:val="right"/>
              <w:rPr>
                <w:rFonts w:ascii="Verdana" w:eastAsia="Verdana" w:hAnsi="Verdana" w:cs="Verdana"/>
                <w:b/>
                <w:color w:val="000000"/>
                <w:sz w:val="16"/>
                <w:lang w:val="en-GB"/>
              </w:rPr>
            </w:pPr>
            <w:r w:rsidRPr="008A05A9">
              <w:rPr>
                <w:rFonts w:ascii="Verdana" w:eastAsia="Verdana" w:hAnsi="Verdana" w:cs="Verdana"/>
                <w:b/>
                <w:color w:val="000000"/>
                <w:sz w:val="16"/>
                <w:lang w:val="en-GB"/>
              </w:rPr>
              <w:t>1,951</w:t>
            </w:r>
          </w:p>
        </w:tc>
      </w:tr>
    </w:tbl>
    <w:p w14:paraId="2DDD9955" w14:textId="77777777" w:rsidR="00CA6653" w:rsidRPr="003516A4" w:rsidRDefault="00CA6653" w:rsidP="008A05A9">
      <w:pPr>
        <w:pStyle w:val="T1TableStyle"/>
        <w:jc w:val="center"/>
        <w:rPr>
          <w:rFonts w:ascii="Verdana" w:eastAsia="Verdana" w:hAnsi="Verdana" w:cs="Verdana"/>
          <w:sz w:val="22"/>
          <w:highlight w:val="yellow"/>
          <w:lang w:val="en-GB"/>
        </w:rPr>
      </w:pPr>
    </w:p>
    <w:p w14:paraId="000C6D2A" w14:textId="77777777" w:rsidR="00CA6653" w:rsidRPr="008A05A9" w:rsidRDefault="00CA6653" w:rsidP="00937DD9">
      <w:pPr>
        <w:pStyle w:val="Normal0"/>
        <w:spacing w:after="160"/>
        <w:jc w:val="both"/>
        <w:rPr>
          <w:rFonts w:ascii="Verdana" w:eastAsia="Verdana" w:hAnsi="Verdana" w:cs="Verdana"/>
          <w:sz w:val="22"/>
          <w:szCs w:val="22"/>
          <w:lang w:val="en-GB"/>
        </w:rPr>
      </w:pPr>
      <w:r w:rsidRPr="008A05A9">
        <w:rPr>
          <w:rFonts w:ascii="Verdana" w:eastAsia="Verdana" w:hAnsi="Verdana" w:cs="Verdana"/>
          <w:sz w:val="22"/>
          <w:szCs w:val="22"/>
          <w:lang w:val="en-GB"/>
        </w:rPr>
        <w:t xml:space="preserve">The Accumulated Absences Account </w:t>
      </w:r>
      <w:r w:rsidR="00937DD9" w:rsidRPr="008A05A9">
        <w:rPr>
          <w:rFonts w:ascii="Verdana" w:eastAsia="Verdana" w:hAnsi="Verdana" w:cs="Verdana"/>
          <w:sz w:val="22"/>
          <w:szCs w:val="22"/>
          <w:lang w:val="en-GB"/>
        </w:rPr>
        <w:t>reflects</w:t>
      </w:r>
      <w:r w:rsidRPr="008A05A9">
        <w:rPr>
          <w:rFonts w:ascii="Verdana" w:eastAsia="Verdana" w:hAnsi="Verdana" w:cs="Verdana"/>
          <w:sz w:val="22"/>
          <w:szCs w:val="22"/>
          <w:lang w:val="en-GB"/>
        </w:rPr>
        <w:t xml:space="preserve"> the differences that would otherwise arise on the General Fund Balance from accruing for compensated absences earned but not taken in the year, e.g. annual leave entitlement carried forward at 31 March. Statutory arrangements require that the impact on the General Fund Balance is neutralised by transfers to or from the Account.</w:t>
      </w:r>
      <w:r w:rsidR="00D54C7D" w:rsidRPr="008A05A9">
        <w:rPr>
          <w:rFonts w:ascii="Verdana" w:eastAsia="Verdana" w:hAnsi="Verdana" w:cs="Verdana"/>
          <w:sz w:val="22"/>
          <w:szCs w:val="22"/>
          <w:lang w:val="en-GB"/>
        </w:rPr>
        <w:t xml:space="preserve"> The above figures are for the Group and come from the Chief Constable accounts as the PCC had no balances for accumulated</w:t>
      </w:r>
      <w:r w:rsidR="008A05A9" w:rsidRPr="008A05A9">
        <w:rPr>
          <w:rFonts w:ascii="Verdana" w:eastAsia="Verdana" w:hAnsi="Verdana" w:cs="Verdana"/>
          <w:sz w:val="22"/>
          <w:szCs w:val="22"/>
          <w:lang w:val="en-GB"/>
        </w:rPr>
        <w:t xml:space="preserve"> absences at the end of the 2020/21</w:t>
      </w:r>
      <w:r w:rsidR="00D54C7D" w:rsidRPr="008A05A9">
        <w:rPr>
          <w:rFonts w:ascii="Verdana" w:eastAsia="Verdana" w:hAnsi="Verdana" w:cs="Verdana"/>
          <w:sz w:val="22"/>
          <w:szCs w:val="22"/>
          <w:lang w:val="en-GB"/>
        </w:rPr>
        <w:t xml:space="preserve"> year.</w:t>
      </w:r>
    </w:p>
    <w:p w14:paraId="77C4878C" w14:textId="77777777" w:rsidR="00D40F36" w:rsidRPr="003516A4" w:rsidRDefault="00D40F36" w:rsidP="00D91109">
      <w:pPr>
        <w:rPr>
          <w:highlight w:val="yellow"/>
          <w:lang w:val="en-GB"/>
        </w:rPr>
      </w:pPr>
    </w:p>
    <w:p w14:paraId="4990F4E7" w14:textId="77777777" w:rsidR="00CA6653" w:rsidRPr="00BD5B5D" w:rsidRDefault="00CA6653">
      <w:pPr>
        <w:pStyle w:val="Heading1"/>
      </w:pPr>
      <w:bookmarkStart w:id="36" w:name="_Toc75122789"/>
      <w:r w:rsidRPr="00BD5B5D">
        <w:t>Note 2</w:t>
      </w:r>
      <w:r w:rsidR="00502D6C" w:rsidRPr="00BD5B5D">
        <w:t>1</w:t>
      </w:r>
      <w:r w:rsidRPr="00BD5B5D">
        <w:t xml:space="preserve"> - Collaborations</w:t>
      </w:r>
      <w:bookmarkEnd w:id="36"/>
    </w:p>
    <w:p w14:paraId="5D304EAD" w14:textId="77777777" w:rsidR="00CA6653" w:rsidRPr="00BD5B5D" w:rsidRDefault="00CA6653" w:rsidP="00CA6653">
      <w:pPr>
        <w:pStyle w:val="Normal0"/>
        <w:jc w:val="both"/>
        <w:rPr>
          <w:rFonts w:ascii="Verdana" w:hAnsi="Verdana" w:cs="Times New Roman"/>
          <w:sz w:val="22"/>
          <w:szCs w:val="22"/>
        </w:rPr>
      </w:pPr>
      <w:r w:rsidRPr="00BD5B5D">
        <w:rPr>
          <w:rFonts w:ascii="Verdana" w:eastAsia="Calibri" w:hAnsi="Verdana" w:cs="Times New Roman"/>
          <w:sz w:val="22"/>
          <w:szCs w:val="22"/>
        </w:rPr>
        <w:t>The Police and Crime Commissioner and the Chief Constable for Surrey continues to develop joint working arrangements with other agencies principally with other south east region Police and Crime Commissioners and in particular the Sussex Police and Crime Commissioner and Chief Constable.</w:t>
      </w:r>
    </w:p>
    <w:p w14:paraId="2147375D" w14:textId="77777777" w:rsidR="00CA6653" w:rsidRPr="00BD5B5D" w:rsidRDefault="00CA6653" w:rsidP="00CA6653">
      <w:pPr>
        <w:pStyle w:val="Normal0"/>
        <w:jc w:val="both"/>
        <w:rPr>
          <w:rFonts w:ascii="Verdana" w:hAnsi="Verdana" w:cs="Times New Roman"/>
          <w:sz w:val="22"/>
          <w:szCs w:val="22"/>
        </w:rPr>
      </w:pPr>
    </w:p>
    <w:p w14:paraId="4423AF92" w14:textId="77777777" w:rsidR="00CA6653" w:rsidRPr="00BD5B5D" w:rsidRDefault="00CA6653" w:rsidP="00CA6653">
      <w:pPr>
        <w:pStyle w:val="Normal0"/>
        <w:jc w:val="both"/>
        <w:rPr>
          <w:rFonts w:ascii="Verdana" w:hAnsi="Verdana" w:cs="Times New Roman"/>
          <w:sz w:val="22"/>
          <w:szCs w:val="22"/>
        </w:rPr>
      </w:pPr>
      <w:r w:rsidRPr="00BD5B5D">
        <w:rPr>
          <w:rFonts w:ascii="Verdana" w:eastAsia="Calibri" w:hAnsi="Verdana" w:cs="Times New Roman"/>
          <w:sz w:val="22"/>
          <w:szCs w:val="22"/>
        </w:rPr>
        <w:t>The Police and Crime Commissioners and Chief Constables of Surrey and Sussex Police have entered into a legal arrangement (section 22A agreement) to provide a number of services jointly with other police forces.  Each of these services is managed by one of the forces and includes a mix of staff from both forces.  The net cost of each service agreed to be provided jointly under the Section 22A agreement, which cannot be directly attributable to each force, are shared on a formula basis of Surrey 45%; Sussex 55%.</w:t>
      </w:r>
    </w:p>
    <w:p w14:paraId="28134424" w14:textId="77777777" w:rsidR="00CA6653" w:rsidRPr="00BD5B5D" w:rsidRDefault="00CA6653" w:rsidP="00CA6653">
      <w:pPr>
        <w:pStyle w:val="Normal0"/>
        <w:jc w:val="both"/>
        <w:rPr>
          <w:rFonts w:ascii="Verdana" w:hAnsi="Verdana" w:cs="Times New Roman"/>
          <w:sz w:val="22"/>
          <w:szCs w:val="22"/>
        </w:rPr>
      </w:pPr>
    </w:p>
    <w:p w14:paraId="0629D33A" w14:textId="17EED529" w:rsidR="00CA6653" w:rsidRPr="00BD5B5D" w:rsidRDefault="00CA6653" w:rsidP="00CA6653">
      <w:pPr>
        <w:pStyle w:val="Normal0"/>
        <w:jc w:val="both"/>
        <w:rPr>
          <w:rFonts w:ascii="Verdana" w:hAnsi="Verdana" w:cs="Times New Roman"/>
          <w:sz w:val="22"/>
          <w:szCs w:val="22"/>
        </w:rPr>
      </w:pPr>
      <w:r w:rsidRPr="00BD5B5D">
        <w:rPr>
          <w:rFonts w:ascii="Verdana" w:eastAsia="Calibri" w:hAnsi="Verdana" w:cs="Times New Roman"/>
          <w:sz w:val="22"/>
          <w:szCs w:val="22"/>
        </w:rPr>
        <w:t>In 20</w:t>
      </w:r>
      <w:r w:rsidR="00FC4FC0" w:rsidRPr="00BD5B5D">
        <w:rPr>
          <w:rFonts w:ascii="Verdana" w:eastAsia="Calibri" w:hAnsi="Verdana" w:cs="Times New Roman"/>
          <w:sz w:val="22"/>
          <w:szCs w:val="22"/>
        </w:rPr>
        <w:t>20</w:t>
      </w:r>
      <w:r w:rsidRPr="00BD5B5D">
        <w:rPr>
          <w:rFonts w:ascii="Verdana" w:eastAsia="Calibri" w:hAnsi="Verdana" w:cs="Times New Roman"/>
          <w:sz w:val="22"/>
          <w:szCs w:val="22"/>
        </w:rPr>
        <w:t>/</w:t>
      </w:r>
      <w:r w:rsidR="00E97CF6" w:rsidRPr="00BD5B5D">
        <w:rPr>
          <w:rFonts w:ascii="Verdana" w:eastAsia="Calibri" w:hAnsi="Verdana" w:cs="Times New Roman"/>
          <w:sz w:val="22"/>
          <w:szCs w:val="22"/>
        </w:rPr>
        <w:t>2</w:t>
      </w:r>
      <w:r w:rsidR="00FC4FC0" w:rsidRPr="00BD5B5D">
        <w:rPr>
          <w:rFonts w:ascii="Verdana" w:eastAsia="Calibri" w:hAnsi="Verdana" w:cs="Times New Roman"/>
          <w:sz w:val="22"/>
          <w:szCs w:val="22"/>
        </w:rPr>
        <w:t>1</w:t>
      </w:r>
      <w:r w:rsidRPr="00BD5B5D">
        <w:rPr>
          <w:rFonts w:ascii="Verdana" w:eastAsia="Calibri" w:hAnsi="Verdana" w:cs="Times New Roman"/>
          <w:sz w:val="22"/>
          <w:szCs w:val="22"/>
        </w:rPr>
        <w:t xml:space="preserve"> the services provided jointly, included the Operations and Specialist Crime departments along with a number of support </w:t>
      </w:r>
      <w:r w:rsidRPr="00EB17A7">
        <w:rPr>
          <w:rFonts w:ascii="Verdana" w:eastAsia="Calibri" w:hAnsi="Verdana" w:cs="Times New Roman"/>
          <w:sz w:val="22"/>
          <w:szCs w:val="22"/>
        </w:rPr>
        <w:t>functions and projects.  The Police and Crime Commissioners and Chief Constables for Sussex, Surrey and Thames Valley Police deliver</w:t>
      </w:r>
      <w:r w:rsidR="00EB17A7" w:rsidRPr="00EB17A7">
        <w:rPr>
          <w:rFonts w:ascii="Verdana" w:eastAsia="Calibri" w:hAnsi="Verdana" w:cs="Times New Roman"/>
          <w:sz w:val="22"/>
          <w:szCs w:val="22"/>
        </w:rPr>
        <w:t>y of</w:t>
      </w:r>
      <w:r w:rsidRPr="00EB17A7">
        <w:rPr>
          <w:rFonts w:ascii="Verdana" w:eastAsia="Calibri" w:hAnsi="Verdana" w:cs="Times New Roman"/>
          <w:sz w:val="22"/>
          <w:szCs w:val="22"/>
        </w:rPr>
        <w:t xml:space="preserve"> a joint project to procure and implement a new Enterprise Resource Planning system (ERP)</w:t>
      </w:r>
      <w:r w:rsidR="00EB17A7" w:rsidRPr="00EB17A7">
        <w:rPr>
          <w:rFonts w:ascii="Verdana" w:eastAsia="Calibri" w:hAnsi="Verdana" w:cs="Times New Roman"/>
          <w:sz w:val="22"/>
          <w:szCs w:val="22"/>
        </w:rPr>
        <w:t xml:space="preserve"> was brought to a close during the 2020/21 financial year</w:t>
      </w:r>
      <w:r w:rsidRPr="00EB17A7">
        <w:rPr>
          <w:rFonts w:ascii="Verdana" w:eastAsia="Calibri" w:hAnsi="Verdana" w:cs="Times New Roman"/>
          <w:sz w:val="22"/>
          <w:szCs w:val="22"/>
        </w:rPr>
        <w:t>.</w:t>
      </w:r>
    </w:p>
    <w:p w14:paraId="0D9909C0" w14:textId="77777777" w:rsidR="00CA6653" w:rsidRPr="00BD5B5D" w:rsidRDefault="00CA6653" w:rsidP="00CA6653">
      <w:pPr>
        <w:pStyle w:val="Normal0"/>
        <w:jc w:val="both"/>
        <w:rPr>
          <w:rFonts w:ascii="Verdana" w:hAnsi="Verdana" w:cs="Times New Roman"/>
          <w:sz w:val="22"/>
          <w:szCs w:val="22"/>
        </w:rPr>
      </w:pPr>
    </w:p>
    <w:p w14:paraId="089A0319" w14:textId="77777777" w:rsidR="00955A82" w:rsidRDefault="00955A82">
      <w:pPr>
        <w:rPr>
          <w:rFonts w:eastAsia="Calibri" w:cs="Times New Roman"/>
        </w:rPr>
      </w:pPr>
      <w:r>
        <w:rPr>
          <w:rFonts w:eastAsia="Calibri" w:cs="Times New Roman"/>
        </w:rPr>
        <w:br w:type="page"/>
      </w:r>
    </w:p>
    <w:p w14:paraId="4317CEA3" w14:textId="001389CC" w:rsidR="00CA6653" w:rsidRDefault="00CA6653" w:rsidP="00CA6653">
      <w:pPr>
        <w:pStyle w:val="Normal0"/>
        <w:jc w:val="both"/>
        <w:rPr>
          <w:rFonts w:ascii="Verdana" w:eastAsia="Calibri" w:hAnsi="Verdana" w:cs="Times New Roman"/>
          <w:sz w:val="22"/>
          <w:szCs w:val="22"/>
        </w:rPr>
      </w:pPr>
      <w:r w:rsidRPr="00BD5B5D">
        <w:rPr>
          <w:rFonts w:ascii="Verdana" w:eastAsia="Calibri" w:hAnsi="Verdana" w:cs="Times New Roman"/>
          <w:sz w:val="22"/>
          <w:szCs w:val="22"/>
        </w:rPr>
        <w:t>Each Force accounts for their share of total income and expenditure and assets in the Comprehensive Income and Expenditure Statement and Balance Sheet respectively.  The table below illustrates the Surrey share of the collaborated service costs.</w:t>
      </w:r>
    </w:p>
    <w:p w14:paraId="74182FEE" w14:textId="77777777" w:rsidR="00B935AA" w:rsidRPr="00BD5B5D" w:rsidRDefault="00B935AA" w:rsidP="00CA6653">
      <w:pPr>
        <w:pStyle w:val="Normal0"/>
        <w:jc w:val="both"/>
        <w:rPr>
          <w:rFonts w:ascii="Verdana" w:hAnsi="Verdana" w:cs="Times New Roman"/>
        </w:rPr>
      </w:pPr>
    </w:p>
    <w:tbl>
      <w:tblPr>
        <w:tblW w:w="9806" w:type="dxa"/>
        <w:jc w:val="center"/>
        <w:tblLook w:val="04A0" w:firstRow="1" w:lastRow="0" w:firstColumn="1" w:lastColumn="0" w:noHBand="0" w:noVBand="1"/>
      </w:tblPr>
      <w:tblGrid>
        <w:gridCol w:w="1966"/>
        <w:gridCol w:w="414"/>
        <w:gridCol w:w="5679"/>
        <w:gridCol w:w="1747"/>
      </w:tblGrid>
      <w:tr w:rsidR="003E03CB" w:rsidRPr="003E03CB" w14:paraId="47AD766C" w14:textId="77777777" w:rsidTr="00955A82">
        <w:trPr>
          <w:trHeight w:val="379"/>
          <w:jc w:val="center"/>
        </w:trPr>
        <w:tc>
          <w:tcPr>
            <w:tcW w:w="1966" w:type="dxa"/>
            <w:tcBorders>
              <w:top w:val="nil"/>
              <w:left w:val="nil"/>
              <w:bottom w:val="nil"/>
              <w:right w:val="nil"/>
            </w:tcBorders>
            <w:shd w:val="clear" w:color="auto" w:fill="auto"/>
            <w:vAlign w:val="center"/>
            <w:hideMark/>
          </w:tcPr>
          <w:p w14:paraId="5EF3C514" w14:textId="77777777" w:rsidR="003E03CB" w:rsidRPr="00955A82" w:rsidRDefault="003E03CB" w:rsidP="003E03CB">
            <w:pPr>
              <w:jc w:val="center"/>
              <w:rPr>
                <w:rFonts w:eastAsia="Times New Roman" w:cs="Calibri"/>
                <w:b/>
                <w:color w:val="000000"/>
                <w:sz w:val="20"/>
                <w:szCs w:val="20"/>
                <w:lang w:val="en-GB" w:eastAsia="en-GB"/>
              </w:rPr>
            </w:pPr>
            <w:r w:rsidRPr="00955A82">
              <w:rPr>
                <w:rFonts w:eastAsia="Times New Roman" w:cs="Calibri"/>
                <w:b/>
                <w:color w:val="000000"/>
                <w:sz w:val="20"/>
                <w:szCs w:val="20"/>
                <w:lang w:val="en-GB" w:eastAsia="en-GB"/>
              </w:rPr>
              <w:t>Surrey Share 2019/20</w:t>
            </w:r>
          </w:p>
        </w:tc>
        <w:tc>
          <w:tcPr>
            <w:tcW w:w="414" w:type="dxa"/>
            <w:tcBorders>
              <w:top w:val="nil"/>
              <w:left w:val="nil"/>
              <w:bottom w:val="nil"/>
              <w:right w:val="nil"/>
            </w:tcBorders>
            <w:shd w:val="clear" w:color="auto" w:fill="auto"/>
            <w:vAlign w:val="center"/>
            <w:hideMark/>
          </w:tcPr>
          <w:p w14:paraId="48DC87C7" w14:textId="77777777" w:rsidR="003E03CB" w:rsidRPr="00955A82" w:rsidRDefault="003E03CB" w:rsidP="003E03CB">
            <w:pPr>
              <w:jc w:val="center"/>
              <w:rPr>
                <w:rFonts w:eastAsia="Times New Roman" w:cs="Calibri"/>
                <w:b/>
                <w:color w:val="000000"/>
                <w:sz w:val="20"/>
                <w:szCs w:val="20"/>
                <w:lang w:val="en-GB" w:eastAsia="en-GB"/>
              </w:rPr>
            </w:pPr>
          </w:p>
        </w:tc>
        <w:tc>
          <w:tcPr>
            <w:tcW w:w="5679" w:type="dxa"/>
            <w:vMerge w:val="restart"/>
            <w:tcBorders>
              <w:top w:val="nil"/>
              <w:left w:val="nil"/>
              <w:bottom w:val="single" w:sz="8" w:space="0" w:color="000000"/>
              <w:right w:val="nil"/>
            </w:tcBorders>
            <w:shd w:val="clear" w:color="auto" w:fill="auto"/>
            <w:noWrap/>
            <w:vAlign w:val="center"/>
            <w:hideMark/>
          </w:tcPr>
          <w:p w14:paraId="4F51AC44" w14:textId="77777777" w:rsidR="003E03CB" w:rsidRPr="00955A82" w:rsidRDefault="003E03CB" w:rsidP="003E03CB">
            <w:pPr>
              <w:jc w:val="center"/>
              <w:rPr>
                <w:rFonts w:eastAsia="Times New Roman" w:cs="Calibri"/>
                <w:b/>
                <w:color w:val="000000"/>
                <w:sz w:val="20"/>
                <w:szCs w:val="20"/>
                <w:lang w:val="en-GB" w:eastAsia="en-GB"/>
              </w:rPr>
            </w:pPr>
            <w:r w:rsidRPr="00955A82">
              <w:rPr>
                <w:rFonts w:eastAsia="Times New Roman" w:cs="Calibri"/>
                <w:b/>
                <w:color w:val="000000"/>
                <w:sz w:val="20"/>
                <w:szCs w:val="20"/>
                <w:lang w:val="en-GB" w:eastAsia="en-GB"/>
              </w:rPr>
              <w:t>Collaboration Area</w:t>
            </w:r>
          </w:p>
        </w:tc>
        <w:tc>
          <w:tcPr>
            <w:tcW w:w="1747" w:type="dxa"/>
            <w:tcBorders>
              <w:top w:val="nil"/>
              <w:left w:val="nil"/>
              <w:bottom w:val="nil"/>
              <w:right w:val="nil"/>
            </w:tcBorders>
            <w:shd w:val="clear" w:color="auto" w:fill="auto"/>
            <w:vAlign w:val="center"/>
            <w:hideMark/>
          </w:tcPr>
          <w:p w14:paraId="0B4A97C7" w14:textId="77777777" w:rsidR="003E03CB" w:rsidRPr="00955A82" w:rsidRDefault="003E03CB" w:rsidP="003E03CB">
            <w:pPr>
              <w:jc w:val="center"/>
              <w:rPr>
                <w:rFonts w:eastAsia="Times New Roman" w:cs="Calibri"/>
                <w:b/>
                <w:color w:val="000000"/>
                <w:sz w:val="20"/>
                <w:szCs w:val="20"/>
                <w:lang w:val="en-GB" w:eastAsia="en-GB"/>
              </w:rPr>
            </w:pPr>
            <w:r w:rsidRPr="00955A82">
              <w:rPr>
                <w:rFonts w:eastAsia="Times New Roman" w:cs="Calibri"/>
                <w:b/>
                <w:color w:val="000000"/>
                <w:sz w:val="20"/>
                <w:szCs w:val="20"/>
                <w:lang w:val="en-GB" w:eastAsia="en-GB"/>
              </w:rPr>
              <w:t>Surrey Share 2020/21</w:t>
            </w:r>
          </w:p>
        </w:tc>
      </w:tr>
      <w:tr w:rsidR="003E03CB" w:rsidRPr="003E03CB" w14:paraId="1246BF59" w14:textId="77777777" w:rsidTr="00955A82">
        <w:trPr>
          <w:trHeight w:val="265"/>
          <w:jc w:val="center"/>
        </w:trPr>
        <w:tc>
          <w:tcPr>
            <w:tcW w:w="1966" w:type="dxa"/>
            <w:tcBorders>
              <w:top w:val="nil"/>
              <w:left w:val="nil"/>
              <w:bottom w:val="nil"/>
              <w:right w:val="nil"/>
            </w:tcBorders>
            <w:shd w:val="clear" w:color="auto" w:fill="auto"/>
            <w:noWrap/>
            <w:vAlign w:val="center"/>
            <w:hideMark/>
          </w:tcPr>
          <w:p w14:paraId="64A4F1DC" w14:textId="77777777" w:rsidR="003E03CB" w:rsidRPr="00955A82" w:rsidRDefault="003E03CB" w:rsidP="003E03CB">
            <w:pPr>
              <w:jc w:val="center"/>
              <w:rPr>
                <w:rFonts w:eastAsia="Times New Roman" w:cs="Calibri"/>
                <w:b/>
                <w:color w:val="000000"/>
                <w:sz w:val="20"/>
                <w:szCs w:val="20"/>
                <w:lang w:val="en-GB" w:eastAsia="en-GB"/>
              </w:rPr>
            </w:pPr>
            <w:r w:rsidRPr="00955A82">
              <w:rPr>
                <w:rFonts w:eastAsia="Times New Roman" w:cs="Calibri"/>
                <w:b/>
                <w:color w:val="000000"/>
                <w:sz w:val="20"/>
                <w:szCs w:val="20"/>
                <w:lang w:val="en-GB" w:eastAsia="en-GB"/>
              </w:rPr>
              <w:t>£m</w:t>
            </w:r>
          </w:p>
        </w:tc>
        <w:tc>
          <w:tcPr>
            <w:tcW w:w="414" w:type="dxa"/>
            <w:tcBorders>
              <w:top w:val="nil"/>
              <w:left w:val="nil"/>
              <w:bottom w:val="nil"/>
              <w:right w:val="nil"/>
            </w:tcBorders>
            <w:shd w:val="clear" w:color="auto" w:fill="auto"/>
            <w:noWrap/>
            <w:vAlign w:val="center"/>
            <w:hideMark/>
          </w:tcPr>
          <w:p w14:paraId="26DF82F4" w14:textId="77777777" w:rsidR="003E03CB" w:rsidRPr="00955A82" w:rsidRDefault="003E03CB" w:rsidP="003E03CB">
            <w:pPr>
              <w:jc w:val="center"/>
              <w:rPr>
                <w:rFonts w:eastAsia="Times New Roman" w:cs="Calibri"/>
                <w:b/>
                <w:color w:val="000000"/>
                <w:sz w:val="20"/>
                <w:szCs w:val="20"/>
                <w:lang w:val="en-GB" w:eastAsia="en-GB"/>
              </w:rPr>
            </w:pPr>
          </w:p>
        </w:tc>
        <w:tc>
          <w:tcPr>
            <w:tcW w:w="5679" w:type="dxa"/>
            <w:vMerge/>
            <w:tcBorders>
              <w:top w:val="nil"/>
              <w:left w:val="nil"/>
              <w:bottom w:val="single" w:sz="8" w:space="0" w:color="000000"/>
              <w:right w:val="nil"/>
            </w:tcBorders>
            <w:vAlign w:val="center"/>
            <w:hideMark/>
          </w:tcPr>
          <w:p w14:paraId="67AF920C" w14:textId="77777777" w:rsidR="003E03CB" w:rsidRPr="00955A82" w:rsidRDefault="003E03CB" w:rsidP="003E03CB">
            <w:pPr>
              <w:rPr>
                <w:rFonts w:eastAsia="Times New Roman" w:cs="Calibri"/>
                <w:b/>
                <w:color w:val="000000"/>
                <w:sz w:val="20"/>
                <w:szCs w:val="20"/>
                <w:lang w:val="en-GB" w:eastAsia="en-GB"/>
              </w:rPr>
            </w:pPr>
          </w:p>
        </w:tc>
        <w:tc>
          <w:tcPr>
            <w:tcW w:w="1747" w:type="dxa"/>
            <w:tcBorders>
              <w:top w:val="nil"/>
              <w:left w:val="nil"/>
              <w:bottom w:val="nil"/>
              <w:right w:val="nil"/>
            </w:tcBorders>
            <w:shd w:val="clear" w:color="auto" w:fill="auto"/>
            <w:noWrap/>
            <w:vAlign w:val="center"/>
            <w:hideMark/>
          </w:tcPr>
          <w:p w14:paraId="5582B42B" w14:textId="77777777" w:rsidR="003E03CB" w:rsidRPr="00955A82" w:rsidRDefault="003E03CB" w:rsidP="003E03CB">
            <w:pPr>
              <w:jc w:val="center"/>
              <w:rPr>
                <w:rFonts w:eastAsia="Times New Roman" w:cs="Calibri"/>
                <w:b/>
                <w:color w:val="000000"/>
                <w:sz w:val="20"/>
                <w:szCs w:val="20"/>
                <w:lang w:val="en-GB" w:eastAsia="en-GB"/>
              </w:rPr>
            </w:pPr>
            <w:r w:rsidRPr="00955A82">
              <w:rPr>
                <w:rFonts w:eastAsia="Times New Roman" w:cs="Calibri"/>
                <w:b/>
                <w:color w:val="000000"/>
                <w:sz w:val="20"/>
                <w:szCs w:val="20"/>
                <w:lang w:val="en-GB" w:eastAsia="en-GB"/>
              </w:rPr>
              <w:t>£m</w:t>
            </w:r>
          </w:p>
        </w:tc>
      </w:tr>
      <w:tr w:rsidR="003E03CB" w:rsidRPr="003E03CB" w14:paraId="5E8A7569" w14:textId="77777777" w:rsidTr="00955A82">
        <w:trPr>
          <w:trHeight w:val="252"/>
          <w:jc w:val="center"/>
        </w:trPr>
        <w:tc>
          <w:tcPr>
            <w:tcW w:w="1966" w:type="dxa"/>
            <w:tcBorders>
              <w:top w:val="single" w:sz="8" w:space="0" w:color="auto"/>
              <w:left w:val="nil"/>
              <w:bottom w:val="nil"/>
              <w:right w:val="nil"/>
            </w:tcBorders>
            <w:shd w:val="clear" w:color="auto" w:fill="auto"/>
            <w:noWrap/>
            <w:vAlign w:val="center"/>
            <w:hideMark/>
          </w:tcPr>
          <w:p w14:paraId="3F27781F"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0.6</w:t>
            </w:r>
          </w:p>
        </w:tc>
        <w:tc>
          <w:tcPr>
            <w:tcW w:w="414" w:type="dxa"/>
            <w:tcBorders>
              <w:top w:val="single" w:sz="8" w:space="0" w:color="auto"/>
              <w:left w:val="nil"/>
              <w:bottom w:val="nil"/>
              <w:right w:val="nil"/>
            </w:tcBorders>
            <w:shd w:val="clear" w:color="auto" w:fill="auto"/>
            <w:noWrap/>
            <w:vAlign w:val="center"/>
            <w:hideMark/>
          </w:tcPr>
          <w:p w14:paraId="68381F57"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 </w:t>
            </w:r>
          </w:p>
        </w:tc>
        <w:tc>
          <w:tcPr>
            <w:tcW w:w="5679" w:type="dxa"/>
            <w:tcBorders>
              <w:top w:val="nil"/>
              <w:left w:val="nil"/>
              <w:bottom w:val="nil"/>
              <w:right w:val="nil"/>
            </w:tcBorders>
            <w:shd w:val="clear" w:color="auto" w:fill="auto"/>
            <w:noWrap/>
            <w:vAlign w:val="center"/>
            <w:hideMark/>
          </w:tcPr>
          <w:p w14:paraId="4C1743E4"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Change Delivery</w:t>
            </w:r>
          </w:p>
        </w:tc>
        <w:tc>
          <w:tcPr>
            <w:tcW w:w="1747" w:type="dxa"/>
            <w:tcBorders>
              <w:top w:val="single" w:sz="8" w:space="0" w:color="auto"/>
              <w:left w:val="nil"/>
              <w:bottom w:val="nil"/>
              <w:right w:val="nil"/>
            </w:tcBorders>
            <w:shd w:val="clear" w:color="auto" w:fill="auto"/>
            <w:noWrap/>
            <w:vAlign w:val="center"/>
            <w:hideMark/>
          </w:tcPr>
          <w:p w14:paraId="33946243"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0.7</w:t>
            </w:r>
          </w:p>
        </w:tc>
      </w:tr>
      <w:tr w:rsidR="003E03CB" w:rsidRPr="003E03CB" w14:paraId="7481857D" w14:textId="77777777" w:rsidTr="00955A82">
        <w:trPr>
          <w:trHeight w:val="252"/>
          <w:jc w:val="center"/>
        </w:trPr>
        <w:tc>
          <w:tcPr>
            <w:tcW w:w="1966" w:type="dxa"/>
            <w:tcBorders>
              <w:top w:val="nil"/>
              <w:left w:val="nil"/>
              <w:bottom w:val="nil"/>
              <w:right w:val="nil"/>
            </w:tcBorders>
            <w:shd w:val="clear" w:color="auto" w:fill="auto"/>
            <w:noWrap/>
            <w:vAlign w:val="center"/>
            <w:hideMark/>
          </w:tcPr>
          <w:p w14:paraId="00C72B85"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0.4</w:t>
            </w:r>
          </w:p>
        </w:tc>
        <w:tc>
          <w:tcPr>
            <w:tcW w:w="414" w:type="dxa"/>
            <w:tcBorders>
              <w:top w:val="nil"/>
              <w:left w:val="nil"/>
              <w:bottom w:val="nil"/>
              <w:right w:val="nil"/>
            </w:tcBorders>
            <w:shd w:val="clear" w:color="auto" w:fill="auto"/>
            <w:noWrap/>
            <w:vAlign w:val="center"/>
            <w:hideMark/>
          </w:tcPr>
          <w:p w14:paraId="73DD2FC8" w14:textId="77777777" w:rsidR="003E03CB" w:rsidRPr="00955A82" w:rsidRDefault="003E03CB" w:rsidP="003E03CB">
            <w:pPr>
              <w:jc w:val="right"/>
              <w:rPr>
                <w:rFonts w:eastAsia="Times New Roman"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077EFAC8"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Chief Officers</w:t>
            </w:r>
          </w:p>
        </w:tc>
        <w:tc>
          <w:tcPr>
            <w:tcW w:w="1747" w:type="dxa"/>
            <w:tcBorders>
              <w:top w:val="nil"/>
              <w:left w:val="nil"/>
              <w:bottom w:val="nil"/>
              <w:right w:val="nil"/>
            </w:tcBorders>
            <w:shd w:val="clear" w:color="auto" w:fill="auto"/>
            <w:noWrap/>
            <w:vAlign w:val="center"/>
            <w:hideMark/>
          </w:tcPr>
          <w:p w14:paraId="2D6771B2"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0.5</w:t>
            </w:r>
          </w:p>
        </w:tc>
      </w:tr>
      <w:tr w:rsidR="003E03CB" w:rsidRPr="003E03CB" w14:paraId="04F16FE0" w14:textId="77777777" w:rsidTr="00955A82">
        <w:trPr>
          <w:trHeight w:val="252"/>
          <w:jc w:val="center"/>
        </w:trPr>
        <w:tc>
          <w:tcPr>
            <w:tcW w:w="1966" w:type="dxa"/>
            <w:tcBorders>
              <w:top w:val="nil"/>
              <w:left w:val="nil"/>
              <w:bottom w:val="nil"/>
              <w:right w:val="nil"/>
            </w:tcBorders>
            <w:shd w:val="clear" w:color="auto" w:fill="auto"/>
            <w:noWrap/>
            <w:vAlign w:val="center"/>
            <w:hideMark/>
          </w:tcPr>
          <w:p w14:paraId="27EB05B9"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1.8</w:t>
            </w:r>
          </w:p>
        </w:tc>
        <w:tc>
          <w:tcPr>
            <w:tcW w:w="414" w:type="dxa"/>
            <w:tcBorders>
              <w:top w:val="nil"/>
              <w:left w:val="nil"/>
              <w:bottom w:val="nil"/>
              <w:right w:val="nil"/>
            </w:tcBorders>
            <w:shd w:val="clear" w:color="auto" w:fill="auto"/>
            <w:noWrap/>
            <w:vAlign w:val="center"/>
            <w:hideMark/>
          </w:tcPr>
          <w:p w14:paraId="7E4740AD" w14:textId="77777777" w:rsidR="003E03CB" w:rsidRPr="00955A82" w:rsidRDefault="003E03CB" w:rsidP="003E03CB">
            <w:pPr>
              <w:jc w:val="right"/>
              <w:rPr>
                <w:rFonts w:eastAsia="Times New Roman"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0E892F14"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Enterprise Resource Planning (ERP) Project</w:t>
            </w:r>
          </w:p>
        </w:tc>
        <w:tc>
          <w:tcPr>
            <w:tcW w:w="1747" w:type="dxa"/>
            <w:tcBorders>
              <w:top w:val="nil"/>
              <w:left w:val="nil"/>
              <w:bottom w:val="nil"/>
              <w:right w:val="nil"/>
            </w:tcBorders>
            <w:shd w:val="clear" w:color="auto" w:fill="auto"/>
            <w:noWrap/>
            <w:vAlign w:val="center"/>
            <w:hideMark/>
          </w:tcPr>
          <w:p w14:paraId="3FDFBA0E"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2.1</w:t>
            </w:r>
          </w:p>
        </w:tc>
      </w:tr>
      <w:tr w:rsidR="003E03CB" w:rsidRPr="003E03CB" w14:paraId="5C689FB4" w14:textId="77777777" w:rsidTr="00955A82">
        <w:trPr>
          <w:trHeight w:val="252"/>
          <w:jc w:val="center"/>
        </w:trPr>
        <w:tc>
          <w:tcPr>
            <w:tcW w:w="1966" w:type="dxa"/>
            <w:tcBorders>
              <w:top w:val="nil"/>
              <w:left w:val="nil"/>
              <w:bottom w:val="nil"/>
              <w:right w:val="nil"/>
            </w:tcBorders>
            <w:shd w:val="clear" w:color="auto" w:fill="auto"/>
            <w:noWrap/>
            <w:vAlign w:val="center"/>
            <w:hideMark/>
          </w:tcPr>
          <w:p w14:paraId="3D5D8E1C"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1</w:t>
            </w:r>
            <w:r w:rsidR="00384CD6" w:rsidRPr="00955A82">
              <w:rPr>
                <w:rFonts w:eastAsia="Times New Roman" w:cs="Calibri"/>
                <w:color w:val="000000"/>
                <w:sz w:val="20"/>
                <w:szCs w:val="20"/>
                <w:lang w:val="en-GB" w:eastAsia="en-GB"/>
              </w:rPr>
              <w:t>.0</w:t>
            </w:r>
          </w:p>
        </w:tc>
        <w:tc>
          <w:tcPr>
            <w:tcW w:w="414" w:type="dxa"/>
            <w:tcBorders>
              <w:top w:val="nil"/>
              <w:left w:val="nil"/>
              <w:bottom w:val="nil"/>
              <w:right w:val="nil"/>
            </w:tcBorders>
            <w:shd w:val="clear" w:color="auto" w:fill="auto"/>
            <w:noWrap/>
            <w:vAlign w:val="center"/>
            <w:hideMark/>
          </w:tcPr>
          <w:p w14:paraId="4921A8AE" w14:textId="77777777" w:rsidR="003E03CB" w:rsidRPr="00955A82" w:rsidRDefault="003E03CB" w:rsidP="003E03CB">
            <w:pPr>
              <w:jc w:val="right"/>
              <w:rPr>
                <w:rFonts w:eastAsia="Times New Roman"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2B50F341"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 xml:space="preserve">Finance </w:t>
            </w:r>
          </w:p>
        </w:tc>
        <w:tc>
          <w:tcPr>
            <w:tcW w:w="1747" w:type="dxa"/>
            <w:tcBorders>
              <w:top w:val="nil"/>
              <w:left w:val="nil"/>
              <w:bottom w:val="nil"/>
              <w:right w:val="nil"/>
            </w:tcBorders>
            <w:shd w:val="clear" w:color="auto" w:fill="auto"/>
            <w:noWrap/>
            <w:vAlign w:val="center"/>
            <w:hideMark/>
          </w:tcPr>
          <w:p w14:paraId="5B90C87F"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1</w:t>
            </w:r>
            <w:r w:rsidR="00384CD6" w:rsidRPr="00955A82">
              <w:rPr>
                <w:rFonts w:eastAsia="Times New Roman" w:cs="Calibri"/>
                <w:color w:val="000000"/>
                <w:sz w:val="20"/>
                <w:szCs w:val="20"/>
                <w:lang w:val="en-GB" w:eastAsia="en-GB"/>
              </w:rPr>
              <w:t>.0</w:t>
            </w:r>
          </w:p>
        </w:tc>
      </w:tr>
      <w:tr w:rsidR="003E03CB" w:rsidRPr="003E03CB" w14:paraId="753B1464" w14:textId="77777777" w:rsidTr="00955A82">
        <w:trPr>
          <w:trHeight w:val="252"/>
          <w:jc w:val="center"/>
        </w:trPr>
        <w:tc>
          <w:tcPr>
            <w:tcW w:w="1966" w:type="dxa"/>
            <w:tcBorders>
              <w:top w:val="nil"/>
              <w:left w:val="nil"/>
              <w:bottom w:val="nil"/>
              <w:right w:val="nil"/>
            </w:tcBorders>
            <w:shd w:val="clear" w:color="auto" w:fill="auto"/>
            <w:noWrap/>
            <w:vAlign w:val="center"/>
            <w:hideMark/>
          </w:tcPr>
          <w:p w14:paraId="34C3A7FD"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0.2</w:t>
            </w:r>
          </w:p>
        </w:tc>
        <w:tc>
          <w:tcPr>
            <w:tcW w:w="414" w:type="dxa"/>
            <w:tcBorders>
              <w:top w:val="nil"/>
              <w:left w:val="nil"/>
              <w:bottom w:val="nil"/>
              <w:right w:val="nil"/>
            </w:tcBorders>
            <w:shd w:val="clear" w:color="auto" w:fill="auto"/>
            <w:noWrap/>
            <w:vAlign w:val="center"/>
            <w:hideMark/>
          </w:tcPr>
          <w:p w14:paraId="51106874" w14:textId="77777777" w:rsidR="003E03CB" w:rsidRPr="00955A82" w:rsidRDefault="003E03CB" w:rsidP="003E03CB">
            <w:pPr>
              <w:jc w:val="right"/>
              <w:rPr>
                <w:rFonts w:eastAsia="Times New Roman"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7D841848"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Estates Projects</w:t>
            </w:r>
          </w:p>
        </w:tc>
        <w:tc>
          <w:tcPr>
            <w:tcW w:w="1747" w:type="dxa"/>
            <w:tcBorders>
              <w:top w:val="nil"/>
              <w:left w:val="nil"/>
              <w:bottom w:val="nil"/>
              <w:right w:val="nil"/>
            </w:tcBorders>
            <w:shd w:val="clear" w:color="auto" w:fill="auto"/>
            <w:noWrap/>
            <w:vAlign w:val="center"/>
            <w:hideMark/>
          </w:tcPr>
          <w:p w14:paraId="4FA482CF"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0.2</w:t>
            </w:r>
          </w:p>
        </w:tc>
      </w:tr>
      <w:tr w:rsidR="003E03CB" w:rsidRPr="003E03CB" w14:paraId="3FC3B0F4" w14:textId="77777777" w:rsidTr="00955A82">
        <w:trPr>
          <w:trHeight w:val="252"/>
          <w:jc w:val="center"/>
        </w:trPr>
        <w:tc>
          <w:tcPr>
            <w:tcW w:w="1966" w:type="dxa"/>
            <w:tcBorders>
              <w:top w:val="nil"/>
              <w:left w:val="nil"/>
              <w:bottom w:val="nil"/>
              <w:right w:val="nil"/>
            </w:tcBorders>
            <w:shd w:val="clear" w:color="auto" w:fill="auto"/>
            <w:noWrap/>
            <w:vAlign w:val="center"/>
            <w:hideMark/>
          </w:tcPr>
          <w:p w14:paraId="768A2E52"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0.1</w:t>
            </w:r>
          </w:p>
        </w:tc>
        <w:tc>
          <w:tcPr>
            <w:tcW w:w="414" w:type="dxa"/>
            <w:tcBorders>
              <w:top w:val="nil"/>
              <w:left w:val="nil"/>
              <w:bottom w:val="nil"/>
              <w:right w:val="nil"/>
            </w:tcBorders>
            <w:shd w:val="clear" w:color="auto" w:fill="auto"/>
            <w:noWrap/>
            <w:vAlign w:val="center"/>
            <w:hideMark/>
          </w:tcPr>
          <w:p w14:paraId="2E1FF281" w14:textId="77777777" w:rsidR="003E03CB" w:rsidRPr="00955A82" w:rsidRDefault="003E03CB" w:rsidP="003E03CB">
            <w:pPr>
              <w:jc w:val="right"/>
              <w:rPr>
                <w:rFonts w:eastAsia="Times New Roman"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1AA71C4D"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Insurance</w:t>
            </w:r>
          </w:p>
        </w:tc>
        <w:tc>
          <w:tcPr>
            <w:tcW w:w="1747" w:type="dxa"/>
            <w:tcBorders>
              <w:top w:val="nil"/>
              <w:left w:val="nil"/>
              <w:bottom w:val="nil"/>
              <w:right w:val="nil"/>
            </w:tcBorders>
            <w:shd w:val="clear" w:color="auto" w:fill="auto"/>
            <w:noWrap/>
            <w:vAlign w:val="center"/>
            <w:hideMark/>
          </w:tcPr>
          <w:p w14:paraId="17F57CDC"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0.1</w:t>
            </w:r>
          </w:p>
        </w:tc>
      </w:tr>
      <w:tr w:rsidR="003E03CB" w:rsidRPr="003E03CB" w14:paraId="5B352C7B" w14:textId="77777777" w:rsidTr="00955A82">
        <w:trPr>
          <w:trHeight w:val="252"/>
          <w:jc w:val="center"/>
        </w:trPr>
        <w:tc>
          <w:tcPr>
            <w:tcW w:w="1966" w:type="dxa"/>
            <w:tcBorders>
              <w:top w:val="nil"/>
              <w:left w:val="nil"/>
              <w:bottom w:val="nil"/>
              <w:right w:val="nil"/>
            </w:tcBorders>
            <w:shd w:val="clear" w:color="auto" w:fill="auto"/>
            <w:noWrap/>
            <w:vAlign w:val="center"/>
            <w:hideMark/>
          </w:tcPr>
          <w:p w14:paraId="516860D9"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4.9</w:t>
            </w:r>
          </w:p>
        </w:tc>
        <w:tc>
          <w:tcPr>
            <w:tcW w:w="414" w:type="dxa"/>
            <w:tcBorders>
              <w:top w:val="nil"/>
              <w:left w:val="nil"/>
              <w:bottom w:val="nil"/>
              <w:right w:val="nil"/>
            </w:tcBorders>
            <w:shd w:val="clear" w:color="auto" w:fill="auto"/>
            <w:noWrap/>
            <w:vAlign w:val="center"/>
            <w:hideMark/>
          </w:tcPr>
          <w:p w14:paraId="2C58475D" w14:textId="77777777" w:rsidR="003E03CB" w:rsidRPr="00955A82" w:rsidRDefault="003E03CB" w:rsidP="003E03CB">
            <w:pPr>
              <w:jc w:val="right"/>
              <w:rPr>
                <w:rFonts w:eastAsia="Times New Roman"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51B68F27"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 xml:space="preserve">IT </w:t>
            </w:r>
          </w:p>
        </w:tc>
        <w:tc>
          <w:tcPr>
            <w:tcW w:w="1747" w:type="dxa"/>
            <w:tcBorders>
              <w:top w:val="nil"/>
              <w:left w:val="nil"/>
              <w:bottom w:val="nil"/>
              <w:right w:val="nil"/>
            </w:tcBorders>
            <w:shd w:val="clear" w:color="auto" w:fill="auto"/>
            <w:noWrap/>
            <w:vAlign w:val="center"/>
            <w:hideMark/>
          </w:tcPr>
          <w:p w14:paraId="639EB93C"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7.5</w:t>
            </w:r>
          </w:p>
        </w:tc>
      </w:tr>
      <w:tr w:rsidR="003E03CB" w:rsidRPr="003E03CB" w14:paraId="6E4F6F24" w14:textId="77777777" w:rsidTr="00955A82">
        <w:trPr>
          <w:trHeight w:val="252"/>
          <w:jc w:val="center"/>
        </w:trPr>
        <w:tc>
          <w:tcPr>
            <w:tcW w:w="1966" w:type="dxa"/>
            <w:tcBorders>
              <w:top w:val="nil"/>
              <w:left w:val="nil"/>
              <w:bottom w:val="nil"/>
              <w:right w:val="nil"/>
            </w:tcBorders>
            <w:shd w:val="clear" w:color="auto" w:fill="auto"/>
            <w:noWrap/>
            <w:vAlign w:val="center"/>
            <w:hideMark/>
          </w:tcPr>
          <w:p w14:paraId="21F843ED"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1.3</w:t>
            </w:r>
          </w:p>
        </w:tc>
        <w:tc>
          <w:tcPr>
            <w:tcW w:w="414" w:type="dxa"/>
            <w:tcBorders>
              <w:top w:val="nil"/>
              <w:left w:val="nil"/>
              <w:bottom w:val="nil"/>
              <w:right w:val="nil"/>
            </w:tcBorders>
            <w:shd w:val="clear" w:color="auto" w:fill="auto"/>
            <w:noWrap/>
            <w:vAlign w:val="center"/>
            <w:hideMark/>
          </w:tcPr>
          <w:p w14:paraId="4C529B63" w14:textId="77777777" w:rsidR="003E03CB" w:rsidRPr="00955A82" w:rsidRDefault="003E03CB" w:rsidP="003E03CB">
            <w:pPr>
              <w:jc w:val="right"/>
              <w:rPr>
                <w:rFonts w:eastAsia="Times New Roman"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181FF8F6"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IT Projects</w:t>
            </w:r>
          </w:p>
        </w:tc>
        <w:tc>
          <w:tcPr>
            <w:tcW w:w="1747" w:type="dxa"/>
            <w:tcBorders>
              <w:top w:val="nil"/>
              <w:left w:val="nil"/>
              <w:bottom w:val="nil"/>
              <w:right w:val="nil"/>
            </w:tcBorders>
            <w:shd w:val="clear" w:color="auto" w:fill="auto"/>
            <w:noWrap/>
            <w:vAlign w:val="center"/>
            <w:hideMark/>
          </w:tcPr>
          <w:p w14:paraId="1D9EC099"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2.4</w:t>
            </w:r>
          </w:p>
        </w:tc>
      </w:tr>
      <w:tr w:rsidR="003E03CB" w:rsidRPr="003E03CB" w14:paraId="2F4A009A" w14:textId="77777777" w:rsidTr="00955A82">
        <w:trPr>
          <w:trHeight w:val="252"/>
          <w:jc w:val="center"/>
        </w:trPr>
        <w:tc>
          <w:tcPr>
            <w:tcW w:w="1966" w:type="dxa"/>
            <w:tcBorders>
              <w:top w:val="nil"/>
              <w:left w:val="nil"/>
              <w:bottom w:val="nil"/>
              <w:right w:val="nil"/>
            </w:tcBorders>
            <w:shd w:val="clear" w:color="auto" w:fill="auto"/>
            <w:noWrap/>
            <w:vAlign w:val="center"/>
            <w:hideMark/>
          </w:tcPr>
          <w:p w14:paraId="7867B5CE"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0.2</w:t>
            </w:r>
          </w:p>
        </w:tc>
        <w:tc>
          <w:tcPr>
            <w:tcW w:w="414" w:type="dxa"/>
            <w:tcBorders>
              <w:top w:val="nil"/>
              <w:left w:val="nil"/>
              <w:bottom w:val="nil"/>
              <w:right w:val="nil"/>
            </w:tcBorders>
            <w:shd w:val="clear" w:color="auto" w:fill="auto"/>
            <w:noWrap/>
            <w:vAlign w:val="center"/>
            <w:hideMark/>
          </w:tcPr>
          <w:p w14:paraId="3DB6983F" w14:textId="77777777" w:rsidR="003E03CB" w:rsidRPr="00955A82" w:rsidRDefault="003E03CB" w:rsidP="003E03CB">
            <w:pPr>
              <w:jc w:val="right"/>
              <w:rPr>
                <w:rFonts w:eastAsia="Times New Roman"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20FB7ED5"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Procurement</w:t>
            </w:r>
          </w:p>
        </w:tc>
        <w:tc>
          <w:tcPr>
            <w:tcW w:w="1747" w:type="dxa"/>
            <w:tcBorders>
              <w:top w:val="nil"/>
              <w:left w:val="nil"/>
              <w:bottom w:val="nil"/>
              <w:right w:val="nil"/>
            </w:tcBorders>
            <w:shd w:val="clear" w:color="auto" w:fill="auto"/>
            <w:noWrap/>
            <w:vAlign w:val="center"/>
            <w:hideMark/>
          </w:tcPr>
          <w:p w14:paraId="6B3D71F7"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0.3</w:t>
            </w:r>
          </w:p>
        </w:tc>
      </w:tr>
      <w:tr w:rsidR="003E03CB" w:rsidRPr="003E03CB" w14:paraId="1A5B0409" w14:textId="77777777" w:rsidTr="00955A82">
        <w:trPr>
          <w:trHeight w:val="252"/>
          <w:jc w:val="center"/>
        </w:trPr>
        <w:tc>
          <w:tcPr>
            <w:tcW w:w="1966" w:type="dxa"/>
            <w:tcBorders>
              <w:top w:val="nil"/>
              <w:left w:val="nil"/>
              <w:bottom w:val="nil"/>
              <w:right w:val="nil"/>
            </w:tcBorders>
            <w:shd w:val="clear" w:color="auto" w:fill="auto"/>
            <w:noWrap/>
            <w:vAlign w:val="center"/>
            <w:hideMark/>
          </w:tcPr>
          <w:p w14:paraId="4505CEC4"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0.9</w:t>
            </w:r>
          </w:p>
        </w:tc>
        <w:tc>
          <w:tcPr>
            <w:tcW w:w="414" w:type="dxa"/>
            <w:tcBorders>
              <w:top w:val="nil"/>
              <w:left w:val="nil"/>
              <w:bottom w:val="nil"/>
              <w:right w:val="nil"/>
            </w:tcBorders>
            <w:shd w:val="clear" w:color="auto" w:fill="auto"/>
            <w:noWrap/>
            <w:vAlign w:val="center"/>
            <w:hideMark/>
          </w:tcPr>
          <w:p w14:paraId="0AD9FF3C" w14:textId="77777777" w:rsidR="003E03CB" w:rsidRPr="00955A82" w:rsidRDefault="003E03CB" w:rsidP="003E03CB">
            <w:pPr>
              <w:jc w:val="right"/>
              <w:rPr>
                <w:rFonts w:eastAsia="Times New Roman"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682165F4"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Transport</w:t>
            </w:r>
          </w:p>
        </w:tc>
        <w:tc>
          <w:tcPr>
            <w:tcW w:w="1747" w:type="dxa"/>
            <w:tcBorders>
              <w:top w:val="nil"/>
              <w:left w:val="nil"/>
              <w:bottom w:val="nil"/>
              <w:right w:val="nil"/>
            </w:tcBorders>
            <w:shd w:val="clear" w:color="auto" w:fill="auto"/>
            <w:noWrap/>
            <w:vAlign w:val="center"/>
            <w:hideMark/>
          </w:tcPr>
          <w:p w14:paraId="64513494"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1.3</w:t>
            </w:r>
          </w:p>
        </w:tc>
      </w:tr>
      <w:tr w:rsidR="003E03CB" w:rsidRPr="003E03CB" w14:paraId="39211B00" w14:textId="77777777" w:rsidTr="00955A82">
        <w:trPr>
          <w:trHeight w:val="252"/>
          <w:jc w:val="center"/>
        </w:trPr>
        <w:tc>
          <w:tcPr>
            <w:tcW w:w="1966" w:type="dxa"/>
            <w:tcBorders>
              <w:top w:val="nil"/>
              <w:left w:val="nil"/>
              <w:bottom w:val="nil"/>
              <w:right w:val="nil"/>
            </w:tcBorders>
            <w:shd w:val="clear" w:color="auto" w:fill="auto"/>
            <w:noWrap/>
            <w:vAlign w:val="center"/>
            <w:hideMark/>
          </w:tcPr>
          <w:p w14:paraId="30B680D2"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16.1</w:t>
            </w:r>
          </w:p>
        </w:tc>
        <w:tc>
          <w:tcPr>
            <w:tcW w:w="414" w:type="dxa"/>
            <w:tcBorders>
              <w:top w:val="nil"/>
              <w:left w:val="nil"/>
              <w:bottom w:val="nil"/>
              <w:right w:val="nil"/>
            </w:tcBorders>
            <w:shd w:val="clear" w:color="auto" w:fill="auto"/>
            <w:noWrap/>
            <w:vAlign w:val="center"/>
            <w:hideMark/>
          </w:tcPr>
          <w:p w14:paraId="6478D0ED" w14:textId="77777777" w:rsidR="003E03CB" w:rsidRPr="00955A82" w:rsidRDefault="003E03CB" w:rsidP="003E03CB">
            <w:pPr>
              <w:jc w:val="right"/>
              <w:rPr>
                <w:rFonts w:eastAsia="Times New Roman"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09F40FBC"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Operations Department</w:t>
            </w:r>
          </w:p>
        </w:tc>
        <w:tc>
          <w:tcPr>
            <w:tcW w:w="1747" w:type="dxa"/>
            <w:tcBorders>
              <w:top w:val="nil"/>
              <w:left w:val="nil"/>
              <w:bottom w:val="nil"/>
              <w:right w:val="nil"/>
            </w:tcBorders>
            <w:shd w:val="clear" w:color="auto" w:fill="auto"/>
            <w:noWrap/>
            <w:vAlign w:val="center"/>
            <w:hideMark/>
          </w:tcPr>
          <w:p w14:paraId="730C4788"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18.9</w:t>
            </w:r>
          </w:p>
        </w:tc>
      </w:tr>
      <w:tr w:rsidR="003E03CB" w:rsidRPr="003E03CB" w14:paraId="15FD666A" w14:textId="77777777" w:rsidTr="00955A82">
        <w:trPr>
          <w:trHeight w:val="252"/>
          <w:jc w:val="center"/>
        </w:trPr>
        <w:tc>
          <w:tcPr>
            <w:tcW w:w="1966" w:type="dxa"/>
            <w:tcBorders>
              <w:top w:val="nil"/>
              <w:left w:val="nil"/>
              <w:bottom w:val="nil"/>
              <w:right w:val="nil"/>
            </w:tcBorders>
            <w:shd w:val="clear" w:color="auto" w:fill="auto"/>
            <w:noWrap/>
            <w:vAlign w:val="center"/>
            <w:hideMark/>
          </w:tcPr>
          <w:p w14:paraId="4615ACBC"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0.1</w:t>
            </w:r>
          </w:p>
        </w:tc>
        <w:tc>
          <w:tcPr>
            <w:tcW w:w="414" w:type="dxa"/>
            <w:tcBorders>
              <w:top w:val="nil"/>
              <w:left w:val="nil"/>
              <w:bottom w:val="nil"/>
              <w:right w:val="nil"/>
            </w:tcBorders>
            <w:shd w:val="clear" w:color="auto" w:fill="auto"/>
            <w:noWrap/>
            <w:vAlign w:val="center"/>
            <w:hideMark/>
          </w:tcPr>
          <w:p w14:paraId="48908B0D" w14:textId="77777777" w:rsidR="003E03CB" w:rsidRPr="00955A82" w:rsidRDefault="003E03CB" w:rsidP="003E03CB">
            <w:pPr>
              <w:jc w:val="right"/>
              <w:rPr>
                <w:rFonts w:eastAsia="Times New Roman"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6C335AFF"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Operations Projects</w:t>
            </w:r>
          </w:p>
        </w:tc>
        <w:tc>
          <w:tcPr>
            <w:tcW w:w="1747" w:type="dxa"/>
            <w:tcBorders>
              <w:top w:val="nil"/>
              <w:left w:val="nil"/>
              <w:bottom w:val="nil"/>
              <w:right w:val="nil"/>
            </w:tcBorders>
            <w:shd w:val="clear" w:color="auto" w:fill="auto"/>
            <w:noWrap/>
            <w:vAlign w:val="center"/>
            <w:hideMark/>
          </w:tcPr>
          <w:p w14:paraId="0936CA59"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0.4</w:t>
            </w:r>
          </w:p>
        </w:tc>
      </w:tr>
      <w:tr w:rsidR="003E03CB" w:rsidRPr="003E03CB" w14:paraId="4D13F661" w14:textId="77777777" w:rsidTr="00955A82">
        <w:trPr>
          <w:trHeight w:val="252"/>
          <w:jc w:val="center"/>
        </w:trPr>
        <w:tc>
          <w:tcPr>
            <w:tcW w:w="1966" w:type="dxa"/>
            <w:tcBorders>
              <w:top w:val="nil"/>
              <w:left w:val="nil"/>
              <w:bottom w:val="nil"/>
              <w:right w:val="nil"/>
            </w:tcBorders>
            <w:shd w:val="clear" w:color="auto" w:fill="auto"/>
            <w:noWrap/>
            <w:vAlign w:val="center"/>
            <w:hideMark/>
          </w:tcPr>
          <w:p w14:paraId="354EBF2F"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0.1</w:t>
            </w:r>
          </w:p>
        </w:tc>
        <w:tc>
          <w:tcPr>
            <w:tcW w:w="414" w:type="dxa"/>
            <w:tcBorders>
              <w:top w:val="nil"/>
              <w:left w:val="nil"/>
              <w:bottom w:val="nil"/>
              <w:right w:val="nil"/>
            </w:tcBorders>
            <w:shd w:val="clear" w:color="auto" w:fill="auto"/>
            <w:noWrap/>
            <w:vAlign w:val="center"/>
            <w:hideMark/>
          </w:tcPr>
          <w:p w14:paraId="29093D46" w14:textId="77777777" w:rsidR="003E03CB" w:rsidRPr="00955A82" w:rsidRDefault="003E03CB" w:rsidP="003E03CB">
            <w:pPr>
              <w:jc w:val="right"/>
              <w:rPr>
                <w:rFonts w:eastAsia="Times New Roman"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6280800B"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Health &amp; Safety</w:t>
            </w:r>
          </w:p>
        </w:tc>
        <w:tc>
          <w:tcPr>
            <w:tcW w:w="1747" w:type="dxa"/>
            <w:tcBorders>
              <w:top w:val="nil"/>
              <w:left w:val="nil"/>
              <w:bottom w:val="nil"/>
              <w:right w:val="nil"/>
            </w:tcBorders>
            <w:shd w:val="clear" w:color="auto" w:fill="auto"/>
            <w:noWrap/>
            <w:vAlign w:val="center"/>
            <w:hideMark/>
          </w:tcPr>
          <w:p w14:paraId="76BD0920" w14:textId="77777777" w:rsidR="003E03CB" w:rsidRPr="00955A82" w:rsidRDefault="008B7197"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w:t>
            </w:r>
          </w:p>
        </w:tc>
      </w:tr>
      <w:tr w:rsidR="003E03CB" w:rsidRPr="003E03CB" w14:paraId="71A2A608" w14:textId="77777777" w:rsidTr="00955A82">
        <w:trPr>
          <w:trHeight w:val="252"/>
          <w:jc w:val="center"/>
        </w:trPr>
        <w:tc>
          <w:tcPr>
            <w:tcW w:w="1966" w:type="dxa"/>
            <w:tcBorders>
              <w:top w:val="nil"/>
              <w:left w:val="nil"/>
              <w:bottom w:val="nil"/>
              <w:right w:val="nil"/>
            </w:tcBorders>
            <w:shd w:val="clear" w:color="auto" w:fill="auto"/>
            <w:noWrap/>
            <w:vAlign w:val="center"/>
            <w:hideMark/>
          </w:tcPr>
          <w:p w14:paraId="11DFB47E"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17.6</w:t>
            </w:r>
          </w:p>
        </w:tc>
        <w:tc>
          <w:tcPr>
            <w:tcW w:w="414" w:type="dxa"/>
            <w:tcBorders>
              <w:top w:val="nil"/>
              <w:left w:val="nil"/>
              <w:bottom w:val="nil"/>
              <w:right w:val="nil"/>
            </w:tcBorders>
            <w:shd w:val="clear" w:color="auto" w:fill="auto"/>
            <w:noWrap/>
            <w:vAlign w:val="center"/>
            <w:hideMark/>
          </w:tcPr>
          <w:p w14:paraId="4E1C03AA" w14:textId="77777777" w:rsidR="003E03CB" w:rsidRPr="00955A82" w:rsidRDefault="003E03CB" w:rsidP="003E03CB">
            <w:pPr>
              <w:jc w:val="right"/>
              <w:rPr>
                <w:rFonts w:eastAsia="Times New Roman"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23C56BF3"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Specialist Crime Department</w:t>
            </w:r>
          </w:p>
        </w:tc>
        <w:tc>
          <w:tcPr>
            <w:tcW w:w="1747" w:type="dxa"/>
            <w:tcBorders>
              <w:top w:val="nil"/>
              <w:left w:val="nil"/>
              <w:bottom w:val="nil"/>
              <w:right w:val="nil"/>
            </w:tcBorders>
            <w:shd w:val="clear" w:color="auto" w:fill="auto"/>
            <w:noWrap/>
            <w:vAlign w:val="center"/>
            <w:hideMark/>
          </w:tcPr>
          <w:p w14:paraId="67CAFEED"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18.6</w:t>
            </w:r>
          </w:p>
        </w:tc>
      </w:tr>
      <w:tr w:rsidR="003E03CB" w:rsidRPr="003E03CB" w14:paraId="5039EBFA" w14:textId="77777777" w:rsidTr="00955A82">
        <w:trPr>
          <w:trHeight w:val="252"/>
          <w:jc w:val="center"/>
        </w:trPr>
        <w:tc>
          <w:tcPr>
            <w:tcW w:w="1966" w:type="dxa"/>
            <w:tcBorders>
              <w:top w:val="nil"/>
              <w:left w:val="nil"/>
              <w:bottom w:val="nil"/>
              <w:right w:val="nil"/>
            </w:tcBorders>
            <w:shd w:val="clear" w:color="auto" w:fill="auto"/>
            <w:noWrap/>
            <w:vAlign w:val="center"/>
            <w:hideMark/>
          </w:tcPr>
          <w:p w14:paraId="07C87C3E"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3.3</w:t>
            </w:r>
          </w:p>
        </w:tc>
        <w:tc>
          <w:tcPr>
            <w:tcW w:w="414" w:type="dxa"/>
            <w:tcBorders>
              <w:top w:val="nil"/>
              <w:left w:val="nil"/>
              <w:bottom w:val="nil"/>
              <w:right w:val="nil"/>
            </w:tcBorders>
            <w:shd w:val="clear" w:color="auto" w:fill="auto"/>
            <w:noWrap/>
            <w:vAlign w:val="center"/>
            <w:hideMark/>
          </w:tcPr>
          <w:p w14:paraId="31530967" w14:textId="77777777" w:rsidR="003E03CB" w:rsidRPr="00955A82" w:rsidRDefault="003E03CB" w:rsidP="003E03CB">
            <w:pPr>
              <w:jc w:val="right"/>
              <w:rPr>
                <w:rFonts w:eastAsia="Times New Roman"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599C74B5"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People Services</w:t>
            </w:r>
          </w:p>
        </w:tc>
        <w:tc>
          <w:tcPr>
            <w:tcW w:w="1747" w:type="dxa"/>
            <w:tcBorders>
              <w:top w:val="nil"/>
              <w:left w:val="nil"/>
              <w:bottom w:val="nil"/>
              <w:right w:val="nil"/>
            </w:tcBorders>
            <w:shd w:val="clear" w:color="auto" w:fill="auto"/>
            <w:noWrap/>
            <w:vAlign w:val="center"/>
            <w:hideMark/>
          </w:tcPr>
          <w:p w14:paraId="623617BF"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3.6</w:t>
            </w:r>
          </w:p>
        </w:tc>
      </w:tr>
      <w:tr w:rsidR="003E03CB" w:rsidRPr="003E03CB" w14:paraId="3ACCE00B" w14:textId="77777777" w:rsidTr="00955A82">
        <w:trPr>
          <w:trHeight w:val="252"/>
          <w:jc w:val="center"/>
        </w:trPr>
        <w:tc>
          <w:tcPr>
            <w:tcW w:w="1966" w:type="dxa"/>
            <w:tcBorders>
              <w:top w:val="nil"/>
              <w:left w:val="nil"/>
              <w:bottom w:val="nil"/>
              <w:right w:val="nil"/>
            </w:tcBorders>
            <w:shd w:val="clear" w:color="auto" w:fill="auto"/>
            <w:noWrap/>
            <w:vAlign w:val="center"/>
            <w:hideMark/>
          </w:tcPr>
          <w:p w14:paraId="591EBDBF"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0.7</w:t>
            </w:r>
          </w:p>
        </w:tc>
        <w:tc>
          <w:tcPr>
            <w:tcW w:w="414" w:type="dxa"/>
            <w:tcBorders>
              <w:top w:val="nil"/>
              <w:left w:val="nil"/>
              <w:bottom w:val="nil"/>
              <w:right w:val="nil"/>
            </w:tcBorders>
            <w:shd w:val="clear" w:color="auto" w:fill="auto"/>
            <w:noWrap/>
            <w:vAlign w:val="center"/>
            <w:hideMark/>
          </w:tcPr>
          <w:p w14:paraId="0B621FC2" w14:textId="77777777" w:rsidR="003E03CB" w:rsidRPr="00955A82" w:rsidRDefault="003E03CB" w:rsidP="003E03CB">
            <w:pPr>
              <w:jc w:val="right"/>
              <w:rPr>
                <w:rFonts w:eastAsia="Times New Roman"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4E690102"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Digital Enablement</w:t>
            </w:r>
          </w:p>
        </w:tc>
        <w:tc>
          <w:tcPr>
            <w:tcW w:w="1747" w:type="dxa"/>
            <w:tcBorders>
              <w:top w:val="nil"/>
              <w:left w:val="nil"/>
              <w:bottom w:val="nil"/>
              <w:right w:val="nil"/>
            </w:tcBorders>
            <w:shd w:val="clear" w:color="auto" w:fill="auto"/>
            <w:noWrap/>
            <w:vAlign w:val="center"/>
            <w:hideMark/>
          </w:tcPr>
          <w:p w14:paraId="2D589806"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0.9</w:t>
            </w:r>
          </w:p>
        </w:tc>
      </w:tr>
      <w:tr w:rsidR="003E03CB" w:rsidRPr="003E03CB" w14:paraId="2BD39B93" w14:textId="77777777" w:rsidTr="00955A82">
        <w:trPr>
          <w:trHeight w:val="252"/>
          <w:jc w:val="center"/>
        </w:trPr>
        <w:tc>
          <w:tcPr>
            <w:tcW w:w="1966" w:type="dxa"/>
            <w:tcBorders>
              <w:top w:val="nil"/>
              <w:left w:val="nil"/>
              <w:bottom w:val="nil"/>
              <w:right w:val="nil"/>
            </w:tcBorders>
            <w:shd w:val="clear" w:color="auto" w:fill="auto"/>
            <w:noWrap/>
            <w:vAlign w:val="center"/>
            <w:hideMark/>
          </w:tcPr>
          <w:p w14:paraId="60BBD2DF"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0.4</w:t>
            </w:r>
          </w:p>
        </w:tc>
        <w:tc>
          <w:tcPr>
            <w:tcW w:w="414" w:type="dxa"/>
            <w:tcBorders>
              <w:top w:val="nil"/>
              <w:left w:val="nil"/>
              <w:bottom w:val="nil"/>
              <w:right w:val="nil"/>
            </w:tcBorders>
            <w:shd w:val="clear" w:color="auto" w:fill="auto"/>
            <w:noWrap/>
            <w:vAlign w:val="center"/>
            <w:hideMark/>
          </w:tcPr>
          <w:p w14:paraId="20959CCA" w14:textId="77777777" w:rsidR="003E03CB" w:rsidRPr="00955A82" w:rsidRDefault="003E03CB" w:rsidP="003E03CB">
            <w:pPr>
              <w:jc w:val="right"/>
              <w:rPr>
                <w:rFonts w:eastAsia="Times New Roman"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26ACBAD0"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Vetting</w:t>
            </w:r>
          </w:p>
        </w:tc>
        <w:tc>
          <w:tcPr>
            <w:tcW w:w="1747" w:type="dxa"/>
            <w:tcBorders>
              <w:top w:val="nil"/>
              <w:left w:val="nil"/>
              <w:bottom w:val="nil"/>
              <w:right w:val="nil"/>
            </w:tcBorders>
            <w:shd w:val="clear" w:color="auto" w:fill="auto"/>
            <w:noWrap/>
            <w:vAlign w:val="center"/>
            <w:hideMark/>
          </w:tcPr>
          <w:p w14:paraId="4B8797B3"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0.3</w:t>
            </w:r>
          </w:p>
        </w:tc>
      </w:tr>
      <w:tr w:rsidR="003E03CB" w:rsidRPr="003E03CB" w14:paraId="5FEA81EC" w14:textId="77777777" w:rsidTr="00955A82">
        <w:trPr>
          <w:trHeight w:val="265"/>
          <w:jc w:val="center"/>
        </w:trPr>
        <w:tc>
          <w:tcPr>
            <w:tcW w:w="1966" w:type="dxa"/>
            <w:tcBorders>
              <w:top w:val="nil"/>
              <w:left w:val="nil"/>
              <w:bottom w:val="single" w:sz="8" w:space="0" w:color="auto"/>
              <w:right w:val="nil"/>
            </w:tcBorders>
            <w:shd w:val="clear" w:color="auto" w:fill="auto"/>
            <w:noWrap/>
            <w:vAlign w:val="center"/>
            <w:hideMark/>
          </w:tcPr>
          <w:p w14:paraId="70041F4E" w14:textId="77777777" w:rsidR="003E03CB" w:rsidRPr="00955A82" w:rsidRDefault="008B7197"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w:t>
            </w:r>
          </w:p>
        </w:tc>
        <w:tc>
          <w:tcPr>
            <w:tcW w:w="414" w:type="dxa"/>
            <w:tcBorders>
              <w:top w:val="nil"/>
              <w:left w:val="nil"/>
              <w:bottom w:val="single" w:sz="8" w:space="0" w:color="auto"/>
              <w:right w:val="nil"/>
            </w:tcBorders>
            <w:shd w:val="clear" w:color="auto" w:fill="auto"/>
            <w:noWrap/>
            <w:vAlign w:val="center"/>
            <w:hideMark/>
          </w:tcPr>
          <w:p w14:paraId="6931E96C"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 </w:t>
            </w:r>
          </w:p>
        </w:tc>
        <w:tc>
          <w:tcPr>
            <w:tcW w:w="5679" w:type="dxa"/>
            <w:tcBorders>
              <w:top w:val="nil"/>
              <w:left w:val="nil"/>
              <w:bottom w:val="single" w:sz="8" w:space="0" w:color="auto"/>
              <w:right w:val="nil"/>
            </w:tcBorders>
            <w:shd w:val="clear" w:color="auto" w:fill="auto"/>
            <w:noWrap/>
            <w:vAlign w:val="center"/>
            <w:hideMark/>
          </w:tcPr>
          <w:p w14:paraId="3AD4B844" w14:textId="77777777" w:rsidR="003E03CB" w:rsidRPr="00955A82" w:rsidRDefault="003E03CB" w:rsidP="003E03CB">
            <w:pPr>
              <w:rPr>
                <w:rFonts w:eastAsia="Times New Roman" w:cs="Calibri"/>
                <w:color w:val="000000"/>
                <w:sz w:val="20"/>
                <w:szCs w:val="20"/>
                <w:lang w:val="en-GB" w:eastAsia="en-GB"/>
              </w:rPr>
            </w:pPr>
            <w:r w:rsidRPr="00955A82">
              <w:rPr>
                <w:rFonts w:eastAsia="Times New Roman" w:cs="Calibri"/>
                <w:color w:val="000000"/>
                <w:sz w:val="20"/>
                <w:szCs w:val="20"/>
                <w:lang w:val="en-GB" w:eastAsia="en-GB"/>
              </w:rPr>
              <w:t>Corporate Development</w:t>
            </w:r>
          </w:p>
        </w:tc>
        <w:tc>
          <w:tcPr>
            <w:tcW w:w="1747" w:type="dxa"/>
            <w:tcBorders>
              <w:top w:val="nil"/>
              <w:left w:val="nil"/>
              <w:bottom w:val="single" w:sz="8" w:space="0" w:color="auto"/>
              <w:right w:val="nil"/>
            </w:tcBorders>
            <w:shd w:val="clear" w:color="auto" w:fill="auto"/>
            <w:noWrap/>
            <w:vAlign w:val="center"/>
            <w:hideMark/>
          </w:tcPr>
          <w:p w14:paraId="0DADCEFD" w14:textId="77777777" w:rsidR="003E03CB" w:rsidRPr="00955A82" w:rsidRDefault="003E03CB" w:rsidP="003E03CB">
            <w:pPr>
              <w:jc w:val="right"/>
              <w:rPr>
                <w:rFonts w:eastAsia="Times New Roman" w:cs="Calibri"/>
                <w:color w:val="000000"/>
                <w:sz w:val="20"/>
                <w:szCs w:val="20"/>
                <w:lang w:val="en-GB" w:eastAsia="en-GB"/>
              </w:rPr>
            </w:pPr>
            <w:r w:rsidRPr="00955A82">
              <w:rPr>
                <w:rFonts w:eastAsia="Times New Roman" w:cs="Calibri"/>
                <w:color w:val="000000"/>
                <w:sz w:val="20"/>
                <w:szCs w:val="20"/>
                <w:lang w:val="en-GB" w:eastAsia="en-GB"/>
              </w:rPr>
              <w:t>0.3</w:t>
            </w:r>
          </w:p>
        </w:tc>
      </w:tr>
      <w:tr w:rsidR="003E03CB" w:rsidRPr="003E03CB" w14:paraId="43EE2F82" w14:textId="77777777" w:rsidTr="00955A82">
        <w:trPr>
          <w:trHeight w:val="265"/>
          <w:jc w:val="center"/>
        </w:trPr>
        <w:tc>
          <w:tcPr>
            <w:tcW w:w="1966" w:type="dxa"/>
            <w:tcBorders>
              <w:top w:val="nil"/>
              <w:left w:val="nil"/>
              <w:bottom w:val="single" w:sz="12" w:space="0" w:color="auto"/>
              <w:right w:val="nil"/>
            </w:tcBorders>
            <w:shd w:val="clear" w:color="auto" w:fill="auto"/>
            <w:noWrap/>
            <w:vAlign w:val="center"/>
            <w:hideMark/>
          </w:tcPr>
          <w:p w14:paraId="4287158C" w14:textId="77777777" w:rsidR="003E03CB" w:rsidRPr="00955A82" w:rsidRDefault="003E03CB" w:rsidP="003E03CB">
            <w:pPr>
              <w:jc w:val="right"/>
              <w:rPr>
                <w:rFonts w:eastAsia="Times New Roman" w:cs="Calibri"/>
                <w:b/>
                <w:color w:val="000000"/>
                <w:sz w:val="20"/>
                <w:szCs w:val="20"/>
                <w:lang w:val="en-GB" w:eastAsia="en-GB"/>
              </w:rPr>
            </w:pPr>
            <w:r w:rsidRPr="00955A82">
              <w:rPr>
                <w:rFonts w:eastAsia="Times New Roman" w:cs="Calibri"/>
                <w:b/>
                <w:color w:val="000000"/>
                <w:sz w:val="20"/>
                <w:szCs w:val="20"/>
                <w:lang w:val="en-GB" w:eastAsia="en-GB"/>
              </w:rPr>
              <w:t>49.7</w:t>
            </w:r>
          </w:p>
        </w:tc>
        <w:tc>
          <w:tcPr>
            <w:tcW w:w="414" w:type="dxa"/>
            <w:tcBorders>
              <w:top w:val="nil"/>
              <w:left w:val="nil"/>
              <w:bottom w:val="single" w:sz="12" w:space="0" w:color="auto"/>
              <w:right w:val="nil"/>
            </w:tcBorders>
            <w:shd w:val="clear" w:color="auto" w:fill="auto"/>
            <w:noWrap/>
            <w:vAlign w:val="center"/>
            <w:hideMark/>
          </w:tcPr>
          <w:p w14:paraId="53527B64" w14:textId="77777777" w:rsidR="003E03CB" w:rsidRPr="00955A82" w:rsidRDefault="003E03CB" w:rsidP="003E03CB">
            <w:pPr>
              <w:jc w:val="right"/>
              <w:rPr>
                <w:rFonts w:eastAsia="Times New Roman" w:cs="Calibri"/>
                <w:b/>
                <w:color w:val="000000"/>
                <w:sz w:val="20"/>
                <w:szCs w:val="20"/>
                <w:lang w:val="en-GB" w:eastAsia="en-GB"/>
              </w:rPr>
            </w:pPr>
            <w:r w:rsidRPr="00955A82">
              <w:rPr>
                <w:rFonts w:eastAsia="Times New Roman" w:cs="Calibri"/>
                <w:b/>
                <w:color w:val="000000"/>
                <w:sz w:val="20"/>
                <w:szCs w:val="20"/>
                <w:lang w:val="en-GB" w:eastAsia="en-GB"/>
              </w:rPr>
              <w:t> </w:t>
            </w:r>
          </w:p>
        </w:tc>
        <w:tc>
          <w:tcPr>
            <w:tcW w:w="5679" w:type="dxa"/>
            <w:tcBorders>
              <w:top w:val="nil"/>
              <w:left w:val="nil"/>
              <w:bottom w:val="single" w:sz="12" w:space="0" w:color="auto"/>
              <w:right w:val="nil"/>
            </w:tcBorders>
            <w:shd w:val="clear" w:color="auto" w:fill="auto"/>
            <w:noWrap/>
            <w:vAlign w:val="center"/>
            <w:hideMark/>
          </w:tcPr>
          <w:p w14:paraId="1E549BDF" w14:textId="77777777" w:rsidR="003E03CB" w:rsidRPr="00955A82" w:rsidRDefault="003E03CB" w:rsidP="003E03CB">
            <w:pPr>
              <w:rPr>
                <w:rFonts w:eastAsia="Times New Roman" w:cs="Calibri"/>
                <w:b/>
                <w:color w:val="000000"/>
                <w:sz w:val="20"/>
                <w:szCs w:val="20"/>
                <w:lang w:val="en-GB" w:eastAsia="en-GB"/>
              </w:rPr>
            </w:pPr>
            <w:r w:rsidRPr="00955A82">
              <w:rPr>
                <w:rFonts w:eastAsia="Times New Roman" w:cs="Calibri"/>
                <w:b/>
                <w:color w:val="000000"/>
                <w:sz w:val="20"/>
                <w:szCs w:val="20"/>
                <w:lang w:val="en-GB" w:eastAsia="en-GB"/>
              </w:rPr>
              <w:t>Total</w:t>
            </w:r>
          </w:p>
        </w:tc>
        <w:tc>
          <w:tcPr>
            <w:tcW w:w="1747" w:type="dxa"/>
            <w:tcBorders>
              <w:top w:val="nil"/>
              <w:left w:val="nil"/>
              <w:bottom w:val="single" w:sz="12" w:space="0" w:color="auto"/>
              <w:right w:val="nil"/>
            </w:tcBorders>
            <w:shd w:val="clear" w:color="auto" w:fill="auto"/>
            <w:noWrap/>
            <w:vAlign w:val="center"/>
            <w:hideMark/>
          </w:tcPr>
          <w:p w14:paraId="2EEC8D1C" w14:textId="77777777" w:rsidR="003E03CB" w:rsidRPr="00955A82" w:rsidRDefault="003E03CB" w:rsidP="003E03CB">
            <w:pPr>
              <w:jc w:val="right"/>
              <w:rPr>
                <w:rFonts w:eastAsia="Times New Roman" w:cs="Calibri"/>
                <w:b/>
                <w:color w:val="000000"/>
                <w:sz w:val="20"/>
                <w:szCs w:val="20"/>
                <w:lang w:val="en-GB" w:eastAsia="en-GB"/>
              </w:rPr>
            </w:pPr>
            <w:r w:rsidRPr="00955A82">
              <w:rPr>
                <w:rFonts w:eastAsia="Times New Roman" w:cs="Calibri"/>
                <w:b/>
                <w:color w:val="000000"/>
                <w:sz w:val="20"/>
                <w:szCs w:val="20"/>
                <w:lang w:val="en-GB" w:eastAsia="en-GB"/>
              </w:rPr>
              <w:t>59.1</w:t>
            </w:r>
          </w:p>
        </w:tc>
      </w:tr>
    </w:tbl>
    <w:p w14:paraId="22AA0278" w14:textId="77777777" w:rsidR="00CA6653" w:rsidRPr="003516A4" w:rsidRDefault="00CA6653" w:rsidP="003C2611">
      <w:pPr>
        <w:pStyle w:val="Normal0"/>
        <w:rPr>
          <w:rFonts w:ascii="Verdana" w:hAnsi="Verdana" w:cs="Times New Roman"/>
          <w:highlight w:val="yellow"/>
        </w:rPr>
      </w:pPr>
    </w:p>
    <w:p w14:paraId="6F2D683F" w14:textId="77777777" w:rsidR="00CA6653" w:rsidRPr="005C489E" w:rsidRDefault="00502D6C" w:rsidP="00A31A9E">
      <w:pPr>
        <w:pStyle w:val="Heading1"/>
      </w:pPr>
      <w:bookmarkStart w:id="37" w:name="_Toc75122790"/>
      <w:r w:rsidRPr="005C489E">
        <w:t>Note 22</w:t>
      </w:r>
      <w:r w:rsidR="00CA6653" w:rsidRPr="005C489E">
        <w:t xml:space="preserve"> - Lease</w:t>
      </w:r>
      <w:r w:rsidR="00827814" w:rsidRPr="005C489E">
        <w:t>s</w:t>
      </w:r>
      <w:bookmarkEnd w:id="37"/>
      <w:r w:rsidR="00CA6653" w:rsidRPr="005C489E">
        <w:t xml:space="preserve"> </w:t>
      </w:r>
    </w:p>
    <w:p w14:paraId="3C051905" w14:textId="77777777" w:rsidR="00AE5166" w:rsidRPr="003C2611" w:rsidRDefault="00AE5166" w:rsidP="00AE5166">
      <w:pPr>
        <w:pStyle w:val="Normal0"/>
        <w:spacing w:after="160"/>
        <w:jc w:val="both"/>
        <w:rPr>
          <w:rFonts w:ascii="Verdana" w:eastAsia="Calibri" w:hAnsi="Verdana" w:cs="Arial"/>
          <w:b/>
          <w:sz w:val="22"/>
          <w:szCs w:val="22"/>
        </w:rPr>
      </w:pPr>
      <w:r w:rsidRPr="003C2611">
        <w:rPr>
          <w:rFonts w:ascii="Verdana" w:eastAsia="Calibri" w:hAnsi="Verdana" w:cs="Arial"/>
          <w:b/>
          <w:sz w:val="22"/>
          <w:szCs w:val="22"/>
        </w:rPr>
        <w:t>The Group as a Lessee</w:t>
      </w:r>
    </w:p>
    <w:p w14:paraId="2A9DB075" w14:textId="77777777" w:rsidR="00CA6653" w:rsidRPr="005C489E" w:rsidRDefault="00CA6653" w:rsidP="00B57D1B">
      <w:pPr>
        <w:pStyle w:val="Normal0"/>
        <w:spacing w:after="160"/>
        <w:jc w:val="both"/>
        <w:rPr>
          <w:rFonts w:ascii="Verdana" w:eastAsia="Verdana" w:hAnsi="Verdana" w:cs="Verdana"/>
          <w:sz w:val="22"/>
          <w:szCs w:val="22"/>
          <w:lang w:val="en-GB"/>
        </w:rPr>
      </w:pPr>
      <w:r w:rsidRPr="005C489E">
        <w:rPr>
          <w:rFonts w:ascii="Verdana" w:eastAsia="Verdana" w:hAnsi="Verdana" w:cs="Verdana"/>
          <w:sz w:val="22"/>
          <w:szCs w:val="22"/>
          <w:lang w:val="en-GB"/>
        </w:rPr>
        <w:t>As at the 31 March 20</w:t>
      </w:r>
      <w:r w:rsidR="006B1B97" w:rsidRPr="005C489E">
        <w:rPr>
          <w:rFonts w:ascii="Verdana" w:eastAsia="Verdana" w:hAnsi="Verdana" w:cs="Verdana"/>
          <w:sz w:val="22"/>
          <w:szCs w:val="22"/>
          <w:lang w:val="en-GB"/>
        </w:rPr>
        <w:t>2</w:t>
      </w:r>
      <w:r w:rsidR="005C489E">
        <w:rPr>
          <w:rFonts w:ascii="Verdana" w:eastAsia="Verdana" w:hAnsi="Verdana" w:cs="Verdana"/>
          <w:sz w:val="22"/>
          <w:szCs w:val="22"/>
          <w:lang w:val="en-GB"/>
        </w:rPr>
        <w:t>1</w:t>
      </w:r>
      <w:r w:rsidRPr="005C489E">
        <w:rPr>
          <w:rFonts w:ascii="Verdana" w:eastAsia="Verdana" w:hAnsi="Verdana" w:cs="Verdana"/>
          <w:sz w:val="22"/>
          <w:szCs w:val="22"/>
          <w:lang w:val="en-GB"/>
        </w:rPr>
        <w:t xml:space="preserve"> the Group had the following future obligations in respect of operating leases:</w:t>
      </w:r>
    </w:p>
    <w:p w14:paraId="7E873199" w14:textId="77777777" w:rsidR="00CA6653" w:rsidRPr="003C2611" w:rsidRDefault="00CA6653" w:rsidP="00B57D1B">
      <w:pPr>
        <w:pStyle w:val="Normal0"/>
        <w:spacing w:after="160"/>
        <w:jc w:val="both"/>
        <w:rPr>
          <w:rFonts w:ascii="Verdana" w:eastAsia="Verdana" w:hAnsi="Verdana" w:cs="Verdana"/>
          <w:sz w:val="22"/>
          <w:szCs w:val="22"/>
          <w:lang w:val="en-GB"/>
        </w:rPr>
      </w:pPr>
      <w:r w:rsidRPr="003C2611">
        <w:rPr>
          <w:rFonts w:ascii="Verdana" w:eastAsia="Verdana" w:hAnsi="Verdana" w:cs="Verdana"/>
          <w:sz w:val="22"/>
          <w:szCs w:val="22"/>
          <w:lang w:val="en-GB"/>
        </w:rPr>
        <w:t>Vehicles, Plant, Furniture and Equipment</w:t>
      </w:r>
    </w:p>
    <w:p w14:paraId="2386A428" w14:textId="77777777" w:rsidR="00CA6653" w:rsidRPr="003516A4" w:rsidRDefault="005C489E" w:rsidP="00B57D1B">
      <w:pPr>
        <w:pStyle w:val="Normal0"/>
        <w:spacing w:after="160"/>
        <w:jc w:val="both"/>
        <w:rPr>
          <w:rFonts w:ascii="Verdana" w:eastAsia="Verdana" w:hAnsi="Verdana" w:cs="Verdana"/>
          <w:sz w:val="22"/>
          <w:szCs w:val="22"/>
          <w:highlight w:val="yellow"/>
          <w:lang w:val="en-GB"/>
        </w:rPr>
      </w:pPr>
      <w:r w:rsidRPr="005C489E">
        <w:rPr>
          <w:rFonts w:ascii="Verdana" w:eastAsia="Verdana" w:hAnsi="Verdana" w:cs="Verdana"/>
          <w:sz w:val="22"/>
          <w:szCs w:val="22"/>
          <w:lang w:val="en-GB"/>
        </w:rPr>
        <w:t>The Group entered into a new operating leases for this category during 2021/22. Payments due in 2021/22 total £0.45m (2020/21 £0.1m).</w:t>
      </w:r>
    </w:p>
    <w:p w14:paraId="7F5469D2" w14:textId="77777777" w:rsidR="00CA6653" w:rsidRPr="005C489E" w:rsidRDefault="00CA6653" w:rsidP="00B57D1B">
      <w:pPr>
        <w:pStyle w:val="Normal0"/>
        <w:spacing w:after="160"/>
        <w:jc w:val="both"/>
        <w:rPr>
          <w:rFonts w:ascii="Verdana" w:eastAsia="Verdana" w:hAnsi="Verdana" w:cs="Verdana"/>
          <w:sz w:val="22"/>
          <w:szCs w:val="22"/>
          <w:lang w:val="en-GB"/>
        </w:rPr>
      </w:pPr>
      <w:r w:rsidRPr="005C489E">
        <w:rPr>
          <w:rFonts w:ascii="Verdana" w:eastAsia="Verdana" w:hAnsi="Verdana" w:cs="Verdana"/>
          <w:sz w:val="22"/>
          <w:szCs w:val="22"/>
          <w:lang w:val="en-GB"/>
        </w:rPr>
        <w:t>Land and Buildings</w:t>
      </w:r>
    </w:p>
    <w:p w14:paraId="646C8E94" w14:textId="77777777" w:rsidR="005C489E" w:rsidRDefault="005C489E" w:rsidP="00B57D1B">
      <w:pPr>
        <w:pStyle w:val="Normal0"/>
        <w:spacing w:after="160"/>
        <w:jc w:val="both"/>
        <w:rPr>
          <w:rFonts w:ascii="Verdana" w:eastAsia="Verdana" w:hAnsi="Verdana" w:cs="Verdana"/>
          <w:sz w:val="22"/>
          <w:szCs w:val="22"/>
          <w:lang w:val="en-GB"/>
        </w:rPr>
      </w:pPr>
      <w:r w:rsidRPr="005C489E">
        <w:rPr>
          <w:rFonts w:ascii="Verdana" w:eastAsia="Verdana" w:hAnsi="Verdana" w:cs="Verdana"/>
          <w:sz w:val="22"/>
          <w:szCs w:val="22"/>
          <w:lang w:val="en-GB"/>
        </w:rPr>
        <w:t>The Group terminated one lease and renewed 3 leases for this category in 2020/21. For these and existing arrangements held under operating leases during 2020/21 rental payments were £1.13m (2019/20 £1.03m).</w:t>
      </w:r>
    </w:p>
    <w:p w14:paraId="1DA7EA90" w14:textId="05226158" w:rsidR="00CA6653" w:rsidRPr="005C489E" w:rsidRDefault="00CA6653" w:rsidP="00B57D1B">
      <w:pPr>
        <w:pStyle w:val="Normal0"/>
        <w:spacing w:after="160"/>
        <w:jc w:val="both"/>
        <w:rPr>
          <w:rFonts w:ascii="Verdana" w:eastAsia="Verdana" w:hAnsi="Verdana" w:cs="Verdana"/>
          <w:sz w:val="22"/>
          <w:szCs w:val="22"/>
          <w:lang w:val="en-GB"/>
        </w:rPr>
      </w:pPr>
      <w:r w:rsidRPr="005C489E">
        <w:rPr>
          <w:rFonts w:ascii="Verdana" w:eastAsia="Verdana" w:hAnsi="Verdana" w:cs="Verdana"/>
          <w:sz w:val="22"/>
          <w:szCs w:val="22"/>
          <w:lang w:val="en-GB"/>
        </w:rPr>
        <w:t>Commitments Under Operating Leases</w:t>
      </w:r>
    </w:p>
    <w:p w14:paraId="4DDE66B6" w14:textId="77777777" w:rsidR="00CA6653" w:rsidRPr="003516A4" w:rsidRDefault="005C489E" w:rsidP="00B57D1B">
      <w:pPr>
        <w:pStyle w:val="Normal0"/>
        <w:spacing w:after="160"/>
        <w:jc w:val="both"/>
        <w:rPr>
          <w:rFonts w:ascii="Verdana" w:eastAsia="Verdana" w:hAnsi="Verdana" w:cs="Verdana"/>
          <w:sz w:val="22"/>
          <w:szCs w:val="22"/>
          <w:highlight w:val="yellow"/>
          <w:lang w:val="en-GB"/>
        </w:rPr>
      </w:pPr>
      <w:r w:rsidRPr="005C489E">
        <w:rPr>
          <w:rFonts w:ascii="Verdana" w:eastAsia="Verdana" w:hAnsi="Verdana" w:cs="Verdana"/>
          <w:sz w:val="22"/>
          <w:szCs w:val="22"/>
          <w:lang w:val="en-GB"/>
        </w:rPr>
        <w:t>The Group was committed at 31 March 2021 to making payments of £1.09m under operating 18 operating leases in 2021/22, £4.04m payment commitment for 8 operating leases that will take place in the period from 2022/23 to 2025/26, and £5.7m payment commitment for 7 operating leases that will be taking place from 2026/27 to 2038/39, therefore the Group has future commitments of £10.8m for leasing premises for policing purposes:</w:t>
      </w:r>
    </w:p>
    <w:tbl>
      <w:tblPr>
        <w:tblW w:w="0" w:type="auto"/>
        <w:jc w:val="center"/>
        <w:tblLayout w:type="fixed"/>
        <w:tblLook w:val="04A0" w:firstRow="1" w:lastRow="0" w:firstColumn="1" w:lastColumn="0" w:noHBand="0" w:noVBand="1"/>
      </w:tblPr>
      <w:tblGrid>
        <w:gridCol w:w="2735"/>
        <w:gridCol w:w="461"/>
        <w:gridCol w:w="4457"/>
        <w:gridCol w:w="2737"/>
      </w:tblGrid>
      <w:tr w:rsidR="004D417B" w:rsidRPr="005C489E" w14:paraId="47B96AD0" w14:textId="77777777" w:rsidTr="000A3B1D">
        <w:trPr>
          <w:trHeight w:val="170"/>
          <w:jc w:val="center"/>
        </w:trPr>
        <w:tc>
          <w:tcPr>
            <w:tcW w:w="10390" w:type="dxa"/>
            <w:gridSpan w:val="4"/>
            <w:shd w:val="clear" w:color="auto" w:fill="auto"/>
            <w:tcMar>
              <w:top w:w="20" w:type="dxa"/>
              <w:left w:w="20" w:type="dxa"/>
              <w:bottom w:w="20" w:type="dxa"/>
              <w:right w:w="20" w:type="dxa"/>
            </w:tcMar>
            <w:vAlign w:val="bottom"/>
          </w:tcPr>
          <w:p w14:paraId="5BB84845" w14:textId="77777777" w:rsidR="00CA6653" w:rsidRPr="005C489E" w:rsidRDefault="00CA6653">
            <w:pPr>
              <w:pStyle w:val="T1TableStyle"/>
              <w:rPr>
                <w:rFonts w:ascii="Verdana" w:eastAsia="Verdana" w:hAnsi="Verdana" w:cs="Verdana"/>
                <w:b/>
                <w:color w:val="000000"/>
                <w:lang w:val="en-GB"/>
              </w:rPr>
            </w:pPr>
            <w:r w:rsidRPr="005C489E">
              <w:rPr>
                <w:rFonts w:ascii="Verdana" w:eastAsia="Verdana" w:hAnsi="Verdana" w:cs="Verdana"/>
                <w:b/>
                <w:color w:val="000000"/>
                <w:lang w:val="en-GB"/>
              </w:rPr>
              <w:t>Authority as Lessee - Operating Leases</w:t>
            </w:r>
          </w:p>
        </w:tc>
      </w:tr>
      <w:tr w:rsidR="004D417B" w:rsidRPr="005C489E" w14:paraId="4E661A6D" w14:textId="77777777" w:rsidTr="000A3B1D">
        <w:trPr>
          <w:trHeight w:hRule="exact" w:val="94"/>
          <w:jc w:val="center"/>
        </w:trPr>
        <w:tc>
          <w:tcPr>
            <w:tcW w:w="2735" w:type="dxa"/>
            <w:shd w:val="clear" w:color="auto" w:fill="auto"/>
            <w:tcMar>
              <w:top w:w="20" w:type="dxa"/>
              <w:left w:w="20" w:type="dxa"/>
              <w:bottom w:w="20" w:type="dxa"/>
              <w:right w:w="20" w:type="dxa"/>
            </w:tcMar>
            <w:vAlign w:val="bottom"/>
          </w:tcPr>
          <w:p w14:paraId="2F438F0C" w14:textId="77777777" w:rsidR="00CA6653" w:rsidRPr="005C489E" w:rsidRDefault="00CA6653">
            <w:pPr>
              <w:pStyle w:val="T1TableStyle"/>
              <w:rPr>
                <w:rFonts w:ascii="Verdana" w:eastAsia="Verdana" w:hAnsi="Verdana" w:cs="Verdana"/>
                <w:b/>
                <w:color w:val="000000"/>
                <w:sz w:val="2"/>
                <w:lang w:val="en-GB"/>
              </w:rPr>
            </w:pPr>
            <w:r w:rsidRPr="005C489E">
              <w:rPr>
                <w:rFonts w:ascii="Verdana" w:eastAsia="Verdana" w:hAnsi="Verdana" w:cs="Verdana"/>
                <w:b/>
                <w:color w:val="000000"/>
                <w:sz w:val="2"/>
                <w:lang w:val="en-GB"/>
              </w:rPr>
              <w:t xml:space="preserve"> </w:t>
            </w:r>
          </w:p>
        </w:tc>
        <w:tc>
          <w:tcPr>
            <w:tcW w:w="461" w:type="dxa"/>
            <w:shd w:val="clear" w:color="auto" w:fill="auto"/>
            <w:tcMar>
              <w:top w:w="20" w:type="dxa"/>
              <w:left w:w="20" w:type="dxa"/>
              <w:bottom w:w="20" w:type="dxa"/>
              <w:right w:w="20" w:type="dxa"/>
            </w:tcMar>
            <w:vAlign w:val="bottom"/>
          </w:tcPr>
          <w:p w14:paraId="4DD37EE6" w14:textId="77777777" w:rsidR="00CA6653" w:rsidRPr="005C489E" w:rsidRDefault="00CA6653">
            <w:pPr>
              <w:pStyle w:val="T1TableStyle"/>
              <w:rPr>
                <w:rFonts w:ascii="Verdana" w:eastAsia="Verdana" w:hAnsi="Verdana" w:cs="Verdana"/>
                <w:b/>
                <w:color w:val="000000"/>
                <w:sz w:val="2"/>
                <w:lang w:val="en-GB"/>
              </w:rPr>
            </w:pPr>
            <w:r w:rsidRPr="005C489E">
              <w:rPr>
                <w:rFonts w:ascii="Verdana" w:eastAsia="Verdana" w:hAnsi="Verdana" w:cs="Verdana"/>
                <w:b/>
                <w:color w:val="000000"/>
                <w:sz w:val="2"/>
                <w:lang w:val="en-GB"/>
              </w:rPr>
              <w:t xml:space="preserve"> </w:t>
            </w:r>
          </w:p>
        </w:tc>
        <w:tc>
          <w:tcPr>
            <w:tcW w:w="4457" w:type="dxa"/>
            <w:shd w:val="clear" w:color="auto" w:fill="auto"/>
            <w:tcMar>
              <w:top w:w="20" w:type="dxa"/>
              <w:left w:w="20" w:type="dxa"/>
              <w:bottom w:w="20" w:type="dxa"/>
              <w:right w:w="20" w:type="dxa"/>
            </w:tcMar>
            <w:vAlign w:val="bottom"/>
          </w:tcPr>
          <w:p w14:paraId="45B81898" w14:textId="77777777" w:rsidR="00CA6653" w:rsidRPr="005C489E" w:rsidRDefault="00CA6653">
            <w:pPr>
              <w:pStyle w:val="T1TableStyle"/>
              <w:rPr>
                <w:rFonts w:ascii="Verdana" w:eastAsia="Verdana" w:hAnsi="Verdana" w:cs="Verdana"/>
                <w:b/>
                <w:color w:val="000000"/>
                <w:sz w:val="2"/>
                <w:lang w:val="en-GB"/>
              </w:rPr>
            </w:pPr>
            <w:r w:rsidRPr="005C489E">
              <w:rPr>
                <w:rFonts w:ascii="Verdana" w:eastAsia="Verdana" w:hAnsi="Verdana" w:cs="Verdana"/>
                <w:b/>
                <w:color w:val="000000"/>
                <w:sz w:val="2"/>
                <w:lang w:val="en-GB"/>
              </w:rPr>
              <w:t xml:space="preserve"> </w:t>
            </w:r>
          </w:p>
        </w:tc>
        <w:tc>
          <w:tcPr>
            <w:tcW w:w="2737" w:type="dxa"/>
            <w:shd w:val="clear" w:color="auto" w:fill="auto"/>
            <w:tcMar>
              <w:top w:w="20" w:type="dxa"/>
              <w:left w:w="20" w:type="dxa"/>
              <w:bottom w:w="20" w:type="dxa"/>
              <w:right w:w="20" w:type="dxa"/>
            </w:tcMar>
            <w:vAlign w:val="bottom"/>
          </w:tcPr>
          <w:p w14:paraId="42944D4B" w14:textId="77777777" w:rsidR="00CA6653" w:rsidRPr="005C489E" w:rsidRDefault="00CA6653">
            <w:pPr>
              <w:pStyle w:val="T1TableStyle"/>
              <w:rPr>
                <w:rFonts w:ascii="Verdana" w:eastAsia="Verdana" w:hAnsi="Verdana" w:cs="Verdana"/>
                <w:b/>
                <w:color w:val="000000"/>
                <w:sz w:val="2"/>
                <w:lang w:val="en-GB"/>
              </w:rPr>
            </w:pPr>
            <w:r w:rsidRPr="005C489E">
              <w:rPr>
                <w:rFonts w:ascii="Verdana" w:eastAsia="Verdana" w:hAnsi="Verdana" w:cs="Verdana"/>
                <w:b/>
                <w:color w:val="000000"/>
                <w:sz w:val="2"/>
                <w:lang w:val="en-GB"/>
              </w:rPr>
              <w:t xml:space="preserve"> </w:t>
            </w:r>
          </w:p>
        </w:tc>
      </w:tr>
      <w:tr w:rsidR="004D417B" w:rsidRPr="005C489E" w14:paraId="1E368110" w14:textId="77777777" w:rsidTr="000A3B1D">
        <w:trPr>
          <w:trHeight w:val="54"/>
          <w:jc w:val="center"/>
        </w:trPr>
        <w:tc>
          <w:tcPr>
            <w:tcW w:w="10390" w:type="dxa"/>
            <w:gridSpan w:val="4"/>
            <w:shd w:val="clear" w:color="auto" w:fill="auto"/>
            <w:tcMar>
              <w:top w:w="20" w:type="dxa"/>
              <w:left w:w="20" w:type="dxa"/>
              <w:bottom w:w="20" w:type="dxa"/>
              <w:right w:w="20" w:type="dxa"/>
            </w:tcMar>
            <w:vAlign w:val="center"/>
          </w:tcPr>
          <w:p w14:paraId="3E109BD1" w14:textId="77777777" w:rsidR="00CA6653" w:rsidRPr="005C489E" w:rsidRDefault="00CA6653">
            <w:pPr>
              <w:pStyle w:val="T1TableStyle"/>
              <w:rPr>
                <w:rFonts w:ascii="Verdana" w:eastAsia="Verdana" w:hAnsi="Verdana" w:cs="Verdana"/>
                <w:b/>
                <w:color w:val="000000"/>
                <w:sz w:val="16"/>
                <w:lang w:val="en-GB"/>
              </w:rPr>
            </w:pPr>
            <w:r w:rsidRPr="005C489E">
              <w:rPr>
                <w:rFonts w:ascii="Verdana" w:eastAsia="Verdana" w:hAnsi="Verdana" w:cs="Verdana"/>
                <w:b/>
                <w:color w:val="000000"/>
                <w:sz w:val="16"/>
                <w:lang w:val="en-GB"/>
              </w:rPr>
              <w:t>The future minimum lease payments due under non-cancellable operating leases in future years are set out below:</w:t>
            </w:r>
          </w:p>
        </w:tc>
      </w:tr>
      <w:tr w:rsidR="004D417B" w:rsidRPr="005C489E" w14:paraId="4EB980AC" w14:textId="77777777" w:rsidTr="000A3B1D">
        <w:trPr>
          <w:trHeight w:val="170"/>
          <w:jc w:val="center"/>
        </w:trPr>
        <w:tc>
          <w:tcPr>
            <w:tcW w:w="2735" w:type="dxa"/>
            <w:shd w:val="clear" w:color="auto" w:fill="auto"/>
            <w:tcMar>
              <w:top w:w="20" w:type="dxa"/>
              <w:left w:w="20" w:type="dxa"/>
              <w:bottom w:w="20" w:type="dxa"/>
              <w:right w:w="20" w:type="dxa"/>
            </w:tcMar>
            <w:vAlign w:val="bottom"/>
          </w:tcPr>
          <w:p w14:paraId="2C01F803" w14:textId="77777777" w:rsidR="00CA6653" w:rsidRPr="005C489E" w:rsidRDefault="00CA6653" w:rsidP="008264F3">
            <w:pPr>
              <w:pStyle w:val="T1TableStyle"/>
              <w:jc w:val="center"/>
              <w:rPr>
                <w:rFonts w:ascii="Verdana" w:eastAsia="Verdana" w:hAnsi="Verdana" w:cs="Verdana"/>
                <w:b/>
                <w:color w:val="000000"/>
                <w:sz w:val="16"/>
                <w:lang w:val="en-GB"/>
              </w:rPr>
            </w:pPr>
            <w:r w:rsidRPr="005C489E">
              <w:rPr>
                <w:rFonts w:ascii="Verdana" w:eastAsia="Verdana" w:hAnsi="Verdana" w:cs="Verdana"/>
                <w:b/>
                <w:color w:val="000000"/>
                <w:sz w:val="16"/>
                <w:lang w:val="en-GB"/>
              </w:rPr>
              <w:t>31 March 20</w:t>
            </w:r>
            <w:r w:rsidR="008264F3" w:rsidRPr="005C489E">
              <w:rPr>
                <w:rFonts w:ascii="Verdana" w:eastAsia="Verdana" w:hAnsi="Verdana" w:cs="Verdana"/>
                <w:b/>
                <w:color w:val="000000"/>
                <w:sz w:val="16"/>
                <w:lang w:val="en-GB"/>
              </w:rPr>
              <w:t>20</w:t>
            </w:r>
          </w:p>
        </w:tc>
        <w:tc>
          <w:tcPr>
            <w:tcW w:w="461" w:type="dxa"/>
            <w:shd w:val="clear" w:color="auto" w:fill="auto"/>
            <w:tcMar>
              <w:top w:w="20" w:type="dxa"/>
              <w:left w:w="20" w:type="dxa"/>
              <w:bottom w:w="20" w:type="dxa"/>
              <w:right w:w="20" w:type="dxa"/>
            </w:tcMar>
            <w:vAlign w:val="bottom"/>
          </w:tcPr>
          <w:p w14:paraId="62946394" w14:textId="77777777" w:rsidR="00CA6653" w:rsidRPr="005C489E" w:rsidRDefault="00CA6653" w:rsidP="00BF4518">
            <w:pPr>
              <w:pStyle w:val="T1TableStyle"/>
              <w:jc w:val="center"/>
              <w:rPr>
                <w:rFonts w:ascii="Verdana" w:eastAsia="Verdana" w:hAnsi="Verdana" w:cs="Verdana"/>
                <w:b/>
                <w:color w:val="000000"/>
                <w:sz w:val="2"/>
                <w:lang w:val="en-GB"/>
              </w:rPr>
            </w:pPr>
          </w:p>
        </w:tc>
        <w:tc>
          <w:tcPr>
            <w:tcW w:w="4457" w:type="dxa"/>
            <w:shd w:val="clear" w:color="auto" w:fill="auto"/>
            <w:tcMar>
              <w:top w:w="20" w:type="dxa"/>
              <w:left w:w="20" w:type="dxa"/>
              <w:bottom w:w="20" w:type="dxa"/>
              <w:right w:w="20" w:type="dxa"/>
            </w:tcMar>
            <w:vAlign w:val="bottom"/>
          </w:tcPr>
          <w:p w14:paraId="71BD1275" w14:textId="77777777" w:rsidR="00CA6653" w:rsidRPr="005C489E" w:rsidRDefault="00CA6653" w:rsidP="00BF4518">
            <w:pPr>
              <w:pStyle w:val="T1TableStyle"/>
              <w:jc w:val="center"/>
              <w:rPr>
                <w:rFonts w:ascii="Verdana" w:eastAsia="Verdana" w:hAnsi="Verdana" w:cs="Verdana"/>
                <w:b/>
                <w:color w:val="000000"/>
                <w:sz w:val="2"/>
                <w:lang w:val="en-GB"/>
              </w:rPr>
            </w:pPr>
          </w:p>
        </w:tc>
        <w:tc>
          <w:tcPr>
            <w:tcW w:w="2737" w:type="dxa"/>
            <w:shd w:val="clear" w:color="auto" w:fill="auto"/>
            <w:tcMar>
              <w:top w:w="20" w:type="dxa"/>
              <w:left w:w="20" w:type="dxa"/>
              <w:bottom w:w="20" w:type="dxa"/>
              <w:right w:w="20" w:type="dxa"/>
            </w:tcMar>
            <w:vAlign w:val="bottom"/>
          </w:tcPr>
          <w:p w14:paraId="7D7A0FB5" w14:textId="77777777" w:rsidR="00CA6653" w:rsidRPr="005C489E" w:rsidRDefault="00CA6653" w:rsidP="008264F3">
            <w:pPr>
              <w:pStyle w:val="T1TableStyle"/>
              <w:jc w:val="center"/>
              <w:rPr>
                <w:rFonts w:ascii="Verdana" w:eastAsia="Verdana" w:hAnsi="Verdana" w:cs="Verdana"/>
                <w:b/>
                <w:color w:val="000000"/>
                <w:sz w:val="16"/>
                <w:lang w:val="en-GB"/>
              </w:rPr>
            </w:pPr>
            <w:r w:rsidRPr="005C489E">
              <w:rPr>
                <w:rFonts w:ascii="Verdana" w:eastAsia="Verdana" w:hAnsi="Verdana" w:cs="Verdana"/>
                <w:b/>
                <w:color w:val="000000"/>
                <w:sz w:val="16"/>
                <w:lang w:val="en-GB"/>
              </w:rPr>
              <w:t>31 March 202</w:t>
            </w:r>
            <w:r w:rsidR="008264F3" w:rsidRPr="005C489E">
              <w:rPr>
                <w:rFonts w:ascii="Verdana" w:eastAsia="Verdana" w:hAnsi="Verdana" w:cs="Verdana"/>
                <w:b/>
                <w:color w:val="000000"/>
                <w:sz w:val="16"/>
                <w:lang w:val="en-GB"/>
              </w:rPr>
              <w:t>1</w:t>
            </w:r>
          </w:p>
        </w:tc>
      </w:tr>
      <w:tr w:rsidR="004D417B" w:rsidRPr="005C489E" w14:paraId="23C6DFE4" w14:textId="77777777" w:rsidTr="000A3B1D">
        <w:trPr>
          <w:trHeight w:val="170"/>
          <w:jc w:val="center"/>
        </w:trPr>
        <w:tc>
          <w:tcPr>
            <w:tcW w:w="2735" w:type="dxa"/>
            <w:tcBorders>
              <w:bottom w:val="single" w:sz="2" w:space="0" w:color="000000"/>
            </w:tcBorders>
            <w:shd w:val="clear" w:color="auto" w:fill="auto"/>
            <w:tcMar>
              <w:top w:w="20" w:type="dxa"/>
              <w:left w:w="20" w:type="dxa"/>
              <w:bottom w:w="20" w:type="dxa"/>
              <w:right w:w="20" w:type="dxa"/>
            </w:tcMar>
          </w:tcPr>
          <w:p w14:paraId="3D8A324F" w14:textId="77777777" w:rsidR="00CA6653" w:rsidRPr="005C489E" w:rsidRDefault="00CA6653" w:rsidP="00BF4518">
            <w:pPr>
              <w:pStyle w:val="T1TableStyle"/>
              <w:jc w:val="center"/>
              <w:rPr>
                <w:rFonts w:ascii="Verdana" w:eastAsia="Verdana" w:hAnsi="Verdana" w:cs="Verdana"/>
                <w:b/>
                <w:color w:val="000000"/>
                <w:sz w:val="16"/>
                <w:lang w:val="en-GB"/>
              </w:rPr>
            </w:pPr>
            <w:r w:rsidRPr="005C489E">
              <w:rPr>
                <w:rFonts w:ascii="Verdana" w:eastAsia="Verdana" w:hAnsi="Verdana" w:cs="Verdana"/>
                <w:b/>
                <w:color w:val="000000"/>
                <w:sz w:val="16"/>
                <w:lang w:val="en-GB"/>
              </w:rPr>
              <w:t>£000</w:t>
            </w:r>
          </w:p>
        </w:tc>
        <w:tc>
          <w:tcPr>
            <w:tcW w:w="461" w:type="dxa"/>
            <w:tcBorders>
              <w:bottom w:val="single" w:sz="2" w:space="0" w:color="000000"/>
            </w:tcBorders>
            <w:shd w:val="clear" w:color="auto" w:fill="auto"/>
            <w:tcMar>
              <w:top w:w="20" w:type="dxa"/>
              <w:left w:w="20" w:type="dxa"/>
              <w:bottom w:w="20" w:type="dxa"/>
              <w:right w:w="20" w:type="dxa"/>
            </w:tcMar>
          </w:tcPr>
          <w:p w14:paraId="79B8C2C8" w14:textId="77777777" w:rsidR="00CA6653" w:rsidRPr="005C489E" w:rsidRDefault="00CA6653" w:rsidP="00BF4518">
            <w:pPr>
              <w:pStyle w:val="T1TableStyle"/>
              <w:jc w:val="center"/>
              <w:rPr>
                <w:rFonts w:ascii="Verdana" w:eastAsia="Verdana" w:hAnsi="Verdana" w:cs="Verdana"/>
                <w:b/>
                <w:color w:val="000000"/>
                <w:sz w:val="2"/>
                <w:lang w:val="en-GB"/>
              </w:rPr>
            </w:pPr>
          </w:p>
        </w:tc>
        <w:tc>
          <w:tcPr>
            <w:tcW w:w="4457" w:type="dxa"/>
            <w:tcBorders>
              <w:bottom w:val="single" w:sz="2" w:space="0" w:color="000000"/>
            </w:tcBorders>
            <w:shd w:val="clear" w:color="auto" w:fill="auto"/>
            <w:tcMar>
              <w:top w:w="20" w:type="dxa"/>
              <w:left w:w="20" w:type="dxa"/>
              <w:bottom w:w="20" w:type="dxa"/>
              <w:right w:w="20" w:type="dxa"/>
            </w:tcMar>
          </w:tcPr>
          <w:p w14:paraId="40157ACD" w14:textId="77777777" w:rsidR="00CA6653" w:rsidRPr="005C489E" w:rsidRDefault="00CA6653" w:rsidP="00BF4518">
            <w:pPr>
              <w:pStyle w:val="T1TableStyle"/>
              <w:jc w:val="center"/>
              <w:rPr>
                <w:rFonts w:ascii="Verdana" w:eastAsia="Verdana" w:hAnsi="Verdana" w:cs="Verdana"/>
                <w:b/>
                <w:color w:val="000000"/>
                <w:sz w:val="2"/>
                <w:lang w:val="en-GB"/>
              </w:rPr>
            </w:pPr>
          </w:p>
        </w:tc>
        <w:tc>
          <w:tcPr>
            <w:tcW w:w="2737" w:type="dxa"/>
            <w:tcBorders>
              <w:bottom w:val="single" w:sz="2" w:space="0" w:color="000000"/>
            </w:tcBorders>
            <w:shd w:val="clear" w:color="auto" w:fill="auto"/>
            <w:tcMar>
              <w:top w:w="20" w:type="dxa"/>
              <w:left w:w="20" w:type="dxa"/>
              <w:bottom w:w="20" w:type="dxa"/>
              <w:right w:w="20" w:type="dxa"/>
            </w:tcMar>
          </w:tcPr>
          <w:p w14:paraId="1314E5F7" w14:textId="77777777" w:rsidR="00CA6653" w:rsidRPr="005C489E" w:rsidRDefault="00CA6653" w:rsidP="00BF4518">
            <w:pPr>
              <w:pStyle w:val="T1TableStyle"/>
              <w:jc w:val="center"/>
              <w:rPr>
                <w:rFonts w:ascii="Verdana" w:eastAsia="Verdana" w:hAnsi="Verdana" w:cs="Verdana"/>
                <w:b/>
                <w:color w:val="000000"/>
                <w:sz w:val="16"/>
                <w:lang w:val="en-GB"/>
              </w:rPr>
            </w:pPr>
            <w:r w:rsidRPr="005C489E">
              <w:rPr>
                <w:rFonts w:ascii="Verdana" w:eastAsia="Verdana" w:hAnsi="Verdana" w:cs="Verdana"/>
                <w:b/>
                <w:color w:val="000000"/>
                <w:sz w:val="16"/>
                <w:lang w:val="en-GB"/>
              </w:rPr>
              <w:t>£000</w:t>
            </w:r>
          </w:p>
        </w:tc>
      </w:tr>
      <w:tr w:rsidR="004D417B" w:rsidRPr="005C489E" w14:paraId="73B6D774" w14:textId="77777777" w:rsidTr="000A3B1D">
        <w:trPr>
          <w:trHeight w:hRule="exact" w:val="94"/>
          <w:jc w:val="center"/>
        </w:trPr>
        <w:tc>
          <w:tcPr>
            <w:tcW w:w="2735" w:type="dxa"/>
            <w:shd w:val="clear" w:color="auto" w:fill="auto"/>
            <w:tcMar>
              <w:top w:w="20" w:type="dxa"/>
              <w:left w:w="20" w:type="dxa"/>
              <w:bottom w:w="20" w:type="dxa"/>
              <w:right w:w="20" w:type="dxa"/>
            </w:tcMar>
          </w:tcPr>
          <w:p w14:paraId="1F87F949" w14:textId="77777777" w:rsidR="00CA6653" w:rsidRPr="005C489E" w:rsidRDefault="00CA6653" w:rsidP="00BF4518">
            <w:pPr>
              <w:pStyle w:val="T1TableStyle"/>
              <w:jc w:val="center"/>
              <w:rPr>
                <w:rFonts w:ascii="Verdana" w:eastAsia="Verdana" w:hAnsi="Verdana" w:cs="Verdana"/>
                <w:b/>
                <w:color w:val="000000"/>
                <w:sz w:val="2"/>
                <w:lang w:val="en-GB"/>
              </w:rPr>
            </w:pPr>
          </w:p>
        </w:tc>
        <w:tc>
          <w:tcPr>
            <w:tcW w:w="461" w:type="dxa"/>
            <w:shd w:val="clear" w:color="auto" w:fill="auto"/>
            <w:tcMar>
              <w:top w:w="20" w:type="dxa"/>
              <w:left w:w="20" w:type="dxa"/>
              <w:bottom w:w="20" w:type="dxa"/>
              <w:right w:w="20" w:type="dxa"/>
            </w:tcMar>
          </w:tcPr>
          <w:p w14:paraId="3E7315A0" w14:textId="77777777" w:rsidR="00CA6653" w:rsidRPr="005C489E" w:rsidRDefault="00CA6653" w:rsidP="00BF4518">
            <w:pPr>
              <w:pStyle w:val="T1TableStyle"/>
              <w:jc w:val="center"/>
              <w:rPr>
                <w:rFonts w:ascii="Verdana" w:eastAsia="Verdana" w:hAnsi="Verdana" w:cs="Verdana"/>
                <w:b/>
                <w:color w:val="000000"/>
                <w:sz w:val="2"/>
                <w:lang w:val="en-GB"/>
              </w:rPr>
            </w:pPr>
          </w:p>
        </w:tc>
        <w:tc>
          <w:tcPr>
            <w:tcW w:w="4457" w:type="dxa"/>
            <w:shd w:val="clear" w:color="auto" w:fill="auto"/>
            <w:tcMar>
              <w:top w:w="20" w:type="dxa"/>
              <w:left w:w="20" w:type="dxa"/>
              <w:bottom w:w="20" w:type="dxa"/>
              <w:right w:w="20" w:type="dxa"/>
            </w:tcMar>
          </w:tcPr>
          <w:p w14:paraId="60116620" w14:textId="77777777" w:rsidR="00CA6653" w:rsidRPr="005C489E" w:rsidRDefault="00CA6653" w:rsidP="00BF4518">
            <w:pPr>
              <w:pStyle w:val="T1TableStyle"/>
              <w:jc w:val="center"/>
              <w:rPr>
                <w:rFonts w:ascii="Verdana" w:eastAsia="Verdana" w:hAnsi="Verdana" w:cs="Verdana"/>
                <w:b/>
                <w:color w:val="000000"/>
                <w:sz w:val="2"/>
                <w:lang w:val="en-GB"/>
              </w:rPr>
            </w:pPr>
          </w:p>
        </w:tc>
        <w:tc>
          <w:tcPr>
            <w:tcW w:w="2737" w:type="dxa"/>
            <w:shd w:val="clear" w:color="auto" w:fill="auto"/>
            <w:tcMar>
              <w:top w:w="20" w:type="dxa"/>
              <w:left w:w="20" w:type="dxa"/>
              <w:bottom w:w="20" w:type="dxa"/>
              <w:right w:w="20" w:type="dxa"/>
            </w:tcMar>
          </w:tcPr>
          <w:p w14:paraId="1687D303" w14:textId="77777777" w:rsidR="00CA6653" w:rsidRPr="005C489E" w:rsidRDefault="00CA6653" w:rsidP="00BF4518">
            <w:pPr>
              <w:pStyle w:val="T1TableStyle"/>
              <w:jc w:val="center"/>
              <w:rPr>
                <w:rFonts w:ascii="Verdana" w:eastAsia="Verdana" w:hAnsi="Verdana" w:cs="Verdana"/>
                <w:b/>
                <w:color w:val="000000"/>
                <w:sz w:val="2"/>
                <w:lang w:val="en-GB"/>
              </w:rPr>
            </w:pPr>
          </w:p>
        </w:tc>
      </w:tr>
      <w:tr w:rsidR="008264F3" w:rsidRPr="005C489E" w14:paraId="216FE04D" w14:textId="77777777" w:rsidTr="000A3B1D">
        <w:trPr>
          <w:trHeight w:val="170"/>
          <w:jc w:val="center"/>
        </w:trPr>
        <w:tc>
          <w:tcPr>
            <w:tcW w:w="2735" w:type="dxa"/>
            <w:shd w:val="clear" w:color="auto" w:fill="auto"/>
            <w:tcMar>
              <w:top w:w="20" w:type="dxa"/>
              <w:left w:w="20" w:type="dxa"/>
              <w:bottom w:w="20" w:type="dxa"/>
              <w:right w:w="20" w:type="dxa"/>
            </w:tcMar>
          </w:tcPr>
          <w:p w14:paraId="48747447" w14:textId="77777777" w:rsidR="008264F3" w:rsidRPr="005C489E" w:rsidRDefault="008264F3" w:rsidP="008264F3">
            <w:pPr>
              <w:pStyle w:val="T1TableStyle"/>
              <w:jc w:val="right"/>
              <w:rPr>
                <w:rFonts w:ascii="Verdana" w:eastAsia="Verdana" w:hAnsi="Verdana" w:cs="Verdana"/>
                <w:color w:val="000000"/>
                <w:sz w:val="16"/>
                <w:lang w:val="en-GB"/>
              </w:rPr>
            </w:pPr>
            <w:r w:rsidRPr="005C489E">
              <w:rPr>
                <w:rFonts w:ascii="Verdana" w:eastAsia="Verdana" w:hAnsi="Verdana" w:cs="Verdana"/>
                <w:color w:val="000000"/>
                <w:sz w:val="16"/>
                <w:lang w:val="en-GB"/>
              </w:rPr>
              <w:t>1,211</w:t>
            </w:r>
          </w:p>
        </w:tc>
        <w:tc>
          <w:tcPr>
            <w:tcW w:w="461" w:type="dxa"/>
            <w:shd w:val="clear" w:color="auto" w:fill="auto"/>
            <w:tcMar>
              <w:top w:w="20" w:type="dxa"/>
              <w:left w:w="20" w:type="dxa"/>
              <w:bottom w:w="20" w:type="dxa"/>
              <w:right w:w="20" w:type="dxa"/>
            </w:tcMar>
          </w:tcPr>
          <w:p w14:paraId="369D9A71" w14:textId="77777777" w:rsidR="008264F3" w:rsidRPr="005C489E" w:rsidRDefault="008264F3" w:rsidP="008264F3">
            <w:pPr>
              <w:pStyle w:val="T1TableStyle"/>
              <w:jc w:val="center"/>
              <w:rPr>
                <w:rFonts w:ascii="Verdana" w:eastAsia="Verdana" w:hAnsi="Verdana" w:cs="Verdana"/>
                <w:color w:val="000000"/>
                <w:sz w:val="2"/>
                <w:lang w:val="en-GB"/>
              </w:rPr>
            </w:pPr>
          </w:p>
        </w:tc>
        <w:tc>
          <w:tcPr>
            <w:tcW w:w="4457" w:type="dxa"/>
            <w:shd w:val="clear" w:color="auto" w:fill="auto"/>
            <w:tcMar>
              <w:top w:w="20" w:type="dxa"/>
              <w:left w:w="20" w:type="dxa"/>
              <w:bottom w:w="20" w:type="dxa"/>
              <w:right w:w="20" w:type="dxa"/>
            </w:tcMar>
          </w:tcPr>
          <w:p w14:paraId="573AA1F0" w14:textId="77777777" w:rsidR="008264F3" w:rsidRPr="005C489E" w:rsidRDefault="008264F3" w:rsidP="008264F3">
            <w:pPr>
              <w:pStyle w:val="T1TableStyle"/>
              <w:jc w:val="center"/>
              <w:rPr>
                <w:rFonts w:ascii="Verdana" w:eastAsia="Verdana" w:hAnsi="Verdana" w:cs="Verdana"/>
                <w:color w:val="000000"/>
                <w:sz w:val="16"/>
                <w:lang w:val="en-GB"/>
              </w:rPr>
            </w:pPr>
            <w:r w:rsidRPr="005C489E">
              <w:rPr>
                <w:rFonts w:ascii="Verdana" w:eastAsia="Verdana" w:hAnsi="Verdana" w:cs="Verdana"/>
                <w:color w:val="000000"/>
                <w:sz w:val="16"/>
                <w:lang w:val="en-GB"/>
              </w:rPr>
              <w:t>Not later than one year</w:t>
            </w:r>
          </w:p>
        </w:tc>
        <w:tc>
          <w:tcPr>
            <w:tcW w:w="2737" w:type="dxa"/>
            <w:shd w:val="clear" w:color="auto" w:fill="auto"/>
            <w:tcMar>
              <w:top w:w="20" w:type="dxa"/>
              <w:left w:w="20" w:type="dxa"/>
              <w:bottom w:w="20" w:type="dxa"/>
              <w:right w:w="20" w:type="dxa"/>
            </w:tcMar>
          </w:tcPr>
          <w:p w14:paraId="7F635990" w14:textId="77777777" w:rsidR="008264F3" w:rsidRPr="005C489E" w:rsidRDefault="005C489E" w:rsidP="008264F3">
            <w:pPr>
              <w:pStyle w:val="T1TableStyle"/>
              <w:jc w:val="right"/>
              <w:rPr>
                <w:rFonts w:ascii="Verdana" w:eastAsia="Verdana" w:hAnsi="Verdana" w:cs="Verdana"/>
                <w:color w:val="000000"/>
                <w:sz w:val="16"/>
                <w:lang w:val="en-GB"/>
              </w:rPr>
            </w:pPr>
            <w:r w:rsidRPr="005C489E">
              <w:rPr>
                <w:rFonts w:ascii="Verdana" w:eastAsia="Verdana" w:hAnsi="Verdana" w:cs="Verdana"/>
                <w:color w:val="000000"/>
                <w:sz w:val="16"/>
                <w:lang w:val="en-GB"/>
              </w:rPr>
              <w:t>1,544</w:t>
            </w:r>
          </w:p>
        </w:tc>
      </w:tr>
      <w:tr w:rsidR="008264F3" w:rsidRPr="005C489E" w14:paraId="7409EEB6" w14:textId="77777777" w:rsidTr="000A3B1D">
        <w:trPr>
          <w:trHeight w:val="54"/>
          <w:jc w:val="center"/>
        </w:trPr>
        <w:tc>
          <w:tcPr>
            <w:tcW w:w="2735" w:type="dxa"/>
            <w:shd w:val="clear" w:color="auto" w:fill="auto"/>
            <w:tcMar>
              <w:top w:w="20" w:type="dxa"/>
              <w:left w:w="20" w:type="dxa"/>
              <w:bottom w:w="20" w:type="dxa"/>
              <w:right w:w="20" w:type="dxa"/>
            </w:tcMar>
          </w:tcPr>
          <w:p w14:paraId="5BFCAE88" w14:textId="77777777" w:rsidR="008264F3" w:rsidRPr="005C489E" w:rsidRDefault="008264F3" w:rsidP="008264F3">
            <w:pPr>
              <w:pStyle w:val="T1TableStyle"/>
              <w:jc w:val="right"/>
              <w:rPr>
                <w:rFonts w:ascii="Verdana" w:eastAsia="Verdana" w:hAnsi="Verdana" w:cs="Verdana"/>
                <w:color w:val="000000"/>
                <w:sz w:val="16"/>
                <w:lang w:val="en-GB"/>
              </w:rPr>
            </w:pPr>
            <w:r w:rsidRPr="005C489E">
              <w:rPr>
                <w:rFonts w:ascii="Verdana" w:eastAsia="Verdana" w:hAnsi="Verdana" w:cs="Verdana"/>
                <w:color w:val="000000"/>
                <w:sz w:val="16"/>
                <w:lang w:val="en-GB"/>
              </w:rPr>
              <w:t>4,436</w:t>
            </w:r>
          </w:p>
        </w:tc>
        <w:tc>
          <w:tcPr>
            <w:tcW w:w="461" w:type="dxa"/>
            <w:shd w:val="clear" w:color="auto" w:fill="auto"/>
            <w:tcMar>
              <w:top w:w="20" w:type="dxa"/>
              <w:left w:w="20" w:type="dxa"/>
              <w:bottom w:w="20" w:type="dxa"/>
              <w:right w:w="20" w:type="dxa"/>
            </w:tcMar>
          </w:tcPr>
          <w:p w14:paraId="07C078F7" w14:textId="77777777" w:rsidR="008264F3" w:rsidRPr="005C489E" w:rsidRDefault="008264F3" w:rsidP="008264F3">
            <w:pPr>
              <w:pStyle w:val="T1TableStyle"/>
              <w:jc w:val="center"/>
              <w:rPr>
                <w:rFonts w:ascii="Verdana" w:eastAsia="Verdana" w:hAnsi="Verdana" w:cs="Verdana"/>
                <w:color w:val="000000"/>
                <w:sz w:val="2"/>
                <w:lang w:val="en-GB"/>
              </w:rPr>
            </w:pPr>
          </w:p>
        </w:tc>
        <w:tc>
          <w:tcPr>
            <w:tcW w:w="4457" w:type="dxa"/>
            <w:shd w:val="clear" w:color="auto" w:fill="auto"/>
            <w:tcMar>
              <w:top w:w="20" w:type="dxa"/>
              <w:left w:w="20" w:type="dxa"/>
              <w:bottom w:w="20" w:type="dxa"/>
              <w:right w:w="20" w:type="dxa"/>
            </w:tcMar>
          </w:tcPr>
          <w:p w14:paraId="7DED623C" w14:textId="77777777" w:rsidR="008264F3" w:rsidRPr="005C489E" w:rsidRDefault="008264F3" w:rsidP="008264F3">
            <w:pPr>
              <w:pStyle w:val="T1TableStyle"/>
              <w:jc w:val="center"/>
              <w:rPr>
                <w:rFonts w:ascii="Verdana" w:eastAsia="Verdana" w:hAnsi="Verdana" w:cs="Verdana"/>
                <w:color w:val="000000"/>
                <w:sz w:val="16"/>
                <w:lang w:val="en-GB"/>
              </w:rPr>
            </w:pPr>
            <w:r w:rsidRPr="005C489E">
              <w:rPr>
                <w:rFonts w:ascii="Verdana" w:eastAsia="Verdana" w:hAnsi="Verdana" w:cs="Verdana"/>
                <w:color w:val="000000"/>
                <w:sz w:val="16"/>
                <w:lang w:val="en-GB"/>
              </w:rPr>
              <w:t>Later than one year and not later than five years</w:t>
            </w:r>
          </w:p>
        </w:tc>
        <w:tc>
          <w:tcPr>
            <w:tcW w:w="2737" w:type="dxa"/>
            <w:shd w:val="clear" w:color="auto" w:fill="auto"/>
            <w:tcMar>
              <w:top w:w="20" w:type="dxa"/>
              <w:left w:w="20" w:type="dxa"/>
              <w:bottom w:w="20" w:type="dxa"/>
              <w:right w:w="20" w:type="dxa"/>
            </w:tcMar>
          </w:tcPr>
          <w:p w14:paraId="16DE9514" w14:textId="77777777" w:rsidR="008264F3" w:rsidRPr="005C489E" w:rsidRDefault="005C489E" w:rsidP="008264F3">
            <w:pPr>
              <w:pStyle w:val="T1TableStyle"/>
              <w:jc w:val="right"/>
              <w:rPr>
                <w:rFonts w:ascii="Verdana" w:eastAsia="Verdana" w:hAnsi="Verdana" w:cs="Verdana"/>
                <w:color w:val="000000"/>
                <w:sz w:val="16"/>
                <w:lang w:val="en-GB"/>
              </w:rPr>
            </w:pPr>
            <w:r w:rsidRPr="005C489E">
              <w:rPr>
                <w:rFonts w:ascii="Verdana" w:eastAsia="Verdana" w:hAnsi="Verdana" w:cs="Verdana"/>
                <w:color w:val="000000"/>
                <w:sz w:val="16"/>
                <w:lang w:val="en-GB"/>
              </w:rPr>
              <w:t>5,146</w:t>
            </w:r>
          </w:p>
        </w:tc>
      </w:tr>
      <w:tr w:rsidR="008264F3" w:rsidRPr="005C489E" w14:paraId="0184FA5F" w14:textId="77777777" w:rsidTr="000A3B1D">
        <w:trPr>
          <w:trHeight w:val="54"/>
          <w:jc w:val="center"/>
        </w:trPr>
        <w:tc>
          <w:tcPr>
            <w:tcW w:w="2735" w:type="dxa"/>
            <w:shd w:val="clear" w:color="auto" w:fill="auto"/>
            <w:tcMar>
              <w:top w:w="20" w:type="dxa"/>
              <w:left w:w="20" w:type="dxa"/>
              <w:bottom w:w="20" w:type="dxa"/>
              <w:right w:w="20" w:type="dxa"/>
            </w:tcMar>
          </w:tcPr>
          <w:p w14:paraId="3C17C323" w14:textId="77777777" w:rsidR="008264F3" w:rsidRPr="005C489E" w:rsidRDefault="008264F3" w:rsidP="008264F3">
            <w:pPr>
              <w:pStyle w:val="T1TableStyle"/>
              <w:jc w:val="right"/>
              <w:rPr>
                <w:rFonts w:ascii="Verdana" w:eastAsia="Verdana" w:hAnsi="Verdana" w:cs="Verdana"/>
                <w:color w:val="000000"/>
                <w:sz w:val="16"/>
                <w:lang w:val="en-GB"/>
              </w:rPr>
            </w:pPr>
            <w:r w:rsidRPr="005C489E">
              <w:rPr>
                <w:rFonts w:ascii="Verdana" w:eastAsia="Verdana" w:hAnsi="Verdana" w:cs="Verdana"/>
                <w:color w:val="000000"/>
                <w:sz w:val="16"/>
                <w:lang w:val="en-GB"/>
              </w:rPr>
              <w:t>6,625</w:t>
            </w:r>
          </w:p>
        </w:tc>
        <w:tc>
          <w:tcPr>
            <w:tcW w:w="461" w:type="dxa"/>
            <w:shd w:val="clear" w:color="auto" w:fill="auto"/>
            <w:tcMar>
              <w:top w:w="20" w:type="dxa"/>
              <w:left w:w="20" w:type="dxa"/>
              <w:bottom w:w="20" w:type="dxa"/>
              <w:right w:w="20" w:type="dxa"/>
            </w:tcMar>
          </w:tcPr>
          <w:p w14:paraId="76A5FBD7" w14:textId="77777777" w:rsidR="008264F3" w:rsidRPr="005C489E" w:rsidRDefault="008264F3" w:rsidP="008264F3">
            <w:pPr>
              <w:pStyle w:val="T1TableStyle"/>
              <w:jc w:val="center"/>
              <w:rPr>
                <w:rFonts w:ascii="Verdana" w:eastAsia="Verdana" w:hAnsi="Verdana" w:cs="Verdana"/>
                <w:color w:val="000000"/>
                <w:sz w:val="2"/>
                <w:lang w:val="en-GB"/>
              </w:rPr>
            </w:pPr>
          </w:p>
        </w:tc>
        <w:tc>
          <w:tcPr>
            <w:tcW w:w="4457" w:type="dxa"/>
            <w:shd w:val="clear" w:color="auto" w:fill="auto"/>
            <w:tcMar>
              <w:top w:w="20" w:type="dxa"/>
              <w:left w:w="20" w:type="dxa"/>
              <w:bottom w:w="20" w:type="dxa"/>
              <w:right w:w="20" w:type="dxa"/>
            </w:tcMar>
          </w:tcPr>
          <w:p w14:paraId="58BB570C" w14:textId="77777777" w:rsidR="008264F3" w:rsidRPr="005C489E" w:rsidRDefault="008264F3" w:rsidP="008264F3">
            <w:pPr>
              <w:pStyle w:val="T1TableStyle"/>
              <w:jc w:val="center"/>
              <w:rPr>
                <w:rFonts w:ascii="Verdana" w:eastAsia="Verdana" w:hAnsi="Verdana" w:cs="Verdana"/>
                <w:color w:val="000000"/>
                <w:sz w:val="16"/>
                <w:lang w:val="en-GB"/>
              </w:rPr>
            </w:pPr>
            <w:r w:rsidRPr="005C489E">
              <w:rPr>
                <w:rFonts w:ascii="Verdana" w:eastAsia="Verdana" w:hAnsi="Verdana" w:cs="Verdana"/>
                <w:color w:val="000000"/>
                <w:sz w:val="16"/>
                <w:lang w:val="en-GB"/>
              </w:rPr>
              <w:t>Later than five years</w:t>
            </w:r>
          </w:p>
        </w:tc>
        <w:tc>
          <w:tcPr>
            <w:tcW w:w="2737" w:type="dxa"/>
            <w:shd w:val="clear" w:color="auto" w:fill="auto"/>
            <w:tcMar>
              <w:top w:w="20" w:type="dxa"/>
              <w:left w:w="20" w:type="dxa"/>
              <w:bottom w:w="20" w:type="dxa"/>
              <w:right w:w="20" w:type="dxa"/>
            </w:tcMar>
          </w:tcPr>
          <w:p w14:paraId="26074F96" w14:textId="77777777" w:rsidR="008264F3" w:rsidRPr="005C489E" w:rsidRDefault="005C489E" w:rsidP="008264F3">
            <w:pPr>
              <w:pStyle w:val="T1TableStyle"/>
              <w:jc w:val="right"/>
              <w:rPr>
                <w:rFonts w:ascii="Verdana" w:eastAsia="Verdana" w:hAnsi="Verdana" w:cs="Verdana"/>
                <w:color w:val="000000"/>
                <w:sz w:val="16"/>
                <w:lang w:val="en-GB"/>
              </w:rPr>
            </w:pPr>
            <w:r w:rsidRPr="005C489E">
              <w:rPr>
                <w:rFonts w:ascii="Verdana" w:eastAsia="Verdana" w:hAnsi="Verdana" w:cs="Verdana"/>
                <w:color w:val="000000"/>
                <w:sz w:val="16"/>
                <w:lang w:val="en-GB"/>
              </w:rPr>
              <w:t>5,793</w:t>
            </w:r>
          </w:p>
        </w:tc>
      </w:tr>
      <w:tr w:rsidR="008264F3" w:rsidRPr="003516A4" w14:paraId="02A63D28" w14:textId="77777777" w:rsidTr="000A3B1D">
        <w:trPr>
          <w:trHeight w:val="178"/>
          <w:jc w:val="center"/>
        </w:trPr>
        <w:tc>
          <w:tcPr>
            <w:tcW w:w="2735" w:type="dxa"/>
            <w:tcBorders>
              <w:top w:val="single" w:sz="2" w:space="0" w:color="000000"/>
              <w:bottom w:val="single" w:sz="12" w:space="0" w:color="000000"/>
            </w:tcBorders>
            <w:shd w:val="clear" w:color="auto" w:fill="auto"/>
            <w:tcMar>
              <w:top w:w="20" w:type="dxa"/>
              <w:left w:w="20" w:type="dxa"/>
              <w:bottom w:w="20" w:type="dxa"/>
              <w:right w:w="20" w:type="dxa"/>
            </w:tcMar>
          </w:tcPr>
          <w:p w14:paraId="6585CFEC" w14:textId="77777777" w:rsidR="008264F3" w:rsidRPr="005C489E" w:rsidRDefault="008264F3" w:rsidP="008264F3">
            <w:pPr>
              <w:pStyle w:val="T1TableStyle"/>
              <w:jc w:val="right"/>
              <w:rPr>
                <w:rFonts w:ascii="Verdana" w:eastAsia="Verdana" w:hAnsi="Verdana" w:cs="Verdana"/>
                <w:b/>
                <w:color w:val="000000"/>
                <w:sz w:val="16"/>
                <w:lang w:val="en-GB"/>
              </w:rPr>
            </w:pPr>
            <w:r w:rsidRPr="005C489E">
              <w:rPr>
                <w:rFonts w:ascii="Verdana" w:eastAsia="Verdana" w:hAnsi="Verdana" w:cs="Verdana"/>
                <w:b/>
                <w:color w:val="000000"/>
                <w:sz w:val="16"/>
                <w:lang w:val="en-GB"/>
              </w:rPr>
              <w:t>12,272</w:t>
            </w:r>
          </w:p>
        </w:tc>
        <w:tc>
          <w:tcPr>
            <w:tcW w:w="461" w:type="dxa"/>
            <w:tcBorders>
              <w:top w:val="single" w:sz="2" w:space="0" w:color="000000"/>
              <w:bottom w:val="single" w:sz="12" w:space="0" w:color="000000"/>
            </w:tcBorders>
            <w:shd w:val="clear" w:color="auto" w:fill="auto"/>
            <w:tcMar>
              <w:top w:w="20" w:type="dxa"/>
              <w:left w:w="20" w:type="dxa"/>
              <w:bottom w:w="20" w:type="dxa"/>
              <w:right w:w="20" w:type="dxa"/>
            </w:tcMar>
          </w:tcPr>
          <w:p w14:paraId="59868087" w14:textId="77777777" w:rsidR="008264F3" w:rsidRPr="005C489E" w:rsidRDefault="008264F3" w:rsidP="008264F3">
            <w:pPr>
              <w:pStyle w:val="T1TableStyle"/>
              <w:jc w:val="center"/>
              <w:rPr>
                <w:rFonts w:ascii="Verdana" w:eastAsia="Verdana" w:hAnsi="Verdana" w:cs="Verdana"/>
                <w:b/>
                <w:color w:val="000000"/>
                <w:sz w:val="2"/>
                <w:lang w:val="en-GB"/>
              </w:rPr>
            </w:pPr>
          </w:p>
        </w:tc>
        <w:tc>
          <w:tcPr>
            <w:tcW w:w="4457" w:type="dxa"/>
            <w:tcBorders>
              <w:top w:val="single" w:sz="2" w:space="0" w:color="000000"/>
              <w:bottom w:val="single" w:sz="12" w:space="0" w:color="000000"/>
            </w:tcBorders>
            <w:shd w:val="clear" w:color="auto" w:fill="auto"/>
            <w:tcMar>
              <w:top w:w="20" w:type="dxa"/>
              <w:left w:w="20" w:type="dxa"/>
              <w:bottom w:w="20" w:type="dxa"/>
              <w:right w:w="20" w:type="dxa"/>
            </w:tcMar>
          </w:tcPr>
          <w:p w14:paraId="17FDA0A6" w14:textId="77777777" w:rsidR="008264F3" w:rsidRPr="005C489E" w:rsidRDefault="008264F3" w:rsidP="008264F3">
            <w:pPr>
              <w:pStyle w:val="T1TableStyle"/>
              <w:jc w:val="center"/>
              <w:rPr>
                <w:rFonts w:ascii="Verdana" w:eastAsia="Verdana" w:hAnsi="Verdana" w:cs="Verdana"/>
                <w:b/>
                <w:color w:val="000000"/>
                <w:sz w:val="16"/>
                <w:lang w:val="en-GB"/>
              </w:rPr>
            </w:pPr>
            <w:r w:rsidRPr="005C489E">
              <w:rPr>
                <w:rFonts w:ascii="Verdana" w:eastAsia="Verdana" w:hAnsi="Verdana" w:cs="Verdana"/>
                <w:b/>
                <w:color w:val="000000"/>
                <w:sz w:val="16"/>
                <w:lang w:val="en-GB"/>
              </w:rPr>
              <w:t>Total</w:t>
            </w:r>
          </w:p>
        </w:tc>
        <w:tc>
          <w:tcPr>
            <w:tcW w:w="2737" w:type="dxa"/>
            <w:tcBorders>
              <w:top w:val="single" w:sz="2" w:space="0" w:color="000000"/>
              <w:bottom w:val="single" w:sz="12" w:space="0" w:color="000000"/>
            </w:tcBorders>
            <w:shd w:val="clear" w:color="auto" w:fill="auto"/>
            <w:tcMar>
              <w:top w:w="20" w:type="dxa"/>
              <w:left w:w="20" w:type="dxa"/>
              <w:bottom w:w="20" w:type="dxa"/>
              <w:right w:w="20" w:type="dxa"/>
            </w:tcMar>
          </w:tcPr>
          <w:p w14:paraId="7808BF77" w14:textId="77777777" w:rsidR="008264F3" w:rsidRPr="005C489E" w:rsidRDefault="005C489E" w:rsidP="008264F3">
            <w:pPr>
              <w:pStyle w:val="T1TableStyle"/>
              <w:jc w:val="right"/>
              <w:rPr>
                <w:rFonts w:ascii="Verdana" w:eastAsia="Verdana" w:hAnsi="Verdana" w:cs="Verdana"/>
                <w:b/>
                <w:color w:val="000000"/>
                <w:sz w:val="16"/>
                <w:lang w:val="en-GB"/>
              </w:rPr>
            </w:pPr>
            <w:r w:rsidRPr="005C489E">
              <w:rPr>
                <w:rFonts w:ascii="Verdana" w:eastAsia="Verdana" w:hAnsi="Verdana" w:cs="Verdana"/>
                <w:b/>
                <w:color w:val="000000"/>
                <w:sz w:val="16"/>
                <w:lang w:val="en-GB"/>
              </w:rPr>
              <w:t>12,483</w:t>
            </w:r>
          </w:p>
        </w:tc>
      </w:tr>
    </w:tbl>
    <w:p w14:paraId="3E84E400" w14:textId="77777777" w:rsidR="00CA6653" w:rsidRPr="003516A4" w:rsidRDefault="00CA6653" w:rsidP="00BF4518">
      <w:pPr>
        <w:pStyle w:val="T1TableStyle"/>
        <w:jc w:val="center"/>
        <w:rPr>
          <w:rFonts w:ascii="Verdana" w:eastAsia="Verdana" w:hAnsi="Verdana" w:cs="Verdana"/>
          <w:sz w:val="22"/>
          <w:highlight w:val="yellow"/>
          <w:lang w:val="en-GB"/>
        </w:rPr>
      </w:pPr>
    </w:p>
    <w:p w14:paraId="2354B554" w14:textId="77777777" w:rsidR="001D03D1" w:rsidRPr="000A3B1D" w:rsidRDefault="00AE5166" w:rsidP="001D03D1">
      <w:pPr>
        <w:pStyle w:val="Normal0"/>
        <w:spacing w:after="160"/>
        <w:jc w:val="both"/>
        <w:rPr>
          <w:rFonts w:ascii="Verdana" w:eastAsia="Calibri" w:hAnsi="Verdana" w:cs="Arial"/>
          <w:b/>
          <w:sz w:val="22"/>
          <w:szCs w:val="22"/>
        </w:rPr>
      </w:pPr>
      <w:r w:rsidRPr="000A3B1D">
        <w:rPr>
          <w:rFonts w:ascii="Verdana" w:eastAsia="Calibri" w:hAnsi="Verdana" w:cs="Arial"/>
          <w:b/>
          <w:sz w:val="22"/>
          <w:szCs w:val="22"/>
        </w:rPr>
        <w:t>The Group as a Lessor</w:t>
      </w:r>
    </w:p>
    <w:p w14:paraId="03BD2346" w14:textId="436700BB" w:rsidR="005C489E" w:rsidRPr="005C489E" w:rsidRDefault="005C489E" w:rsidP="005C489E">
      <w:pPr>
        <w:pStyle w:val="Normal0"/>
        <w:spacing w:after="160"/>
        <w:jc w:val="both"/>
        <w:rPr>
          <w:rFonts w:ascii="Verdana" w:eastAsia="Calibri" w:hAnsi="Verdana" w:cs="Arial"/>
          <w:sz w:val="22"/>
          <w:szCs w:val="22"/>
        </w:rPr>
      </w:pPr>
      <w:r w:rsidRPr="005C489E">
        <w:rPr>
          <w:rFonts w:ascii="Verdana" w:eastAsia="Calibri" w:hAnsi="Verdana" w:cs="Arial"/>
          <w:sz w:val="22"/>
          <w:szCs w:val="22"/>
        </w:rPr>
        <w:t xml:space="preserve">The Group leases sites under operating lease arrangements to other public organisations and/or partnerships such as Surrey County Council and Highways England. In addition to that the Group received rental income of £230k in 2020/21 from </w:t>
      </w:r>
      <w:r w:rsidR="000A3B1D">
        <w:rPr>
          <w:rFonts w:ascii="Verdana" w:eastAsia="Calibri" w:hAnsi="Verdana" w:cs="Arial"/>
          <w:sz w:val="22"/>
          <w:szCs w:val="22"/>
        </w:rPr>
        <w:t>the</w:t>
      </w:r>
      <w:r w:rsidRPr="005C489E">
        <w:rPr>
          <w:rFonts w:ascii="Verdana" w:eastAsia="Calibri" w:hAnsi="Verdana" w:cs="Arial"/>
          <w:sz w:val="22"/>
          <w:szCs w:val="22"/>
        </w:rPr>
        <w:t xml:space="preserve"> Leatherhead site</w:t>
      </w:r>
      <w:r w:rsidR="000A3B1D">
        <w:rPr>
          <w:rFonts w:ascii="Verdana" w:eastAsia="Calibri" w:hAnsi="Verdana" w:cs="Arial"/>
          <w:sz w:val="22"/>
          <w:szCs w:val="22"/>
        </w:rPr>
        <w:t>. T</w:t>
      </w:r>
      <w:r w:rsidRPr="005C489E">
        <w:rPr>
          <w:rFonts w:ascii="Verdana" w:eastAsia="Calibri" w:hAnsi="Verdana" w:cs="Arial"/>
          <w:sz w:val="22"/>
          <w:szCs w:val="22"/>
        </w:rPr>
        <w:t>his rental income will reduce as the Group build</w:t>
      </w:r>
      <w:r w:rsidR="000A3B1D">
        <w:rPr>
          <w:rFonts w:ascii="Verdana" w:eastAsia="Calibri" w:hAnsi="Verdana" w:cs="Arial"/>
          <w:sz w:val="22"/>
          <w:szCs w:val="22"/>
        </w:rPr>
        <w:t>s</w:t>
      </w:r>
      <w:r w:rsidRPr="005C489E">
        <w:rPr>
          <w:rFonts w:ascii="Verdana" w:eastAsia="Calibri" w:hAnsi="Verdana" w:cs="Arial"/>
          <w:sz w:val="22"/>
          <w:szCs w:val="22"/>
        </w:rPr>
        <w:t xml:space="preserve"> </w:t>
      </w:r>
      <w:r w:rsidR="000A3B1D">
        <w:rPr>
          <w:rFonts w:ascii="Verdana" w:eastAsia="Calibri" w:hAnsi="Verdana" w:cs="Arial"/>
          <w:sz w:val="22"/>
          <w:szCs w:val="22"/>
        </w:rPr>
        <w:t>the new headquarter offices o</w:t>
      </w:r>
      <w:r w:rsidRPr="005C489E">
        <w:rPr>
          <w:rFonts w:ascii="Verdana" w:eastAsia="Calibri" w:hAnsi="Verdana" w:cs="Arial"/>
          <w:sz w:val="22"/>
          <w:szCs w:val="22"/>
        </w:rPr>
        <w:t>n that site.</w:t>
      </w:r>
    </w:p>
    <w:p w14:paraId="09FEDA0C" w14:textId="77777777" w:rsidR="001D03D1" w:rsidRPr="005C489E" w:rsidRDefault="005C489E" w:rsidP="005C489E">
      <w:pPr>
        <w:pStyle w:val="Normal0"/>
        <w:spacing w:after="160"/>
        <w:jc w:val="both"/>
        <w:rPr>
          <w:rFonts w:ascii="Verdana" w:eastAsia="Calibri" w:hAnsi="Verdana" w:cs="Arial"/>
          <w:sz w:val="22"/>
          <w:szCs w:val="22"/>
        </w:rPr>
      </w:pPr>
      <w:r w:rsidRPr="005C489E">
        <w:rPr>
          <w:rFonts w:ascii="Verdana" w:eastAsia="Calibri" w:hAnsi="Verdana" w:cs="Arial"/>
          <w:sz w:val="22"/>
          <w:szCs w:val="22"/>
        </w:rPr>
        <w:t>The group is expecting a rental income from his sites of £62k in 2021/22, £29K in 2022/23 and £63k within the period from 2022/23 to 20304/35.</w:t>
      </w:r>
    </w:p>
    <w:p w14:paraId="10FFB8E2" w14:textId="77777777" w:rsidR="001D03D1" w:rsidRDefault="001D03D1" w:rsidP="001D03D1">
      <w:pPr>
        <w:pStyle w:val="Normal0"/>
        <w:spacing w:after="160"/>
        <w:jc w:val="both"/>
        <w:rPr>
          <w:rFonts w:ascii="Verdana" w:eastAsia="Calibri" w:hAnsi="Verdana" w:cs="Arial"/>
          <w:sz w:val="22"/>
          <w:szCs w:val="22"/>
          <w:highlight w:val="yellow"/>
        </w:rPr>
      </w:pPr>
    </w:p>
    <w:p w14:paraId="6193CBFD" w14:textId="77777777" w:rsidR="000A3B1D" w:rsidRPr="003516A4" w:rsidRDefault="000A3B1D" w:rsidP="001D03D1">
      <w:pPr>
        <w:pStyle w:val="Normal0"/>
        <w:spacing w:after="160"/>
        <w:jc w:val="both"/>
        <w:rPr>
          <w:rFonts w:ascii="Verdana" w:eastAsia="Calibri" w:hAnsi="Verdana" w:cs="Arial"/>
          <w:sz w:val="22"/>
          <w:szCs w:val="22"/>
          <w:highlight w:val="yellow"/>
        </w:rPr>
      </w:pPr>
    </w:p>
    <w:tbl>
      <w:tblPr>
        <w:tblW w:w="10027" w:type="dxa"/>
        <w:jc w:val="center"/>
        <w:tblLook w:val="04A0" w:firstRow="1" w:lastRow="0" w:firstColumn="1" w:lastColumn="0" w:noHBand="0" w:noVBand="1"/>
      </w:tblPr>
      <w:tblGrid>
        <w:gridCol w:w="3188"/>
        <w:gridCol w:w="4392"/>
        <w:gridCol w:w="2447"/>
      </w:tblGrid>
      <w:tr w:rsidR="001D03D1" w:rsidRPr="00A13267" w14:paraId="4F670D9E" w14:textId="77777777" w:rsidTr="000A3B1D">
        <w:trPr>
          <w:trHeight w:val="191"/>
          <w:jc w:val="center"/>
        </w:trPr>
        <w:tc>
          <w:tcPr>
            <w:tcW w:w="10027" w:type="dxa"/>
            <w:gridSpan w:val="3"/>
            <w:tcBorders>
              <w:top w:val="nil"/>
              <w:left w:val="nil"/>
              <w:bottom w:val="nil"/>
            </w:tcBorders>
            <w:shd w:val="clear" w:color="auto" w:fill="auto"/>
            <w:noWrap/>
            <w:vAlign w:val="bottom"/>
            <w:hideMark/>
          </w:tcPr>
          <w:p w14:paraId="3D646442" w14:textId="77777777" w:rsidR="001D03D1" w:rsidRPr="00A13267" w:rsidRDefault="001D03D1" w:rsidP="001D03D1">
            <w:pPr>
              <w:jc w:val="center"/>
              <w:rPr>
                <w:rFonts w:eastAsia="Times New Roman" w:cs="Arial"/>
                <w:b/>
                <w:bCs/>
                <w:color w:val="000000"/>
                <w:sz w:val="16"/>
                <w:szCs w:val="16"/>
                <w:lang w:eastAsia="en-GB"/>
              </w:rPr>
            </w:pPr>
            <w:r w:rsidRPr="00A13267">
              <w:rPr>
                <w:rFonts w:eastAsia="Verdana" w:cs="Verdana"/>
                <w:b/>
                <w:color w:val="000000"/>
                <w:sz w:val="20"/>
                <w:szCs w:val="20"/>
              </w:rPr>
              <w:t>Authority as Lessor - Operating Leases</w:t>
            </w:r>
          </w:p>
        </w:tc>
      </w:tr>
      <w:tr w:rsidR="001D03D1" w:rsidRPr="00A13267" w14:paraId="3315D4AA" w14:textId="77777777" w:rsidTr="000A3B1D">
        <w:trPr>
          <w:trHeight w:val="191"/>
          <w:jc w:val="center"/>
        </w:trPr>
        <w:tc>
          <w:tcPr>
            <w:tcW w:w="3188" w:type="dxa"/>
            <w:tcBorders>
              <w:top w:val="nil"/>
              <w:left w:val="nil"/>
              <w:bottom w:val="nil"/>
              <w:right w:val="nil"/>
            </w:tcBorders>
            <w:shd w:val="clear" w:color="auto" w:fill="auto"/>
            <w:noWrap/>
            <w:vAlign w:val="bottom"/>
            <w:hideMark/>
          </w:tcPr>
          <w:p w14:paraId="3F8257D7" w14:textId="77777777" w:rsidR="001D03D1" w:rsidRPr="00A13267" w:rsidRDefault="001D03D1" w:rsidP="001D03D1">
            <w:pPr>
              <w:rPr>
                <w:rFonts w:ascii="Times New Roman" w:eastAsia="Times New Roman" w:hAnsi="Times New Roman"/>
                <w:sz w:val="20"/>
                <w:szCs w:val="20"/>
                <w:lang w:eastAsia="en-GB"/>
              </w:rPr>
            </w:pPr>
          </w:p>
        </w:tc>
        <w:tc>
          <w:tcPr>
            <w:tcW w:w="4392" w:type="dxa"/>
            <w:tcBorders>
              <w:top w:val="nil"/>
              <w:left w:val="nil"/>
              <w:bottom w:val="nil"/>
              <w:right w:val="nil"/>
            </w:tcBorders>
            <w:shd w:val="clear" w:color="auto" w:fill="auto"/>
            <w:noWrap/>
            <w:vAlign w:val="bottom"/>
            <w:hideMark/>
          </w:tcPr>
          <w:p w14:paraId="0670AD19" w14:textId="77777777" w:rsidR="001D03D1" w:rsidRPr="00A13267" w:rsidRDefault="001D03D1" w:rsidP="001D03D1">
            <w:pPr>
              <w:rPr>
                <w:rFonts w:ascii="Times New Roman" w:eastAsia="Times New Roman" w:hAnsi="Times New Roman"/>
                <w:sz w:val="20"/>
                <w:szCs w:val="20"/>
                <w:lang w:eastAsia="en-GB"/>
              </w:rPr>
            </w:pPr>
          </w:p>
        </w:tc>
        <w:tc>
          <w:tcPr>
            <w:tcW w:w="2447" w:type="dxa"/>
            <w:tcBorders>
              <w:top w:val="nil"/>
              <w:left w:val="nil"/>
              <w:bottom w:val="nil"/>
              <w:right w:val="nil"/>
            </w:tcBorders>
            <w:shd w:val="clear" w:color="auto" w:fill="auto"/>
            <w:noWrap/>
            <w:vAlign w:val="bottom"/>
            <w:hideMark/>
          </w:tcPr>
          <w:p w14:paraId="2BAD5154" w14:textId="77777777" w:rsidR="001D03D1" w:rsidRPr="00A13267" w:rsidRDefault="001D03D1" w:rsidP="001D03D1">
            <w:pPr>
              <w:rPr>
                <w:rFonts w:ascii="Times New Roman" w:eastAsia="Times New Roman" w:hAnsi="Times New Roman"/>
                <w:sz w:val="20"/>
                <w:szCs w:val="20"/>
                <w:lang w:eastAsia="en-GB"/>
              </w:rPr>
            </w:pPr>
          </w:p>
        </w:tc>
      </w:tr>
      <w:tr w:rsidR="001D03D1" w:rsidRPr="00A13267" w14:paraId="013C0C31" w14:textId="77777777" w:rsidTr="000A3B1D">
        <w:trPr>
          <w:trHeight w:val="74"/>
          <w:jc w:val="center"/>
        </w:trPr>
        <w:tc>
          <w:tcPr>
            <w:tcW w:w="3188" w:type="dxa"/>
            <w:tcBorders>
              <w:top w:val="nil"/>
              <w:left w:val="nil"/>
              <w:bottom w:val="single" w:sz="4" w:space="0" w:color="auto"/>
              <w:right w:val="nil"/>
            </w:tcBorders>
            <w:shd w:val="clear" w:color="auto" w:fill="auto"/>
            <w:vAlign w:val="bottom"/>
            <w:hideMark/>
          </w:tcPr>
          <w:p w14:paraId="678C4CBB" w14:textId="77777777" w:rsidR="001D03D1" w:rsidRPr="00A13267" w:rsidRDefault="001D03D1" w:rsidP="009A134B">
            <w:pPr>
              <w:jc w:val="center"/>
              <w:rPr>
                <w:rFonts w:eastAsia="Times New Roman" w:cs="Arial"/>
                <w:b/>
                <w:bCs/>
                <w:color w:val="000000"/>
                <w:sz w:val="16"/>
                <w:szCs w:val="16"/>
                <w:lang w:eastAsia="en-GB"/>
              </w:rPr>
            </w:pPr>
            <w:r w:rsidRPr="00A13267">
              <w:rPr>
                <w:rFonts w:eastAsia="Times New Roman" w:cs="Arial"/>
                <w:b/>
                <w:bCs/>
                <w:color w:val="000000"/>
                <w:sz w:val="16"/>
                <w:szCs w:val="16"/>
                <w:lang w:eastAsia="en-GB"/>
              </w:rPr>
              <w:t>31/03/20</w:t>
            </w:r>
            <w:r w:rsidR="009A134B" w:rsidRPr="00A13267">
              <w:rPr>
                <w:rFonts w:eastAsia="Times New Roman" w:cs="Arial"/>
                <w:b/>
                <w:bCs/>
                <w:color w:val="000000"/>
                <w:sz w:val="16"/>
                <w:szCs w:val="16"/>
                <w:lang w:eastAsia="en-GB"/>
              </w:rPr>
              <w:t>20</w:t>
            </w:r>
            <w:r w:rsidRPr="00A13267">
              <w:rPr>
                <w:rFonts w:eastAsia="Times New Roman" w:cs="Arial"/>
                <w:b/>
                <w:bCs/>
                <w:color w:val="000000"/>
                <w:sz w:val="16"/>
                <w:szCs w:val="16"/>
                <w:lang w:eastAsia="en-GB"/>
              </w:rPr>
              <w:br/>
              <w:t>£000</w:t>
            </w:r>
          </w:p>
        </w:tc>
        <w:tc>
          <w:tcPr>
            <w:tcW w:w="4392" w:type="dxa"/>
            <w:tcBorders>
              <w:top w:val="nil"/>
              <w:left w:val="nil"/>
              <w:bottom w:val="single" w:sz="4" w:space="0" w:color="auto"/>
              <w:right w:val="nil"/>
            </w:tcBorders>
            <w:shd w:val="clear" w:color="auto" w:fill="auto"/>
            <w:noWrap/>
            <w:vAlign w:val="bottom"/>
            <w:hideMark/>
          </w:tcPr>
          <w:p w14:paraId="0C688D02" w14:textId="77777777" w:rsidR="001D03D1" w:rsidRPr="00A13267" w:rsidRDefault="001D03D1" w:rsidP="00D91109">
            <w:pPr>
              <w:jc w:val="center"/>
              <w:rPr>
                <w:rFonts w:eastAsia="Times New Roman" w:cs="Arial"/>
                <w:b/>
                <w:bCs/>
                <w:color w:val="000000"/>
                <w:sz w:val="16"/>
                <w:szCs w:val="16"/>
                <w:lang w:eastAsia="en-GB"/>
              </w:rPr>
            </w:pPr>
          </w:p>
        </w:tc>
        <w:tc>
          <w:tcPr>
            <w:tcW w:w="2447" w:type="dxa"/>
            <w:tcBorders>
              <w:top w:val="nil"/>
              <w:left w:val="nil"/>
              <w:bottom w:val="single" w:sz="4" w:space="0" w:color="auto"/>
              <w:right w:val="nil"/>
            </w:tcBorders>
            <w:shd w:val="clear" w:color="auto" w:fill="auto"/>
            <w:vAlign w:val="bottom"/>
            <w:hideMark/>
          </w:tcPr>
          <w:p w14:paraId="21F64EDC" w14:textId="77777777" w:rsidR="001D03D1" w:rsidRPr="00A13267" w:rsidRDefault="001D03D1" w:rsidP="009A134B">
            <w:pPr>
              <w:jc w:val="center"/>
              <w:rPr>
                <w:rFonts w:eastAsia="Times New Roman" w:cs="Arial"/>
                <w:b/>
                <w:bCs/>
                <w:color w:val="000000"/>
                <w:sz w:val="16"/>
                <w:szCs w:val="16"/>
                <w:lang w:eastAsia="en-GB"/>
              </w:rPr>
            </w:pPr>
            <w:r w:rsidRPr="00A13267">
              <w:rPr>
                <w:rFonts w:eastAsia="Times New Roman" w:cs="Arial"/>
                <w:b/>
                <w:bCs/>
                <w:color w:val="000000"/>
                <w:sz w:val="16"/>
                <w:szCs w:val="16"/>
                <w:lang w:eastAsia="en-GB"/>
              </w:rPr>
              <w:t>31/03/202</w:t>
            </w:r>
            <w:r w:rsidR="009A134B" w:rsidRPr="00A13267">
              <w:rPr>
                <w:rFonts w:eastAsia="Times New Roman" w:cs="Arial"/>
                <w:b/>
                <w:bCs/>
                <w:color w:val="000000"/>
                <w:sz w:val="16"/>
                <w:szCs w:val="16"/>
                <w:lang w:eastAsia="en-GB"/>
              </w:rPr>
              <w:t>1</w:t>
            </w:r>
            <w:r w:rsidRPr="00A13267">
              <w:rPr>
                <w:rFonts w:eastAsia="Times New Roman" w:cs="Arial"/>
                <w:b/>
                <w:bCs/>
                <w:color w:val="000000"/>
                <w:sz w:val="16"/>
                <w:szCs w:val="16"/>
                <w:lang w:eastAsia="en-GB"/>
              </w:rPr>
              <w:br/>
              <w:t>£000</w:t>
            </w:r>
          </w:p>
        </w:tc>
      </w:tr>
      <w:tr w:rsidR="009A134B" w:rsidRPr="00A13267" w14:paraId="72D82E0F" w14:textId="77777777" w:rsidTr="000A3B1D">
        <w:trPr>
          <w:trHeight w:val="191"/>
          <w:jc w:val="center"/>
        </w:trPr>
        <w:tc>
          <w:tcPr>
            <w:tcW w:w="3188" w:type="dxa"/>
            <w:tcBorders>
              <w:top w:val="nil"/>
              <w:left w:val="nil"/>
              <w:bottom w:val="nil"/>
              <w:right w:val="nil"/>
            </w:tcBorders>
            <w:shd w:val="clear" w:color="auto" w:fill="auto"/>
            <w:noWrap/>
            <w:vAlign w:val="bottom"/>
            <w:hideMark/>
          </w:tcPr>
          <w:p w14:paraId="77AC651A" w14:textId="77777777" w:rsidR="009A134B" w:rsidRPr="00A13267" w:rsidRDefault="009A134B" w:rsidP="009A134B">
            <w:pPr>
              <w:jc w:val="right"/>
              <w:rPr>
                <w:rFonts w:eastAsia="Times New Roman" w:cs="Arial"/>
                <w:color w:val="000000"/>
                <w:sz w:val="16"/>
                <w:szCs w:val="16"/>
                <w:lang w:eastAsia="en-GB"/>
              </w:rPr>
            </w:pPr>
            <w:r w:rsidRPr="00A13267">
              <w:rPr>
                <w:rFonts w:eastAsia="Times New Roman" w:cs="Arial"/>
                <w:color w:val="000000"/>
                <w:sz w:val="16"/>
                <w:szCs w:val="16"/>
                <w:lang w:eastAsia="en-GB"/>
              </w:rPr>
              <w:t>355</w:t>
            </w:r>
          </w:p>
        </w:tc>
        <w:tc>
          <w:tcPr>
            <w:tcW w:w="4392" w:type="dxa"/>
            <w:tcBorders>
              <w:top w:val="nil"/>
              <w:left w:val="nil"/>
              <w:bottom w:val="nil"/>
              <w:right w:val="nil"/>
            </w:tcBorders>
            <w:shd w:val="clear" w:color="auto" w:fill="auto"/>
            <w:vAlign w:val="bottom"/>
            <w:hideMark/>
          </w:tcPr>
          <w:p w14:paraId="2BAF8438" w14:textId="77777777" w:rsidR="009A134B" w:rsidRPr="00A13267" w:rsidRDefault="009A134B" w:rsidP="009A134B">
            <w:pPr>
              <w:jc w:val="center"/>
              <w:rPr>
                <w:rFonts w:eastAsia="Times New Roman" w:cs="Arial"/>
                <w:color w:val="000000"/>
                <w:sz w:val="16"/>
                <w:szCs w:val="16"/>
                <w:lang w:eastAsia="en-GB"/>
              </w:rPr>
            </w:pPr>
            <w:r w:rsidRPr="00A13267">
              <w:rPr>
                <w:rFonts w:eastAsia="Times New Roman" w:cs="Arial"/>
                <w:color w:val="000000"/>
                <w:sz w:val="16"/>
                <w:szCs w:val="16"/>
                <w:lang w:eastAsia="en-GB"/>
              </w:rPr>
              <w:t>Not later than one year</w:t>
            </w:r>
          </w:p>
        </w:tc>
        <w:tc>
          <w:tcPr>
            <w:tcW w:w="2447" w:type="dxa"/>
            <w:tcBorders>
              <w:top w:val="nil"/>
              <w:left w:val="nil"/>
              <w:bottom w:val="nil"/>
              <w:right w:val="nil"/>
            </w:tcBorders>
            <w:shd w:val="clear" w:color="auto" w:fill="auto"/>
            <w:noWrap/>
            <w:vAlign w:val="bottom"/>
          </w:tcPr>
          <w:p w14:paraId="07701B69" w14:textId="77777777" w:rsidR="009A134B" w:rsidRPr="00A13267" w:rsidRDefault="00A13267" w:rsidP="009A134B">
            <w:pPr>
              <w:jc w:val="right"/>
              <w:rPr>
                <w:rFonts w:eastAsia="Times New Roman" w:cs="Arial"/>
                <w:color w:val="000000"/>
                <w:sz w:val="16"/>
                <w:szCs w:val="16"/>
                <w:lang w:eastAsia="en-GB"/>
              </w:rPr>
            </w:pPr>
            <w:r w:rsidRPr="00A13267">
              <w:rPr>
                <w:rFonts w:eastAsia="Times New Roman" w:cs="Arial"/>
                <w:color w:val="000000"/>
                <w:sz w:val="16"/>
                <w:szCs w:val="16"/>
                <w:lang w:eastAsia="en-GB"/>
              </w:rPr>
              <w:t>62</w:t>
            </w:r>
          </w:p>
        </w:tc>
      </w:tr>
      <w:tr w:rsidR="009A134B" w:rsidRPr="00A13267" w14:paraId="160C8D21" w14:textId="77777777" w:rsidTr="000A3B1D">
        <w:trPr>
          <w:trHeight w:val="74"/>
          <w:jc w:val="center"/>
        </w:trPr>
        <w:tc>
          <w:tcPr>
            <w:tcW w:w="3188" w:type="dxa"/>
            <w:tcBorders>
              <w:top w:val="nil"/>
              <w:left w:val="nil"/>
              <w:bottom w:val="nil"/>
              <w:right w:val="nil"/>
            </w:tcBorders>
            <w:shd w:val="clear" w:color="auto" w:fill="auto"/>
            <w:noWrap/>
            <w:vAlign w:val="bottom"/>
            <w:hideMark/>
          </w:tcPr>
          <w:p w14:paraId="6FA14015" w14:textId="77777777" w:rsidR="009A134B" w:rsidRPr="00A13267" w:rsidRDefault="009A134B" w:rsidP="009A134B">
            <w:pPr>
              <w:jc w:val="right"/>
              <w:rPr>
                <w:rFonts w:eastAsia="Times New Roman" w:cs="Arial"/>
                <w:color w:val="000000"/>
                <w:sz w:val="16"/>
                <w:szCs w:val="16"/>
                <w:lang w:eastAsia="en-GB"/>
              </w:rPr>
            </w:pPr>
            <w:r w:rsidRPr="00A13267">
              <w:rPr>
                <w:rFonts w:eastAsia="Times New Roman" w:cs="Arial"/>
                <w:color w:val="000000"/>
                <w:sz w:val="16"/>
                <w:szCs w:val="16"/>
                <w:lang w:eastAsia="en-GB"/>
              </w:rPr>
              <w:t>155</w:t>
            </w:r>
          </w:p>
        </w:tc>
        <w:tc>
          <w:tcPr>
            <w:tcW w:w="4392" w:type="dxa"/>
            <w:tcBorders>
              <w:top w:val="nil"/>
              <w:left w:val="nil"/>
              <w:bottom w:val="nil"/>
              <w:right w:val="nil"/>
            </w:tcBorders>
            <w:shd w:val="clear" w:color="auto" w:fill="auto"/>
            <w:vAlign w:val="bottom"/>
            <w:hideMark/>
          </w:tcPr>
          <w:p w14:paraId="18244B02" w14:textId="77777777" w:rsidR="009A134B" w:rsidRPr="00A13267" w:rsidRDefault="009A134B" w:rsidP="009A134B">
            <w:pPr>
              <w:jc w:val="center"/>
              <w:rPr>
                <w:rFonts w:eastAsia="Times New Roman" w:cs="Arial"/>
                <w:color w:val="000000"/>
                <w:sz w:val="16"/>
                <w:szCs w:val="16"/>
                <w:lang w:eastAsia="en-GB"/>
              </w:rPr>
            </w:pPr>
            <w:r w:rsidRPr="00A13267">
              <w:rPr>
                <w:rFonts w:eastAsia="Times New Roman" w:cs="Arial"/>
                <w:color w:val="000000"/>
                <w:sz w:val="16"/>
                <w:szCs w:val="16"/>
                <w:lang w:eastAsia="en-GB"/>
              </w:rPr>
              <w:t>Later than one year and not later than five years</w:t>
            </w:r>
          </w:p>
        </w:tc>
        <w:tc>
          <w:tcPr>
            <w:tcW w:w="2447" w:type="dxa"/>
            <w:tcBorders>
              <w:top w:val="nil"/>
              <w:left w:val="nil"/>
              <w:bottom w:val="nil"/>
              <w:right w:val="nil"/>
            </w:tcBorders>
            <w:shd w:val="clear" w:color="auto" w:fill="auto"/>
            <w:noWrap/>
            <w:vAlign w:val="bottom"/>
          </w:tcPr>
          <w:p w14:paraId="435E5C6D" w14:textId="77777777" w:rsidR="009A134B" w:rsidRPr="00A13267" w:rsidRDefault="00A13267" w:rsidP="009A134B">
            <w:pPr>
              <w:jc w:val="right"/>
              <w:rPr>
                <w:rFonts w:eastAsia="Times New Roman" w:cs="Arial"/>
                <w:color w:val="000000"/>
                <w:sz w:val="16"/>
                <w:szCs w:val="16"/>
                <w:lang w:eastAsia="en-GB"/>
              </w:rPr>
            </w:pPr>
            <w:r w:rsidRPr="00A13267">
              <w:rPr>
                <w:rFonts w:eastAsia="Times New Roman" w:cs="Arial"/>
                <w:color w:val="000000"/>
                <w:sz w:val="16"/>
                <w:szCs w:val="16"/>
                <w:lang w:eastAsia="en-GB"/>
              </w:rPr>
              <w:t>29</w:t>
            </w:r>
          </w:p>
        </w:tc>
      </w:tr>
      <w:tr w:rsidR="009A134B" w:rsidRPr="00A13267" w14:paraId="672E5565" w14:textId="77777777" w:rsidTr="000A3B1D">
        <w:trPr>
          <w:trHeight w:val="191"/>
          <w:jc w:val="center"/>
        </w:trPr>
        <w:tc>
          <w:tcPr>
            <w:tcW w:w="3188" w:type="dxa"/>
            <w:tcBorders>
              <w:top w:val="nil"/>
              <w:left w:val="nil"/>
              <w:bottom w:val="single" w:sz="4" w:space="0" w:color="auto"/>
              <w:right w:val="nil"/>
            </w:tcBorders>
            <w:shd w:val="clear" w:color="auto" w:fill="auto"/>
            <w:noWrap/>
            <w:vAlign w:val="bottom"/>
            <w:hideMark/>
          </w:tcPr>
          <w:p w14:paraId="7A8EE20F" w14:textId="77777777" w:rsidR="009A134B" w:rsidRPr="00A13267" w:rsidRDefault="009A134B" w:rsidP="009A134B">
            <w:pPr>
              <w:jc w:val="right"/>
              <w:rPr>
                <w:rFonts w:eastAsia="Times New Roman" w:cs="Arial"/>
                <w:color w:val="000000"/>
                <w:sz w:val="16"/>
                <w:szCs w:val="16"/>
                <w:lang w:eastAsia="en-GB"/>
              </w:rPr>
            </w:pPr>
            <w:r w:rsidRPr="00A13267">
              <w:rPr>
                <w:rFonts w:eastAsia="Times New Roman" w:cs="Arial"/>
                <w:color w:val="000000"/>
                <w:sz w:val="16"/>
                <w:szCs w:val="16"/>
                <w:lang w:eastAsia="en-GB"/>
              </w:rPr>
              <w:t>-</w:t>
            </w:r>
          </w:p>
        </w:tc>
        <w:tc>
          <w:tcPr>
            <w:tcW w:w="4392" w:type="dxa"/>
            <w:tcBorders>
              <w:top w:val="nil"/>
              <w:left w:val="nil"/>
              <w:bottom w:val="single" w:sz="4" w:space="0" w:color="auto"/>
              <w:right w:val="nil"/>
            </w:tcBorders>
            <w:shd w:val="clear" w:color="auto" w:fill="auto"/>
            <w:vAlign w:val="bottom"/>
            <w:hideMark/>
          </w:tcPr>
          <w:p w14:paraId="568346B2" w14:textId="77777777" w:rsidR="009A134B" w:rsidRPr="00A13267" w:rsidRDefault="009A134B" w:rsidP="009A134B">
            <w:pPr>
              <w:jc w:val="center"/>
              <w:rPr>
                <w:rFonts w:eastAsia="Times New Roman" w:cs="Arial"/>
                <w:color w:val="000000"/>
                <w:sz w:val="16"/>
                <w:szCs w:val="16"/>
                <w:lang w:eastAsia="en-GB"/>
              </w:rPr>
            </w:pPr>
            <w:r w:rsidRPr="00A13267">
              <w:rPr>
                <w:rFonts w:eastAsia="Times New Roman" w:cs="Arial"/>
                <w:color w:val="000000"/>
                <w:sz w:val="16"/>
                <w:szCs w:val="16"/>
                <w:lang w:eastAsia="en-GB"/>
              </w:rPr>
              <w:t>Later than five years</w:t>
            </w:r>
          </w:p>
        </w:tc>
        <w:tc>
          <w:tcPr>
            <w:tcW w:w="2447" w:type="dxa"/>
            <w:tcBorders>
              <w:top w:val="nil"/>
              <w:left w:val="nil"/>
              <w:bottom w:val="single" w:sz="4" w:space="0" w:color="auto"/>
              <w:right w:val="nil"/>
            </w:tcBorders>
            <w:shd w:val="clear" w:color="auto" w:fill="auto"/>
            <w:noWrap/>
            <w:vAlign w:val="bottom"/>
          </w:tcPr>
          <w:p w14:paraId="053BEE37" w14:textId="77777777" w:rsidR="009A134B" w:rsidRPr="00A13267" w:rsidRDefault="00A13267" w:rsidP="009A134B">
            <w:pPr>
              <w:jc w:val="right"/>
              <w:rPr>
                <w:rFonts w:eastAsia="Times New Roman" w:cs="Arial"/>
                <w:color w:val="000000"/>
                <w:sz w:val="16"/>
                <w:szCs w:val="16"/>
                <w:lang w:eastAsia="en-GB"/>
              </w:rPr>
            </w:pPr>
            <w:r w:rsidRPr="00A13267">
              <w:rPr>
                <w:rFonts w:eastAsia="Times New Roman" w:cs="Arial"/>
                <w:color w:val="000000"/>
                <w:sz w:val="16"/>
                <w:szCs w:val="16"/>
                <w:lang w:eastAsia="en-GB"/>
              </w:rPr>
              <w:t>63</w:t>
            </w:r>
          </w:p>
        </w:tc>
      </w:tr>
      <w:tr w:rsidR="009A134B" w:rsidRPr="00A13267" w14:paraId="6C8C1849" w14:textId="77777777" w:rsidTr="000A3B1D">
        <w:trPr>
          <w:trHeight w:val="191"/>
          <w:jc w:val="center"/>
        </w:trPr>
        <w:tc>
          <w:tcPr>
            <w:tcW w:w="3188" w:type="dxa"/>
            <w:tcBorders>
              <w:top w:val="single" w:sz="4" w:space="0" w:color="auto"/>
              <w:left w:val="nil"/>
              <w:bottom w:val="single" w:sz="4" w:space="0" w:color="auto"/>
              <w:right w:val="nil"/>
            </w:tcBorders>
            <w:shd w:val="clear" w:color="auto" w:fill="auto"/>
            <w:noWrap/>
            <w:vAlign w:val="bottom"/>
            <w:hideMark/>
          </w:tcPr>
          <w:p w14:paraId="778F0457" w14:textId="77777777" w:rsidR="009A134B" w:rsidRPr="00A13267" w:rsidRDefault="009A134B" w:rsidP="009A134B">
            <w:pPr>
              <w:jc w:val="right"/>
              <w:rPr>
                <w:rFonts w:eastAsia="Times New Roman" w:cs="Arial"/>
                <w:b/>
                <w:color w:val="000000"/>
                <w:sz w:val="16"/>
                <w:szCs w:val="16"/>
                <w:lang w:eastAsia="en-GB"/>
              </w:rPr>
            </w:pPr>
            <w:r w:rsidRPr="00A13267">
              <w:rPr>
                <w:rFonts w:eastAsia="Times New Roman" w:cs="Arial"/>
                <w:b/>
                <w:color w:val="000000"/>
                <w:sz w:val="16"/>
                <w:szCs w:val="16"/>
                <w:lang w:eastAsia="en-GB"/>
              </w:rPr>
              <w:t>510</w:t>
            </w:r>
          </w:p>
        </w:tc>
        <w:tc>
          <w:tcPr>
            <w:tcW w:w="4392" w:type="dxa"/>
            <w:tcBorders>
              <w:top w:val="single" w:sz="4" w:space="0" w:color="auto"/>
              <w:left w:val="nil"/>
              <w:bottom w:val="single" w:sz="4" w:space="0" w:color="auto"/>
              <w:right w:val="nil"/>
            </w:tcBorders>
            <w:shd w:val="clear" w:color="auto" w:fill="auto"/>
            <w:vAlign w:val="bottom"/>
            <w:hideMark/>
          </w:tcPr>
          <w:p w14:paraId="44A67916" w14:textId="77777777" w:rsidR="009A134B" w:rsidRPr="00A13267" w:rsidRDefault="009A134B" w:rsidP="009A134B">
            <w:pPr>
              <w:jc w:val="center"/>
              <w:rPr>
                <w:rFonts w:eastAsia="Times New Roman" w:cs="Arial"/>
                <w:b/>
                <w:color w:val="000000"/>
                <w:sz w:val="16"/>
                <w:szCs w:val="16"/>
                <w:lang w:eastAsia="en-GB"/>
              </w:rPr>
            </w:pPr>
            <w:r w:rsidRPr="00A13267">
              <w:rPr>
                <w:rFonts w:eastAsia="Times New Roman" w:cs="Arial"/>
                <w:b/>
                <w:color w:val="000000"/>
                <w:sz w:val="16"/>
                <w:szCs w:val="16"/>
                <w:lang w:eastAsia="en-GB"/>
              </w:rPr>
              <w:t>Total</w:t>
            </w:r>
          </w:p>
        </w:tc>
        <w:tc>
          <w:tcPr>
            <w:tcW w:w="2447" w:type="dxa"/>
            <w:tcBorders>
              <w:top w:val="single" w:sz="4" w:space="0" w:color="auto"/>
              <w:left w:val="nil"/>
              <w:bottom w:val="single" w:sz="4" w:space="0" w:color="auto"/>
              <w:right w:val="nil"/>
            </w:tcBorders>
            <w:shd w:val="clear" w:color="auto" w:fill="auto"/>
            <w:noWrap/>
            <w:vAlign w:val="bottom"/>
          </w:tcPr>
          <w:p w14:paraId="41802805" w14:textId="77777777" w:rsidR="009A134B" w:rsidRPr="00A13267" w:rsidRDefault="00A13267" w:rsidP="009A134B">
            <w:pPr>
              <w:jc w:val="right"/>
              <w:rPr>
                <w:rFonts w:eastAsia="Times New Roman" w:cs="Arial"/>
                <w:b/>
                <w:color w:val="000000"/>
                <w:sz w:val="16"/>
                <w:szCs w:val="16"/>
                <w:lang w:eastAsia="en-GB"/>
              </w:rPr>
            </w:pPr>
            <w:r w:rsidRPr="00A13267">
              <w:rPr>
                <w:rFonts w:eastAsia="Times New Roman" w:cs="Arial"/>
                <w:b/>
                <w:color w:val="000000"/>
                <w:sz w:val="16"/>
                <w:szCs w:val="16"/>
                <w:lang w:eastAsia="en-GB"/>
              </w:rPr>
              <w:t>154</w:t>
            </w:r>
          </w:p>
        </w:tc>
      </w:tr>
    </w:tbl>
    <w:p w14:paraId="5D673EB6" w14:textId="77777777" w:rsidR="000A3B1D" w:rsidRDefault="000A3B1D" w:rsidP="00D91109">
      <w:pPr>
        <w:pStyle w:val="Normal0"/>
        <w:spacing w:after="160"/>
        <w:jc w:val="both"/>
        <w:rPr>
          <w:rFonts w:ascii="Verdana" w:eastAsia="Calibri" w:hAnsi="Verdana" w:cs="Arial"/>
          <w:sz w:val="22"/>
          <w:szCs w:val="22"/>
        </w:rPr>
      </w:pPr>
    </w:p>
    <w:p w14:paraId="1B03A19F" w14:textId="5CDDC01B" w:rsidR="001D03D1" w:rsidRPr="003516A4" w:rsidRDefault="00A13267" w:rsidP="000A3B1D">
      <w:pPr>
        <w:pStyle w:val="Normal0"/>
        <w:spacing w:after="160"/>
        <w:jc w:val="both"/>
        <w:rPr>
          <w:rFonts w:ascii="Verdana" w:eastAsia="Calibri" w:hAnsi="Verdana" w:cs="Arial"/>
          <w:sz w:val="22"/>
          <w:szCs w:val="22"/>
          <w:highlight w:val="yellow"/>
        </w:rPr>
      </w:pPr>
      <w:r w:rsidRPr="00A13267">
        <w:rPr>
          <w:rFonts w:ascii="Verdana" w:eastAsia="Calibri" w:hAnsi="Verdana" w:cs="Arial"/>
          <w:sz w:val="22"/>
          <w:szCs w:val="22"/>
        </w:rPr>
        <w:t>The minimum lease payments receivable do not include rents that are contingent on events taking place after the lease was entered into, such as adjustments following rent reviews. There were no contingent rents receivable by the Group 2020/21 (2019/20 £Nil).</w:t>
      </w:r>
    </w:p>
    <w:p w14:paraId="755C2281" w14:textId="77777777" w:rsidR="00CA6653" w:rsidRPr="00D271FE" w:rsidRDefault="00502D6C" w:rsidP="00A31A9E">
      <w:pPr>
        <w:pStyle w:val="Heading1"/>
      </w:pPr>
      <w:bookmarkStart w:id="38" w:name="_Toc75122791"/>
      <w:r w:rsidRPr="00D271FE">
        <w:t>Note 23</w:t>
      </w:r>
      <w:r w:rsidR="00CA6653" w:rsidRPr="00D271FE">
        <w:t xml:space="preserve"> - Service Concession Arrangements</w:t>
      </w:r>
      <w:bookmarkEnd w:id="38"/>
    </w:p>
    <w:p w14:paraId="4BD705BF" w14:textId="421FAC8B" w:rsidR="00297720" w:rsidRPr="000A3B1D" w:rsidRDefault="00CA6653" w:rsidP="000A3B1D">
      <w:pPr>
        <w:pStyle w:val="Normal0"/>
        <w:spacing w:after="160" w:line="259" w:lineRule="auto"/>
        <w:jc w:val="both"/>
        <w:rPr>
          <w:rFonts w:ascii="Verdana" w:hAnsi="Verdana"/>
          <w:sz w:val="22"/>
          <w:szCs w:val="22"/>
          <w:lang w:val="pt-BR"/>
        </w:rPr>
      </w:pPr>
      <w:r w:rsidRPr="00D271FE">
        <w:rPr>
          <w:rFonts w:ascii="Verdana" w:eastAsia="Calibri" w:hAnsi="Verdana" w:cs="Arial"/>
          <w:sz w:val="22"/>
          <w:szCs w:val="22"/>
          <w:lang w:val="pt-BR"/>
        </w:rPr>
        <w:t>The Group has no assets recognised under a PFI arrangement and therefore has no outstanding contractual commitment with external organisations.</w:t>
      </w:r>
    </w:p>
    <w:p w14:paraId="13044A74" w14:textId="77777777" w:rsidR="00CA6653" w:rsidRPr="00A11549" w:rsidRDefault="00CA6653" w:rsidP="00A31A9E">
      <w:pPr>
        <w:pStyle w:val="Heading1"/>
      </w:pPr>
      <w:bookmarkStart w:id="39" w:name="_Toc75122792"/>
      <w:r w:rsidRPr="00A11549">
        <w:t>Note 2</w:t>
      </w:r>
      <w:r w:rsidR="00502D6C" w:rsidRPr="00A11549">
        <w:t>4</w:t>
      </w:r>
      <w:r w:rsidRPr="00A11549">
        <w:t xml:space="preserve"> - Joint Audit Committee</w:t>
      </w:r>
      <w:bookmarkEnd w:id="39"/>
    </w:p>
    <w:p w14:paraId="26A9045B" w14:textId="77777777" w:rsidR="00CA6653" w:rsidRPr="00A11549" w:rsidRDefault="00CA6653" w:rsidP="00CA6653">
      <w:pPr>
        <w:pStyle w:val="Normal0"/>
        <w:jc w:val="both"/>
        <w:rPr>
          <w:rFonts w:ascii="Verdana" w:hAnsi="Verdana" w:cs="Arial"/>
        </w:rPr>
      </w:pPr>
    </w:p>
    <w:p w14:paraId="3D18E416" w14:textId="77777777" w:rsidR="00CA6653" w:rsidRPr="00A11549" w:rsidRDefault="00CA6653" w:rsidP="00CA6653">
      <w:pPr>
        <w:pStyle w:val="Normal0"/>
        <w:jc w:val="both"/>
        <w:rPr>
          <w:rFonts w:ascii="Verdana" w:hAnsi="Verdana" w:cs="Arial"/>
          <w:sz w:val="22"/>
          <w:szCs w:val="22"/>
        </w:rPr>
      </w:pPr>
      <w:r w:rsidRPr="00A11549">
        <w:rPr>
          <w:rFonts w:ascii="Verdana" w:eastAsia="Calibri" w:hAnsi="Verdana" w:cs="Arial"/>
          <w:sz w:val="22"/>
          <w:szCs w:val="22"/>
        </w:rPr>
        <w:t>Under the governance arrangements for policing, the Chief Constable and the PCC have a Joint Audit Committee to provide independent and effective assurance about the adequacy of financial management and reporting. The Committee help to raise the profile of internal control, risk management and financial reporting issues within Surrey Police and provide a forum for discussion with internal and external auditors.</w:t>
      </w:r>
    </w:p>
    <w:p w14:paraId="7EF2EF56" w14:textId="77777777" w:rsidR="00CA6653" w:rsidRPr="00A11549" w:rsidRDefault="00CA6653" w:rsidP="00CA6653">
      <w:pPr>
        <w:pStyle w:val="Normal0"/>
        <w:jc w:val="both"/>
        <w:rPr>
          <w:rFonts w:ascii="Verdana" w:hAnsi="Verdana" w:cs="Arial"/>
          <w:sz w:val="22"/>
          <w:szCs w:val="22"/>
        </w:rPr>
      </w:pPr>
    </w:p>
    <w:p w14:paraId="48D4C428" w14:textId="77777777" w:rsidR="00CA6653" w:rsidRPr="00A11549" w:rsidRDefault="00CA6653" w:rsidP="00CA6653">
      <w:pPr>
        <w:pStyle w:val="Normal0"/>
        <w:jc w:val="both"/>
        <w:rPr>
          <w:rFonts w:ascii="Verdana" w:hAnsi="Verdana" w:cs="Arial"/>
          <w:sz w:val="22"/>
          <w:szCs w:val="22"/>
        </w:rPr>
      </w:pPr>
      <w:r w:rsidRPr="00A11549">
        <w:rPr>
          <w:rFonts w:ascii="Verdana" w:eastAsia="Calibri" w:hAnsi="Verdana" w:cs="Arial"/>
          <w:sz w:val="22"/>
          <w:szCs w:val="22"/>
        </w:rPr>
        <w:t>Members’ Allowances for the Joint Audit Committee are:</w:t>
      </w:r>
    </w:p>
    <w:p w14:paraId="25760D92" w14:textId="77777777" w:rsidR="00CA6653" w:rsidRPr="00A11549" w:rsidRDefault="00CA6653" w:rsidP="00CA6653">
      <w:pPr>
        <w:pStyle w:val="Normal0"/>
        <w:jc w:val="both"/>
        <w:rPr>
          <w:rFonts w:ascii="Verdana" w:hAnsi="Verdana" w:cs="Arial"/>
          <w:sz w:val="22"/>
          <w:szCs w:val="22"/>
        </w:rPr>
      </w:pPr>
    </w:p>
    <w:p w14:paraId="3CF3681D" w14:textId="77777777" w:rsidR="00CA6653" w:rsidRPr="00A11549" w:rsidRDefault="00CA6653" w:rsidP="00CA6653">
      <w:pPr>
        <w:pStyle w:val="Normal0"/>
        <w:jc w:val="both"/>
        <w:rPr>
          <w:rFonts w:ascii="Verdana" w:hAnsi="Verdana" w:cs="Arial"/>
          <w:sz w:val="22"/>
          <w:szCs w:val="22"/>
        </w:rPr>
      </w:pPr>
      <w:r w:rsidRPr="00A11549">
        <w:rPr>
          <w:rFonts w:ascii="Verdana" w:eastAsia="Calibri" w:hAnsi="Verdana" w:cs="Arial"/>
          <w:sz w:val="22"/>
          <w:szCs w:val="22"/>
        </w:rPr>
        <w:t>Members’ Allowances</w:t>
      </w:r>
      <w:r w:rsidRPr="00A11549">
        <w:rPr>
          <w:rFonts w:ascii="Verdana" w:eastAsia="Calibri" w:hAnsi="Verdana" w:cs="Arial"/>
          <w:sz w:val="22"/>
          <w:szCs w:val="22"/>
        </w:rPr>
        <w:tab/>
      </w:r>
      <w:r w:rsidR="00A11549">
        <w:rPr>
          <w:rFonts w:ascii="Verdana" w:eastAsia="Calibri" w:hAnsi="Verdana" w:cs="Arial"/>
          <w:sz w:val="22"/>
          <w:szCs w:val="22"/>
        </w:rPr>
        <w:tab/>
      </w:r>
      <w:r w:rsidRPr="00A11549">
        <w:rPr>
          <w:rFonts w:ascii="Verdana" w:eastAsia="Calibri" w:hAnsi="Verdana" w:cs="Arial"/>
          <w:sz w:val="22"/>
          <w:szCs w:val="22"/>
        </w:rPr>
        <w:t>£1,7</w:t>
      </w:r>
      <w:r w:rsidR="00A11549">
        <w:rPr>
          <w:rFonts w:ascii="Verdana" w:eastAsia="Calibri" w:hAnsi="Verdana" w:cs="Arial"/>
          <w:sz w:val="22"/>
          <w:szCs w:val="22"/>
        </w:rPr>
        <w:t>9</w:t>
      </w:r>
      <w:r w:rsidR="00E97CF6" w:rsidRPr="00A11549">
        <w:rPr>
          <w:rFonts w:ascii="Verdana" w:eastAsia="Calibri" w:hAnsi="Verdana" w:cs="Arial"/>
          <w:sz w:val="22"/>
          <w:szCs w:val="22"/>
        </w:rPr>
        <w:t>8</w:t>
      </w:r>
      <w:r w:rsidRPr="00A11549">
        <w:rPr>
          <w:rFonts w:ascii="Verdana" w:eastAsia="Calibri" w:hAnsi="Verdana" w:cs="Arial"/>
          <w:sz w:val="22"/>
          <w:szCs w:val="22"/>
        </w:rPr>
        <w:t>.</w:t>
      </w:r>
      <w:r w:rsidR="00A11549">
        <w:rPr>
          <w:rFonts w:ascii="Verdana" w:eastAsia="Calibri" w:hAnsi="Verdana" w:cs="Arial"/>
          <w:sz w:val="22"/>
          <w:szCs w:val="22"/>
        </w:rPr>
        <w:t>53</w:t>
      </w:r>
      <w:r w:rsidRPr="00A11549">
        <w:rPr>
          <w:rFonts w:ascii="Verdana" w:eastAsia="Calibri" w:hAnsi="Verdana" w:cs="Arial"/>
          <w:sz w:val="22"/>
          <w:szCs w:val="22"/>
        </w:rPr>
        <w:t xml:space="preserve"> per annum</w:t>
      </w:r>
    </w:p>
    <w:p w14:paraId="60EE04B6" w14:textId="77777777" w:rsidR="00CA6653" w:rsidRPr="00A11549" w:rsidRDefault="00CA6653" w:rsidP="00CA6653">
      <w:pPr>
        <w:pStyle w:val="Normal0"/>
        <w:jc w:val="both"/>
        <w:rPr>
          <w:rFonts w:ascii="Verdana" w:hAnsi="Verdana" w:cs="Arial"/>
          <w:sz w:val="22"/>
          <w:szCs w:val="22"/>
        </w:rPr>
      </w:pPr>
    </w:p>
    <w:p w14:paraId="2637B4B4" w14:textId="77777777" w:rsidR="00CA6653" w:rsidRPr="00A11549" w:rsidRDefault="00CA6653" w:rsidP="00CA6653">
      <w:pPr>
        <w:pStyle w:val="Normal0"/>
        <w:jc w:val="both"/>
        <w:rPr>
          <w:rFonts w:ascii="Verdana" w:hAnsi="Verdana" w:cs="Arial"/>
          <w:sz w:val="22"/>
          <w:szCs w:val="22"/>
        </w:rPr>
      </w:pPr>
      <w:r w:rsidRPr="00A11549">
        <w:rPr>
          <w:rFonts w:ascii="Verdana" w:eastAsia="Calibri" w:hAnsi="Verdana" w:cs="Arial"/>
          <w:sz w:val="22"/>
          <w:szCs w:val="22"/>
        </w:rPr>
        <w:t xml:space="preserve">Chair Allowance </w:t>
      </w:r>
      <w:r w:rsidRPr="00A11549">
        <w:rPr>
          <w:rFonts w:ascii="Verdana" w:eastAsia="Calibri" w:hAnsi="Verdana" w:cs="Arial"/>
          <w:sz w:val="22"/>
          <w:szCs w:val="22"/>
        </w:rPr>
        <w:tab/>
      </w:r>
      <w:r w:rsidRPr="00A11549">
        <w:rPr>
          <w:rFonts w:ascii="Verdana" w:eastAsia="Calibri" w:hAnsi="Verdana" w:cs="Arial"/>
          <w:sz w:val="22"/>
          <w:szCs w:val="22"/>
        </w:rPr>
        <w:tab/>
      </w:r>
      <w:r w:rsidRPr="00A11549">
        <w:rPr>
          <w:rFonts w:ascii="Verdana" w:eastAsia="Calibri" w:hAnsi="Verdana" w:cs="Arial"/>
          <w:sz w:val="22"/>
          <w:szCs w:val="22"/>
        </w:rPr>
        <w:tab/>
        <w:t>£2,500.00 per annum</w:t>
      </w:r>
    </w:p>
    <w:p w14:paraId="421C1729" w14:textId="77777777" w:rsidR="00CA6653" w:rsidRPr="00A11549" w:rsidRDefault="00CA6653">
      <w:pPr>
        <w:pStyle w:val="Normal0"/>
        <w:rPr>
          <w:rFonts w:ascii="Verdana" w:hAnsi="Verdana" w:cs="Times New Roman"/>
          <w:sz w:val="22"/>
          <w:szCs w:val="22"/>
        </w:rPr>
      </w:pPr>
    </w:p>
    <w:p w14:paraId="4AB15B75" w14:textId="77777777" w:rsidR="00CA6653" w:rsidRPr="00C35004" w:rsidRDefault="00CA6653" w:rsidP="00A31A9E">
      <w:pPr>
        <w:pStyle w:val="Heading1"/>
      </w:pPr>
      <w:bookmarkStart w:id="40" w:name="_Toc75122793"/>
      <w:r w:rsidRPr="00537A0C">
        <w:t>Note 2</w:t>
      </w:r>
      <w:r w:rsidR="00502D6C" w:rsidRPr="00537A0C">
        <w:t>5</w:t>
      </w:r>
      <w:r w:rsidRPr="00C35004">
        <w:t xml:space="preserve"> - Officers’ Remuneration</w:t>
      </w:r>
      <w:bookmarkEnd w:id="40"/>
      <w:r w:rsidRPr="00C35004">
        <w:t xml:space="preserve"> </w:t>
      </w:r>
    </w:p>
    <w:p w14:paraId="4298AE47" w14:textId="17006BDE" w:rsidR="005127E5" w:rsidRDefault="005127E5">
      <w:pPr>
        <w:pStyle w:val="Normal0"/>
        <w:spacing w:after="160" w:line="259" w:lineRule="auto"/>
        <w:rPr>
          <w:rFonts w:ascii="Verdana" w:eastAsia="Verdana" w:hAnsi="Verdana" w:cs="Verdana"/>
          <w:sz w:val="22"/>
          <w:szCs w:val="22"/>
          <w:lang w:val="en-GB"/>
        </w:rPr>
      </w:pPr>
      <w:r>
        <w:rPr>
          <w:rFonts w:ascii="Verdana" w:eastAsia="Verdana" w:hAnsi="Verdana" w:cs="Verdana"/>
          <w:sz w:val="22"/>
          <w:szCs w:val="22"/>
          <w:lang w:val="en-GB"/>
        </w:rPr>
        <w:t>The Accounts and Audit Regulations 2015 requires the disclosure of remuneration details for police officers and police staff whose gross remuneration exceeded £50,000. In addition, remuneration details for senior employees, those earning a salary of over £150,000 and those in command of the Police and Crime Commissioner for Surrey organisations are also required to be disclosed.</w:t>
      </w:r>
    </w:p>
    <w:p w14:paraId="0636DC73" w14:textId="4C2FA580" w:rsidR="005127E5" w:rsidRDefault="005127E5">
      <w:pPr>
        <w:pStyle w:val="Normal0"/>
        <w:spacing w:after="160" w:line="259" w:lineRule="auto"/>
        <w:rPr>
          <w:rFonts w:ascii="Verdana" w:eastAsia="Verdana" w:hAnsi="Verdana" w:cs="Verdana"/>
          <w:sz w:val="22"/>
          <w:szCs w:val="22"/>
          <w:lang w:val="en-GB"/>
        </w:rPr>
      </w:pPr>
      <w:r>
        <w:rPr>
          <w:rFonts w:ascii="Verdana" w:eastAsia="Verdana" w:hAnsi="Verdana" w:cs="Verdana"/>
          <w:sz w:val="22"/>
          <w:szCs w:val="22"/>
          <w:lang w:val="en-GB"/>
        </w:rPr>
        <w:t>Remuneration is defined, by the regulations, as all sums subject to income tax, including expenses, but excluding employer pension contributions. This includes payments of accrued overtime, as well as annual increments, allowances, bonuses and pay awards.</w:t>
      </w:r>
    </w:p>
    <w:p w14:paraId="51221A5F" w14:textId="77777777" w:rsidR="005127E5" w:rsidRDefault="005127E5" w:rsidP="005127E5">
      <w:pPr>
        <w:pStyle w:val="Normal0"/>
        <w:spacing w:after="160" w:line="259" w:lineRule="auto"/>
        <w:rPr>
          <w:rFonts w:ascii="Verdana" w:eastAsia="Verdana" w:hAnsi="Verdana" w:cs="Verdana"/>
          <w:sz w:val="22"/>
          <w:szCs w:val="22"/>
          <w:lang w:val="en-GB"/>
        </w:rPr>
      </w:pPr>
      <w:r w:rsidRPr="00C35004">
        <w:rPr>
          <w:rFonts w:ascii="Verdana" w:eastAsia="Verdana" w:hAnsi="Verdana" w:cs="Verdana"/>
          <w:sz w:val="22"/>
          <w:szCs w:val="22"/>
          <w:lang w:val="en-GB"/>
        </w:rPr>
        <w:t>There are a small number of employees included that are seconded to other agencies. These costs are fully recovered.</w:t>
      </w:r>
    </w:p>
    <w:p w14:paraId="5AECF07F" w14:textId="56539016" w:rsidR="005127E5" w:rsidRDefault="005127E5">
      <w:pPr>
        <w:pStyle w:val="Normal0"/>
        <w:spacing w:after="160" w:line="259" w:lineRule="auto"/>
        <w:rPr>
          <w:rFonts w:ascii="Verdana" w:eastAsia="Verdana" w:hAnsi="Verdana" w:cs="Verdana"/>
          <w:sz w:val="22"/>
          <w:szCs w:val="22"/>
          <w:lang w:val="en-GB"/>
        </w:rPr>
      </w:pPr>
      <w:r>
        <w:rPr>
          <w:rFonts w:ascii="Verdana" w:eastAsia="Verdana" w:hAnsi="Verdana" w:cs="Verdana"/>
          <w:sz w:val="22"/>
          <w:szCs w:val="22"/>
          <w:lang w:val="en-GB"/>
        </w:rPr>
        <w:t>The table below shows the numbers of police officers and police staff with remuneration in excess of £50,000. This table excludes the senior employee positions which are shown separately further in this note.</w:t>
      </w:r>
    </w:p>
    <w:tbl>
      <w:tblPr>
        <w:tblW w:w="6184" w:type="dxa"/>
        <w:jc w:val="center"/>
        <w:tblLook w:val="04A0" w:firstRow="1" w:lastRow="0" w:firstColumn="1" w:lastColumn="0" w:noHBand="0" w:noVBand="1"/>
      </w:tblPr>
      <w:tblGrid>
        <w:gridCol w:w="1911"/>
        <w:gridCol w:w="2362"/>
        <w:gridCol w:w="1911"/>
      </w:tblGrid>
      <w:tr w:rsidR="00704337" w:rsidRPr="00704337" w14:paraId="6CC3822F" w14:textId="77777777" w:rsidTr="00704337">
        <w:trPr>
          <w:trHeight w:val="309"/>
          <w:jc w:val="center"/>
        </w:trPr>
        <w:tc>
          <w:tcPr>
            <w:tcW w:w="1911" w:type="dxa"/>
            <w:tcBorders>
              <w:top w:val="single" w:sz="4" w:space="0" w:color="auto"/>
              <w:left w:val="single" w:sz="4" w:space="0" w:color="auto"/>
              <w:bottom w:val="single" w:sz="4" w:space="0" w:color="auto"/>
              <w:right w:val="nil"/>
            </w:tcBorders>
            <w:shd w:val="clear" w:color="auto" w:fill="auto"/>
            <w:vAlign w:val="center"/>
            <w:hideMark/>
          </w:tcPr>
          <w:p w14:paraId="5D178CC5" w14:textId="77777777" w:rsidR="00704337" w:rsidRPr="00704337" w:rsidRDefault="00704337" w:rsidP="00FE0665">
            <w:pPr>
              <w:jc w:val="center"/>
              <w:rPr>
                <w:rFonts w:eastAsia="Times New Roman" w:cs="Times New Roman"/>
                <w:b/>
                <w:bCs/>
                <w:color w:val="000000"/>
                <w:sz w:val="16"/>
                <w:szCs w:val="16"/>
                <w:lang w:val="en-GB" w:eastAsia="en-GB"/>
              </w:rPr>
            </w:pPr>
            <w:r w:rsidRPr="00704337">
              <w:rPr>
                <w:rFonts w:eastAsia="Times New Roman" w:cs="Times New Roman"/>
                <w:b/>
                <w:bCs/>
                <w:color w:val="000000"/>
                <w:sz w:val="16"/>
                <w:szCs w:val="16"/>
                <w:lang w:val="en-GB" w:eastAsia="en-GB"/>
              </w:rPr>
              <w:t>No. Employees 31 March 2020</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03DF4" w14:textId="77777777" w:rsidR="00704337" w:rsidRPr="00704337" w:rsidRDefault="00704337" w:rsidP="00FE0665">
            <w:pPr>
              <w:jc w:val="center"/>
              <w:rPr>
                <w:rFonts w:eastAsia="Times New Roman" w:cs="Times New Roman"/>
                <w:b/>
                <w:bCs/>
                <w:color w:val="000000"/>
                <w:sz w:val="16"/>
                <w:szCs w:val="16"/>
                <w:lang w:val="en-GB" w:eastAsia="en-GB"/>
              </w:rPr>
            </w:pPr>
            <w:r w:rsidRPr="00704337">
              <w:rPr>
                <w:rFonts w:eastAsia="Times New Roman" w:cs="Times New Roman"/>
                <w:b/>
                <w:bCs/>
                <w:color w:val="000000"/>
                <w:sz w:val="16"/>
                <w:szCs w:val="16"/>
                <w:lang w:val="en-GB" w:eastAsia="en-GB"/>
              </w:rPr>
              <w:t xml:space="preserve">Gross Remuneration </w:t>
            </w:r>
            <w:r w:rsidRPr="00704337">
              <w:rPr>
                <w:rFonts w:eastAsia="Times New Roman" w:cs="Times New Roman"/>
                <w:b/>
                <w:bCs/>
                <w:color w:val="000000"/>
                <w:sz w:val="16"/>
                <w:szCs w:val="16"/>
                <w:lang w:val="en-GB" w:eastAsia="en-GB"/>
              </w:rPr>
              <w:br/>
              <w:t>£</w:t>
            </w:r>
          </w:p>
        </w:tc>
        <w:tc>
          <w:tcPr>
            <w:tcW w:w="1911" w:type="dxa"/>
            <w:tcBorders>
              <w:top w:val="single" w:sz="4" w:space="0" w:color="auto"/>
              <w:left w:val="nil"/>
              <w:bottom w:val="single" w:sz="4" w:space="0" w:color="auto"/>
              <w:right w:val="single" w:sz="4" w:space="0" w:color="auto"/>
            </w:tcBorders>
            <w:shd w:val="clear" w:color="auto" w:fill="auto"/>
            <w:vAlign w:val="center"/>
            <w:hideMark/>
          </w:tcPr>
          <w:p w14:paraId="31D5A90F" w14:textId="23031393" w:rsidR="00704337" w:rsidRPr="00704337" w:rsidRDefault="00704337">
            <w:pPr>
              <w:jc w:val="center"/>
              <w:rPr>
                <w:rFonts w:eastAsia="Times New Roman" w:cs="Times New Roman"/>
                <w:b/>
                <w:bCs/>
                <w:color w:val="000000"/>
                <w:sz w:val="16"/>
                <w:szCs w:val="16"/>
                <w:lang w:val="en-GB" w:eastAsia="en-GB"/>
              </w:rPr>
            </w:pPr>
            <w:r w:rsidRPr="00704337">
              <w:rPr>
                <w:rFonts w:eastAsia="Times New Roman" w:cs="Times New Roman"/>
                <w:b/>
                <w:bCs/>
                <w:color w:val="000000"/>
                <w:sz w:val="16"/>
                <w:szCs w:val="16"/>
                <w:lang w:val="en-GB" w:eastAsia="en-GB"/>
              </w:rPr>
              <w:t>No. Employees 31 March 202</w:t>
            </w:r>
            <w:r w:rsidR="006A37EE">
              <w:rPr>
                <w:rFonts w:eastAsia="Times New Roman" w:cs="Times New Roman"/>
                <w:b/>
                <w:bCs/>
                <w:color w:val="000000"/>
                <w:sz w:val="16"/>
                <w:szCs w:val="16"/>
                <w:lang w:val="en-GB" w:eastAsia="en-GB"/>
              </w:rPr>
              <w:t>1</w:t>
            </w:r>
          </w:p>
        </w:tc>
      </w:tr>
      <w:tr w:rsidR="00704337" w:rsidRPr="00704337" w14:paraId="2736C215"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236627D5"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269</w:t>
            </w:r>
          </w:p>
        </w:tc>
        <w:tc>
          <w:tcPr>
            <w:tcW w:w="2362" w:type="dxa"/>
            <w:tcBorders>
              <w:top w:val="nil"/>
              <w:left w:val="single" w:sz="4" w:space="0" w:color="auto"/>
              <w:bottom w:val="nil"/>
              <w:right w:val="single" w:sz="4" w:space="0" w:color="auto"/>
            </w:tcBorders>
            <w:shd w:val="clear" w:color="auto" w:fill="auto"/>
            <w:noWrap/>
            <w:vAlign w:val="center"/>
            <w:hideMark/>
          </w:tcPr>
          <w:p w14:paraId="2112D971"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50,000 to 54,999</w:t>
            </w:r>
          </w:p>
        </w:tc>
        <w:tc>
          <w:tcPr>
            <w:tcW w:w="1911" w:type="dxa"/>
            <w:tcBorders>
              <w:top w:val="nil"/>
              <w:left w:val="nil"/>
              <w:bottom w:val="nil"/>
              <w:right w:val="single" w:sz="4" w:space="0" w:color="auto"/>
            </w:tcBorders>
            <w:shd w:val="clear" w:color="auto" w:fill="auto"/>
            <w:noWrap/>
            <w:vAlign w:val="center"/>
            <w:hideMark/>
          </w:tcPr>
          <w:p w14:paraId="6B2C8D54"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319</w:t>
            </w:r>
          </w:p>
        </w:tc>
      </w:tr>
      <w:tr w:rsidR="00704337" w:rsidRPr="00704337" w14:paraId="119A1EF7"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7AC06F20"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130</w:t>
            </w:r>
          </w:p>
        </w:tc>
        <w:tc>
          <w:tcPr>
            <w:tcW w:w="2362" w:type="dxa"/>
            <w:tcBorders>
              <w:top w:val="nil"/>
              <w:left w:val="single" w:sz="4" w:space="0" w:color="auto"/>
              <w:bottom w:val="nil"/>
              <w:right w:val="single" w:sz="4" w:space="0" w:color="auto"/>
            </w:tcBorders>
            <w:shd w:val="clear" w:color="auto" w:fill="auto"/>
            <w:noWrap/>
            <w:vAlign w:val="center"/>
            <w:hideMark/>
          </w:tcPr>
          <w:p w14:paraId="4374141D"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55,000 to 59,999</w:t>
            </w:r>
          </w:p>
        </w:tc>
        <w:tc>
          <w:tcPr>
            <w:tcW w:w="1911" w:type="dxa"/>
            <w:tcBorders>
              <w:top w:val="nil"/>
              <w:left w:val="nil"/>
              <w:bottom w:val="nil"/>
              <w:right w:val="single" w:sz="4" w:space="0" w:color="auto"/>
            </w:tcBorders>
            <w:shd w:val="clear" w:color="auto" w:fill="auto"/>
            <w:noWrap/>
            <w:vAlign w:val="center"/>
            <w:hideMark/>
          </w:tcPr>
          <w:p w14:paraId="57346F2E"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173</w:t>
            </w:r>
          </w:p>
        </w:tc>
      </w:tr>
      <w:tr w:rsidR="00704337" w:rsidRPr="00704337" w14:paraId="4EC2F4DC"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60A2A8BE"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79</w:t>
            </w:r>
          </w:p>
        </w:tc>
        <w:tc>
          <w:tcPr>
            <w:tcW w:w="2362" w:type="dxa"/>
            <w:tcBorders>
              <w:top w:val="nil"/>
              <w:left w:val="single" w:sz="4" w:space="0" w:color="auto"/>
              <w:bottom w:val="nil"/>
              <w:right w:val="single" w:sz="4" w:space="0" w:color="auto"/>
            </w:tcBorders>
            <w:shd w:val="clear" w:color="auto" w:fill="auto"/>
            <w:noWrap/>
            <w:vAlign w:val="center"/>
            <w:hideMark/>
          </w:tcPr>
          <w:p w14:paraId="5B307802"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60,000 to 64,999</w:t>
            </w:r>
          </w:p>
        </w:tc>
        <w:tc>
          <w:tcPr>
            <w:tcW w:w="1911" w:type="dxa"/>
            <w:tcBorders>
              <w:top w:val="nil"/>
              <w:left w:val="nil"/>
              <w:bottom w:val="nil"/>
              <w:right w:val="single" w:sz="4" w:space="0" w:color="auto"/>
            </w:tcBorders>
            <w:shd w:val="clear" w:color="auto" w:fill="auto"/>
            <w:noWrap/>
            <w:vAlign w:val="center"/>
            <w:hideMark/>
          </w:tcPr>
          <w:p w14:paraId="6D78CFA6"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118</w:t>
            </w:r>
          </w:p>
        </w:tc>
      </w:tr>
      <w:tr w:rsidR="00704337" w:rsidRPr="00704337" w14:paraId="3B511451"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283888F2"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22</w:t>
            </w:r>
          </w:p>
        </w:tc>
        <w:tc>
          <w:tcPr>
            <w:tcW w:w="2362" w:type="dxa"/>
            <w:tcBorders>
              <w:top w:val="nil"/>
              <w:left w:val="single" w:sz="4" w:space="0" w:color="auto"/>
              <w:bottom w:val="nil"/>
              <w:right w:val="single" w:sz="4" w:space="0" w:color="auto"/>
            </w:tcBorders>
            <w:shd w:val="clear" w:color="auto" w:fill="auto"/>
            <w:noWrap/>
            <w:vAlign w:val="center"/>
            <w:hideMark/>
          </w:tcPr>
          <w:p w14:paraId="1BEA6A68"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65,000 to 69,999</w:t>
            </w:r>
          </w:p>
        </w:tc>
        <w:tc>
          <w:tcPr>
            <w:tcW w:w="1911" w:type="dxa"/>
            <w:tcBorders>
              <w:top w:val="nil"/>
              <w:left w:val="nil"/>
              <w:bottom w:val="nil"/>
              <w:right w:val="single" w:sz="4" w:space="0" w:color="auto"/>
            </w:tcBorders>
            <w:shd w:val="clear" w:color="auto" w:fill="auto"/>
            <w:noWrap/>
            <w:vAlign w:val="center"/>
            <w:hideMark/>
          </w:tcPr>
          <w:p w14:paraId="0B00DDFE"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20</w:t>
            </w:r>
          </w:p>
        </w:tc>
      </w:tr>
      <w:tr w:rsidR="00704337" w:rsidRPr="00704337" w14:paraId="3F15EFB7"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3085465C"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15</w:t>
            </w:r>
          </w:p>
        </w:tc>
        <w:tc>
          <w:tcPr>
            <w:tcW w:w="2362" w:type="dxa"/>
            <w:tcBorders>
              <w:top w:val="nil"/>
              <w:left w:val="single" w:sz="4" w:space="0" w:color="auto"/>
              <w:bottom w:val="nil"/>
              <w:right w:val="single" w:sz="4" w:space="0" w:color="auto"/>
            </w:tcBorders>
            <w:shd w:val="clear" w:color="auto" w:fill="auto"/>
            <w:noWrap/>
            <w:vAlign w:val="center"/>
            <w:hideMark/>
          </w:tcPr>
          <w:p w14:paraId="03E91696"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70,000 to 74,999</w:t>
            </w:r>
          </w:p>
        </w:tc>
        <w:tc>
          <w:tcPr>
            <w:tcW w:w="1911" w:type="dxa"/>
            <w:tcBorders>
              <w:top w:val="nil"/>
              <w:left w:val="nil"/>
              <w:bottom w:val="nil"/>
              <w:right w:val="single" w:sz="4" w:space="0" w:color="auto"/>
            </w:tcBorders>
            <w:shd w:val="clear" w:color="auto" w:fill="auto"/>
            <w:noWrap/>
            <w:vAlign w:val="center"/>
            <w:hideMark/>
          </w:tcPr>
          <w:p w14:paraId="20141FD5"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19</w:t>
            </w:r>
          </w:p>
        </w:tc>
      </w:tr>
      <w:tr w:rsidR="00704337" w:rsidRPr="00704337" w14:paraId="6A2C72C1"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479A284E"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7</w:t>
            </w:r>
          </w:p>
        </w:tc>
        <w:tc>
          <w:tcPr>
            <w:tcW w:w="2362" w:type="dxa"/>
            <w:tcBorders>
              <w:top w:val="nil"/>
              <w:left w:val="single" w:sz="4" w:space="0" w:color="auto"/>
              <w:bottom w:val="nil"/>
              <w:right w:val="single" w:sz="4" w:space="0" w:color="auto"/>
            </w:tcBorders>
            <w:shd w:val="clear" w:color="auto" w:fill="auto"/>
            <w:noWrap/>
            <w:vAlign w:val="center"/>
            <w:hideMark/>
          </w:tcPr>
          <w:p w14:paraId="0009169A"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75,000 to 79,999</w:t>
            </w:r>
          </w:p>
        </w:tc>
        <w:tc>
          <w:tcPr>
            <w:tcW w:w="1911" w:type="dxa"/>
            <w:tcBorders>
              <w:top w:val="nil"/>
              <w:left w:val="nil"/>
              <w:bottom w:val="nil"/>
              <w:right w:val="single" w:sz="4" w:space="0" w:color="auto"/>
            </w:tcBorders>
            <w:shd w:val="clear" w:color="auto" w:fill="auto"/>
            <w:noWrap/>
            <w:vAlign w:val="center"/>
            <w:hideMark/>
          </w:tcPr>
          <w:p w14:paraId="77B4B263"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11</w:t>
            </w:r>
          </w:p>
        </w:tc>
      </w:tr>
      <w:tr w:rsidR="00704337" w:rsidRPr="00704337" w14:paraId="157D4D24"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463B483B"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7</w:t>
            </w:r>
          </w:p>
        </w:tc>
        <w:tc>
          <w:tcPr>
            <w:tcW w:w="2362" w:type="dxa"/>
            <w:tcBorders>
              <w:top w:val="nil"/>
              <w:left w:val="single" w:sz="4" w:space="0" w:color="auto"/>
              <w:bottom w:val="nil"/>
              <w:right w:val="single" w:sz="4" w:space="0" w:color="auto"/>
            </w:tcBorders>
            <w:shd w:val="clear" w:color="auto" w:fill="auto"/>
            <w:noWrap/>
            <w:vAlign w:val="center"/>
            <w:hideMark/>
          </w:tcPr>
          <w:p w14:paraId="6B4ECB69"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80,000 to 84,999</w:t>
            </w:r>
          </w:p>
        </w:tc>
        <w:tc>
          <w:tcPr>
            <w:tcW w:w="1911" w:type="dxa"/>
            <w:tcBorders>
              <w:top w:val="nil"/>
              <w:left w:val="nil"/>
              <w:bottom w:val="nil"/>
              <w:right w:val="single" w:sz="4" w:space="0" w:color="auto"/>
            </w:tcBorders>
            <w:shd w:val="clear" w:color="auto" w:fill="auto"/>
            <w:noWrap/>
            <w:vAlign w:val="center"/>
            <w:hideMark/>
          </w:tcPr>
          <w:p w14:paraId="48DE5C07"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8</w:t>
            </w:r>
          </w:p>
        </w:tc>
      </w:tr>
      <w:tr w:rsidR="00704337" w:rsidRPr="00704337" w14:paraId="750F31F3"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03051455"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4</w:t>
            </w:r>
          </w:p>
        </w:tc>
        <w:tc>
          <w:tcPr>
            <w:tcW w:w="2362" w:type="dxa"/>
            <w:tcBorders>
              <w:top w:val="nil"/>
              <w:left w:val="single" w:sz="4" w:space="0" w:color="auto"/>
              <w:bottom w:val="nil"/>
              <w:right w:val="single" w:sz="4" w:space="0" w:color="auto"/>
            </w:tcBorders>
            <w:shd w:val="clear" w:color="auto" w:fill="auto"/>
            <w:noWrap/>
            <w:vAlign w:val="center"/>
            <w:hideMark/>
          </w:tcPr>
          <w:p w14:paraId="74E9A178"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85,000 to 89,999</w:t>
            </w:r>
          </w:p>
        </w:tc>
        <w:tc>
          <w:tcPr>
            <w:tcW w:w="1911" w:type="dxa"/>
            <w:tcBorders>
              <w:top w:val="nil"/>
              <w:left w:val="nil"/>
              <w:bottom w:val="nil"/>
              <w:right w:val="single" w:sz="4" w:space="0" w:color="auto"/>
            </w:tcBorders>
            <w:shd w:val="clear" w:color="auto" w:fill="auto"/>
            <w:noWrap/>
            <w:vAlign w:val="center"/>
            <w:hideMark/>
          </w:tcPr>
          <w:p w14:paraId="41E47953"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7</w:t>
            </w:r>
          </w:p>
        </w:tc>
      </w:tr>
      <w:tr w:rsidR="00704337" w:rsidRPr="00704337" w14:paraId="018C8BDE"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62FC3E72"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5</w:t>
            </w:r>
          </w:p>
        </w:tc>
        <w:tc>
          <w:tcPr>
            <w:tcW w:w="2362" w:type="dxa"/>
            <w:tcBorders>
              <w:top w:val="nil"/>
              <w:left w:val="single" w:sz="4" w:space="0" w:color="auto"/>
              <w:bottom w:val="nil"/>
              <w:right w:val="single" w:sz="4" w:space="0" w:color="auto"/>
            </w:tcBorders>
            <w:shd w:val="clear" w:color="auto" w:fill="auto"/>
            <w:noWrap/>
            <w:vAlign w:val="center"/>
            <w:hideMark/>
          </w:tcPr>
          <w:p w14:paraId="01F48F55"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90,000 to 94,999</w:t>
            </w:r>
          </w:p>
        </w:tc>
        <w:tc>
          <w:tcPr>
            <w:tcW w:w="1911" w:type="dxa"/>
            <w:tcBorders>
              <w:top w:val="nil"/>
              <w:left w:val="nil"/>
              <w:bottom w:val="nil"/>
              <w:right w:val="single" w:sz="4" w:space="0" w:color="auto"/>
            </w:tcBorders>
            <w:shd w:val="clear" w:color="auto" w:fill="auto"/>
            <w:noWrap/>
            <w:vAlign w:val="center"/>
            <w:hideMark/>
          </w:tcPr>
          <w:p w14:paraId="1E2B6348"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7</w:t>
            </w:r>
          </w:p>
        </w:tc>
      </w:tr>
      <w:tr w:rsidR="00704337" w:rsidRPr="00704337" w14:paraId="792EEBDA"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07DE6B70"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4</w:t>
            </w:r>
          </w:p>
        </w:tc>
        <w:tc>
          <w:tcPr>
            <w:tcW w:w="2362" w:type="dxa"/>
            <w:tcBorders>
              <w:top w:val="nil"/>
              <w:left w:val="single" w:sz="4" w:space="0" w:color="auto"/>
              <w:bottom w:val="nil"/>
              <w:right w:val="single" w:sz="4" w:space="0" w:color="auto"/>
            </w:tcBorders>
            <w:shd w:val="clear" w:color="auto" w:fill="auto"/>
            <w:noWrap/>
            <w:vAlign w:val="center"/>
            <w:hideMark/>
          </w:tcPr>
          <w:p w14:paraId="7ACC6C78"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95,000 to 99,999</w:t>
            </w:r>
          </w:p>
        </w:tc>
        <w:tc>
          <w:tcPr>
            <w:tcW w:w="1911" w:type="dxa"/>
            <w:tcBorders>
              <w:top w:val="nil"/>
              <w:left w:val="nil"/>
              <w:bottom w:val="nil"/>
              <w:right w:val="single" w:sz="4" w:space="0" w:color="auto"/>
            </w:tcBorders>
            <w:shd w:val="clear" w:color="auto" w:fill="auto"/>
            <w:noWrap/>
            <w:vAlign w:val="center"/>
            <w:hideMark/>
          </w:tcPr>
          <w:p w14:paraId="0F6A398F"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4</w:t>
            </w:r>
          </w:p>
        </w:tc>
      </w:tr>
      <w:tr w:rsidR="00704337" w:rsidRPr="00704337" w14:paraId="0BA7D439"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181B0049"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w:t>
            </w:r>
          </w:p>
        </w:tc>
        <w:tc>
          <w:tcPr>
            <w:tcW w:w="2362" w:type="dxa"/>
            <w:tcBorders>
              <w:top w:val="nil"/>
              <w:left w:val="single" w:sz="4" w:space="0" w:color="auto"/>
              <w:bottom w:val="nil"/>
              <w:right w:val="single" w:sz="4" w:space="0" w:color="auto"/>
            </w:tcBorders>
            <w:shd w:val="clear" w:color="auto" w:fill="auto"/>
            <w:noWrap/>
            <w:vAlign w:val="center"/>
            <w:hideMark/>
          </w:tcPr>
          <w:p w14:paraId="5EE6AE2F"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100,000 to 104,999</w:t>
            </w:r>
          </w:p>
        </w:tc>
        <w:tc>
          <w:tcPr>
            <w:tcW w:w="1911" w:type="dxa"/>
            <w:tcBorders>
              <w:top w:val="nil"/>
              <w:left w:val="nil"/>
              <w:bottom w:val="nil"/>
              <w:right w:val="single" w:sz="4" w:space="0" w:color="auto"/>
            </w:tcBorders>
            <w:shd w:val="clear" w:color="auto" w:fill="auto"/>
            <w:noWrap/>
            <w:vAlign w:val="center"/>
            <w:hideMark/>
          </w:tcPr>
          <w:p w14:paraId="52B52DB8"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0</w:t>
            </w:r>
          </w:p>
        </w:tc>
      </w:tr>
      <w:tr w:rsidR="00704337" w:rsidRPr="00704337" w14:paraId="20195128"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40854328"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w:t>
            </w:r>
          </w:p>
        </w:tc>
        <w:tc>
          <w:tcPr>
            <w:tcW w:w="2362" w:type="dxa"/>
            <w:tcBorders>
              <w:top w:val="nil"/>
              <w:left w:val="single" w:sz="4" w:space="0" w:color="auto"/>
              <w:bottom w:val="nil"/>
              <w:right w:val="single" w:sz="4" w:space="0" w:color="auto"/>
            </w:tcBorders>
            <w:shd w:val="clear" w:color="auto" w:fill="auto"/>
            <w:noWrap/>
            <w:vAlign w:val="center"/>
            <w:hideMark/>
          </w:tcPr>
          <w:p w14:paraId="536E3510"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105,000 to 109,999</w:t>
            </w:r>
          </w:p>
        </w:tc>
        <w:tc>
          <w:tcPr>
            <w:tcW w:w="1911" w:type="dxa"/>
            <w:tcBorders>
              <w:top w:val="nil"/>
              <w:left w:val="nil"/>
              <w:bottom w:val="nil"/>
              <w:right w:val="single" w:sz="4" w:space="0" w:color="auto"/>
            </w:tcBorders>
            <w:shd w:val="clear" w:color="auto" w:fill="auto"/>
            <w:noWrap/>
            <w:vAlign w:val="center"/>
            <w:hideMark/>
          </w:tcPr>
          <w:p w14:paraId="45F6975B"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0</w:t>
            </w:r>
          </w:p>
        </w:tc>
      </w:tr>
      <w:tr w:rsidR="00704337" w:rsidRPr="00704337" w14:paraId="3296E443"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064B2FDF"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0</w:t>
            </w:r>
          </w:p>
        </w:tc>
        <w:tc>
          <w:tcPr>
            <w:tcW w:w="2362" w:type="dxa"/>
            <w:tcBorders>
              <w:top w:val="nil"/>
              <w:left w:val="single" w:sz="4" w:space="0" w:color="auto"/>
              <w:bottom w:val="nil"/>
              <w:right w:val="single" w:sz="4" w:space="0" w:color="auto"/>
            </w:tcBorders>
            <w:shd w:val="clear" w:color="auto" w:fill="auto"/>
            <w:noWrap/>
            <w:vAlign w:val="center"/>
            <w:hideMark/>
          </w:tcPr>
          <w:p w14:paraId="0D78244E"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110,000 to 114,999</w:t>
            </w:r>
          </w:p>
        </w:tc>
        <w:tc>
          <w:tcPr>
            <w:tcW w:w="1911" w:type="dxa"/>
            <w:tcBorders>
              <w:top w:val="nil"/>
              <w:left w:val="nil"/>
              <w:bottom w:val="nil"/>
              <w:right w:val="single" w:sz="4" w:space="0" w:color="auto"/>
            </w:tcBorders>
            <w:shd w:val="clear" w:color="auto" w:fill="auto"/>
            <w:noWrap/>
            <w:vAlign w:val="center"/>
            <w:hideMark/>
          </w:tcPr>
          <w:p w14:paraId="551570D8"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w:t>
            </w:r>
          </w:p>
        </w:tc>
      </w:tr>
      <w:tr w:rsidR="00704337" w:rsidRPr="00704337" w14:paraId="58725244"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61BFB75A"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w:t>
            </w:r>
          </w:p>
        </w:tc>
        <w:tc>
          <w:tcPr>
            <w:tcW w:w="2362" w:type="dxa"/>
            <w:tcBorders>
              <w:top w:val="nil"/>
              <w:left w:val="single" w:sz="4" w:space="0" w:color="auto"/>
              <w:bottom w:val="nil"/>
              <w:right w:val="single" w:sz="4" w:space="0" w:color="auto"/>
            </w:tcBorders>
            <w:shd w:val="clear" w:color="auto" w:fill="auto"/>
            <w:noWrap/>
            <w:vAlign w:val="center"/>
            <w:hideMark/>
          </w:tcPr>
          <w:p w14:paraId="12E9EFCF"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115,000 to 119,999</w:t>
            </w:r>
          </w:p>
        </w:tc>
        <w:tc>
          <w:tcPr>
            <w:tcW w:w="1911" w:type="dxa"/>
            <w:tcBorders>
              <w:top w:val="nil"/>
              <w:left w:val="nil"/>
              <w:bottom w:val="nil"/>
              <w:right w:val="single" w:sz="4" w:space="0" w:color="auto"/>
            </w:tcBorders>
            <w:shd w:val="clear" w:color="auto" w:fill="auto"/>
            <w:noWrap/>
            <w:vAlign w:val="center"/>
            <w:hideMark/>
          </w:tcPr>
          <w:p w14:paraId="33A19232"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w:t>
            </w:r>
          </w:p>
        </w:tc>
      </w:tr>
      <w:tr w:rsidR="00704337" w:rsidRPr="00704337" w14:paraId="43D40D06"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34CAED32"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2</w:t>
            </w:r>
          </w:p>
        </w:tc>
        <w:tc>
          <w:tcPr>
            <w:tcW w:w="2362" w:type="dxa"/>
            <w:tcBorders>
              <w:top w:val="nil"/>
              <w:left w:val="single" w:sz="4" w:space="0" w:color="auto"/>
              <w:bottom w:val="nil"/>
              <w:right w:val="single" w:sz="4" w:space="0" w:color="auto"/>
            </w:tcBorders>
            <w:shd w:val="clear" w:color="auto" w:fill="auto"/>
            <w:noWrap/>
            <w:vAlign w:val="center"/>
            <w:hideMark/>
          </w:tcPr>
          <w:p w14:paraId="67FA5F9E"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120,000 to 124,999</w:t>
            </w:r>
          </w:p>
        </w:tc>
        <w:tc>
          <w:tcPr>
            <w:tcW w:w="1911" w:type="dxa"/>
            <w:tcBorders>
              <w:top w:val="nil"/>
              <w:left w:val="nil"/>
              <w:bottom w:val="nil"/>
              <w:right w:val="single" w:sz="4" w:space="0" w:color="auto"/>
            </w:tcBorders>
            <w:shd w:val="clear" w:color="auto" w:fill="auto"/>
            <w:noWrap/>
            <w:vAlign w:val="center"/>
            <w:hideMark/>
          </w:tcPr>
          <w:p w14:paraId="0B33230B"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w:t>
            </w:r>
          </w:p>
        </w:tc>
      </w:tr>
      <w:tr w:rsidR="00704337" w:rsidRPr="00704337" w14:paraId="45CFBDA9"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39048994"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0</w:t>
            </w:r>
          </w:p>
        </w:tc>
        <w:tc>
          <w:tcPr>
            <w:tcW w:w="2362" w:type="dxa"/>
            <w:tcBorders>
              <w:top w:val="nil"/>
              <w:left w:val="single" w:sz="4" w:space="0" w:color="auto"/>
              <w:bottom w:val="nil"/>
              <w:right w:val="single" w:sz="4" w:space="0" w:color="auto"/>
            </w:tcBorders>
            <w:shd w:val="clear" w:color="auto" w:fill="auto"/>
            <w:noWrap/>
            <w:vAlign w:val="center"/>
            <w:hideMark/>
          </w:tcPr>
          <w:p w14:paraId="7E1EC9E7"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125,000 to 129,999</w:t>
            </w:r>
          </w:p>
        </w:tc>
        <w:tc>
          <w:tcPr>
            <w:tcW w:w="1911" w:type="dxa"/>
            <w:tcBorders>
              <w:top w:val="nil"/>
              <w:left w:val="nil"/>
              <w:bottom w:val="nil"/>
              <w:right w:val="single" w:sz="4" w:space="0" w:color="auto"/>
            </w:tcBorders>
            <w:shd w:val="clear" w:color="auto" w:fill="auto"/>
            <w:noWrap/>
            <w:vAlign w:val="center"/>
            <w:hideMark/>
          </w:tcPr>
          <w:p w14:paraId="7E34ACA2"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w:t>
            </w:r>
          </w:p>
        </w:tc>
      </w:tr>
      <w:tr w:rsidR="00704337" w:rsidRPr="00704337" w14:paraId="153CECC4"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4DABCB25"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w:t>
            </w:r>
          </w:p>
        </w:tc>
        <w:tc>
          <w:tcPr>
            <w:tcW w:w="2362" w:type="dxa"/>
            <w:tcBorders>
              <w:top w:val="nil"/>
              <w:left w:val="single" w:sz="4" w:space="0" w:color="auto"/>
              <w:bottom w:val="nil"/>
              <w:right w:val="single" w:sz="4" w:space="0" w:color="auto"/>
            </w:tcBorders>
            <w:shd w:val="clear" w:color="auto" w:fill="auto"/>
            <w:noWrap/>
            <w:vAlign w:val="center"/>
            <w:hideMark/>
          </w:tcPr>
          <w:p w14:paraId="529D209C"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130,000 to 134,999</w:t>
            </w:r>
          </w:p>
        </w:tc>
        <w:tc>
          <w:tcPr>
            <w:tcW w:w="1911" w:type="dxa"/>
            <w:tcBorders>
              <w:top w:val="nil"/>
              <w:left w:val="nil"/>
              <w:bottom w:val="nil"/>
              <w:right w:val="single" w:sz="4" w:space="0" w:color="auto"/>
            </w:tcBorders>
            <w:shd w:val="clear" w:color="auto" w:fill="auto"/>
            <w:noWrap/>
            <w:vAlign w:val="center"/>
            <w:hideMark/>
          </w:tcPr>
          <w:p w14:paraId="70F8D62A"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w:t>
            </w:r>
          </w:p>
        </w:tc>
      </w:tr>
      <w:tr w:rsidR="00704337" w:rsidRPr="00704337" w14:paraId="15154BC9"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5D53D712"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w:t>
            </w:r>
          </w:p>
        </w:tc>
        <w:tc>
          <w:tcPr>
            <w:tcW w:w="2362" w:type="dxa"/>
            <w:tcBorders>
              <w:top w:val="nil"/>
              <w:left w:val="single" w:sz="4" w:space="0" w:color="auto"/>
              <w:bottom w:val="nil"/>
              <w:right w:val="single" w:sz="4" w:space="0" w:color="auto"/>
            </w:tcBorders>
            <w:shd w:val="clear" w:color="auto" w:fill="auto"/>
            <w:noWrap/>
            <w:vAlign w:val="center"/>
            <w:hideMark/>
          </w:tcPr>
          <w:p w14:paraId="746EAC65"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150,000 to 154,999</w:t>
            </w:r>
          </w:p>
        </w:tc>
        <w:tc>
          <w:tcPr>
            <w:tcW w:w="1911" w:type="dxa"/>
            <w:tcBorders>
              <w:top w:val="nil"/>
              <w:left w:val="nil"/>
              <w:bottom w:val="nil"/>
              <w:right w:val="single" w:sz="4" w:space="0" w:color="auto"/>
            </w:tcBorders>
            <w:shd w:val="clear" w:color="auto" w:fill="auto"/>
            <w:noWrap/>
            <w:vAlign w:val="center"/>
            <w:hideMark/>
          </w:tcPr>
          <w:p w14:paraId="54D89D3F"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0</w:t>
            </w:r>
          </w:p>
        </w:tc>
      </w:tr>
      <w:tr w:rsidR="00704337" w:rsidRPr="00704337" w14:paraId="7117324E" w14:textId="77777777" w:rsidTr="00704337">
        <w:trPr>
          <w:trHeight w:val="154"/>
          <w:jc w:val="center"/>
        </w:trPr>
        <w:tc>
          <w:tcPr>
            <w:tcW w:w="1911" w:type="dxa"/>
            <w:tcBorders>
              <w:top w:val="nil"/>
              <w:left w:val="single" w:sz="4" w:space="0" w:color="auto"/>
              <w:bottom w:val="nil"/>
              <w:right w:val="nil"/>
            </w:tcBorders>
            <w:shd w:val="clear" w:color="auto" w:fill="auto"/>
            <w:vAlign w:val="center"/>
            <w:hideMark/>
          </w:tcPr>
          <w:p w14:paraId="6D0925F3"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0</w:t>
            </w:r>
          </w:p>
        </w:tc>
        <w:tc>
          <w:tcPr>
            <w:tcW w:w="2362" w:type="dxa"/>
            <w:tcBorders>
              <w:top w:val="nil"/>
              <w:left w:val="single" w:sz="4" w:space="0" w:color="auto"/>
              <w:bottom w:val="nil"/>
              <w:right w:val="single" w:sz="4" w:space="0" w:color="auto"/>
            </w:tcBorders>
            <w:shd w:val="clear" w:color="auto" w:fill="auto"/>
            <w:noWrap/>
            <w:vAlign w:val="center"/>
            <w:hideMark/>
          </w:tcPr>
          <w:p w14:paraId="1301C381"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155,000 to 159,999</w:t>
            </w:r>
          </w:p>
        </w:tc>
        <w:tc>
          <w:tcPr>
            <w:tcW w:w="1911" w:type="dxa"/>
            <w:tcBorders>
              <w:top w:val="nil"/>
              <w:left w:val="nil"/>
              <w:bottom w:val="nil"/>
              <w:right w:val="single" w:sz="4" w:space="0" w:color="auto"/>
            </w:tcBorders>
            <w:shd w:val="clear" w:color="auto" w:fill="auto"/>
            <w:noWrap/>
            <w:vAlign w:val="center"/>
            <w:hideMark/>
          </w:tcPr>
          <w:p w14:paraId="45B5F8D1" w14:textId="77777777" w:rsidR="00704337" w:rsidRPr="00704337" w:rsidRDefault="00704337" w:rsidP="00FE0665">
            <w:pPr>
              <w:jc w:val="center"/>
              <w:rPr>
                <w:rFonts w:eastAsia="Times New Roman" w:cs="Times New Roman"/>
                <w:color w:val="000000"/>
                <w:sz w:val="16"/>
                <w:szCs w:val="16"/>
                <w:lang w:val="en-GB" w:eastAsia="en-GB"/>
              </w:rPr>
            </w:pPr>
            <w:r w:rsidRPr="00704337">
              <w:rPr>
                <w:rFonts w:eastAsia="Times New Roman" w:cs="Times New Roman"/>
                <w:color w:val="000000"/>
                <w:sz w:val="16"/>
                <w:szCs w:val="16"/>
                <w:lang w:val="en-GB" w:eastAsia="en-GB"/>
              </w:rPr>
              <w:t>1</w:t>
            </w:r>
          </w:p>
        </w:tc>
      </w:tr>
      <w:tr w:rsidR="00704337" w:rsidRPr="00704337" w14:paraId="70F8E2A0" w14:textId="77777777" w:rsidTr="00704337">
        <w:trPr>
          <w:trHeight w:val="154"/>
          <w:jc w:val="center"/>
        </w:trPr>
        <w:tc>
          <w:tcPr>
            <w:tcW w:w="1911" w:type="dxa"/>
            <w:tcBorders>
              <w:top w:val="single" w:sz="4" w:space="0" w:color="auto"/>
              <w:left w:val="single" w:sz="4" w:space="0" w:color="auto"/>
              <w:bottom w:val="single" w:sz="4" w:space="0" w:color="auto"/>
              <w:right w:val="nil"/>
            </w:tcBorders>
            <w:shd w:val="clear" w:color="auto" w:fill="auto"/>
            <w:vAlign w:val="center"/>
            <w:hideMark/>
          </w:tcPr>
          <w:p w14:paraId="21F1C603" w14:textId="77777777" w:rsidR="00704337" w:rsidRPr="00704337" w:rsidRDefault="00704337" w:rsidP="00FE0665">
            <w:pPr>
              <w:jc w:val="center"/>
              <w:rPr>
                <w:rFonts w:eastAsia="Times New Roman" w:cs="Times New Roman"/>
                <w:b/>
                <w:bCs/>
                <w:color w:val="000000"/>
                <w:sz w:val="16"/>
                <w:szCs w:val="16"/>
                <w:lang w:val="en-GB" w:eastAsia="en-GB"/>
              </w:rPr>
            </w:pPr>
            <w:r w:rsidRPr="00704337">
              <w:rPr>
                <w:rFonts w:eastAsia="Times New Roman" w:cs="Times New Roman"/>
                <w:b/>
                <w:bCs/>
                <w:color w:val="000000"/>
                <w:sz w:val="16"/>
                <w:szCs w:val="16"/>
                <w:lang w:val="en-GB" w:eastAsia="en-GB"/>
              </w:rPr>
              <w:t>549</w:t>
            </w:r>
          </w:p>
        </w:tc>
        <w:tc>
          <w:tcPr>
            <w:tcW w:w="2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61550" w14:textId="77777777" w:rsidR="00704337" w:rsidRPr="00704337" w:rsidRDefault="00704337" w:rsidP="00FE0665">
            <w:pPr>
              <w:rPr>
                <w:rFonts w:eastAsia="Times New Roman" w:cs="Times New Roman"/>
                <w:b/>
                <w:bCs/>
                <w:color w:val="000000"/>
                <w:sz w:val="16"/>
                <w:szCs w:val="16"/>
                <w:lang w:val="en-GB" w:eastAsia="en-GB"/>
              </w:rPr>
            </w:pPr>
            <w:r w:rsidRPr="00704337">
              <w:rPr>
                <w:rFonts w:eastAsia="Times New Roman" w:cs="Times New Roman"/>
                <w:b/>
                <w:bCs/>
                <w:color w:val="000000"/>
                <w:sz w:val="16"/>
                <w:szCs w:val="16"/>
                <w:lang w:val="en-GB" w:eastAsia="en-GB"/>
              </w:rPr>
              <w:t>Total</w:t>
            </w:r>
          </w:p>
        </w:tc>
        <w:tc>
          <w:tcPr>
            <w:tcW w:w="1911" w:type="dxa"/>
            <w:tcBorders>
              <w:top w:val="single" w:sz="4" w:space="0" w:color="auto"/>
              <w:left w:val="nil"/>
              <w:bottom w:val="single" w:sz="4" w:space="0" w:color="auto"/>
              <w:right w:val="single" w:sz="4" w:space="0" w:color="auto"/>
            </w:tcBorders>
            <w:shd w:val="clear" w:color="auto" w:fill="auto"/>
            <w:vAlign w:val="center"/>
            <w:hideMark/>
          </w:tcPr>
          <w:p w14:paraId="42AC8F0E" w14:textId="77777777" w:rsidR="00704337" w:rsidRPr="00704337" w:rsidRDefault="00704337" w:rsidP="00FE0665">
            <w:pPr>
              <w:jc w:val="center"/>
              <w:rPr>
                <w:rFonts w:eastAsia="Times New Roman" w:cs="Times New Roman"/>
                <w:b/>
                <w:bCs/>
                <w:color w:val="000000"/>
                <w:sz w:val="16"/>
                <w:szCs w:val="16"/>
                <w:lang w:val="en-GB" w:eastAsia="en-GB"/>
              </w:rPr>
            </w:pPr>
            <w:r w:rsidRPr="00704337">
              <w:rPr>
                <w:rFonts w:eastAsia="Times New Roman" w:cs="Times New Roman"/>
                <w:b/>
                <w:bCs/>
                <w:color w:val="000000"/>
                <w:sz w:val="16"/>
                <w:szCs w:val="16"/>
                <w:lang w:val="en-GB" w:eastAsia="en-GB"/>
              </w:rPr>
              <w:t>692</w:t>
            </w:r>
          </w:p>
        </w:tc>
      </w:tr>
    </w:tbl>
    <w:p w14:paraId="34537F88" w14:textId="77777777" w:rsidR="00704337" w:rsidRDefault="00704337">
      <w:pPr>
        <w:pStyle w:val="Normal0"/>
        <w:spacing w:after="160" w:line="259" w:lineRule="auto"/>
        <w:rPr>
          <w:rFonts w:ascii="Verdana" w:eastAsia="Verdana" w:hAnsi="Verdana" w:cs="Verdana"/>
          <w:sz w:val="22"/>
          <w:szCs w:val="22"/>
          <w:lang w:val="en-GB"/>
        </w:rPr>
      </w:pPr>
    </w:p>
    <w:p w14:paraId="02504945" w14:textId="67DC563C" w:rsidR="00704337" w:rsidRPr="00704337" w:rsidRDefault="00704337">
      <w:pPr>
        <w:pStyle w:val="Normal0"/>
        <w:spacing w:after="160" w:line="259" w:lineRule="auto"/>
        <w:rPr>
          <w:rFonts w:ascii="Verdana" w:eastAsia="Verdana" w:hAnsi="Verdana" w:cs="Verdana"/>
          <w:b/>
          <w:sz w:val="22"/>
          <w:szCs w:val="22"/>
          <w:lang w:val="en-GB"/>
        </w:rPr>
      </w:pPr>
      <w:r w:rsidRPr="00704337">
        <w:rPr>
          <w:rFonts w:ascii="Verdana" w:eastAsia="Verdana" w:hAnsi="Verdana" w:cs="Verdana"/>
          <w:b/>
          <w:sz w:val="22"/>
          <w:szCs w:val="22"/>
          <w:lang w:val="en-GB"/>
        </w:rPr>
        <w:t>Remuneration paid to senior employees during 2020/21:</w:t>
      </w:r>
    </w:p>
    <w:tbl>
      <w:tblPr>
        <w:tblW w:w="14008" w:type="dxa"/>
        <w:tblLook w:val="04A0" w:firstRow="1" w:lastRow="0" w:firstColumn="1" w:lastColumn="0" w:noHBand="0" w:noVBand="1"/>
      </w:tblPr>
      <w:tblGrid>
        <w:gridCol w:w="4105"/>
        <w:gridCol w:w="1674"/>
        <w:gridCol w:w="1370"/>
        <w:gridCol w:w="1333"/>
        <w:gridCol w:w="1438"/>
        <w:gridCol w:w="989"/>
        <w:gridCol w:w="1260"/>
        <w:gridCol w:w="1839"/>
      </w:tblGrid>
      <w:tr w:rsidR="00CE653F" w:rsidRPr="00CE653F" w14:paraId="30219EB9" w14:textId="77777777" w:rsidTr="00704337">
        <w:trPr>
          <w:trHeight w:val="565"/>
        </w:trPr>
        <w:tc>
          <w:tcPr>
            <w:tcW w:w="4105" w:type="dxa"/>
            <w:tcBorders>
              <w:top w:val="single" w:sz="4" w:space="0" w:color="auto"/>
              <w:left w:val="single" w:sz="4" w:space="0" w:color="auto"/>
              <w:bottom w:val="single" w:sz="4" w:space="0" w:color="auto"/>
              <w:right w:val="nil"/>
            </w:tcBorders>
            <w:shd w:val="clear" w:color="000000" w:fill="FFFFFF"/>
            <w:vAlign w:val="center"/>
            <w:hideMark/>
          </w:tcPr>
          <w:p w14:paraId="3EA95AF0" w14:textId="77777777" w:rsidR="00CE653F" w:rsidRPr="00CE653F" w:rsidRDefault="00CE653F" w:rsidP="00CE653F">
            <w:pPr>
              <w:jc w:val="cente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Position</w:t>
            </w:r>
          </w:p>
        </w:tc>
        <w:tc>
          <w:tcPr>
            <w:tcW w:w="1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27CBD" w14:textId="77777777" w:rsidR="00CE653F" w:rsidRPr="00CE653F" w:rsidRDefault="00CE653F" w:rsidP="00CE653F">
            <w:pPr>
              <w:jc w:val="cente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Position Start Date</w:t>
            </w:r>
          </w:p>
        </w:tc>
        <w:tc>
          <w:tcPr>
            <w:tcW w:w="1370" w:type="dxa"/>
            <w:tcBorders>
              <w:top w:val="single" w:sz="4" w:space="0" w:color="auto"/>
              <w:left w:val="nil"/>
              <w:bottom w:val="single" w:sz="4" w:space="0" w:color="auto"/>
              <w:right w:val="nil"/>
            </w:tcBorders>
            <w:shd w:val="clear" w:color="000000" w:fill="FFFFFF"/>
            <w:vAlign w:val="center"/>
            <w:hideMark/>
          </w:tcPr>
          <w:p w14:paraId="1A480015" w14:textId="77777777" w:rsidR="00CE653F" w:rsidRPr="00CE653F" w:rsidRDefault="00CE653F" w:rsidP="00CE653F">
            <w:pPr>
              <w:jc w:val="cente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Position End Date</w:t>
            </w:r>
          </w:p>
        </w:tc>
        <w:tc>
          <w:tcPr>
            <w:tcW w:w="1333" w:type="dxa"/>
            <w:tcBorders>
              <w:top w:val="single" w:sz="4" w:space="0" w:color="auto"/>
              <w:left w:val="single" w:sz="4" w:space="0" w:color="auto"/>
              <w:bottom w:val="single" w:sz="4" w:space="0" w:color="auto"/>
              <w:right w:val="nil"/>
            </w:tcBorders>
            <w:shd w:val="clear" w:color="000000" w:fill="FFFFFF"/>
            <w:vAlign w:val="center"/>
            <w:hideMark/>
          </w:tcPr>
          <w:p w14:paraId="5737D98E" w14:textId="77777777" w:rsidR="00CE653F" w:rsidRPr="00CE653F" w:rsidRDefault="00CE653F" w:rsidP="00CE653F">
            <w:pPr>
              <w:jc w:val="cente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Salary, Fees &amp; Allowances</w:t>
            </w:r>
          </w:p>
        </w:tc>
        <w:tc>
          <w:tcPr>
            <w:tcW w:w="1438" w:type="dxa"/>
            <w:tcBorders>
              <w:top w:val="single" w:sz="4" w:space="0" w:color="auto"/>
              <w:left w:val="single" w:sz="4" w:space="0" w:color="auto"/>
              <w:bottom w:val="single" w:sz="4" w:space="0" w:color="auto"/>
              <w:right w:val="nil"/>
            </w:tcBorders>
            <w:shd w:val="clear" w:color="000000" w:fill="FFFFFF"/>
            <w:vAlign w:val="center"/>
            <w:hideMark/>
          </w:tcPr>
          <w:p w14:paraId="14A208B6" w14:textId="77777777" w:rsidR="00CE653F" w:rsidRPr="00CE653F" w:rsidRDefault="00CE653F" w:rsidP="00CE653F">
            <w:pPr>
              <w:jc w:val="cente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Employers Pension Contribution</w:t>
            </w: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4E5B7" w14:textId="77777777" w:rsidR="00CE653F" w:rsidRPr="00CE653F" w:rsidRDefault="00CE653F" w:rsidP="00CE653F">
            <w:pPr>
              <w:jc w:val="cente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Benefit in kind</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335D6EC7" w14:textId="77777777" w:rsidR="00CE653F" w:rsidRPr="00CE653F" w:rsidRDefault="00CE653F" w:rsidP="00CE653F">
            <w:pPr>
              <w:jc w:val="cente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Annual Leave not yet taken</w:t>
            </w:r>
          </w:p>
        </w:tc>
        <w:tc>
          <w:tcPr>
            <w:tcW w:w="1839" w:type="dxa"/>
            <w:tcBorders>
              <w:top w:val="single" w:sz="4" w:space="0" w:color="auto"/>
              <w:left w:val="nil"/>
              <w:bottom w:val="single" w:sz="4" w:space="0" w:color="auto"/>
              <w:right w:val="single" w:sz="4" w:space="0" w:color="auto"/>
            </w:tcBorders>
            <w:shd w:val="clear" w:color="000000" w:fill="FFFFFF"/>
            <w:vAlign w:val="center"/>
            <w:hideMark/>
          </w:tcPr>
          <w:p w14:paraId="226FA535" w14:textId="77777777" w:rsidR="00CE653F" w:rsidRPr="00CE653F" w:rsidRDefault="00CE653F" w:rsidP="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xml:space="preserve">Total Remuneration </w:t>
            </w:r>
          </w:p>
        </w:tc>
      </w:tr>
      <w:tr w:rsidR="00CE653F" w:rsidRPr="00CE653F" w14:paraId="4CBC5209" w14:textId="77777777" w:rsidTr="00704337">
        <w:trPr>
          <w:trHeight w:val="232"/>
        </w:trPr>
        <w:tc>
          <w:tcPr>
            <w:tcW w:w="4105" w:type="dxa"/>
            <w:tcBorders>
              <w:top w:val="nil"/>
              <w:left w:val="single" w:sz="4" w:space="0" w:color="auto"/>
              <w:bottom w:val="single" w:sz="4" w:space="0" w:color="auto"/>
              <w:right w:val="nil"/>
            </w:tcBorders>
            <w:shd w:val="clear" w:color="000000" w:fill="FFFFFF"/>
            <w:noWrap/>
            <w:vAlign w:val="center"/>
            <w:hideMark/>
          </w:tcPr>
          <w:p w14:paraId="14D2E917" w14:textId="77777777" w:rsidR="00CE653F" w:rsidRPr="00CE653F" w:rsidRDefault="00CE653F" w:rsidP="00CE653F">
            <w:pP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c>
          <w:tcPr>
            <w:tcW w:w="1674" w:type="dxa"/>
            <w:tcBorders>
              <w:top w:val="nil"/>
              <w:left w:val="single" w:sz="4" w:space="0" w:color="auto"/>
              <w:bottom w:val="single" w:sz="4" w:space="0" w:color="auto"/>
              <w:right w:val="single" w:sz="4" w:space="0" w:color="auto"/>
            </w:tcBorders>
            <w:shd w:val="clear" w:color="000000" w:fill="FFFFFF"/>
            <w:noWrap/>
            <w:vAlign w:val="center"/>
            <w:hideMark/>
          </w:tcPr>
          <w:p w14:paraId="7A44CE93" w14:textId="77777777" w:rsidR="00CE653F" w:rsidRPr="00CE653F" w:rsidRDefault="00CE653F" w:rsidP="00CE653F">
            <w:pP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c>
          <w:tcPr>
            <w:tcW w:w="1370" w:type="dxa"/>
            <w:tcBorders>
              <w:top w:val="nil"/>
              <w:left w:val="nil"/>
              <w:bottom w:val="single" w:sz="4" w:space="0" w:color="auto"/>
              <w:right w:val="nil"/>
            </w:tcBorders>
            <w:shd w:val="clear" w:color="000000" w:fill="FFFFFF"/>
            <w:noWrap/>
            <w:vAlign w:val="center"/>
            <w:hideMark/>
          </w:tcPr>
          <w:p w14:paraId="3CB5D896" w14:textId="77777777" w:rsidR="00CE653F" w:rsidRPr="00CE653F" w:rsidRDefault="00CE653F" w:rsidP="00CE653F">
            <w:pP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c>
          <w:tcPr>
            <w:tcW w:w="1333" w:type="dxa"/>
            <w:tcBorders>
              <w:top w:val="nil"/>
              <w:left w:val="single" w:sz="4" w:space="0" w:color="auto"/>
              <w:bottom w:val="single" w:sz="4" w:space="0" w:color="auto"/>
              <w:right w:val="nil"/>
            </w:tcBorders>
            <w:shd w:val="clear" w:color="000000" w:fill="FFFFFF"/>
            <w:noWrap/>
            <w:vAlign w:val="center"/>
            <w:hideMark/>
          </w:tcPr>
          <w:p w14:paraId="2742BDA6" w14:textId="77777777" w:rsidR="00CE653F" w:rsidRPr="00CE653F" w:rsidRDefault="00CE653F" w:rsidP="00CE653F">
            <w:pPr>
              <w:jc w:val="cente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w:t>
            </w:r>
          </w:p>
        </w:tc>
        <w:tc>
          <w:tcPr>
            <w:tcW w:w="1438" w:type="dxa"/>
            <w:tcBorders>
              <w:top w:val="nil"/>
              <w:left w:val="single" w:sz="4" w:space="0" w:color="auto"/>
              <w:bottom w:val="single" w:sz="4" w:space="0" w:color="auto"/>
              <w:right w:val="nil"/>
            </w:tcBorders>
            <w:shd w:val="clear" w:color="000000" w:fill="FFFFFF"/>
            <w:noWrap/>
            <w:vAlign w:val="center"/>
            <w:hideMark/>
          </w:tcPr>
          <w:p w14:paraId="467243E6" w14:textId="77777777" w:rsidR="00CE653F" w:rsidRPr="00CE653F" w:rsidRDefault="00CE653F" w:rsidP="00CE653F">
            <w:pPr>
              <w:jc w:val="cente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w:t>
            </w:r>
          </w:p>
        </w:tc>
        <w:tc>
          <w:tcPr>
            <w:tcW w:w="989" w:type="dxa"/>
            <w:tcBorders>
              <w:top w:val="nil"/>
              <w:left w:val="single" w:sz="4" w:space="0" w:color="auto"/>
              <w:bottom w:val="single" w:sz="4" w:space="0" w:color="auto"/>
              <w:right w:val="single" w:sz="4" w:space="0" w:color="auto"/>
            </w:tcBorders>
            <w:shd w:val="clear" w:color="000000" w:fill="FFFFFF"/>
            <w:noWrap/>
            <w:vAlign w:val="center"/>
            <w:hideMark/>
          </w:tcPr>
          <w:p w14:paraId="28A3AA0B" w14:textId="77777777" w:rsidR="00CE653F" w:rsidRPr="00CE653F" w:rsidRDefault="00CE653F" w:rsidP="00CE653F">
            <w:pPr>
              <w:jc w:val="cente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w:t>
            </w:r>
          </w:p>
        </w:tc>
        <w:tc>
          <w:tcPr>
            <w:tcW w:w="1260" w:type="dxa"/>
            <w:tcBorders>
              <w:top w:val="nil"/>
              <w:left w:val="nil"/>
              <w:bottom w:val="single" w:sz="4" w:space="0" w:color="auto"/>
              <w:right w:val="single" w:sz="4" w:space="0" w:color="auto"/>
            </w:tcBorders>
            <w:shd w:val="clear" w:color="000000" w:fill="FFFFFF"/>
            <w:noWrap/>
            <w:vAlign w:val="center"/>
            <w:hideMark/>
          </w:tcPr>
          <w:p w14:paraId="29BF3985" w14:textId="77777777" w:rsidR="00CE653F" w:rsidRPr="00CE653F" w:rsidRDefault="00CE653F" w:rsidP="00CE653F">
            <w:pPr>
              <w:jc w:val="cente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w:t>
            </w:r>
          </w:p>
        </w:tc>
        <w:tc>
          <w:tcPr>
            <w:tcW w:w="1839" w:type="dxa"/>
            <w:tcBorders>
              <w:top w:val="nil"/>
              <w:left w:val="nil"/>
              <w:bottom w:val="single" w:sz="4" w:space="0" w:color="auto"/>
              <w:right w:val="single" w:sz="4" w:space="0" w:color="auto"/>
            </w:tcBorders>
            <w:shd w:val="clear" w:color="000000" w:fill="FFFFFF"/>
            <w:noWrap/>
            <w:vAlign w:val="center"/>
            <w:hideMark/>
          </w:tcPr>
          <w:p w14:paraId="280E6EC5" w14:textId="77777777" w:rsidR="00CE653F" w:rsidRPr="00CE653F" w:rsidRDefault="00CE653F" w:rsidP="00CE653F">
            <w:pPr>
              <w:jc w:val="cente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w:t>
            </w:r>
          </w:p>
        </w:tc>
      </w:tr>
      <w:tr w:rsidR="00CE653F" w:rsidRPr="00CE653F" w14:paraId="1376168E" w14:textId="77777777" w:rsidTr="00704337">
        <w:trPr>
          <w:trHeight w:val="272"/>
        </w:trPr>
        <w:tc>
          <w:tcPr>
            <w:tcW w:w="4105" w:type="dxa"/>
            <w:tcBorders>
              <w:top w:val="nil"/>
              <w:left w:val="single" w:sz="4" w:space="0" w:color="auto"/>
              <w:bottom w:val="nil"/>
              <w:right w:val="nil"/>
            </w:tcBorders>
            <w:shd w:val="clear" w:color="000000" w:fill="FFFFFF"/>
            <w:noWrap/>
            <w:vAlign w:val="center"/>
            <w:hideMark/>
          </w:tcPr>
          <w:p w14:paraId="6FA3EE45" w14:textId="77777777" w:rsidR="00CE653F" w:rsidRPr="00CE653F" w:rsidRDefault="00CE653F" w:rsidP="00CE653F">
            <w:pP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Police Officers</w:t>
            </w:r>
          </w:p>
        </w:tc>
        <w:tc>
          <w:tcPr>
            <w:tcW w:w="1674" w:type="dxa"/>
            <w:tcBorders>
              <w:top w:val="nil"/>
              <w:left w:val="single" w:sz="4" w:space="0" w:color="auto"/>
              <w:bottom w:val="nil"/>
              <w:right w:val="single" w:sz="4" w:space="0" w:color="auto"/>
            </w:tcBorders>
            <w:shd w:val="clear" w:color="000000" w:fill="FFFFFF"/>
            <w:noWrap/>
            <w:vAlign w:val="center"/>
            <w:hideMark/>
          </w:tcPr>
          <w:p w14:paraId="7EF8C672" w14:textId="2CD677D0" w:rsidR="00CE653F" w:rsidRPr="00CE653F" w:rsidRDefault="00CE653F" w:rsidP="0041394A">
            <w:pPr>
              <w:jc w:val="center"/>
              <w:rPr>
                <w:rFonts w:eastAsia="Times New Roman" w:cs="Calibri"/>
                <w:b/>
                <w:bCs/>
                <w:color w:val="000000"/>
                <w:sz w:val="16"/>
                <w:szCs w:val="16"/>
                <w:lang w:val="en-GB" w:eastAsia="en-GB"/>
              </w:rPr>
            </w:pPr>
          </w:p>
        </w:tc>
        <w:tc>
          <w:tcPr>
            <w:tcW w:w="1370" w:type="dxa"/>
            <w:tcBorders>
              <w:top w:val="nil"/>
              <w:left w:val="nil"/>
              <w:bottom w:val="nil"/>
              <w:right w:val="nil"/>
            </w:tcBorders>
            <w:shd w:val="clear" w:color="000000" w:fill="FFFFFF"/>
            <w:noWrap/>
            <w:vAlign w:val="center"/>
            <w:hideMark/>
          </w:tcPr>
          <w:p w14:paraId="28E20D82" w14:textId="3ABF2C3F" w:rsidR="00CE653F" w:rsidRPr="00CE653F" w:rsidRDefault="00CE653F" w:rsidP="0041394A">
            <w:pPr>
              <w:jc w:val="center"/>
              <w:rPr>
                <w:rFonts w:eastAsia="Times New Roman" w:cs="Calibri"/>
                <w:b/>
                <w:bCs/>
                <w:color w:val="000000"/>
                <w:sz w:val="16"/>
                <w:szCs w:val="16"/>
                <w:lang w:val="en-GB" w:eastAsia="en-GB"/>
              </w:rPr>
            </w:pPr>
          </w:p>
        </w:tc>
        <w:tc>
          <w:tcPr>
            <w:tcW w:w="1333" w:type="dxa"/>
            <w:tcBorders>
              <w:top w:val="nil"/>
              <w:left w:val="single" w:sz="4" w:space="0" w:color="auto"/>
              <w:bottom w:val="nil"/>
              <w:right w:val="nil"/>
            </w:tcBorders>
            <w:shd w:val="clear" w:color="000000" w:fill="FFFFFF"/>
            <w:noWrap/>
            <w:vAlign w:val="center"/>
            <w:hideMark/>
          </w:tcPr>
          <w:p w14:paraId="032D0514" w14:textId="77777777" w:rsidR="00CE653F" w:rsidRPr="00CE653F" w:rsidRDefault="00CE653F" w:rsidP="00CE653F">
            <w:pPr>
              <w:jc w:val="cente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c>
          <w:tcPr>
            <w:tcW w:w="1438" w:type="dxa"/>
            <w:tcBorders>
              <w:top w:val="nil"/>
              <w:left w:val="single" w:sz="4" w:space="0" w:color="auto"/>
              <w:bottom w:val="nil"/>
              <w:right w:val="nil"/>
            </w:tcBorders>
            <w:shd w:val="clear" w:color="000000" w:fill="FFFFFF"/>
            <w:noWrap/>
            <w:vAlign w:val="center"/>
            <w:hideMark/>
          </w:tcPr>
          <w:p w14:paraId="7128835D" w14:textId="77777777" w:rsidR="00CE653F" w:rsidRPr="00CE653F" w:rsidRDefault="00CE653F" w:rsidP="00CE653F">
            <w:pPr>
              <w:jc w:val="cente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c>
          <w:tcPr>
            <w:tcW w:w="989" w:type="dxa"/>
            <w:tcBorders>
              <w:top w:val="nil"/>
              <w:left w:val="single" w:sz="4" w:space="0" w:color="auto"/>
              <w:bottom w:val="nil"/>
              <w:right w:val="single" w:sz="4" w:space="0" w:color="auto"/>
            </w:tcBorders>
            <w:shd w:val="clear" w:color="000000" w:fill="FFFFFF"/>
            <w:noWrap/>
            <w:vAlign w:val="center"/>
            <w:hideMark/>
          </w:tcPr>
          <w:p w14:paraId="3A448258" w14:textId="77777777" w:rsidR="00CE653F" w:rsidRPr="00CE653F" w:rsidRDefault="00CE653F" w:rsidP="00CE653F">
            <w:pPr>
              <w:jc w:val="cente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c>
          <w:tcPr>
            <w:tcW w:w="1260" w:type="dxa"/>
            <w:tcBorders>
              <w:top w:val="nil"/>
              <w:left w:val="nil"/>
              <w:bottom w:val="nil"/>
              <w:right w:val="single" w:sz="4" w:space="0" w:color="auto"/>
            </w:tcBorders>
            <w:shd w:val="clear" w:color="000000" w:fill="FFFFFF"/>
            <w:noWrap/>
            <w:vAlign w:val="center"/>
            <w:hideMark/>
          </w:tcPr>
          <w:p w14:paraId="7149489A" w14:textId="77777777" w:rsidR="00CE653F" w:rsidRPr="00CE653F" w:rsidRDefault="00CE653F" w:rsidP="00CE653F">
            <w:pPr>
              <w:jc w:val="cente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c>
          <w:tcPr>
            <w:tcW w:w="1839" w:type="dxa"/>
            <w:tcBorders>
              <w:top w:val="nil"/>
              <w:left w:val="nil"/>
              <w:bottom w:val="nil"/>
              <w:right w:val="single" w:sz="4" w:space="0" w:color="auto"/>
            </w:tcBorders>
            <w:shd w:val="clear" w:color="000000" w:fill="FFFFFF"/>
            <w:noWrap/>
            <w:vAlign w:val="center"/>
            <w:hideMark/>
          </w:tcPr>
          <w:p w14:paraId="23732599" w14:textId="77777777" w:rsidR="00CE653F" w:rsidRPr="00CE653F" w:rsidRDefault="00CE653F" w:rsidP="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r>
      <w:tr w:rsidR="00CE653F" w:rsidRPr="00CE653F" w14:paraId="59E6FA86" w14:textId="77777777" w:rsidTr="00704337">
        <w:trPr>
          <w:trHeight w:val="232"/>
        </w:trPr>
        <w:tc>
          <w:tcPr>
            <w:tcW w:w="4105" w:type="dxa"/>
            <w:tcBorders>
              <w:top w:val="nil"/>
              <w:left w:val="single" w:sz="4" w:space="0" w:color="auto"/>
              <w:bottom w:val="nil"/>
              <w:right w:val="nil"/>
            </w:tcBorders>
            <w:shd w:val="clear" w:color="000000" w:fill="FFFFFF"/>
            <w:noWrap/>
            <w:vAlign w:val="center"/>
            <w:hideMark/>
          </w:tcPr>
          <w:p w14:paraId="344C135D" w14:textId="77777777" w:rsidR="00CE653F" w:rsidRPr="00CE653F" w:rsidRDefault="00CE653F" w:rsidP="00CE653F">
            <w:pPr>
              <w:rPr>
                <w:rFonts w:eastAsia="Times New Roman" w:cs="Calibri"/>
                <w:color w:val="000000"/>
                <w:sz w:val="16"/>
                <w:szCs w:val="16"/>
                <w:lang w:val="en-GB" w:eastAsia="en-GB"/>
              </w:rPr>
            </w:pPr>
            <w:r w:rsidRPr="00CE653F">
              <w:rPr>
                <w:rFonts w:eastAsia="Times New Roman" w:cs="Calibri"/>
                <w:color w:val="000000"/>
                <w:sz w:val="16"/>
                <w:szCs w:val="16"/>
                <w:lang w:val="en-GB" w:eastAsia="en-GB"/>
              </w:rPr>
              <w:t>Chief Constable (G Stevens)</w:t>
            </w:r>
          </w:p>
        </w:tc>
        <w:tc>
          <w:tcPr>
            <w:tcW w:w="1674" w:type="dxa"/>
            <w:tcBorders>
              <w:top w:val="nil"/>
              <w:left w:val="single" w:sz="4" w:space="0" w:color="auto"/>
              <w:bottom w:val="nil"/>
              <w:right w:val="single" w:sz="4" w:space="0" w:color="auto"/>
            </w:tcBorders>
            <w:shd w:val="clear" w:color="000000" w:fill="FFFFFF"/>
            <w:noWrap/>
            <w:vAlign w:val="center"/>
            <w:hideMark/>
          </w:tcPr>
          <w:p w14:paraId="658F9F17" w14:textId="77777777" w:rsidR="00CE653F" w:rsidRPr="00CE653F" w:rsidRDefault="00CE653F" w:rsidP="0041394A">
            <w:pPr>
              <w:jc w:val="center"/>
              <w:rPr>
                <w:rFonts w:eastAsia="Times New Roman" w:cs="Calibri"/>
                <w:color w:val="000000"/>
                <w:sz w:val="16"/>
                <w:szCs w:val="16"/>
                <w:lang w:val="en-GB" w:eastAsia="en-GB"/>
              </w:rPr>
            </w:pPr>
            <w:r w:rsidRPr="00CE653F">
              <w:rPr>
                <w:rFonts w:eastAsia="Times New Roman" w:cs="Calibri"/>
                <w:color w:val="000000"/>
                <w:sz w:val="16"/>
                <w:szCs w:val="16"/>
                <w:lang w:val="en-GB" w:eastAsia="en-GB"/>
              </w:rPr>
              <w:t>20/01/2019</w:t>
            </w:r>
          </w:p>
        </w:tc>
        <w:tc>
          <w:tcPr>
            <w:tcW w:w="1370" w:type="dxa"/>
            <w:tcBorders>
              <w:top w:val="nil"/>
              <w:left w:val="nil"/>
              <w:bottom w:val="nil"/>
              <w:right w:val="nil"/>
            </w:tcBorders>
            <w:shd w:val="clear" w:color="000000" w:fill="FFFFFF"/>
            <w:noWrap/>
            <w:vAlign w:val="center"/>
            <w:hideMark/>
          </w:tcPr>
          <w:p w14:paraId="51D71A0F" w14:textId="531143E1" w:rsidR="00CE653F" w:rsidRPr="00CE653F" w:rsidRDefault="00CE653F" w:rsidP="0041394A">
            <w:pPr>
              <w:jc w:val="center"/>
              <w:rPr>
                <w:rFonts w:eastAsia="Times New Roman" w:cs="Calibri"/>
                <w:color w:val="000000"/>
                <w:sz w:val="16"/>
                <w:szCs w:val="16"/>
                <w:lang w:val="en-GB" w:eastAsia="en-GB"/>
              </w:rPr>
            </w:pPr>
          </w:p>
        </w:tc>
        <w:tc>
          <w:tcPr>
            <w:tcW w:w="1333" w:type="dxa"/>
            <w:tcBorders>
              <w:top w:val="nil"/>
              <w:left w:val="single" w:sz="4" w:space="0" w:color="auto"/>
              <w:bottom w:val="nil"/>
              <w:right w:val="nil"/>
            </w:tcBorders>
            <w:shd w:val="clear" w:color="000000" w:fill="FFFFFF"/>
            <w:noWrap/>
            <w:vAlign w:val="center"/>
            <w:hideMark/>
          </w:tcPr>
          <w:p w14:paraId="440F9015"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156,548</w:t>
            </w:r>
          </w:p>
        </w:tc>
        <w:tc>
          <w:tcPr>
            <w:tcW w:w="1438" w:type="dxa"/>
            <w:tcBorders>
              <w:top w:val="nil"/>
              <w:left w:val="single" w:sz="4" w:space="0" w:color="auto"/>
              <w:bottom w:val="nil"/>
              <w:right w:val="nil"/>
            </w:tcBorders>
            <w:shd w:val="clear" w:color="000000" w:fill="FFFFFF"/>
            <w:noWrap/>
            <w:vAlign w:val="center"/>
            <w:hideMark/>
          </w:tcPr>
          <w:p w14:paraId="24175F48"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47,035</w:t>
            </w:r>
          </w:p>
        </w:tc>
        <w:tc>
          <w:tcPr>
            <w:tcW w:w="989" w:type="dxa"/>
            <w:tcBorders>
              <w:top w:val="nil"/>
              <w:left w:val="single" w:sz="4" w:space="0" w:color="auto"/>
              <w:bottom w:val="nil"/>
              <w:right w:val="single" w:sz="4" w:space="0" w:color="auto"/>
            </w:tcBorders>
            <w:shd w:val="clear" w:color="000000" w:fill="FFFFFF"/>
            <w:noWrap/>
            <w:vAlign w:val="center"/>
            <w:hideMark/>
          </w:tcPr>
          <w:p w14:paraId="2FAF04FB"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260" w:type="dxa"/>
            <w:tcBorders>
              <w:top w:val="nil"/>
              <w:left w:val="nil"/>
              <w:bottom w:val="nil"/>
              <w:right w:val="single" w:sz="4" w:space="0" w:color="auto"/>
            </w:tcBorders>
            <w:shd w:val="clear" w:color="000000" w:fill="FFFFFF"/>
            <w:noWrap/>
            <w:vAlign w:val="center"/>
            <w:hideMark/>
          </w:tcPr>
          <w:p w14:paraId="685ED105"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5,879</w:t>
            </w:r>
          </w:p>
        </w:tc>
        <w:tc>
          <w:tcPr>
            <w:tcW w:w="1839" w:type="dxa"/>
            <w:tcBorders>
              <w:top w:val="nil"/>
              <w:left w:val="nil"/>
              <w:bottom w:val="nil"/>
              <w:right w:val="single" w:sz="4" w:space="0" w:color="auto"/>
            </w:tcBorders>
            <w:shd w:val="clear" w:color="000000" w:fill="FFFFFF"/>
            <w:noWrap/>
            <w:vAlign w:val="center"/>
            <w:hideMark/>
          </w:tcPr>
          <w:p w14:paraId="1885A3BB" w14:textId="77777777" w:rsidR="00CE653F" w:rsidRPr="00CE653F" w:rsidRDefault="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209,462</w:t>
            </w:r>
          </w:p>
        </w:tc>
      </w:tr>
      <w:tr w:rsidR="00CE653F" w:rsidRPr="00CE653F" w14:paraId="567B70CB" w14:textId="77777777" w:rsidTr="00704337">
        <w:trPr>
          <w:trHeight w:val="232"/>
        </w:trPr>
        <w:tc>
          <w:tcPr>
            <w:tcW w:w="4105" w:type="dxa"/>
            <w:tcBorders>
              <w:top w:val="nil"/>
              <w:left w:val="single" w:sz="4" w:space="0" w:color="auto"/>
              <w:bottom w:val="nil"/>
              <w:right w:val="nil"/>
            </w:tcBorders>
            <w:shd w:val="clear" w:color="000000" w:fill="FFFFFF"/>
            <w:noWrap/>
            <w:vAlign w:val="center"/>
            <w:hideMark/>
          </w:tcPr>
          <w:p w14:paraId="0D25CC5C" w14:textId="77777777" w:rsidR="00CE653F" w:rsidRPr="00CE653F" w:rsidRDefault="00CE653F" w:rsidP="00CE653F">
            <w:pPr>
              <w:rPr>
                <w:rFonts w:eastAsia="Times New Roman" w:cs="Calibri"/>
                <w:color w:val="000000"/>
                <w:sz w:val="16"/>
                <w:szCs w:val="16"/>
                <w:lang w:val="en-GB" w:eastAsia="en-GB"/>
              </w:rPr>
            </w:pPr>
            <w:r w:rsidRPr="00CE653F">
              <w:rPr>
                <w:rFonts w:eastAsia="Times New Roman" w:cs="Calibri"/>
                <w:color w:val="000000"/>
                <w:sz w:val="16"/>
                <w:szCs w:val="16"/>
                <w:lang w:val="en-GB" w:eastAsia="en-GB"/>
              </w:rPr>
              <w:t>Deputy Chief Constable</w:t>
            </w:r>
          </w:p>
        </w:tc>
        <w:tc>
          <w:tcPr>
            <w:tcW w:w="1674" w:type="dxa"/>
            <w:tcBorders>
              <w:top w:val="nil"/>
              <w:left w:val="single" w:sz="4" w:space="0" w:color="auto"/>
              <w:bottom w:val="nil"/>
              <w:right w:val="single" w:sz="4" w:space="0" w:color="auto"/>
            </w:tcBorders>
            <w:shd w:val="clear" w:color="000000" w:fill="FFFFFF"/>
            <w:noWrap/>
            <w:vAlign w:val="center"/>
            <w:hideMark/>
          </w:tcPr>
          <w:p w14:paraId="7E1DAB8D" w14:textId="77777777" w:rsidR="00CE653F" w:rsidRPr="00CE653F" w:rsidRDefault="00CE653F" w:rsidP="0041394A">
            <w:pPr>
              <w:jc w:val="center"/>
              <w:rPr>
                <w:rFonts w:eastAsia="Times New Roman" w:cs="Calibri"/>
                <w:color w:val="000000"/>
                <w:sz w:val="16"/>
                <w:szCs w:val="16"/>
                <w:lang w:val="en-GB" w:eastAsia="en-GB"/>
              </w:rPr>
            </w:pPr>
            <w:r w:rsidRPr="00CE653F">
              <w:rPr>
                <w:rFonts w:eastAsia="Times New Roman" w:cs="Calibri"/>
                <w:color w:val="000000"/>
                <w:sz w:val="16"/>
                <w:szCs w:val="16"/>
                <w:lang w:val="en-GB" w:eastAsia="en-GB"/>
              </w:rPr>
              <w:t>23/09/2019</w:t>
            </w:r>
          </w:p>
        </w:tc>
        <w:tc>
          <w:tcPr>
            <w:tcW w:w="1370" w:type="dxa"/>
            <w:tcBorders>
              <w:top w:val="nil"/>
              <w:left w:val="nil"/>
              <w:bottom w:val="nil"/>
              <w:right w:val="nil"/>
            </w:tcBorders>
            <w:shd w:val="clear" w:color="000000" w:fill="FFFFFF"/>
            <w:noWrap/>
            <w:vAlign w:val="center"/>
            <w:hideMark/>
          </w:tcPr>
          <w:p w14:paraId="534B4106" w14:textId="5865E428" w:rsidR="00CE653F" w:rsidRPr="00CE653F" w:rsidRDefault="00CE653F" w:rsidP="0041394A">
            <w:pPr>
              <w:jc w:val="center"/>
              <w:rPr>
                <w:rFonts w:eastAsia="Times New Roman" w:cs="Calibri"/>
                <w:color w:val="000000"/>
                <w:sz w:val="16"/>
                <w:szCs w:val="16"/>
                <w:lang w:val="en-GB" w:eastAsia="en-GB"/>
              </w:rPr>
            </w:pPr>
          </w:p>
        </w:tc>
        <w:tc>
          <w:tcPr>
            <w:tcW w:w="1333" w:type="dxa"/>
            <w:tcBorders>
              <w:top w:val="nil"/>
              <w:left w:val="single" w:sz="4" w:space="0" w:color="auto"/>
              <w:bottom w:val="nil"/>
              <w:right w:val="nil"/>
            </w:tcBorders>
            <w:shd w:val="clear" w:color="000000" w:fill="FFFFFF"/>
            <w:noWrap/>
            <w:vAlign w:val="center"/>
            <w:hideMark/>
          </w:tcPr>
          <w:p w14:paraId="090A6650"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134,977</w:t>
            </w:r>
          </w:p>
        </w:tc>
        <w:tc>
          <w:tcPr>
            <w:tcW w:w="1438" w:type="dxa"/>
            <w:tcBorders>
              <w:top w:val="nil"/>
              <w:left w:val="single" w:sz="4" w:space="0" w:color="auto"/>
              <w:bottom w:val="nil"/>
              <w:right w:val="nil"/>
            </w:tcBorders>
            <w:shd w:val="clear" w:color="000000" w:fill="FFFFFF"/>
            <w:noWrap/>
            <w:vAlign w:val="center"/>
            <w:hideMark/>
          </w:tcPr>
          <w:p w14:paraId="6F03CA73"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38,804</w:t>
            </w:r>
          </w:p>
        </w:tc>
        <w:tc>
          <w:tcPr>
            <w:tcW w:w="989" w:type="dxa"/>
            <w:tcBorders>
              <w:top w:val="nil"/>
              <w:left w:val="single" w:sz="4" w:space="0" w:color="auto"/>
              <w:bottom w:val="nil"/>
              <w:right w:val="single" w:sz="4" w:space="0" w:color="auto"/>
            </w:tcBorders>
            <w:shd w:val="clear" w:color="000000" w:fill="FFFFFF"/>
            <w:noWrap/>
            <w:vAlign w:val="center"/>
            <w:hideMark/>
          </w:tcPr>
          <w:p w14:paraId="7F7A913D"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260" w:type="dxa"/>
            <w:tcBorders>
              <w:top w:val="nil"/>
              <w:left w:val="nil"/>
              <w:bottom w:val="nil"/>
              <w:right w:val="single" w:sz="4" w:space="0" w:color="auto"/>
            </w:tcBorders>
            <w:shd w:val="clear" w:color="000000" w:fill="FFFFFF"/>
            <w:noWrap/>
            <w:vAlign w:val="center"/>
            <w:hideMark/>
          </w:tcPr>
          <w:p w14:paraId="1C22CDEB"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4,851</w:t>
            </w:r>
          </w:p>
        </w:tc>
        <w:tc>
          <w:tcPr>
            <w:tcW w:w="1839" w:type="dxa"/>
            <w:tcBorders>
              <w:top w:val="nil"/>
              <w:left w:val="nil"/>
              <w:bottom w:val="nil"/>
              <w:right w:val="single" w:sz="4" w:space="0" w:color="auto"/>
            </w:tcBorders>
            <w:shd w:val="clear" w:color="000000" w:fill="FFFFFF"/>
            <w:noWrap/>
            <w:vAlign w:val="center"/>
            <w:hideMark/>
          </w:tcPr>
          <w:p w14:paraId="7E42747A" w14:textId="77777777" w:rsidR="00CE653F" w:rsidRPr="00CE653F" w:rsidRDefault="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178,632</w:t>
            </w:r>
          </w:p>
        </w:tc>
      </w:tr>
      <w:tr w:rsidR="00CE653F" w:rsidRPr="00CE653F" w14:paraId="47B11627" w14:textId="77777777" w:rsidTr="00704337">
        <w:trPr>
          <w:trHeight w:val="232"/>
        </w:trPr>
        <w:tc>
          <w:tcPr>
            <w:tcW w:w="4105" w:type="dxa"/>
            <w:tcBorders>
              <w:top w:val="nil"/>
              <w:left w:val="single" w:sz="4" w:space="0" w:color="auto"/>
              <w:bottom w:val="nil"/>
              <w:right w:val="nil"/>
            </w:tcBorders>
            <w:shd w:val="clear" w:color="000000" w:fill="FFFFFF"/>
            <w:noWrap/>
            <w:vAlign w:val="center"/>
            <w:hideMark/>
          </w:tcPr>
          <w:p w14:paraId="58A2FAFB" w14:textId="77777777" w:rsidR="00CE653F" w:rsidRPr="00CE653F" w:rsidRDefault="00CE653F" w:rsidP="00CE653F">
            <w:pPr>
              <w:rPr>
                <w:rFonts w:eastAsia="Times New Roman" w:cs="Calibri"/>
                <w:color w:val="000000"/>
                <w:sz w:val="16"/>
                <w:szCs w:val="16"/>
                <w:lang w:val="en-GB" w:eastAsia="en-GB"/>
              </w:rPr>
            </w:pPr>
            <w:r w:rsidRPr="00CE653F">
              <w:rPr>
                <w:rFonts w:eastAsia="Times New Roman" w:cs="Calibri"/>
                <w:color w:val="000000"/>
                <w:sz w:val="16"/>
                <w:szCs w:val="16"/>
                <w:lang w:val="en-GB" w:eastAsia="en-GB"/>
              </w:rPr>
              <w:t xml:space="preserve">Assistant Chief Constable </w:t>
            </w:r>
          </w:p>
        </w:tc>
        <w:tc>
          <w:tcPr>
            <w:tcW w:w="1674" w:type="dxa"/>
            <w:tcBorders>
              <w:top w:val="nil"/>
              <w:left w:val="single" w:sz="4" w:space="0" w:color="auto"/>
              <w:bottom w:val="nil"/>
              <w:right w:val="single" w:sz="4" w:space="0" w:color="auto"/>
            </w:tcBorders>
            <w:shd w:val="clear" w:color="000000" w:fill="FFFFFF"/>
            <w:noWrap/>
            <w:vAlign w:val="center"/>
            <w:hideMark/>
          </w:tcPr>
          <w:p w14:paraId="7F8343D9" w14:textId="77777777" w:rsidR="00CE653F" w:rsidRPr="00CE653F" w:rsidRDefault="00CE653F" w:rsidP="0041394A">
            <w:pPr>
              <w:jc w:val="center"/>
              <w:rPr>
                <w:rFonts w:eastAsia="Times New Roman" w:cs="Calibri"/>
                <w:color w:val="000000"/>
                <w:sz w:val="16"/>
                <w:szCs w:val="16"/>
                <w:lang w:val="en-GB" w:eastAsia="en-GB"/>
              </w:rPr>
            </w:pPr>
            <w:r w:rsidRPr="00CE653F">
              <w:rPr>
                <w:rFonts w:eastAsia="Times New Roman" w:cs="Calibri"/>
                <w:color w:val="000000"/>
                <w:sz w:val="16"/>
                <w:szCs w:val="16"/>
                <w:lang w:val="en-GB" w:eastAsia="en-GB"/>
              </w:rPr>
              <w:t>07/10/2019</w:t>
            </w:r>
          </w:p>
        </w:tc>
        <w:tc>
          <w:tcPr>
            <w:tcW w:w="1370" w:type="dxa"/>
            <w:tcBorders>
              <w:top w:val="nil"/>
              <w:left w:val="nil"/>
              <w:bottom w:val="nil"/>
              <w:right w:val="nil"/>
            </w:tcBorders>
            <w:shd w:val="clear" w:color="000000" w:fill="FFFFFF"/>
            <w:noWrap/>
            <w:vAlign w:val="center"/>
            <w:hideMark/>
          </w:tcPr>
          <w:p w14:paraId="69CEE5C6" w14:textId="57EEAF11" w:rsidR="00CE653F" w:rsidRPr="00CE653F" w:rsidRDefault="00CE653F" w:rsidP="0041394A">
            <w:pPr>
              <w:jc w:val="center"/>
              <w:rPr>
                <w:rFonts w:eastAsia="Times New Roman" w:cs="Calibri"/>
                <w:color w:val="000000"/>
                <w:sz w:val="16"/>
                <w:szCs w:val="16"/>
                <w:lang w:val="en-GB" w:eastAsia="en-GB"/>
              </w:rPr>
            </w:pPr>
          </w:p>
        </w:tc>
        <w:tc>
          <w:tcPr>
            <w:tcW w:w="1333" w:type="dxa"/>
            <w:tcBorders>
              <w:top w:val="nil"/>
              <w:left w:val="single" w:sz="4" w:space="0" w:color="auto"/>
              <w:bottom w:val="nil"/>
              <w:right w:val="nil"/>
            </w:tcBorders>
            <w:shd w:val="clear" w:color="000000" w:fill="FFFFFF"/>
            <w:noWrap/>
            <w:vAlign w:val="center"/>
            <w:hideMark/>
          </w:tcPr>
          <w:p w14:paraId="4151C634"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118,401</w:t>
            </w:r>
          </w:p>
        </w:tc>
        <w:tc>
          <w:tcPr>
            <w:tcW w:w="1438" w:type="dxa"/>
            <w:tcBorders>
              <w:top w:val="nil"/>
              <w:left w:val="single" w:sz="4" w:space="0" w:color="auto"/>
              <w:bottom w:val="nil"/>
              <w:right w:val="nil"/>
            </w:tcBorders>
            <w:shd w:val="clear" w:color="000000" w:fill="FFFFFF"/>
            <w:noWrap/>
            <w:vAlign w:val="center"/>
            <w:hideMark/>
          </w:tcPr>
          <w:p w14:paraId="792D9A98"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33,424</w:t>
            </w:r>
          </w:p>
        </w:tc>
        <w:tc>
          <w:tcPr>
            <w:tcW w:w="989" w:type="dxa"/>
            <w:tcBorders>
              <w:top w:val="nil"/>
              <w:left w:val="single" w:sz="4" w:space="0" w:color="auto"/>
              <w:bottom w:val="nil"/>
              <w:right w:val="single" w:sz="4" w:space="0" w:color="auto"/>
            </w:tcBorders>
            <w:shd w:val="clear" w:color="000000" w:fill="FFFFFF"/>
            <w:noWrap/>
            <w:vAlign w:val="center"/>
            <w:hideMark/>
          </w:tcPr>
          <w:p w14:paraId="6590B406"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260" w:type="dxa"/>
            <w:tcBorders>
              <w:top w:val="nil"/>
              <w:left w:val="nil"/>
              <w:bottom w:val="nil"/>
              <w:right w:val="single" w:sz="4" w:space="0" w:color="auto"/>
            </w:tcBorders>
            <w:shd w:val="clear" w:color="000000" w:fill="FFFFFF"/>
            <w:noWrap/>
            <w:vAlign w:val="center"/>
            <w:hideMark/>
          </w:tcPr>
          <w:p w14:paraId="7B573F4A"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4,311</w:t>
            </w:r>
          </w:p>
        </w:tc>
        <w:tc>
          <w:tcPr>
            <w:tcW w:w="1839" w:type="dxa"/>
            <w:tcBorders>
              <w:top w:val="nil"/>
              <w:left w:val="nil"/>
              <w:bottom w:val="nil"/>
              <w:right w:val="single" w:sz="4" w:space="0" w:color="auto"/>
            </w:tcBorders>
            <w:shd w:val="clear" w:color="000000" w:fill="FFFFFF"/>
            <w:noWrap/>
            <w:vAlign w:val="center"/>
            <w:hideMark/>
          </w:tcPr>
          <w:p w14:paraId="5D23F66A" w14:textId="77777777" w:rsidR="00CE653F" w:rsidRPr="00CE653F" w:rsidRDefault="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156,136</w:t>
            </w:r>
          </w:p>
        </w:tc>
      </w:tr>
      <w:tr w:rsidR="00CE653F" w:rsidRPr="00CE653F" w14:paraId="2FD00FAA" w14:textId="77777777" w:rsidTr="00704337">
        <w:trPr>
          <w:trHeight w:val="232"/>
        </w:trPr>
        <w:tc>
          <w:tcPr>
            <w:tcW w:w="4105" w:type="dxa"/>
            <w:tcBorders>
              <w:top w:val="nil"/>
              <w:left w:val="single" w:sz="4" w:space="0" w:color="auto"/>
              <w:bottom w:val="nil"/>
              <w:right w:val="nil"/>
            </w:tcBorders>
            <w:shd w:val="clear" w:color="000000" w:fill="FFFFFF"/>
            <w:noWrap/>
            <w:vAlign w:val="center"/>
            <w:hideMark/>
          </w:tcPr>
          <w:p w14:paraId="6FABA13E" w14:textId="77777777" w:rsidR="00CE653F" w:rsidRPr="00CE653F" w:rsidRDefault="00CE653F" w:rsidP="00CE653F">
            <w:pPr>
              <w:rPr>
                <w:rFonts w:eastAsia="Times New Roman" w:cs="Calibri"/>
                <w:color w:val="000000"/>
                <w:sz w:val="16"/>
                <w:szCs w:val="16"/>
                <w:lang w:val="en-GB" w:eastAsia="en-GB"/>
              </w:rPr>
            </w:pPr>
            <w:r w:rsidRPr="00CE653F">
              <w:rPr>
                <w:rFonts w:eastAsia="Times New Roman" w:cs="Calibri"/>
                <w:color w:val="000000"/>
                <w:sz w:val="16"/>
                <w:szCs w:val="16"/>
                <w:lang w:val="en-GB" w:eastAsia="en-GB"/>
              </w:rPr>
              <w:t>Temporary Assistant Chief Constable</w:t>
            </w:r>
          </w:p>
        </w:tc>
        <w:tc>
          <w:tcPr>
            <w:tcW w:w="1674" w:type="dxa"/>
            <w:tcBorders>
              <w:top w:val="nil"/>
              <w:left w:val="single" w:sz="4" w:space="0" w:color="auto"/>
              <w:bottom w:val="nil"/>
              <w:right w:val="single" w:sz="4" w:space="0" w:color="auto"/>
            </w:tcBorders>
            <w:shd w:val="clear" w:color="000000" w:fill="FFFFFF"/>
            <w:noWrap/>
            <w:vAlign w:val="center"/>
            <w:hideMark/>
          </w:tcPr>
          <w:p w14:paraId="2655C7E1" w14:textId="77777777" w:rsidR="00CE653F" w:rsidRPr="00CE653F" w:rsidRDefault="00CE653F" w:rsidP="0041394A">
            <w:pPr>
              <w:jc w:val="center"/>
              <w:rPr>
                <w:rFonts w:eastAsia="Times New Roman" w:cs="Calibri"/>
                <w:color w:val="000000"/>
                <w:sz w:val="16"/>
                <w:szCs w:val="16"/>
                <w:lang w:val="en-GB" w:eastAsia="en-GB"/>
              </w:rPr>
            </w:pPr>
            <w:r w:rsidRPr="00CE653F">
              <w:rPr>
                <w:rFonts w:eastAsia="Times New Roman" w:cs="Calibri"/>
                <w:color w:val="000000"/>
                <w:sz w:val="16"/>
                <w:szCs w:val="16"/>
                <w:lang w:val="en-GB" w:eastAsia="en-GB"/>
              </w:rPr>
              <w:t>16/12/2019</w:t>
            </w:r>
          </w:p>
        </w:tc>
        <w:tc>
          <w:tcPr>
            <w:tcW w:w="1370" w:type="dxa"/>
            <w:tcBorders>
              <w:top w:val="nil"/>
              <w:left w:val="nil"/>
              <w:bottom w:val="nil"/>
              <w:right w:val="nil"/>
            </w:tcBorders>
            <w:shd w:val="clear" w:color="000000" w:fill="FFFFFF"/>
            <w:noWrap/>
            <w:vAlign w:val="center"/>
            <w:hideMark/>
          </w:tcPr>
          <w:p w14:paraId="43E1BC0F" w14:textId="7ABF0586" w:rsidR="00CE653F" w:rsidRPr="00CE653F" w:rsidRDefault="00CE653F" w:rsidP="0041394A">
            <w:pPr>
              <w:jc w:val="center"/>
              <w:rPr>
                <w:rFonts w:eastAsia="Times New Roman" w:cs="Calibri"/>
                <w:color w:val="000000"/>
                <w:sz w:val="16"/>
                <w:szCs w:val="16"/>
                <w:lang w:val="en-GB" w:eastAsia="en-GB"/>
              </w:rPr>
            </w:pPr>
          </w:p>
        </w:tc>
        <w:tc>
          <w:tcPr>
            <w:tcW w:w="1333" w:type="dxa"/>
            <w:tcBorders>
              <w:top w:val="nil"/>
              <w:left w:val="single" w:sz="4" w:space="0" w:color="auto"/>
              <w:bottom w:val="nil"/>
              <w:right w:val="nil"/>
            </w:tcBorders>
            <w:shd w:val="clear" w:color="000000" w:fill="FFFFFF"/>
            <w:noWrap/>
            <w:vAlign w:val="center"/>
            <w:hideMark/>
          </w:tcPr>
          <w:p w14:paraId="45F86391"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121,729</w:t>
            </w:r>
          </w:p>
        </w:tc>
        <w:tc>
          <w:tcPr>
            <w:tcW w:w="1438" w:type="dxa"/>
            <w:tcBorders>
              <w:top w:val="nil"/>
              <w:left w:val="single" w:sz="4" w:space="0" w:color="auto"/>
              <w:bottom w:val="nil"/>
              <w:right w:val="nil"/>
            </w:tcBorders>
            <w:shd w:val="clear" w:color="000000" w:fill="FFFFFF"/>
            <w:noWrap/>
            <w:vAlign w:val="center"/>
            <w:hideMark/>
          </w:tcPr>
          <w:p w14:paraId="65107C87"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33,021</w:t>
            </w:r>
          </w:p>
        </w:tc>
        <w:tc>
          <w:tcPr>
            <w:tcW w:w="989" w:type="dxa"/>
            <w:tcBorders>
              <w:top w:val="nil"/>
              <w:left w:val="single" w:sz="4" w:space="0" w:color="auto"/>
              <w:bottom w:val="nil"/>
              <w:right w:val="single" w:sz="4" w:space="0" w:color="auto"/>
            </w:tcBorders>
            <w:shd w:val="clear" w:color="000000" w:fill="FFFFFF"/>
            <w:noWrap/>
            <w:vAlign w:val="center"/>
            <w:hideMark/>
          </w:tcPr>
          <w:p w14:paraId="4486327D"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260" w:type="dxa"/>
            <w:tcBorders>
              <w:top w:val="nil"/>
              <w:left w:val="nil"/>
              <w:bottom w:val="nil"/>
              <w:right w:val="single" w:sz="4" w:space="0" w:color="auto"/>
            </w:tcBorders>
            <w:shd w:val="clear" w:color="000000" w:fill="FFFFFF"/>
            <w:noWrap/>
            <w:vAlign w:val="center"/>
            <w:hideMark/>
          </w:tcPr>
          <w:p w14:paraId="6B4BD161"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3,880</w:t>
            </w:r>
          </w:p>
        </w:tc>
        <w:tc>
          <w:tcPr>
            <w:tcW w:w="1839" w:type="dxa"/>
            <w:tcBorders>
              <w:top w:val="nil"/>
              <w:left w:val="nil"/>
              <w:bottom w:val="nil"/>
              <w:right w:val="single" w:sz="4" w:space="0" w:color="auto"/>
            </w:tcBorders>
            <w:shd w:val="clear" w:color="000000" w:fill="FFFFFF"/>
            <w:noWrap/>
            <w:vAlign w:val="center"/>
            <w:hideMark/>
          </w:tcPr>
          <w:p w14:paraId="56AC6CA0" w14:textId="77777777" w:rsidR="00CE653F" w:rsidRPr="00CE653F" w:rsidRDefault="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158,630</w:t>
            </w:r>
          </w:p>
        </w:tc>
      </w:tr>
      <w:tr w:rsidR="00CE653F" w:rsidRPr="00CE653F" w14:paraId="213A8568" w14:textId="77777777" w:rsidTr="00704337">
        <w:trPr>
          <w:trHeight w:val="232"/>
        </w:trPr>
        <w:tc>
          <w:tcPr>
            <w:tcW w:w="4105" w:type="dxa"/>
            <w:tcBorders>
              <w:top w:val="nil"/>
              <w:left w:val="single" w:sz="4" w:space="0" w:color="auto"/>
              <w:bottom w:val="nil"/>
              <w:right w:val="nil"/>
            </w:tcBorders>
            <w:shd w:val="clear" w:color="000000" w:fill="FFFFFF"/>
            <w:noWrap/>
            <w:vAlign w:val="center"/>
            <w:hideMark/>
          </w:tcPr>
          <w:p w14:paraId="5BF5C8EB" w14:textId="77777777" w:rsidR="00CE653F" w:rsidRPr="00CE653F" w:rsidRDefault="00CE653F" w:rsidP="00CE653F">
            <w:pPr>
              <w:rPr>
                <w:rFonts w:eastAsia="Times New Roman" w:cs="Calibri"/>
                <w:color w:val="000000"/>
                <w:sz w:val="16"/>
                <w:szCs w:val="16"/>
                <w:lang w:val="en-GB" w:eastAsia="en-GB"/>
              </w:rPr>
            </w:pPr>
            <w:r w:rsidRPr="00CE653F">
              <w:rPr>
                <w:rFonts w:eastAsia="Times New Roman" w:cs="Calibri"/>
                <w:color w:val="000000"/>
                <w:sz w:val="16"/>
                <w:szCs w:val="16"/>
                <w:lang w:val="en-GB" w:eastAsia="en-GB"/>
              </w:rPr>
              <w:t>Temporary Assistant Chief Constable</w:t>
            </w:r>
          </w:p>
        </w:tc>
        <w:tc>
          <w:tcPr>
            <w:tcW w:w="1674" w:type="dxa"/>
            <w:tcBorders>
              <w:top w:val="nil"/>
              <w:left w:val="single" w:sz="4" w:space="0" w:color="auto"/>
              <w:bottom w:val="nil"/>
              <w:right w:val="single" w:sz="4" w:space="0" w:color="auto"/>
            </w:tcBorders>
            <w:shd w:val="clear" w:color="000000" w:fill="FFFFFF"/>
            <w:noWrap/>
            <w:vAlign w:val="center"/>
            <w:hideMark/>
          </w:tcPr>
          <w:p w14:paraId="7F29C93E" w14:textId="77777777" w:rsidR="00CE653F" w:rsidRPr="00CE653F" w:rsidRDefault="00CE653F" w:rsidP="0041394A">
            <w:pPr>
              <w:jc w:val="center"/>
              <w:rPr>
                <w:rFonts w:eastAsia="Times New Roman" w:cs="Calibri"/>
                <w:color w:val="000000"/>
                <w:sz w:val="16"/>
                <w:szCs w:val="16"/>
                <w:lang w:val="en-GB" w:eastAsia="en-GB"/>
              </w:rPr>
            </w:pPr>
            <w:r w:rsidRPr="00CE653F">
              <w:rPr>
                <w:rFonts w:eastAsia="Times New Roman" w:cs="Calibri"/>
                <w:color w:val="000000"/>
                <w:sz w:val="16"/>
                <w:szCs w:val="16"/>
                <w:lang w:val="en-GB" w:eastAsia="en-GB"/>
              </w:rPr>
              <w:t>20/01/2019</w:t>
            </w:r>
          </w:p>
        </w:tc>
        <w:tc>
          <w:tcPr>
            <w:tcW w:w="1370" w:type="dxa"/>
            <w:tcBorders>
              <w:top w:val="nil"/>
              <w:left w:val="nil"/>
              <w:bottom w:val="nil"/>
              <w:right w:val="nil"/>
            </w:tcBorders>
            <w:shd w:val="clear" w:color="000000" w:fill="FFFFFF"/>
            <w:noWrap/>
            <w:vAlign w:val="center"/>
            <w:hideMark/>
          </w:tcPr>
          <w:p w14:paraId="011A429E" w14:textId="77777777" w:rsidR="00CE653F" w:rsidRPr="00CE653F" w:rsidRDefault="00CE653F" w:rsidP="0041394A">
            <w:pPr>
              <w:jc w:val="center"/>
              <w:rPr>
                <w:rFonts w:eastAsia="Times New Roman" w:cs="Calibri"/>
                <w:color w:val="000000"/>
                <w:sz w:val="16"/>
                <w:szCs w:val="16"/>
                <w:lang w:val="en-GB" w:eastAsia="en-GB"/>
              </w:rPr>
            </w:pPr>
            <w:r w:rsidRPr="00CE653F">
              <w:rPr>
                <w:rFonts w:eastAsia="Times New Roman" w:cs="Calibri"/>
                <w:color w:val="000000"/>
                <w:sz w:val="16"/>
                <w:szCs w:val="16"/>
                <w:lang w:val="en-GB" w:eastAsia="en-GB"/>
              </w:rPr>
              <w:t>07/06/2020</w:t>
            </w:r>
          </w:p>
        </w:tc>
        <w:tc>
          <w:tcPr>
            <w:tcW w:w="1333" w:type="dxa"/>
            <w:tcBorders>
              <w:top w:val="nil"/>
              <w:left w:val="single" w:sz="4" w:space="0" w:color="auto"/>
              <w:bottom w:val="nil"/>
              <w:right w:val="nil"/>
            </w:tcBorders>
            <w:shd w:val="clear" w:color="000000" w:fill="FFFFFF"/>
            <w:noWrap/>
            <w:vAlign w:val="center"/>
            <w:hideMark/>
          </w:tcPr>
          <w:p w14:paraId="677A5ADF"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21,263</w:t>
            </w:r>
          </w:p>
        </w:tc>
        <w:tc>
          <w:tcPr>
            <w:tcW w:w="1438" w:type="dxa"/>
            <w:tcBorders>
              <w:top w:val="nil"/>
              <w:left w:val="single" w:sz="4" w:space="0" w:color="auto"/>
              <w:bottom w:val="nil"/>
              <w:right w:val="nil"/>
            </w:tcBorders>
            <w:shd w:val="clear" w:color="000000" w:fill="FFFFFF"/>
            <w:noWrap/>
            <w:vAlign w:val="center"/>
            <w:hideMark/>
          </w:tcPr>
          <w:p w14:paraId="5BFD150C"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5,066</w:t>
            </w:r>
          </w:p>
        </w:tc>
        <w:tc>
          <w:tcPr>
            <w:tcW w:w="989" w:type="dxa"/>
            <w:tcBorders>
              <w:top w:val="nil"/>
              <w:left w:val="single" w:sz="4" w:space="0" w:color="auto"/>
              <w:bottom w:val="nil"/>
              <w:right w:val="single" w:sz="4" w:space="0" w:color="auto"/>
            </w:tcBorders>
            <w:shd w:val="clear" w:color="000000" w:fill="FFFFFF"/>
            <w:noWrap/>
            <w:vAlign w:val="center"/>
            <w:hideMark/>
          </w:tcPr>
          <w:p w14:paraId="171D5237"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260" w:type="dxa"/>
            <w:tcBorders>
              <w:top w:val="nil"/>
              <w:left w:val="nil"/>
              <w:bottom w:val="nil"/>
              <w:right w:val="single" w:sz="4" w:space="0" w:color="auto"/>
            </w:tcBorders>
            <w:shd w:val="clear" w:color="000000" w:fill="FFFFFF"/>
            <w:noWrap/>
            <w:vAlign w:val="center"/>
            <w:hideMark/>
          </w:tcPr>
          <w:p w14:paraId="5AE7CE30"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839" w:type="dxa"/>
            <w:tcBorders>
              <w:top w:val="nil"/>
              <w:left w:val="nil"/>
              <w:bottom w:val="nil"/>
              <w:right w:val="single" w:sz="4" w:space="0" w:color="auto"/>
            </w:tcBorders>
            <w:shd w:val="clear" w:color="000000" w:fill="FFFFFF"/>
            <w:noWrap/>
            <w:vAlign w:val="center"/>
            <w:hideMark/>
          </w:tcPr>
          <w:p w14:paraId="09DDE8D9" w14:textId="77777777" w:rsidR="00CE653F" w:rsidRPr="00CE653F" w:rsidRDefault="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26,329</w:t>
            </w:r>
          </w:p>
        </w:tc>
      </w:tr>
      <w:tr w:rsidR="00CE653F" w:rsidRPr="00CE653F" w14:paraId="7FE53393" w14:textId="77777777" w:rsidTr="00704337">
        <w:trPr>
          <w:trHeight w:val="232"/>
        </w:trPr>
        <w:tc>
          <w:tcPr>
            <w:tcW w:w="4105" w:type="dxa"/>
            <w:tcBorders>
              <w:top w:val="nil"/>
              <w:left w:val="single" w:sz="4" w:space="0" w:color="auto"/>
              <w:bottom w:val="nil"/>
              <w:right w:val="nil"/>
            </w:tcBorders>
            <w:shd w:val="clear" w:color="000000" w:fill="FFFFFF"/>
            <w:noWrap/>
            <w:vAlign w:val="center"/>
            <w:hideMark/>
          </w:tcPr>
          <w:p w14:paraId="5D1C9F93" w14:textId="77777777" w:rsidR="00CE653F" w:rsidRPr="00CE653F" w:rsidRDefault="00CE653F" w:rsidP="00CE653F">
            <w:pPr>
              <w:rPr>
                <w:rFonts w:eastAsia="Times New Roman" w:cs="Calibri"/>
                <w:color w:val="000000"/>
                <w:sz w:val="16"/>
                <w:szCs w:val="16"/>
                <w:lang w:val="en-GB" w:eastAsia="en-GB"/>
              </w:rPr>
            </w:pPr>
            <w:r w:rsidRPr="00CE653F">
              <w:rPr>
                <w:rFonts w:eastAsia="Times New Roman" w:cs="Calibri"/>
                <w:color w:val="000000"/>
                <w:sz w:val="16"/>
                <w:szCs w:val="16"/>
                <w:lang w:val="en-GB" w:eastAsia="en-GB"/>
              </w:rPr>
              <w:t>Chief Superintendent</w:t>
            </w:r>
          </w:p>
        </w:tc>
        <w:tc>
          <w:tcPr>
            <w:tcW w:w="1674" w:type="dxa"/>
            <w:tcBorders>
              <w:top w:val="nil"/>
              <w:left w:val="single" w:sz="4" w:space="0" w:color="auto"/>
              <w:bottom w:val="nil"/>
              <w:right w:val="single" w:sz="4" w:space="0" w:color="auto"/>
            </w:tcBorders>
            <w:shd w:val="clear" w:color="000000" w:fill="FFFFFF"/>
            <w:noWrap/>
            <w:vAlign w:val="center"/>
            <w:hideMark/>
          </w:tcPr>
          <w:p w14:paraId="2E22BE78" w14:textId="77777777" w:rsidR="00CE653F" w:rsidRPr="00CE653F" w:rsidRDefault="00CE653F" w:rsidP="0041394A">
            <w:pPr>
              <w:jc w:val="center"/>
              <w:rPr>
                <w:rFonts w:eastAsia="Times New Roman" w:cs="Calibri"/>
                <w:color w:val="000000"/>
                <w:sz w:val="16"/>
                <w:szCs w:val="16"/>
                <w:lang w:val="en-GB" w:eastAsia="en-GB"/>
              </w:rPr>
            </w:pPr>
            <w:r w:rsidRPr="00CE653F">
              <w:rPr>
                <w:rFonts w:eastAsia="Times New Roman" w:cs="Calibri"/>
                <w:color w:val="000000"/>
                <w:sz w:val="16"/>
                <w:szCs w:val="16"/>
                <w:lang w:val="en-GB" w:eastAsia="en-GB"/>
              </w:rPr>
              <w:t>09/06/2014</w:t>
            </w:r>
          </w:p>
        </w:tc>
        <w:tc>
          <w:tcPr>
            <w:tcW w:w="1370" w:type="dxa"/>
            <w:tcBorders>
              <w:top w:val="nil"/>
              <w:left w:val="nil"/>
              <w:bottom w:val="nil"/>
              <w:right w:val="nil"/>
            </w:tcBorders>
            <w:shd w:val="clear" w:color="000000" w:fill="FFFFFF"/>
            <w:noWrap/>
            <w:vAlign w:val="center"/>
            <w:hideMark/>
          </w:tcPr>
          <w:p w14:paraId="05F1C2EF" w14:textId="0D43EA88" w:rsidR="00CE653F" w:rsidRPr="00CE653F" w:rsidRDefault="00CE653F" w:rsidP="0041394A">
            <w:pPr>
              <w:jc w:val="center"/>
              <w:rPr>
                <w:rFonts w:eastAsia="Times New Roman" w:cs="Calibri"/>
                <w:color w:val="000000"/>
                <w:sz w:val="16"/>
                <w:szCs w:val="16"/>
                <w:lang w:val="en-GB" w:eastAsia="en-GB"/>
              </w:rPr>
            </w:pPr>
          </w:p>
        </w:tc>
        <w:tc>
          <w:tcPr>
            <w:tcW w:w="1333" w:type="dxa"/>
            <w:tcBorders>
              <w:top w:val="nil"/>
              <w:left w:val="single" w:sz="4" w:space="0" w:color="auto"/>
              <w:bottom w:val="nil"/>
              <w:right w:val="nil"/>
            </w:tcBorders>
            <w:shd w:val="clear" w:color="000000" w:fill="FFFFFF"/>
            <w:noWrap/>
            <w:vAlign w:val="center"/>
            <w:hideMark/>
          </w:tcPr>
          <w:p w14:paraId="26D00D4A"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95,635</w:t>
            </w:r>
          </w:p>
        </w:tc>
        <w:tc>
          <w:tcPr>
            <w:tcW w:w="1438" w:type="dxa"/>
            <w:tcBorders>
              <w:top w:val="nil"/>
              <w:left w:val="single" w:sz="4" w:space="0" w:color="auto"/>
              <w:bottom w:val="nil"/>
              <w:right w:val="nil"/>
            </w:tcBorders>
            <w:shd w:val="clear" w:color="000000" w:fill="FFFFFF"/>
            <w:noWrap/>
            <w:vAlign w:val="center"/>
            <w:hideMark/>
          </w:tcPr>
          <w:p w14:paraId="169A87C8"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28,153</w:t>
            </w:r>
          </w:p>
        </w:tc>
        <w:tc>
          <w:tcPr>
            <w:tcW w:w="989" w:type="dxa"/>
            <w:tcBorders>
              <w:top w:val="nil"/>
              <w:left w:val="single" w:sz="4" w:space="0" w:color="auto"/>
              <w:bottom w:val="nil"/>
              <w:right w:val="single" w:sz="4" w:space="0" w:color="auto"/>
            </w:tcBorders>
            <w:shd w:val="clear" w:color="000000" w:fill="FFFFFF"/>
            <w:noWrap/>
            <w:vAlign w:val="center"/>
            <w:hideMark/>
          </w:tcPr>
          <w:p w14:paraId="4157CA77"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260" w:type="dxa"/>
            <w:tcBorders>
              <w:top w:val="nil"/>
              <w:left w:val="nil"/>
              <w:bottom w:val="nil"/>
              <w:right w:val="single" w:sz="4" w:space="0" w:color="auto"/>
            </w:tcBorders>
            <w:shd w:val="clear" w:color="000000" w:fill="FFFFFF"/>
            <w:noWrap/>
            <w:vAlign w:val="center"/>
            <w:hideMark/>
          </w:tcPr>
          <w:p w14:paraId="5FFF03A8"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3,519</w:t>
            </w:r>
          </w:p>
        </w:tc>
        <w:tc>
          <w:tcPr>
            <w:tcW w:w="1839" w:type="dxa"/>
            <w:tcBorders>
              <w:top w:val="nil"/>
              <w:left w:val="nil"/>
              <w:bottom w:val="nil"/>
              <w:right w:val="single" w:sz="4" w:space="0" w:color="auto"/>
            </w:tcBorders>
            <w:shd w:val="clear" w:color="000000" w:fill="FFFFFF"/>
            <w:noWrap/>
            <w:vAlign w:val="center"/>
            <w:hideMark/>
          </w:tcPr>
          <w:p w14:paraId="553C285C" w14:textId="77777777" w:rsidR="00CE653F" w:rsidRPr="00CE653F" w:rsidRDefault="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127,307</w:t>
            </w:r>
          </w:p>
        </w:tc>
      </w:tr>
      <w:tr w:rsidR="00CE653F" w:rsidRPr="00CE653F" w14:paraId="43329216" w14:textId="77777777" w:rsidTr="00704337">
        <w:trPr>
          <w:trHeight w:val="232"/>
        </w:trPr>
        <w:tc>
          <w:tcPr>
            <w:tcW w:w="4105" w:type="dxa"/>
            <w:tcBorders>
              <w:top w:val="nil"/>
              <w:left w:val="single" w:sz="4" w:space="0" w:color="auto"/>
              <w:bottom w:val="nil"/>
              <w:right w:val="nil"/>
            </w:tcBorders>
            <w:shd w:val="clear" w:color="000000" w:fill="FFFFFF"/>
            <w:noWrap/>
            <w:vAlign w:val="center"/>
            <w:hideMark/>
          </w:tcPr>
          <w:p w14:paraId="16F88CA9" w14:textId="77777777" w:rsidR="00CE653F" w:rsidRPr="00CE653F" w:rsidRDefault="00CE653F" w:rsidP="00CE653F">
            <w:pPr>
              <w:rPr>
                <w:rFonts w:eastAsia="Times New Roman" w:cs="Calibri"/>
                <w:color w:val="000000"/>
                <w:sz w:val="16"/>
                <w:szCs w:val="16"/>
                <w:lang w:val="en-GB" w:eastAsia="en-GB"/>
              </w:rPr>
            </w:pPr>
            <w:r w:rsidRPr="00CE653F">
              <w:rPr>
                <w:rFonts w:eastAsia="Times New Roman" w:cs="Calibri"/>
                <w:color w:val="000000"/>
                <w:sz w:val="16"/>
                <w:szCs w:val="16"/>
                <w:lang w:val="en-GB" w:eastAsia="en-GB"/>
              </w:rPr>
              <w:t>Chief Superintendent</w:t>
            </w:r>
          </w:p>
        </w:tc>
        <w:tc>
          <w:tcPr>
            <w:tcW w:w="1674" w:type="dxa"/>
            <w:tcBorders>
              <w:top w:val="nil"/>
              <w:left w:val="single" w:sz="4" w:space="0" w:color="auto"/>
              <w:bottom w:val="nil"/>
              <w:right w:val="single" w:sz="4" w:space="0" w:color="auto"/>
            </w:tcBorders>
            <w:shd w:val="clear" w:color="000000" w:fill="FFFFFF"/>
            <w:noWrap/>
            <w:vAlign w:val="center"/>
            <w:hideMark/>
          </w:tcPr>
          <w:p w14:paraId="5838E56B" w14:textId="77777777" w:rsidR="00CE653F" w:rsidRPr="00CE653F" w:rsidRDefault="00CE653F" w:rsidP="0041394A">
            <w:pPr>
              <w:jc w:val="center"/>
              <w:rPr>
                <w:rFonts w:eastAsia="Times New Roman" w:cs="Calibri"/>
                <w:color w:val="000000"/>
                <w:sz w:val="16"/>
                <w:szCs w:val="16"/>
                <w:lang w:val="en-GB" w:eastAsia="en-GB"/>
              </w:rPr>
            </w:pPr>
            <w:r w:rsidRPr="00CE653F">
              <w:rPr>
                <w:rFonts w:eastAsia="Times New Roman" w:cs="Calibri"/>
                <w:color w:val="000000"/>
                <w:sz w:val="16"/>
                <w:szCs w:val="16"/>
                <w:lang w:val="en-GB" w:eastAsia="en-GB"/>
              </w:rPr>
              <w:t>02/01/2018</w:t>
            </w:r>
          </w:p>
        </w:tc>
        <w:tc>
          <w:tcPr>
            <w:tcW w:w="1370" w:type="dxa"/>
            <w:tcBorders>
              <w:top w:val="nil"/>
              <w:left w:val="nil"/>
              <w:bottom w:val="nil"/>
              <w:right w:val="nil"/>
            </w:tcBorders>
            <w:shd w:val="clear" w:color="000000" w:fill="FFFFFF"/>
            <w:noWrap/>
            <w:vAlign w:val="center"/>
            <w:hideMark/>
          </w:tcPr>
          <w:p w14:paraId="19C6124A" w14:textId="018918D6" w:rsidR="00CE653F" w:rsidRPr="00CE653F" w:rsidRDefault="00CE653F" w:rsidP="0041394A">
            <w:pPr>
              <w:jc w:val="center"/>
              <w:rPr>
                <w:rFonts w:eastAsia="Times New Roman" w:cs="Calibri"/>
                <w:color w:val="000000"/>
                <w:sz w:val="16"/>
                <w:szCs w:val="16"/>
                <w:lang w:val="en-GB" w:eastAsia="en-GB"/>
              </w:rPr>
            </w:pPr>
          </w:p>
        </w:tc>
        <w:tc>
          <w:tcPr>
            <w:tcW w:w="1333" w:type="dxa"/>
            <w:tcBorders>
              <w:top w:val="nil"/>
              <w:left w:val="single" w:sz="4" w:space="0" w:color="auto"/>
              <w:bottom w:val="nil"/>
              <w:right w:val="nil"/>
            </w:tcBorders>
            <w:shd w:val="clear" w:color="000000" w:fill="FFFFFF"/>
            <w:noWrap/>
            <w:vAlign w:val="center"/>
            <w:hideMark/>
          </w:tcPr>
          <w:p w14:paraId="5EB8613F"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97,740</w:t>
            </w:r>
          </w:p>
        </w:tc>
        <w:tc>
          <w:tcPr>
            <w:tcW w:w="1438" w:type="dxa"/>
            <w:tcBorders>
              <w:top w:val="nil"/>
              <w:left w:val="single" w:sz="4" w:space="0" w:color="auto"/>
              <w:bottom w:val="nil"/>
              <w:right w:val="nil"/>
            </w:tcBorders>
            <w:shd w:val="clear" w:color="000000" w:fill="FFFFFF"/>
            <w:noWrap/>
            <w:vAlign w:val="center"/>
            <w:hideMark/>
          </w:tcPr>
          <w:p w14:paraId="627788D9"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23,413</w:t>
            </w:r>
          </w:p>
        </w:tc>
        <w:tc>
          <w:tcPr>
            <w:tcW w:w="989" w:type="dxa"/>
            <w:tcBorders>
              <w:top w:val="nil"/>
              <w:left w:val="single" w:sz="4" w:space="0" w:color="auto"/>
              <w:bottom w:val="nil"/>
              <w:right w:val="single" w:sz="4" w:space="0" w:color="auto"/>
            </w:tcBorders>
            <w:shd w:val="clear" w:color="000000" w:fill="FFFFFF"/>
            <w:noWrap/>
            <w:vAlign w:val="center"/>
            <w:hideMark/>
          </w:tcPr>
          <w:p w14:paraId="1EC9DA4E"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260" w:type="dxa"/>
            <w:tcBorders>
              <w:top w:val="nil"/>
              <w:left w:val="nil"/>
              <w:bottom w:val="nil"/>
              <w:right w:val="single" w:sz="4" w:space="0" w:color="auto"/>
            </w:tcBorders>
            <w:shd w:val="clear" w:color="000000" w:fill="FFFFFF"/>
            <w:noWrap/>
            <w:vAlign w:val="center"/>
            <w:hideMark/>
          </w:tcPr>
          <w:p w14:paraId="40C8A446"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839" w:type="dxa"/>
            <w:tcBorders>
              <w:top w:val="nil"/>
              <w:left w:val="nil"/>
              <w:bottom w:val="nil"/>
              <w:right w:val="single" w:sz="4" w:space="0" w:color="auto"/>
            </w:tcBorders>
            <w:shd w:val="clear" w:color="000000" w:fill="FFFFFF"/>
            <w:noWrap/>
            <w:vAlign w:val="center"/>
            <w:hideMark/>
          </w:tcPr>
          <w:p w14:paraId="6C52E546" w14:textId="77777777" w:rsidR="00CE653F" w:rsidRPr="00CE653F" w:rsidRDefault="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121,153</w:t>
            </w:r>
          </w:p>
        </w:tc>
      </w:tr>
      <w:tr w:rsidR="00CE653F" w:rsidRPr="00CE653F" w14:paraId="512B1806" w14:textId="77777777" w:rsidTr="00704337">
        <w:trPr>
          <w:trHeight w:val="232"/>
        </w:trPr>
        <w:tc>
          <w:tcPr>
            <w:tcW w:w="4105" w:type="dxa"/>
            <w:tcBorders>
              <w:top w:val="nil"/>
              <w:left w:val="single" w:sz="4" w:space="0" w:color="auto"/>
              <w:bottom w:val="nil"/>
              <w:right w:val="nil"/>
            </w:tcBorders>
            <w:shd w:val="clear" w:color="000000" w:fill="FFFFFF"/>
            <w:noWrap/>
            <w:vAlign w:val="center"/>
            <w:hideMark/>
          </w:tcPr>
          <w:p w14:paraId="061B1FF3" w14:textId="77777777" w:rsidR="00CE653F" w:rsidRPr="00CE653F" w:rsidRDefault="00CE653F" w:rsidP="00CE653F">
            <w:pPr>
              <w:rPr>
                <w:rFonts w:eastAsia="Times New Roman" w:cs="Calibri"/>
                <w:color w:val="000000"/>
                <w:sz w:val="16"/>
                <w:szCs w:val="16"/>
                <w:lang w:val="en-GB" w:eastAsia="en-GB"/>
              </w:rPr>
            </w:pPr>
            <w:r w:rsidRPr="00CE653F">
              <w:rPr>
                <w:rFonts w:eastAsia="Times New Roman" w:cs="Calibri"/>
                <w:color w:val="000000"/>
                <w:sz w:val="16"/>
                <w:szCs w:val="16"/>
                <w:lang w:val="en-GB" w:eastAsia="en-GB"/>
              </w:rPr>
              <w:t>Temporary Chief Superintendent</w:t>
            </w:r>
          </w:p>
        </w:tc>
        <w:tc>
          <w:tcPr>
            <w:tcW w:w="1674" w:type="dxa"/>
            <w:tcBorders>
              <w:top w:val="nil"/>
              <w:left w:val="single" w:sz="4" w:space="0" w:color="auto"/>
              <w:bottom w:val="nil"/>
              <w:right w:val="single" w:sz="4" w:space="0" w:color="auto"/>
            </w:tcBorders>
            <w:shd w:val="clear" w:color="000000" w:fill="FFFFFF"/>
            <w:noWrap/>
            <w:vAlign w:val="center"/>
            <w:hideMark/>
          </w:tcPr>
          <w:p w14:paraId="59A56B77" w14:textId="77777777" w:rsidR="00CE653F" w:rsidRPr="00CE653F" w:rsidRDefault="00CE653F" w:rsidP="0041394A">
            <w:pPr>
              <w:jc w:val="center"/>
              <w:rPr>
                <w:rFonts w:eastAsia="Times New Roman" w:cs="Calibri"/>
                <w:color w:val="000000"/>
                <w:sz w:val="16"/>
                <w:szCs w:val="16"/>
                <w:lang w:val="en-GB" w:eastAsia="en-GB"/>
              </w:rPr>
            </w:pPr>
            <w:r w:rsidRPr="00CE653F">
              <w:rPr>
                <w:rFonts w:eastAsia="Times New Roman" w:cs="Calibri"/>
                <w:color w:val="000000"/>
                <w:sz w:val="16"/>
                <w:szCs w:val="16"/>
                <w:lang w:val="en-GB" w:eastAsia="en-GB"/>
              </w:rPr>
              <w:t>14/10/2019</w:t>
            </w:r>
          </w:p>
        </w:tc>
        <w:tc>
          <w:tcPr>
            <w:tcW w:w="1370" w:type="dxa"/>
            <w:tcBorders>
              <w:top w:val="nil"/>
              <w:left w:val="nil"/>
              <w:bottom w:val="nil"/>
              <w:right w:val="nil"/>
            </w:tcBorders>
            <w:shd w:val="clear" w:color="000000" w:fill="FFFFFF"/>
            <w:noWrap/>
            <w:vAlign w:val="center"/>
            <w:hideMark/>
          </w:tcPr>
          <w:p w14:paraId="3A18AB4B" w14:textId="038A6A6A" w:rsidR="00CE653F" w:rsidRPr="00CE653F" w:rsidRDefault="00CE653F" w:rsidP="0041394A">
            <w:pPr>
              <w:jc w:val="center"/>
              <w:rPr>
                <w:rFonts w:eastAsia="Times New Roman" w:cs="Calibri"/>
                <w:color w:val="000000"/>
                <w:sz w:val="16"/>
                <w:szCs w:val="16"/>
                <w:lang w:val="en-GB" w:eastAsia="en-GB"/>
              </w:rPr>
            </w:pPr>
          </w:p>
        </w:tc>
        <w:tc>
          <w:tcPr>
            <w:tcW w:w="1333" w:type="dxa"/>
            <w:tcBorders>
              <w:top w:val="nil"/>
              <w:left w:val="single" w:sz="4" w:space="0" w:color="auto"/>
              <w:bottom w:val="nil"/>
              <w:right w:val="nil"/>
            </w:tcBorders>
            <w:shd w:val="clear" w:color="000000" w:fill="FFFFFF"/>
            <w:noWrap/>
            <w:vAlign w:val="center"/>
            <w:hideMark/>
          </w:tcPr>
          <w:p w14:paraId="5F7027C6"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92,545</w:t>
            </w:r>
          </w:p>
        </w:tc>
        <w:tc>
          <w:tcPr>
            <w:tcW w:w="1438" w:type="dxa"/>
            <w:tcBorders>
              <w:top w:val="nil"/>
              <w:left w:val="single" w:sz="4" w:space="0" w:color="auto"/>
              <w:bottom w:val="nil"/>
              <w:right w:val="nil"/>
            </w:tcBorders>
            <w:shd w:val="clear" w:color="000000" w:fill="FFFFFF"/>
            <w:noWrap/>
            <w:vAlign w:val="center"/>
            <w:hideMark/>
          </w:tcPr>
          <w:p w14:paraId="6CB2B45D"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26,597</w:t>
            </w:r>
          </w:p>
        </w:tc>
        <w:tc>
          <w:tcPr>
            <w:tcW w:w="989" w:type="dxa"/>
            <w:tcBorders>
              <w:top w:val="nil"/>
              <w:left w:val="single" w:sz="4" w:space="0" w:color="auto"/>
              <w:bottom w:val="nil"/>
              <w:right w:val="single" w:sz="4" w:space="0" w:color="auto"/>
            </w:tcBorders>
            <w:shd w:val="clear" w:color="000000" w:fill="FFFFFF"/>
            <w:noWrap/>
            <w:vAlign w:val="center"/>
            <w:hideMark/>
          </w:tcPr>
          <w:p w14:paraId="1EBE4108"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260" w:type="dxa"/>
            <w:tcBorders>
              <w:top w:val="nil"/>
              <w:left w:val="nil"/>
              <w:bottom w:val="nil"/>
              <w:right w:val="single" w:sz="4" w:space="0" w:color="auto"/>
            </w:tcBorders>
            <w:shd w:val="clear" w:color="000000" w:fill="FFFFFF"/>
            <w:noWrap/>
            <w:vAlign w:val="center"/>
            <w:hideMark/>
          </w:tcPr>
          <w:p w14:paraId="03D1A375"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839" w:type="dxa"/>
            <w:tcBorders>
              <w:top w:val="nil"/>
              <w:left w:val="nil"/>
              <w:bottom w:val="nil"/>
              <w:right w:val="single" w:sz="4" w:space="0" w:color="auto"/>
            </w:tcBorders>
            <w:shd w:val="clear" w:color="000000" w:fill="FFFFFF"/>
            <w:noWrap/>
            <w:vAlign w:val="center"/>
            <w:hideMark/>
          </w:tcPr>
          <w:p w14:paraId="1C7860ED" w14:textId="77777777" w:rsidR="00CE653F" w:rsidRPr="00CE653F" w:rsidRDefault="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119,142</w:t>
            </w:r>
          </w:p>
        </w:tc>
      </w:tr>
      <w:tr w:rsidR="00CE653F" w:rsidRPr="00CE653F" w14:paraId="73FBC4BC" w14:textId="77777777" w:rsidTr="00704337">
        <w:trPr>
          <w:trHeight w:val="232"/>
        </w:trPr>
        <w:tc>
          <w:tcPr>
            <w:tcW w:w="4105" w:type="dxa"/>
            <w:tcBorders>
              <w:top w:val="nil"/>
              <w:left w:val="single" w:sz="4" w:space="0" w:color="auto"/>
              <w:bottom w:val="nil"/>
              <w:right w:val="nil"/>
            </w:tcBorders>
            <w:shd w:val="clear" w:color="000000" w:fill="FFFFFF"/>
            <w:noWrap/>
            <w:vAlign w:val="center"/>
            <w:hideMark/>
          </w:tcPr>
          <w:p w14:paraId="7D45734B" w14:textId="77777777" w:rsidR="00CE653F" w:rsidRPr="00CE653F" w:rsidRDefault="00CE653F" w:rsidP="00CE653F">
            <w:pPr>
              <w:rPr>
                <w:rFonts w:eastAsia="Times New Roman" w:cs="Calibri"/>
                <w:color w:val="000000"/>
                <w:sz w:val="16"/>
                <w:szCs w:val="16"/>
                <w:lang w:val="en-GB" w:eastAsia="en-GB"/>
              </w:rPr>
            </w:pPr>
            <w:r w:rsidRPr="00CE653F">
              <w:rPr>
                <w:rFonts w:eastAsia="Times New Roman" w:cs="Calibri"/>
                <w:color w:val="000000"/>
                <w:sz w:val="16"/>
                <w:szCs w:val="16"/>
                <w:lang w:val="en-GB" w:eastAsia="en-GB"/>
              </w:rPr>
              <w:t>Temporary Chief Superintendent</w:t>
            </w:r>
          </w:p>
        </w:tc>
        <w:tc>
          <w:tcPr>
            <w:tcW w:w="1674" w:type="dxa"/>
            <w:tcBorders>
              <w:top w:val="nil"/>
              <w:left w:val="single" w:sz="4" w:space="0" w:color="auto"/>
              <w:bottom w:val="nil"/>
              <w:right w:val="single" w:sz="4" w:space="0" w:color="auto"/>
            </w:tcBorders>
            <w:shd w:val="clear" w:color="000000" w:fill="FFFFFF"/>
            <w:noWrap/>
            <w:vAlign w:val="center"/>
            <w:hideMark/>
          </w:tcPr>
          <w:p w14:paraId="6C6511A2" w14:textId="77777777" w:rsidR="00CE653F" w:rsidRPr="00CE653F" w:rsidRDefault="00CE653F" w:rsidP="0041394A">
            <w:pPr>
              <w:jc w:val="center"/>
              <w:rPr>
                <w:rFonts w:eastAsia="Times New Roman" w:cs="Calibri"/>
                <w:color w:val="000000"/>
                <w:sz w:val="16"/>
                <w:szCs w:val="16"/>
                <w:lang w:val="en-GB" w:eastAsia="en-GB"/>
              </w:rPr>
            </w:pPr>
            <w:r w:rsidRPr="00CE653F">
              <w:rPr>
                <w:rFonts w:eastAsia="Times New Roman" w:cs="Calibri"/>
                <w:color w:val="000000"/>
                <w:sz w:val="16"/>
                <w:szCs w:val="16"/>
                <w:lang w:val="en-GB" w:eastAsia="en-GB"/>
              </w:rPr>
              <w:t>16/12/2019</w:t>
            </w:r>
          </w:p>
        </w:tc>
        <w:tc>
          <w:tcPr>
            <w:tcW w:w="1370" w:type="dxa"/>
            <w:tcBorders>
              <w:top w:val="nil"/>
              <w:left w:val="nil"/>
              <w:bottom w:val="nil"/>
              <w:right w:val="nil"/>
            </w:tcBorders>
            <w:shd w:val="clear" w:color="000000" w:fill="FFFFFF"/>
            <w:noWrap/>
            <w:vAlign w:val="center"/>
            <w:hideMark/>
          </w:tcPr>
          <w:p w14:paraId="7C626AC2" w14:textId="70211F7A" w:rsidR="00CE653F" w:rsidRPr="00CE653F" w:rsidRDefault="00CE653F" w:rsidP="0041394A">
            <w:pPr>
              <w:jc w:val="center"/>
              <w:rPr>
                <w:rFonts w:eastAsia="Times New Roman" w:cs="Calibri"/>
                <w:color w:val="000000"/>
                <w:sz w:val="16"/>
                <w:szCs w:val="16"/>
                <w:lang w:val="en-GB" w:eastAsia="en-GB"/>
              </w:rPr>
            </w:pPr>
          </w:p>
        </w:tc>
        <w:tc>
          <w:tcPr>
            <w:tcW w:w="1333" w:type="dxa"/>
            <w:tcBorders>
              <w:top w:val="nil"/>
              <w:left w:val="single" w:sz="4" w:space="0" w:color="auto"/>
              <w:bottom w:val="nil"/>
              <w:right w:val="nil"/>
            </w:tcBorders>
            <w:shd w:val="clear" w:color="000000" w:fill="FFFFFF"/>
            <w:noWrap/>
            <w:vAlign w:val="center"/>
            <w:hideMark/>
          </w:tcPr>
          <w:p w14:paraId="66A69EDE"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90,257</w:t>
            </w:r>
          </w:p>
        </w:tc>
        <w:tc>
          <w:tcPr>
            <w:tcW w:w="1438" w:type="dxa"/>
            <w:tcBorders>
              <w:top w:val="nil"/>
              <w:left w:val="single" w:sz="4" w:space="0" w:color="auto"/>
              <w:bottom w:val="nil"/>
              <w:right w:val="nil"/>
            </w:tcBorders>
            <w:shd w:val="clear" w:color="000000" w:fill="FFFFFF"/>
            <w:noWrap/>
            <w:vAlign w:val="center"/>
            <w:hideMark/>
          </w:tcPr>
          <w:p w14:paraId="2129975F"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26,594</w:t>
            </w:r>
          </w:p>
        </w:tc>
        <w:tc>
          <w:tcPr>
            <w:tcW w:w="989" w:type="dxa"/>
            <w:tcBorders>
              <w:top w:val="nil"/>
              <w:left w:val="single" w:sz="4" w:space="0" w:color="auto"/>
              <w:bottom w:val="nil"/>
              <w:right w:val="single" w:sz="4" w:space="0" w:color="auto"/>
            </w:tcBorders>
            <w:shd w:val="clear" w:color="000000" w:fill="FFFFFF"/>
            <w:noWrap/>
            <w:vAlign w:val="center"/>
            <w:hideMark/>
          </w:tcPr>
          <w:p w14:paraId="53A0E07E"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260" w:type="dxa"/>
            <w:tcBorders>
              <w:top w:val="nil"/>
              <w:left w:val="nil"/>
              <w:bottom w:val="nil"/>
              <w:right w:val="single" w:sz="4" w:space="0" w:color="auto"/>
            </w:tcBorders>
            <w:shd w:val="clear" w:color="000000" w:fill="FFFFFF"/>
            <w:noWrap/>
            <w:vAlign w:val="center"/>
            <w:hideMark/>
          </w:tcPr>
          <w:p w14:paraId="5DD11877"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839" w:type="dxa"/>
            <w:tcBorders>
              <w:top w:val="nil"/>
              <w:left w:val="nil"/>
              <w:bottom w:val="nil"/>
              <w:right w:val="single" w:sz="4" w:space="0" w:color="auto"/>
            </w:tcBorders>
            <w:shd w:val="clear" w:color="000000" w:fill="FFFFFF"/>
            <w:noWrap/>
            <w:vAlign w:val="center"/>
            <w:hideMark/>
          </w:tcPr>
          <w:p w14:paraId="39A46D24" w14:textId="77777777" w:rsidR="00CE653F" w:rsidRPr="00CE653F" w:rsidRDefault="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116,851</w:t>
            </w:r>
          </w:p>
        </w:tc>
      </w:tr>
      <w:tr w:rsidR="00CE653F" w:rsidRPr="00CE653F" w14:paraId="1CF62A91" w14:textId="77777777" w:rsidTr="00704337">
        <w:trPr>
          <w:trHeight w:val="232"/>
        </w:trPr>
        <w:tc>
          <w:tcPr>
            <w:tcW w:w="4105" w:type="dxa"/>
            <w:tcBorders>
              <w:top w:val="nil"/>
              <w:left w:val="single" w:sz="4" w:space="0" w:color="auto"/>
              <w:bottom w:val="nil"/>
              <w:right w:val="nil"/>
            </w:tcBorders>
            <w:shd w:val="clear" w:color="000000" w:fill="FFFFFF"/>
            <w:noWrap/>
            <w:vAlign w:val="center"/>
            <w:hideMark/>
          </w:tcPr>
          <w:p w14:paraId="1CB74527" w14:textId="77777777" w:rsidR="00CE653F" w:rsidRPr="00CE653F" w:rsidRDefault="00CE653F" w:rsidP="00CE653F">
            <w:pP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Police Staff</w:t>
            </w:r>
          </w:p>
        </w:tc>
        <w:tc>
          <w:tcPr>
            <w:tcW w:w="1674" w:type="dxa"/>
            <w:tcBorders>
              <w:top w:val="nil"/>
              <w:left w:val="single" w:sz="4" w:space="0" w:color="auto"/>
              <w:bottom w:val="nil"/>
              <w:right w:val="single" w:sz="4" w:space="0" w:color="auto"/>
            </w:tcBorders>
            <w:shd w:val="clear" w:color="000000" w:fill="FFFFFF"/>
            <w:noWrap/>
            <w:vAlign w:val="center"/>
            <w:hideMark/>
          </w:tcPr>
          <w:p w14:paraId="3DE4AF87" w14:textId="41C16EC8" w:rsidR="00CE653F" w:rsidRPr="00CE653F" w:rsidRDefault="00CE653F" w:rsidP="0041394A">
            <w:pPr>
              <w:jc w:val="center"/>
              <w:rPr>
                <w:rFonts w:eastAsia="Times New Roman" w:cs="Calibri"/>
                <w:b/>
                <w:bCs/>
                <w:color w:val="000000"/>
                <w:sz w:val="16"/>
                <w:szCs w:val="16"/>
                <w:lang w:val="en-GB" w:eastAsia="en-GB"/>
              </w:rPr>
            </w:pPr>
          </w:p>
        </w:tc>
        <w:tc>
          <w:tcPr>
            <w:tcW w:w="1370" w:type="dxa"/>
            <w:tcBorders>
              <w:top w:val="nil"/>
              <w:left w:val="nil"/>
              <w:bottom w:val="nil"/>
              <w:right w:val="nil"/>
            </w:tcBorders>
            <w:shd w:val="clear" w:color="000000" w:fill="FFFFFF"/>
            <w:noWrap/>
            <w:vAlign w:val="center"/>
            <w:hideMark/>
          </w:tcPr>
          <w:p w14:paraId="092E9707" w14:textId="34C3D8FB" w:rsidR="00CE653F" w:rsidRPr="00CE653F" w:rsidRDefault="00CE653F" w:rsidP="0041394A">
            <w:pPr>
              <w:jc w:val="center"/>
              <w:rPr>
                <w:rFonts w:eastAsia="Times New Roman" w:cs="Calibri"/>
                <w:b/>
                <w:bCs/>
                <w:color w:val="000000"/>
                <w:sz w:val="16"/>
                <w:szCs w:val="16"/>
                <w:lang w:val="en-GB" w:eastAsia="en-GB"/>
              </w:rPr>
            </w:pPr>
          </w:p>
        </w:tc>
        <w:tc>
          <w:tcPr>
            <w:tcW w:w="1333" w:type="dxa"/>
            <w:tcBorders>
              <w:top w:val="nil"/>
              <w:left w:val="single" w:sz="4" w:space="0" w:color="auto"/>
              <w:bottom w:val="nil"/>
              <w:right w:val="nil"/>
            </w:tcBorders>
            <w:shd w:val="clear" w:color="000000" w:fill="FFFFFF"/>
            <w:noWrap/>
            <w:vAlign w:val="center"/>
            <w:hideMark/>
          </w:tcPr>
          <w:p w14:paraId="5B6497DF" w14:textId="77777777" w:rsidR="00CE653F" w:rsidRPr="00CE653F" w:rsidRDefault="00CE653F" w:rsidP="0041394A">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c>
          <w:tcPr>
            <w:tcW w:w="1438" w:type="dxa"/>
            <w:tcBorders>
              <w:top w:val="nil"/>
              <w:left w:val="single" w:sz="4" w:space="0" w:color="auto"/>
              <w:bottom w:val="nil"/>
              <w:right w:val="nil"/>
            </w:tcBorders>
            <w:shd w:val="clear" w:color="000000" w:fill="FFFFFF"/>
            <w:noWrap/>
            <w:vAlign w:val="center"/>
            <w:hideMark/>
          </w:tcPr>
          <w:p w14:paraId="3D2325EC" w14:textId="77777777" w:rsidR="00CE653F" w:rsidRPr="00CE653F" w:rsidRDefault="00CE653F" w:rsidP="0041394A">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c>
          <w:tcPr>
            <w:tcW w:w="989" w:type="dxa"/>
            <w:tcBorders>
              <w:top w:val="nil"/>
              <w:left w:val="single" w:sz="4" w:space="0" w:color="auto"/>
              <w:bottom w:val="nil"/>
              <w:right w:val="single" w:sz="4" w:space="0" w:color="auto"/>
            </w:tcBorders>
            <w:shd w:val="clear" w:color="000000" w:fill="FFFFFF"/>
            <w:noWrap/>
            <w:vAlign w:val="center"/>
            <w:hideMark/>
          </w:tcPr>
          <w:p w14:paraId="08729565" w14:textId="77777777" w:rsidR="00CE653F" w:rsidRPr="00CE653F" w:rsidRDefault="00CE653F" w:rsidP="0041394A">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c>
          <w:tcPr>
            <w:tcW w:w="1260" w:type="dxa"/>
            <w:tcBorders>
              <w:top w:val="nil"/>
              <w:left w:val="nil"/>
              <w:bottom w:val="nil"/>
              <w:right w:val="single" w:sz="4" w:space="0" w:color="auto"/>
            </w:tcBorders>
            <w:shd w:val="clear" w:color="000000" w:fill="FFFFFF"/>
            <w:noWrap/>
            <w:vAlign w:val="center"/>
            <w:hideMark/>
          </w:tcPr>
          <w:p w14:paraId="2EDA022F" w14:textId="77777777" w:rsidR="00CE653F" w:rsidRPr="00CE653F" w:rsidRDefault="00CE653F" w:rsidP="0041394A">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c>
          <w:tcPr>
            <w:tcW w:w="1839" w:type="dxa"/>
            <w:tcBorders>
              <w:top w:val="nil"/>
              <w:left w:val="nil"/>
              <w:bottom w:val="nil"/>
              <w:right w:val="single" w:sz="4" w:space="0" w:color="auto"/>
            </w:tcBorders>
            <w:shd w:val="clear" w:color="000000" w:fill="FFFFFF"/>
            <w:noWrap/>
            <w:vAlign w:val="center"/>
            <w:hideMark/>
          </w:tcPr>
          <w:p w14:paraId="7C928B47" w14:textId="77777777" w:rsidR="00CE653F" w:rsidRPr="00CE653F" w:rsidRDefault="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r>
      <w:tr w:rsidR="00CE653F" w:rsidRPr="00CE653F" w14:paraId="24045F14" w14:textId="77777777" w:rsidTr="00704337">
        <w:trPr>
          <w:trHeight w:val="232"/>
        </w:trPr>
        <w:tc>
          <w:tcPr>
            <w:tcW w:w="4105" w:type="dxa"/>
            <w:tcBorders>
              <w:top w:val="nil"/>
              <w:left w:val="single" w:sz="4" w:space="0" w:color="auto"/>
              <w:bottom w:val="nil"/>
              <w:right w:val="nil"/>
            </w:tcBorders>
            <w:shd w:val="clear" w:color="000000" w:fill="FFFFFF"/>
            <w:noWrap/>
            <w:vAlign w:val="center"/>
            <w:hideMark/>
          </w:tcPr>
          <w:p w14:paraId="2ACBB540" w14:textId="77777777" w:rsidR="00CE653F" w:rsidRPr="00CE653F" w:rsidRDefault="00CE653F" w:rsidP="00CE653F">
            <w:pPr>
              <w:rPr>
                <w:rFonts w:eastAsia="Times New Roman" w:cs="Calibri"/>
                <w:color w:val="000000"/>
                <w:sz w:val="16"/>
                <w:szCs w:val="16"/>
                <w:lang w:val="en-GB" w:eastAsia="en-GB"/>
              </w:rPr>
            </w:pPr>
            <w:r w:rsidRPr="00CE653F">
              <w:rPr>
                <w:rFonts w:eastAsia="Times New Roman" w:cs="Calibri"/>
                <w:color w:val="000000"/>
                <w:sz w:val="16"/>
                <w:szCs w:val="16"/>
                <w:lang w:val="en-GB" w:eastAsia="en-GB"/>
              </w:rPr>
              <w:t>Head of Corporate Communications</w:t>
            </w:r>
          </w:p>
        </w:tc>
        <w:tc>
          <w:tcPr>
            <w:tcW w:w="1674" w:type="dxa"/>
            <w:tcBorders>
              <w:top w:val="nil"/>
              <w:left w:val="single" w:sz="4" w:space="0" w:color="auto"/>
              <w:bottom w:val="nil"/>
              <w:right w:val="single" w:sz="4" w:space="0" w:color="auto"/>
            </w:tcBorders>
            <w:shd w:val="clear" w:color="000000" w:fill="FFFFFF"/>
            <w:noWrap/>
            <w:vAlign w:val="center"/>
            <w:hideMark/>
          </w:tcPr>
          <w:p w14:paraId="63F5110B" w14:textId="77777777" w:rsidR="00CE653F" w:rsidRPr="00CE653F" w:rsidRDefault="00CE653F" w:rsidP="0041394A">
            <w:pPr>
              <w:jc w:val="center"/>
              <w:rPr>
                <w:rFonts w:eastAsia="Times New Roman" w:cs="Calibri"/>
                <w:color w:val="000000"/>
                <w:sz w:val="16"/>
                <w:szCs w:val="16"/>
                <w:lang w:val="en-GB" w:eastAsia="en-GB"/>
              </w:rPr>
            </w:pPr>
            <w:r w:rsidRPr="00CE653F">
              <w:rPr>
                <w:rFonts w:eastAsia="Times New Roman" w:cs="Calibri"/>
                <w:color w:val="000000"/>
                <w:sz w:val="16"/>
                <w:szCs w:val="16"/>
                <w:lang w:val="en-GB" w:eastAsia="en-GB"/>
              </w:rPr>
              <w:t>16/07/2018</w:t>
            </w:r>
          </w:p>
        </w:tc>
        <w:tc>
          <w:tcPr>
            <w:tcW w:w="1370" w:type="dxa"/>
            <w:tcBorders>
              <w:top w:val="nil"/>
              <w:left w:val="nil"/>
              <w:bottom w:val="nil"/>
              <w:right w:val="nil"/>
            </w:tcBorders>
            <w:shd w:val="clear" w:color="000000" w:fill="FFFFFF"/>
            <w:noWrap/>
            <w:vAlign w:val="center"/>
            <w:hideMark/>
          </w:tcPr>
          <w:p w14:paraId="4B9BC70F" w14:textId="5867E55B" w:rsidR="00CE653F" w:rsidRPr="00CE653F" w:rsidRDefault="00CE653F" w:rsidP="0041394A">
            <w:pPr>
              <w:jc w:val="center"/>
              <w:rPr>
                <w:rFonts w:eastAsia="Times New Roman" w:cs="Calibri"/>
                <w:color w:val="000000"/>
                <w:sz w:val="16"/>
                <w:szCs w:val="16"/>
                <w:lang w:val="en-GB" w:eastAsia="en-GB"/>
              </w:rPr>
            </w:pPr>
          </w:p>
        </w:tc>
        <w:tc>
          <w:tcPr>
            <w:tcW w:w="1333" w:type="dxa"/>
            <w:tcBorders>
              <w:top w:val="nil"/>
              <w:left w:val="single" w:sz="4" w:space="0" w:color="auto"/>
              <w:bottom w:val="nil"/>
              <w:right w:val="nil"/>
            </w:tcBorders>
            <w:shd w:val="clear" w:color="000000" w:fill="FFFFFF"/>
            <w:noWrap/>
            <w:vAlign w:val="center"/>
            <w:hideMark/>
          </w:tcPr>
          <w:p w14:paraId="32307227"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75,838</w:t>
            </w:r>
          </w:p>
        </w:tc>
        <w:tc>
          <w:tcPr>
            <w:tcW w:w="1438" w:type="dxa"/>
            <w:tcBorders>
              <w:top w:val="nil"/>
              <w:left w:val="single" w:sz="4" w:space="0" w:color="auto"/>
              <w:bottom w:val="nil"/>
              <w:right w:val="nil"/>
            </w:tcBorders>
            <w:shd w:val="clear" w:color="000000" w:fill="FFFFFF"/>
            <w:noWrap/>
            <w:vAlign w:val="center"/>
            <w:hideMark/>
          </w:tcPr>
          <w:p w14:paraId="079804A2"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11,738</w:t>
            </w:r>
          </w:p>
        </w:tc>
        <w:tc>
          <w:tcPr>
            <w:tcW w:w="989" w:type="dxa"/>
            <w:tcBorders>
              <w:top w:val="nil"/>
              <w:left w:val="single" w:sz="4" w:space="0" w:color="auto"/>
              <w:bottom w:val="nil"/>
              <w:right w:val="single" w:sz="4" w:space="0" w:color="auto"/>
            </w:tcBorders>
            <w:shd w:val="clear" w:color="000000" w:fill="FFFFFF"/>
            <w:noWrap/>
            <w:vAlign w:val="center"/>
            <w:hideMark/>
          </w:tcPr>
          <w:p w14:paraId="6DF672BF"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260" w:type="dxa"/>
            <w:tcBorders>
              <w:top w:val="nil"/>
              <w:left w:val="nil"/>
              <w:bottom w:val="nil"/>
              <w:right w:val="single" w:sz="4" w:space="0" w:color="auto"/>
            </w:tcBorders>
            <w:shd w:val="clear" w:color="000000" w:fill="FFFFFF"/>
            <w:noWrap/>
            <w:vAlign w:val="center"/>
            <w:hideMark/>
          </w:tcPr>
          <w:p w14:paraId="229CF68F"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2,673</w:t>
            </w:r>
          </w:p>
        </w:tc>
        <w:tc>
          <w:tcPr>
            <w:tcW w:w="1839" w:type="dxa"/>
            <w:tcBorders>
              <w:top w:val="nil"/>
              <w:left w:val="nil"/>
              <w:bottom w:val="nil"/>
              <w:right w:val="single" w:sz="4" w:space="0" w:color="auto"/>
            </w:tcBorders>
            <w:shd w:val="clear" w:color="000000" w:fill="FFFFFF"/>
            <w:noWrap/>
            <w:vAlign w:val="center"/>
            <w:hideMark/>
          </w:tcPr>
          <w:p w14:paraId="7AAB9873" w14:textId="77777777" w:rsidR="00CE653F" w:rsidRPr="00CE653F" w:rsidRDefault="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90,249</w:t>
            </w:r>
          </w:p>
        </w:tc>
      </w:tr>
      <w:tr w:rsidR="00CE653F" w:rsidRPr="00CE653F" w14:paraId="2FA80578" w14:textId="77777777" w:rsidTr="00704337">
        <w:trPr>
          <w:trHeight w:val="232"/>
        </w:trPr>
        <w:tc>
          <w:tcPr>
            <w:tcW w:w="4105" w:type="dxa"/>
            <w:tcBorders>
              <w:top w:val="nil"/>
              <w:left w:val="single" w:sz="4" w:space="0" w:color="auto"/>
              <w:bottom w:val="nil"/>
              <w:right w:val="nil"/>
            </w:tcBorders>
            <w:shd w:val="clear" w:color="000000" w:fill="FFFFFF"/>
            <w:noWrap/>
            <w:vAlign w:val="center"/>
            <w:hideMark/>
          </w:tcPr>
          <w:p w14:paraId="56C039F0" w14:textId="77777777" w:rsidR="00CE653F" w:rsidRPr="00CE653F" w:rsidRDefault="00CE653F" w:rsidP="00CE653F">
            <w:pPr>
              <w:rPr>
                <w:rFonts w:eastAsia="Times New Roman" w:cs="Calibri"/>
                <w:color w:val="000000"/>
                <w:sz w:val="16"/>
                <w:szCs w:val="16"/>
                <w:lang w:val="en-GB" w:eastAsia="en-GB"/>
              </w:rPr>
            </w:pPr>
            <w:r w:rsidRPr="00CE653F">
              <w:rPr>
                <w:rFonts w:eastAsia="Times New Roman" w:cs="Calibri"/>
                <w:color w:val="000000"/>
                <w:sz w:val="16"/>
                <w:szCs w:val="16"/>
                <w:lang w:val="en-GB" w:eastAsia="en-GB"/>
              </w:rPr>
              <w:t>Chief Information Officer</w:t>
            </w:r>
          </w:p>
        </w:tc>
        <w:tc>
          <w:tcPr>
            <w:tcW w:w="1674" w:type="dxa"/>
            <w:tcBorders>
              <w:top w:val="nil"/>
              <w:left w:val="single" w:sz="4" w:space="0" w:color="auto"/>
              <w:bottom w:val="nil"/>
              <w:right w:val="single" w:sz="4" w:space="0" w:color="auto"/>
            </w:tcBorders>
            <w:shd w:val="clear" w:color="000000" w:fill="FFFFFF"/>
            <w:noWrap/>
            <w:vAlign w:val="center"/>
            <w:hideMark/>
          </w:tcPr>
          <w:p w14:paraId="277B8474" w14:textId="77777777" w:rsidR="00CE653F" w:rsidRPr="00CE653F" w:rsidRDefault="00CE653F" w:rsidP="0041394A">
            <w:pPr>
              <w:jc w:val="center"/>
              <w:rPr>
                <w:rFonts w:eastAsia="Times New Roman" w:cs="Calibri"/>
                <w:color w:val="000000"/>
                <w:sz w:val="16"/>
                <w:szCs w:val="16"/>
                <w:lang w:val="en-GB" w:eastAsia="en-GB"/>
              </w:rPr>
            </w:pPr>
            <w:r w:rsidRPr="00CE653F">
              <w:rPr>
                <w:rFonts w:eastAsia="Times New Roman" w:cs="Calibri"/>
                <w:color w:val="000000"/>
                <w:sz w:val="16"/>
                <w:szCs w:val="16"/>
                <w:lang w:val="en-GB" w:eastAsia="en-GB"/>
              </w:rPr>
              <w:t>03/12/2018</w:t>
            </w:r>
          </w:p>
        </w:tc>
        <w:tc>
          <w:tcPr>
            <w:tcW w:w="1370" w:type="dxa"/>
            <w:tcBorders>
              <w:top w:val="nil"/>
              <w:left w:val="nil"/>
              <w:bottom w:val="nil"/>
              <w:right w:val="nil"/>
            </w:tcBorders>
            <w:shd w:val="clear" w:color="000000" w:fill="FFFFFF"/>
            <w:noWrap/>
            <w:vAlign w:val="center"/>
            <w:hideMark/>
          </w:tcPr>
          <w:p w14:paraId="48952EEE" w14:textId="77777777" w:rsidR="00CE653F" w:rsidRPr="00CE653F" w:rsidRDefault="00CE653F" w:rsidP="0041394A">
            <w:pPr>
              <w:jc w:val="center"/>
              <w:rPr>
                <w:rFonts w:eastAsia="Times New Roman" w:cs="Calibri"/>
                <w:color w:val="000000"/>
                <w:sz w:val="16"/>
                <w:szCs w:val="16"/>
                <w:lang w:val="en-GB" w:eastAsia="en-GB"/>
              </w:rPr>
            </w:pPr>
            <w:r w:rsidRPr="00CE653F">
              <w:rPr>
                <w:rFonts w:eastAsia="Times New Roman" w:cs="Calibri"/>
                <w:color w:val="000000"/>
                <w:sz w:val="16"/>
                <w:szCs w:val="16"/>
                <w:lang w:val="en-GB" w:eastAsia="en-GB"/>
              </w:rPr>
              <w:t>26/02/2021</w:t>
            </w:r>
          </w:p>
        </w:tc>
        <w:tc>
          <w:tcPr>
            <w:tcW w:w="1333" w:type="dxa"/>
            <w:tcBorders>
              <w:top w:val="nil"/>
              <w:left w:val="single" w:sz="4" w:space="0" w:color="auto"/>
              <w:bottom w:val="nil"/>
              <w:right w:val="nil"/>
            </w:tcBorders>
            <w:shd w:val="clear" w:color="000000" w:fill="FFFFFF"/>
            <w:noWrap/>
            <w:vAlign w:val="center"/>
            <w:hideMark/>
          </w:tcPr>
          <w:p w14:paraId="1E3643AB"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128,384</w:t>
            </w:r>
          </w:p>
        </w:tc>
        <w:tc>
          <w:tcPr>
            <w:tcW w:w="1438" w:type="dxa"/>
            <w:tcBorders>
              <w:top w:val="nil"/>
              <w:left w:val="single" w:sz="4" w:space="0" w:color="auto"/>
              <w:bottom w:val="nil"/>
              <w:right w:val="nil"/>
            </w:tcBorders>
            <w:shd w:val="clear" w:color="000000" w:fill="FFFFFF"/>
            <w:noWrap/>
            <w:vAlign w:val="center"/>
            <w:hideMark/>
          </w:tcPr>
          <w:p w14:paraId="22CEBD7B"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19,043</w:t>
            </w:r>
          </w:p>
        </w:tc>
        <w:tc>
          <w:tcPr>
            <w:tcW w:w="989" w:type="dxa"/>
            <w:tcBorders>
              <w:top w:val="nil"/>
              <w:left w:val="single" w:sz="4" w:space="0" w:color="auto"/>
              <w:bottom w:val="nil"/>
              <w:right w:val="single" w:sz="4" w:space="0" w:color="auto"/>
            </w:tcBorders>
            <w:shd w:val="clear" w:color="000000" w:fill="FFFFFF"/>
            <w:noWrap/>
            <w:vAlign w:val="center"/>
            <w:hideMark/>
          </w:tcPr>
          <w:p w14:paraId="7047E0A9"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260" w:type="dxa"/>
            <w:tcBorders>
              <w:top w:val="nil"/>
              <w:left w:val="nil"/>
              <w:bottom w:val="nil"/>
              <w:right w:val="single" w:sz="4" w:space="0" w:color="auto"/>
            </w:tcBorders>
            <w:shd w:val="clear" w:color="000000" w:fill="FFFFFF"/>
            <w:noWrap/>
            <w:vAlign w:val="center"/>
            <w:hideMark/>
          </w:tcPr>
          <w:p w14:paraId="1082B074"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xml:space="preserve">                -  </w:t>
            </w:r>
          </w:p>
        </w:tc>
        <w:tc>
          <w:tcPr>
            <w:tcW w:w="1839" w:type="dxa"/>
            <w:tcBorders>
              <w:top w:val="nil"/>
              <w:left w:val="nil"/>
              <w:bottom w:val="nil"/>
              <w:right w:val="single" w:sz="4" w:space="0" w:color="auto"/>
            </w:tcBorders>
            <w:shd w:val="clear" w:color="000000" w:fill="FFFFFF"/>
            <w:noWrap/>
            <w:vAlign w:val="center"/>
            <w:hideMark/>
          </w:tcPr>
          <w:p w14:paraId="00B80BC4" w14:textId="77777777" w:rsidR="00CE653F" w:rsidRPr="00CE653F" w:rsidRDefault="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147,427</w:t>
            </w:r>
          </w:p>
        </w:tc>
      </w:tr>
      <w:tr w:rsidR="00CE653F" w:rsidRPr="00CE653F" w14:paraId="36A9853F" w14:textId="77777777" w:rsidTr="00704337">
        <w:trPr>
          <w:trHeight w:val="286"/>
        </w:trPr>
        <w:tc>
          <w:tcPr>
            <w:tcW w:w="4105" w:type="dxa"/>
            <w:tcBorders>
              <w:top w:val="single" w:sz="4" w:space="0" w:color="auto"/>
              <w:left w:val="single" w:sz="4" w:space="0" w:color="auto"/>
              <w:bottom w:val="single" w:sz="4" w:space="0" w:color="auto"/>
              <w:right w:val="nil"/>
            </w:tcBorders>
            <w:shd w:val="clear" w:color="000000" w:fill="FFFFFF"/>
            <w:noWrap/>
            <w:vAlign w:val="center"/>
            <w:hideMark/>
          </w:tcPr>
          <w:p w14:paraId="5BE686F6" w14:textId="77777777" w:rsidR="00CE653F" w:rsidRPr="00CE653F" w:rsidRDefault="00CE653F" w:rsidP="00CE653F">
            <w:pPr>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TOTAL CHIEF CONSTABLE</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D483D1" w14:textId="24D6BB89" w:rsidR="00CE653F" w:rsidRPr="00CE653F" w:rsidRDefault="00CE653F" w:rsidP="0041394A">
            <w:pPr>
              <w:jc w:val="center"/>
              <w:rPr>
                <w:rFonts w:eastAsia="Times New Roman" w:cs="Calibri"/>
                <w:b/>
                <w:bCs/>
                <w:color w:val="000000"/>
                <w:sz w:val="18"/>
                <w:szCs w:val="18"/>
                <w:lang w:val="en-GB" w:eastAsia="en-GB"/>
              </w:rPr>
            </w:pPr>
          </w:p>
        </w:tc>
        <w:tc>
          <w:tcPr>
            <w:tcW w:w="1370" w:type="dxa"/>
            <w:tcBorders>
              <w:top w:val="single" w:sz="4" w:space="0" w:color="auto"/>
              <w:left w:val="nil"/>
              <w:bottom w:val="single" w:sz="4" w:space="0" w:color="auto"/>
              <w:right w:val="nil"/>
            </w:tcBorders>
            <w:shd w:val="clear" w:color="000000" w:fill="FFFFFF"/>
            <w:noWrap/>
            <w:vAlign w:val="center"/>
            <w:hideMark/>
          </w:tcPr>
          <w:p w14:paraId="34D1AF0F" w14:textId="5CE54AB0" w:rsidR="00CE653F" w:rsidRPr="00CE653F" w:rsidRDefault="00CE653F" w:rsidP="0041394A">
            <w:pPr>
              <w:jc w:val="center"/>
              <w:rPr>
                <w:rFonts w:eastAsia="Times New Roman" w:cs="Calibri"/>
                <w:b/>
                <w:bCs/>
                <w:color w:val="000000"/>
                <w:sz w:val="18"/>
                <w:szCs w:val="18"/>
                <w:lang w:val="en-GB" w:eastAsia="en-GB"/>
              </w:rPr>
            </w:pPr>
          </w:p>
        </w:tc>
        <w:tc>
          <w:tcPr>
            <w:tcW w:w="1333" w:type="dxa"/>
            <w:tcBorders>
              <w:top w:val="single" w:sz="4" w:space="0" w:color="auto"/>
              <w:left w:val="single" w:sz="4" w:space="0" w:color="auto"/>
              <w:bottom w:val="single" w:sz="4" w:space="0" w:color="auto"/>
              <w:right w:val="nil"/>
            </w:tcBorders>
            <w:shd w:val="clear" w:color="000000" w:fill="FFFFFF"/>
            <w:noWrap/>
            <w:vAlign w:val="center"/>
            <w:hideMark/>
          </w:tcPr>
          <w:p w14:paraId="6B35ACE3" w14:textId="77777777" w:rsidR="00CE653F" w:rsidRPr="00CE653F" w:rsidRDefault="00CE653F" w:rsidP="0041394A">
            <w:pPr>
              <w:jc w:val="right"/>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1,133,317</w:t>
            </w:r>
          </w:p>
        </w:tc>
        <w:tc>
          <w:tcPr>
            <w:tcW w:w="1438" w:type="dxa"/>
            <w:tcBorders>
              <w:top w:val="single" w:sz="4" w:space="0" w:color="auto"/>
              <w:left w:val="single" w:sz="4" w:space="0" w:color="auto"/>
              <w:bottom w:val="single" w:sz="4" w:space="0" w:color="auto"/>
              <w:right w:val="nil"/>
            </w:tcBorders>
            <w:shd w:val="clear" w:color="000000" w:fill="FFFFFF"/>
            <w:noWrap/>
            <w:vAlign w:val="center"/>
            <w:hideMark/>
          </w:tcPr>
          <w:p w14:paraId="05366386" w14:textId="77777777" w:rsidR="00CE653F" w:rsidRPr="00CE653F" w:rsidRDefault="00CE653F" w:rsidP="0041394A">
            <w:pPr>
              <w:jc w:val="right"/>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292,888</w:t>
            </w:r>
          </w:p>
        </w:tc>
        <w:tc>
          <w:tcPr>
            <w:tcW w:w="9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94C441" w14:textId="77777777" w:rsidR="00CE653F" w:rsidRPr="00CE653F" w:rsidRDefault="00CE653F" w:rsidP="0041394A">
            <w:pPr>
              <w:jc w:val="right"/>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 xml:space="preserve">                 -   </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14:paraId="7039AA68" w14:textId="77777777" w:rsidR="00CE653F" w:rsidRPr="00CE653F" w:rsidRDefault="00CE653F" w:rsidP="0041394A">
            <w:pPr>
              <w:jc w:val="right"/>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25,113</w:t>
            </w:r>
          </w:p>
        </w:tc>
        <w:tc>
          <w:tcPr>
            <w:tcW w:w="1839" w:type="dxa"/>
            <w:tcBorders>
              <w:top w:val="single" w:sz="4" w:space="0" w:color="auto"/>
              <w:left w:val="nil"/>
              <w:bottom w:val="single" w:sz="4" w:space="0" w:color="auto"/>
              <w:right w:val="single" w:sz="4" w:space="0" w:color="auto"/>
            </w:tcBorders>
            <w:shd w:val="clear" w:color="000000" w:fill="FFFFFF"/>
            <w:noWrap/>
            <w:vAlign w:val="center"/>
            <w:hideMark/>
          </w:tcPr>
          <w:p w14:paraId="6F4B4BD8" w14:textId="77777777" w:rsidR="00CE653F" w:rsidRPr="00CE653F" w:rsidRDefault="00CE653F">
            <w:pPr>
              <w:jc w:val="right"/>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1,451,318</w:t>
            </w:r>
          </w:p>
        </w:tc>
      </w:tr>
      <w:tr w:rsidR="00CE653F" w:rsidRPr="00CE653F" w14:paraId="5668F49F" w14:textId="77777777" w:rsidTr="00704337">
        <w:trPr>
          <w:trHeight w:val="232"/>
        </w:trPr>
        <w:tc>
          <w:tcPr>
            <w:tcW w:w="4105" w:type="dxa"/>
            <w:tcBorders>
              <w:top w:val="nil"/>
              <w:left w:val="single" w:sz="4" w:space="0" w:color="auto"/>
              <w:bottom w:val="nil"/>
              <w:right w:val="nil"/>
            </w:tcBorders>
            <w:shd w:val="clear" w:color="000000" w:fill="FFFFFF"/>
            <w:noWrap/>
            <w:vAlign w:val="center"/>
            <w:hideMark/>
          </w:tcPr>
          <w:p w14:paraId="20698B65" w14:textId="77777777" w:rsidR="00CE653F" w:rsidRPr="00CE653F" w:rsidRDefault="00CE653F" w:rsidP="00CE653F">
            <w:pPr>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Officers of the PCC</w:t>
            </w:r>
          </w:p>
        </w:tc>
        <w:tc>
          <w:tcPr>
            <w:tcW w:w="1674" w:type="dxa"/>
            <w:tcBorders>
              <w:top w:val="nil"/>
              <w:left w:val="single" w:sz="4" w:space="0" w:color="auto"/>
              <w:bottom w:val="nil"/>
              <w:right w:val="single" w:sz="4" w:space="0" w:color="auto"/>
            </w:tcBorders>
            <w:shd w:val="clear" w:color="000000" w:fill="FFFFFF"/>
            <w:noWrap/>
            <w:vAlign w:val="center"/>
            <w:hideMark/>
          </w:tcPr>
          <w:p w14:paraId="0C155C70" w14:textId="636F2C8F" w:rsidR="00CE653F" w:rsidRPr="00CE653F" w:rsidRDefault="00CE653F" w:rsidP="0041394A">
            <w:pPr>
              <w:jc w:val="center"/>
              <w:rPr>
                <w:rFonts w:eastAsia="Times New Roman" w:cs="Calibri"/>
                <w:b/>
                <w:bCs/>
                <w:color w:val="000000"/>
                <w:sz w:val="16"/>
                <w:szCs w:val="16"/>
                <w:lang w:val="en-GB" w:eastAsia="en-GB"/>
              </w:rPr>
            </w:pPr>
          </w:p>
        </w:tc>
        <w:tc>
          <w:tcPr>
            <w:tcW w:w="1370" w:type="dxa"/>
            <w:tcBorders>
              <w:top w:val="nil"/>
              <w:left w:val="nil"/>
              <w:bottom w:val="nil"/>
              <w:right w:val="nil"/>
            </w:tcBorders>
            <w:shd w:val="clear" w:color="000000" w:fill="FFFFFF"/>
            <w:noWrap/>
            <w:vAlign w:val="center"/>
            <w:hideMark/>
          </w:tcPr>
          <w:p w14:paraId="2A87F7C0" w14:textId="3B0D55FF" w:rsidR="00CE653F" w:rsidRPr="00CE653F" w:rsidRDefault="00CE653F" w:rsidP="0041394A">
            <w:pPr>
              <w:jc w:val="center"/>
              <w:rPr>
                <w:rFonts w:eastAsia="Times New Roman" w:cs="Calibri"/>
                <w:b/>
                <w:bCs/>
                <w:color w:val="000000"/>
                <w:sz w:val="16"/>
                <w:szCs w:val="16"/>
                <w:lang w:val="en-GB" w:eastAsia="en-GB"/>
              </w:rPr>
            </w:pPr>
          </w:p>
        </w:tc>
        <w:tc>
          <w:tcPr>
            <w:tcW w:w="1333" w:type="dxa"/>
            <w:tcBorders>
              <w:top w:val="nil"/>
              <w:left w:val="single" w:sz="4" w:space="0" w:color="auto"/>
              <w:bottom w:val="nil"/>
              <w:right w:val="nil"/>
            </w:tcBorders>
            <w:shd w:val="clear" w:color="000000" w:fill="FFFFFF"/>
            <w:noWrap/>
            <w:vAlign w:val="center"/>
            <w:hideMark/>
          </w:tcPr>
          <w:p w14:paraId="3D384A08" w14:textId="77777777" w:rsidR="00CE653F" w:rsidRPr="00CE653F" w:rsidRDefault="00CE653F" w:rsidP="0041394A">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c>
          <w:tcPr>
            <w:tcW w:w="1438" w:type="dxa"/>
            <w:tcBorders>
              <w:top w:val="nil"/>
              <w:left w:val="single" w:sz="4" w:space="0" w:color="auto"/>
              <w:bottom w:val="nil"/>
              <w:right w:val="nil"/>
            </w:tcBorders>
            <w:shd w:val="clear" w:color="000000" w:fill="FFFFFF"/>
            <w:noWrap/>
            <w:vAlign w:val="center"/>
            <w:hideMark/>
          </w:tcPr>
          <w:p w14:paraId="337CE11C" w14:textId="77777777" w:rsidR="00CE653F" w:rsidRPr="00CE653F" w:rsidRDefault="00CE653F" w:rsidP="0041394A">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c>
          <w:tcPr>
            <w:tcW w:w="989" w:type="dxa"/>
            <w:tcBorders>
              <w:top w:val="nil"/>
              <w:left w:val="single" w:sz="4" w:space="0" w:color="auto"/>
              <w:bottom w:val="nil"/>
              <w:right w:val="single" w:sz="4" w:space="0" w:color="auto"/>
            </w:tcBorders>
            <w:shd w:val="clear" w:color="000000" w:fill="FFFFFF"/>
            <w:noWrap/>
            <w:vAlign w:val="center"/>
            <w:hideMark/>
          </w:tcPr>
          <w:p w14:paraId="58D4BE98" w14:textId="77777777" w:rsidR="00CE653F" w:rsidRPr="00CE653F" w:rsidRDefault="00CE653F" w:rsidP="0041394A">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c>
          <w:tcPr>
            <w:tcW w:w="1260" w:type="dxa"/>
            <w:tcBorders>
              <w:top w:val="nil"/>
              <w:left w:val="nil"/>
              <w:bottom w:val="nil"/>
              <w:right w:val="single" w:sz="4" w:space="0" w:color="auto"/>
            </w:tcBorders>
            <w:shd w:val="clear" w:color="000000" w:fill="FFFFFF"/>
            <w:noWrap/>
            <w:vAlign w:val="center"/>
            <w:hideMark/>
          </w:tcPr>
          <w:p w14:paraId="74A0BBBC" w14:textId="77777777" w:rsidR="00CE653F" w:rsidRPr="00CE653F" w:rsidRDefault="00CE653F" w:rsidP="0041394A">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c>
          <w:tcPr>
            <w:tcW w:w="1839" w:type="dxa"/>
            <w:tcBorders>
              <w:top w:val="nil"/>
              <w:left w:val="nil"/>
              <w:bottom w:val="nil"/>
              <w:right w:val="single" w:sz="4" w:space="0" w:color="auto"/>
            </w:tcBorders>
            <w:shd w:val="clear" w:color="000000" w:fill="FFFFFF"/>
            <w:noWrap/>
            <w:vAlign w:val="center"/>
            <w:hideMark/>
          </w:tcPr>
          <w:p w14:paraId="554F186D" w14:textId="77777777" w:rsidR="00CE653F" w:rsidRPr="00CE653F" w:rsidRDefault="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 </w:t>
            </w:r>
          </w:p>
        </w:tc>
      </w:tr>
      <w:tr w:rsidR="00CE653F" w:rsidRPr="00CE653F" w14:paraId="33F7B3CC" w14:textId="77777777" w:rsidTr="00704337">
        <w:trPr>
          <w:trHeight w:val="232"/>
        </w:trPr>
        <w:tc>
          <w:tcPr>
            <w:tcW w:w="4105" w:type="dxa"/>
            <w:tcBorders>
              <w:top w:val="nil"/>
              <w:left w:val="single" w:sz="4" w:space="0" w:color="auto"/>
              <w:bottom w:val="nil"/>
              <w:right w:val="nil"/>
            </w:tcBorders>
            <w:shd w:val="clear" w:color="000000" w:fill="FFFFFF"/>
            <w:noWrap/>
            <w:vAlign w:val="center"/>
            <w:hideMark/>
          </w:tcPr>
          <w:p w14:paraId="137D6E9A" w14:textId="77777777" w:rsidR="00CE653F" w:rsidRPr="00CE653F" w:rsidRDefault="00CE653F" w:rsidP="00CE653F">
            <w:pPr>
              <w:rPr>
                <w:rFonts w:eastAsia="Times New Roman" w:cs="Calibri"/>
                <w:color w:val="000000"/>
                <w:sz w:val="16"/>
                <w:szCs w:val="16"/>
                <w:lang w:val="en-GB" w:eastAsia="en-GB"/>
              </w:rPr>
            </w:pPr>
            <w:r w:rsidRPr="00CE653F">
              <w:rPr>
                <w:rFonts w:eastAsia="Times New Roman" w:cs="Calibri"/>
                <w:color w:val="000000"/>
                <w:sz w:val="16"/>
                <w:szCs w:val="16"/>
                <w:lang w:val="en-GB" w:eastAsia="en-GB"/>
              </w:rPr>
              <w:t>PCC</w:t>
            </w:r>
          </w:p>
        </w:tc>
        <w:tc>
          <w:tcPr>
            <w:tcW w:w="1674" w:type="dxa"/>
            <w:tcBorders>
              <w:top w:val="nil"/>
              <w:left w:val="single" w:sz="4" w:space="0" w:color="auto"/>
              <w:bottom w:val="nil"/>
              <w:right w:val="single" w:sz="4" w:space="0" w:color="auto"/>
            </w:tcBorders>
            <w:shd w:val="clear" w:color="000000" w:fill="FFFFFF"/>
            <w:noWrap/>
            <w:vAlign w:val="center"/>
            <w:hideMark/>
          </w:tcPr>
          <w:p w14:paraId="4E08C091" w14:textId="77777777" w:rsidR="00CE653F" w:rsidRPr="00CE653F" w:rsidRDefault="00CE653F" w:rsidP="0041394A">
            <w:pPr>
              <w:jc w:val="center"/>
              <w:rPr>
                <w:rFonts w:eastAsia="Times New Roman" w:cs="Calibri"/>
                <w:color w:val="000000"/>
                <w:sz w:val="16"/>
                <w:szCs w:val="16"/>
                <w:lang w:val="en-GB" w:eastAsia="en-GB"/>
              </w:rPr>
            </w:pPr>
            <w:r w:rsidRPr="00CE653F">
              <w:rPr>
                <w:rFonts w:eastAsia="Times New Roman" w:cs="Calibri"/>
                <w:color w:val="000000"/>
                <w:sz w:val="16"/>
                <w:szCs w:val="16"/>
                <w:lang w:val="en-GB" w:eastAsia="en-GB"/>
              </w:rPr>
              <w:t>12/05/2016</w:t>
            </w:r>
          </w:p>
        </w:tc>
        <w:tc>
          <w:tcPr>
            <w:tcW w:w="1370" w:type="dxa"/>
            <w:tcBorders>
              <w:top w:val="nil"/>
              <w:left w:val="nil"/>
              <w:bottom w:val="nil"/>
              <w:right w:val="nil"/>
            </w:tcBorders>
            <w:shd w:val="clear" w:color="000000" w:fill="FFFFFF"/>
            <w:noWrap/>
            <w:vAlign w:val="center"/>
            <w:hideMark/>
          </w:tcPr>
          <w:p w14:paraId="40D0647A" w14:textId="09A8EEA2" w:rsidR="00CE653F" w:rsidRPr="00CE653F" w:rsidRDefault="00CE653F" w:rsidP="0041394A">
            <w:pPr>
              <w:jc w:val="center"/>
              <w:rPr>
                <w:rFonts w:eastAsia="Times New Roman" w:cs="Calibri"/>
                <w:color w:val="000000"/>
                <w:sz w:val="16"/>
                <w:szCs w:val="16"/>
                <w:lang w:val="en-GB" w:eastAsia="en-GB"/>
              </w:rPr>
            </w:pPr>
          </w:p>
        </w:tc>
        <w:tc>
          <w:tcPr>
            <w:tcW w:w="1333" w:type="dxa"/>
            <w:tcBorders>
              <w:top w:val="nil"/>
              <w:left w:val="single" w:sz="4" w:space="0" w:color="auto"/>
              <w:bottom w:val="nil"/>
              <w:right w:val="nil"/>
            </w:tcBorders>
            <w:shd w:val="clear" w:color="000000" w:fill="FFFFFF"/>
            <w:noWrap/>
            <w:vAlign w:val="center"/>
            <w:hideMark/>
          </w:tcPr>
          <w:p w14:paraId="15AB6215"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73,074</w:t>
            </w:r>
          </w:p>
        </w:tc>
        <w:tc>
          <w:tcPr>
            <w:tcW w:w="1438" w:type="dxa"/>
            <w:tcBorders>
              <w:top w:val="nil"/>
              <w:left w:val="single" w:sz="4" w:space="0" w:color="auto"/>
              <w:bottom w:val="nil"/>
              <w:right w:val="nil"/>
            </w:tcBorders>
            <w:shd w:val="clear" w:color="000000" w:fill="FFFFFF"/>
            <w:noWrap/>
            <w:vAlign w:val="center"/>
            <w:hideMark/>
          </w:tcPr>
          <w:p w14:paraId="6ADE7739"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11,781</w:t>
            </w:r>
          </w:p>
        </w:tc>
        <w:tc>
          <w:tcPr>
            <w:tcW w:w="989" w:type="dxa"/>
            <w:tcBorders>
              <w:top w:val="nil"/>
              <w:left w:val="single" w:sz="4" w:space="0" w:color="auto"/>
              <w:bottom w:val="nil"/>
              <w:right w:val="single" w:sz="4" w:space="0" w:color="auto"/>
            </w:tcBorders>
            <w:shd w:val="clear" w:color="000000" w:fill="FFFFFF"/>
            <w:noWrap/>
            <w:vAlign w:val="center"/>
            <w:hideMark/>
          </w:tcPr>
          <w:p w14:paraId="7390BD5D"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260" w:type="dxa"/>
            <w:tcBorders>
              <w:top w:val="nil"/>
              <w:left w:val="nil"/>
              <w:bottom w:val="nil"/>
              <w:right w:val="single" w:sz="4" w:space="0" w:color="auto"/>
            </w:tcBorders>
            <w:shd w:val="clear" w:color="000000" w:fill="FFFFFF"/>
            <w:noWrap/>
            <w:vAlign w:val="center"/>
            <w:hideMark/>
          </w:tcPr>
          <w:p w14:paraId="12BD9C23"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839" w:type="dxa"/>
            <w:tcBorders>
              <w:top w:val="nil"/>
              <w:left w:val="nil"/>
              <w:bottom w:val="nil"/>
              <w:right w:val="single" w:sz="4" w:space="0" w:color="auto"/>
            </w:tcBorders>
            <w:shd w:val="clear" w:color="000000" w:fill="FFFFFF"/>
            <w:noWrap/>
            <w:vAlign w:val="center"/>
            <w:hideMark/>
          </w:tcPr>
          <w:p w14:paraId="0F1BAE3B" w14:textId="77777777" w:rsidR="00CE653F" w:rsidRPr="00CE653F" w:rsidRDefault="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84,855</w:t>
            </w:r>
          </w:p>
        </w:tc>
      </w:tr>
      <w:tr w:rsidR="00CE653F" w:rsidRPr="00CE653F" w14:paraId="7F24173F" w14:textId="77777777" w:rsidTr="00704337">
        <w:trPr>
          <w:trHeight w:val="232"/>
        </w:trPr>
        <w:tc>
          <w:tcPr>
            <w:tcW w:w="4105" w:type="dxa"/>
            <w:tcBorders>
              <w:top w:val="nil"/>
              <w:left w:val="single" w:sz="4" w:space="0" w:color="auto"/>
              <w:bottom w:val="nil"/>
              <w:right w:val="nil"/>
            </w:tcBorders>
            <w:shd w:val="clear" w:color="000000" w:fill="FFFFFF"/>
            <w:noWrap/>
            <w:vAlign w:val="center"/>
            <w:hideMark/>
          </w:tcPr>
          <w:p w14:paraId="40B972F3" w14:textId="77777777" w:rsidR="00CE653F" w:rsidRPr="00CE653F" w:rsidRDefault="00CE653F" w:rsidP="00CE653F">
            <w:pPr>
              <w:rPr>
                <w:rFonts w:eastAsia="Times New Roman" w:cs="Calibri"/>
                <w:color w:val="000000"/>
                <w:sz w:val="16"/>
                <w:szCs w:val="16"/>
                <w:lang w:val="en-GB" w:eastAsia="en-GB"/>
              </w:rPr>
            </w:pPr>
            <w:r w:rsidRPr="00CE653F">
              <w:rPr>
                <w:rFonts w:eastAsia="Times New Roman" w:cs="Calibri"/>
                <w:color w:val="000000"/>
                <w:sz w:val="16"/>
                <w:szCs w:val="16"/>
                <w:lang w:val="en-GB" w:eastAsia="en-GB"/>
              </w:rPr>
              <w:t>PCC Chief Executive Officer</w:t>
            </w:r>
          </w:p>
        </w:tc>
        <w:tc>
          <w:tcPr>
            <w:tcW w:w="1674" w:type="dxa"/>
            <w:tcBorders>
              <w:top w:val="nil"/>
              <w:left w:val="single" w:sz="4" w:space="0" w:color="auto"/>
              <w:bottom w:val="nil"/>
              <w:right w:val="single" w:sz="4" w:space="0" w:color="auto"/>
            </w:tcBorders>
            <w:shd w:val="clear" w:color="000000" w:fill="FFFFFF"/>
            <w:noWrap/>
            <w:vAlign w:val="center"/>
            <w:hideMark/>
          </w:tcPr>
          <w:p w14:paraId="257BA5F3" w14:textId="77777777" w:rsidR="00CE653F" w:rsidRPr="00CE653F" w:rsidRDefault="00CE653F" w:rsidP="0041394A">
            <w:pPr>
              <w:jc w:val="center"/>
              <w:rPr>
                <w:rFonts w:eastAsia="Times New Roman" w:cs="Calibri"/>
                <w:color w:val="000000"/>
                <w:sz w:val="16"/>
                <w:szCs w:val="16"/>
                <w:lang w:val="en-GB" w:eastAsia="en-GB"/>
              </w:rPr>
            </w:pPr>
            <w:r w:rsidRPr="00CE653F">
              <w:rPr>
                <w:rFonts w:eastAsia="Times New Roman" w:cs="Calibri"/>
                <w:color w:val="000000"/>
                <w:sz w:val="16"/>
                <w:szCs w:val="16"/>
                <w:lang w:val="en-GB" w:eastAsia="en-GB"/>
              </w:rPr>
              <w:t>27/09/2010</w:t>
            </w:r>
          </w:p>
        </w:tc>
        <w:tc>
          <w:tcPr>
            <w:tcW w:w="1370" w:type="dxa"/>
            <w:tcBorders>
              <w:top w:val="nil"/>
              <w:left w:val="nil"/>
              <w:bottom w:val="nil"/>
              <w:right w:val="nil"/>
            </w:tcBorders>
            <w:shd w:val="clear" w:color="000000" w:fill="FFFFFF"/>
            <w:noWrap/>
            <w:vAlign w:val="center"/>
            <w:hideMark/>
          </w:tcPr>
          <w:p w14:paraId="139A34AB" w14:textId="30D76BE8" w:rsidR="00CE653F" w:rsidRPr="00CE653F" w:rsidRDefault="00CE653F" w:rsidP="0041394A">
            <w:pPr>
              <w:jc w:val="center"/>
              <w:rPr>
                <w:rFonts w:eastAsia="Times New Roman" w:cs="Calibri"/>
                <w:color w:val="000000"/>
                <w:sz w:val="16"/>
                <w:szCs w:val="16"/>
                <w:lang w:val="en-GB" w:eastAsia="en-GB"/>
              </w:rPr>
            </w:pPr>
          </w:p>
        </w:tc>
        <w:tc>
          <w:tcPr>
            <w:tcW w:w="1333" w:type="dxa"/>
            <w:tcBorders>
              <w:top w:val="nil"/>
              <w:left w:val="single" w:sz="4" w:space="0" w:color="auto"/>
              <w:bottom w:val="nil"/>
              <w:right w:val="nil"/>
            </w:tcBorders>
            <w:shd w:val="clear" w:color="000000" w:fill="FFFFFF"/>
            <w:noWrap/>
            <w:vAlign w:val="center"/>
            <w:hideMark/>
          </w:tcPr>
          <w:p w14:paraId="1DE35259"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73,536</w:t>
            </w:r>
          </w:p>
        </w:tc>
        <w:tc>
          <w:tcPr>
            <w:tcW w:w="1438" w:type="dxa"/>
            <w:tcBorders>
              <w:top w:val="nil"/>
              <w:left w:val="single" w:sz="4" w:space="0" w:color="auto"/>
              <w:bottom w:val="nil"/>
              <w:right w:val="nil"/>
            </w:tcBorders>
            <w:shd w:val="clear" w:color="000000" w:fill="FFFFFF"/>
            <w:noWrap/>
            <w:vAlign w:val="center"/>
            <w:hideMark/>
          </w:tcPr>
          <w:p w14:paraId="34DAEC16"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13,625</w:t>
            </w:r>
          </w:p>
        </w:tc>
        <w:tc>
          <w:tcPr>
            <w:tcW w:w="989" w:type="dxa"/>
            <w:tcBorders>
              <w:top w:val="nil"/>
              <w:left w:val="single" w:sz="4" w:space="0" w:color="auto"/>
              <w:bottom w:val="nil"/>
              <w:right w:val="single" w:sz="4" w:space="0" w:color="auto"/>
            </w:tcBorders>
            <w:shd w:val="clear" w:color="000000" w:fill="FFFFFF"/>
            <w:noWrap/>
            <w:vAlign w:val="center"/>
            <w:hideMark/>
          </w:tcPr>
          <w:p w14:paraId="4D9FD3F8"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260" w:type="dxa"/>
            <w:tcBorders>
              <w:top w:val="nil"/>
              <w:left w:val="nil"/>
              <w:bottom w:val="nil"/>
              <w:right w:val="single" w:sz="4" w:space="0" w:color="auto"/>
            </w:tcBorders>
            <w:shd w:val="clear" w:color="000000" w:fill="FFFFFF"/>
            <w:noWrap/>
            <w:vAlign w:val="center"/>
            <w:hideMark/>
          </w:tcPr>
          <w:p w14:paraId="0793B1FB"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839" w:type="dxa"/>
            <w:tcBorders>
              <w:top w:val="nil"/>
              <w:left w:val="nil"/>
              <w:bottom w:val="nil"/>
              <w:right w:val="single" w:sz="4" w:space="0" w:color="auto"/>
            </w:tcBorders>
            <w:shd w:val="clear" w:color="000000" w:fill="FFFFFF"/>
            <w:noWrap/>
            <w:vAlign w:val="center"/>
            <w:hideMark/>
          </w:tcPr>
          <w:p w14:paraId="481F9857" w14:textId="77777777" w:rsidR="00CE653F" w:rsidRPr="00CE653F" w:rsidRDefault="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87,161</w:t>
            </w:r>
          </w:p>
        </w:tc>
      </w:tr>
      <w:tr w:rsidR="00CE653F" w:rsidRPr="00CE653F" w14:paraId="167C0A91" w14:textId="77777777" w:rsidTr="00704337">
        <w:trPr>
          <w:trHeight w:val="232"/>
        </w:trPr>
        <w:tc>
          <w:tcPr>
            <w:tcW w:w="4105" w:type="dxa"/>
            <w:tcBorders>
              <w:top w:val="nil"/>
              <w:left w:val="single" w:sz="4" w:space="0" w:color="auto"/>
              <w:bottom w:val="nil"/>
              <w:right w:val="nil"/>
            </w:tcBorders>
            <w:shd w:val="clear" w:color="000000" w:fill="FFFFFF"/>
            <w:noWrap/>
            <w:vAlign w:val="center"/>
            <w:hideMark/>
          </w:tcPr>
          <w:p w14:paraId="269CBD54" w14:textId="77777777" w:rsidR="00CE653F" w:rsidRPr="00CE653F" w:rsidRDefault="00CE653F" w:rsidP="00CE653F">
            <w:pPr>
              <w:rPr>
                <w:rFonts w:eastAsia="Times New Roman" w:cs="Calibri"/>
                <w:color w:val="000000"/>
                <w:sz w:val="16"/>
                <w:szCs w:val="16"/>
                <w:lang w:val="en-GB" w:eastAsia="en-GB"/>
              </w:rPr>
            </w:pPr>
            <w:r w:rsidRPr="00CE653F">
              <w:rPr>
                <w:rFonts w:eastAsia="Times New Roman" w:cs="Calibri"/>
                <w:color w:val="000000"/>
                <w:sz w:val="16"/>
                <w:szCs w:val="16"/>
                <w:lang w:val="en-GB" w:eastAsia="en-GB"/>
              </w:rPr>
              <w:t>PCC Chief Finance Officer</w:t>
            </w:r>
          </w:p>
        </w:tc>
        <w:tc>
          <w:tcPr>
            <w:tcW w:w="1674" w:type="dxa"/>
            <w:tcBorders>
              <w:top w:val="nil"/>
              <w:left w:val="single" w:sz="4" w:space="0" w:color="auto"/>
              <w:bottom w:val="nil"/>
              <w:right w:val="single" w:sz="4" w:space="0" w:color="auto"/>
            </w:tcBorders>
            <w:shd w:val="clear" w:color="000000" w:fill="FFFFFF"/>
            <w:noWrap/>
            <w:vAlign w:val="center"/>
            <w:hideMark/>
          </w:tcPr>
          <w:p w14:paraId="661819A7" w14:textId="77777777" w:rsidR="00CE653F" w:rsidRPr="00CE653F" w:rsidRDefault="00CE653F" w:rsidP="0041394A">
            <w:pPr>
              <w:jc w:val="center"/>
              <w:rPr>
                <w:rFonts w:eastAsia="Times New Roman" w:cs="Calibri"/>
                <w:color w:val="000000"/>
                <w:sz w:val="16"/>
                <w:szCs w:val="16"/>
                <w:lang w:val="en-GB" w:eastAsia="en-GB"/>
              </w:rPr>
            </w:pPr>
            <w:r w:rsidRPr="00CE653F">
              <w:rPr>
                <w:rFonts w:eastAsia="Times New Roman" w:cs="Calibri"/>
                <w:color w:val="000000"/>
                <w:sz w:val="16"/>
                <w:szCs w:val="16"/>
                <w:lang w:val="en-GB" w:eastAsia="en-GB"/>
              </w:rPr>
              <w:t>01/04/2020</w:t>
            </w:r>
          </w:p>
        </w:tc>
        <w:tc>
          <w:tcPr>
            <w:tcW w:w="1370" w:type="dxa"/>
            <w:tcBorders>
              <w:top w:val="nil"/>
              <w:left w:val="nil"/>
              <w:bottom w:val="nil"/>
              <w:right w:val="nil"/>
            </w:tcBorders>
            <w:shd w:val="clear" w:color="000000" w:fill="FFFFFF"/>
            <w:noWrap/>
            <w:vAlign w:val="center"/>
            <w:hideMark/>
          </w:tcPr>
          <w:p w14:paraId="459D0937" w14:textId="53537FD1" w:rsidR="00CE653F" w:rsidRPr="00CE653F" w:rsidRDefault="00CE653F" w:rsidP="0041394A">
            <w:pPr>
              <w:jc w:val="center"/>
              <w:rPr>
                <w:rFonts w:eastAsia="Times New Roman" w:cs="Calibri"/>
                <w:color w:val="000000"/>
                <w:sz w:val="16"/>
                <w:szCs w:val="16"/>
                <w:lang w:val="en-GB" w:eastAsia="en-GB"/>
              </w:rPr>
            </w:pPr>
          </w:p>
        </w:tc>
        <w:tc>
          <w:tcPr>
            <w:tcW w:w="1333" w:type="dxa"/>
            <w:tcBorders>
              <w:top w:val="nil"/>
              <w:left w:val="single" w:sz="4" w:space="0" w:color="auto"/>
              <w:bottom w:val="nil"/>
              <w:right w:val="nil"/>
            </w:tcBorders>
            <w:shd w:val="clear" w:color="000000" w:fill="FFFFFF"/>
            <w:noWrap/>
            <w:vAlign w:val="center"/>
            <w:hideMark/>
          </w:tcPr>
          <w:p w14:paraId="34774BE3"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81,037</w:t>
            </w:r>
          </w:p>
        </w:tc>
        <w:tc>
          <w:tcPr>
            <w:tcW w:w="1438" w:type="dxa"/>
            <w:tcBorders>
              <w:top w:val="nil"/>
              <w:left w:val="single" w:sz="4" w:space="0" w:color="auto"/>
              <w:bottom w:val="nil"/>
              <w:right w:val="nil"/>
            </w:tcBorders>
            <w:shd w:val="clear" w:color="000000" w:fill="FFFFFF"/>
            <w:noWrap/>
            <w:vAlign w:val="center"/>
            <w:hideMark/>
          </w:tcPr>
          <w:p w14:paraId="5FA71330"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13,293</w:t>
            </w:r>
          </w:p>
        </w:tc>
        <w:tc>
          <w:tcPr>
            <w:tcW w:w="989" w:type="dxa"/>
            <w:tcBorders>
              <w:top w:val="nil"/>
              <w:left w:val="single" w:sz="4" w:space="0" w:color="auto"/>
              <w:bottom w:val="nil"/>
              <w:right w:val="single" w:sz="4" w:space="0" w:color="auto"/>
            </w:tcBorders>
            <w:shd w:val="clear" w:color="000000" w:fill="FFFFFF"/>
            <w:noWrap/>
            <w:vAlign w:val="center"/>
            <w:hideMark/>
          </w:tcPr>
          <w:p w14:paraId="2797FC78"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260" w:type="dxa"/>
            <w:tcBorders>
              <w:top w:val="nil"/>
              <w:left w:val="nil"/>
              <w:bottom w:val="nil"/>
              <w:right w:val="single" w:sz="4" w:space="0" w:color="auto"/>
            </w:tcBorders>
            <w:shd w:val="clear" w:color="000000" w:fill="FFFFFF"/>
            <w:noWrap/>
            <w:vAlign w:val="center"/>
            <w:hideMark/>
          </w:tcPr>
          <w:p w14:paraId="0CBD4DE1" w14:textId="77777777" w:rsidR="00CE653F" w:rsidRPr="00CE653F" w:rsidRDefault="00CE653F" w:rsidP="0041394A">
            <w:pPr>
              <w:jc w:val="right"/>
              <w:rPr>
                <w:rFonts w:eastAsia="Times New Roman" w:cs="Calibri"/>
                <w:color w:val="000000"/>
                <w:sz w:val="16"/>
                <w:szCs w:val="16"/>
                <w:lang w:val="en-GB" w:eastAsia="en-GB"/>
              </w:rPr>
            </w:pPr>
            <w:r w:rsidRPr="00CE653F">
              <w:rPr>
                <w:rFonts w:eastAsia="Times New Roman" w:cs="Calibri"/>
                <w:color w:val="000000"/>
                <w:sz w:val="16"/>
                <w:szCs w:val="16"/>
                <w:lang w:val="en-GB" w:eastAsia="en-GB"/>
              </w:rPr>
              <w:t> </w:t>
            </w:r>
          </w:p>
        </w:tc>
        <w:tc>
          <w:tcPr>
            <w:tcW w:w="1839" w:type="dxa"/>
            <w:tcBorders>
              <w:top w:val="nil"/>
              <w:left w:val="nil"/>
              <w:bottom w:val="nil"/>
              <w:right w:val="single" w:sz="4" w:space="0" w:color="auto"/>
            </w:tcBorders>
            <w:shd w:val="clear" w:color="000000" w:fill="FFFFFF"/>
            <w:noWrap/>
            <w:vAlign w:val="center"/>
            <w:hideMark/>
          </w:tcPr>
          <w:p w14:paraId="556172C0" w14:textId="77777777" w:rsidR="00CE653F" w:rsidRPr="00CE653F" w:rsidRDefault="00CE653F">
            <w:pPr>
              <w:jc w:val="right"/>
              <w:rPr>
                <w:rFonts w:eastAsia="Times New Roman" w:cs="Calibri"/>
                <w:b/>
                <w:bCs/>
                <w:color w:val="000000"/>
                <w:sz w:val="16"/>
                <w:szCs w:val="16"/>
                <w:lang w:val="en-GB" w:eastAsia="en-GB"/>
              </w:rPr>
            </w:pPr>
            <w:r w:rsidRPr="00CE653F">
              <w:rPr>
                <w:rFonts w:eastAsia="Times New Roman" w:cs="Calibri"/>
                <w:b/>
                <w:bCs/>
                <w:color w:val="000000"/>
                <w:sz w:val="16"/>
                <w:szCs w:val="16"/>
                <w:lang w:val="en-GB" w:eastAsia="en-GB"/>
              </w:rPr>
              <w:t>94,330</w:t>
            </w:r>
          </w:p>
        </w:tc>
      </w:tr>
      <w:tr w:rsidR="00CE653F" w:rsidRPr="00CE653F" w14:paraId="5A470D96" w14:textId="77777777" w:rsidTr="00704337">
        <w:trPr>
          <w:trHeight w:val="232"/>
        </w:trPr>
        <w:tc>
          <w:tcPr>
            <w:tcW w:w="4105" w:type="dxa"/>
            <w:tcBorders>
              <w:top w:val="single" w:sz="4" w:space="0" w:color="auto"/>
              <w:left w:val="single" w:sz="4" w:space="0" w:color="auto"/>
              <w:bottom w:val="single" w:sz="4" w:space="0" w:color="auto"/>
              <w:right w:val="nil"/>
            </w:tcBorders>
            <w:shd w:val="clear" w:color="000000" w:fill="FFFFFF"/>
            <w:noWrap/>
            <w:vAlign w:val="center"/>
            <w:hideMark/>
          </w:tcPr>
          <w:p w14:paraId="2FAE15D9" w14:textId="77777777" w:rsidR="00CE653F" w:rsidRPr="00CE653F" w:rsidRDefault="00CE653F" w:rsidP="00CE653F">
            <w:pPr>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TOTAL PCC</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88F003" w14:textId="455B5B47" w:rsidR="00CE653F" w:rsidRPr="00CE653F" w:rsidRDefault="00CE653F" w:rsidP="0041394A">
            <w:pPr>
              <w:jc w:val="center"/>
              <w:rPr>
                <w:rFonts w:eastAsia="Times New Roman" w:cs="Calibri"/>
                <w:b/>
                <w:bCs/>
                <w:color w:val="000000"/>
                <w:sz w:val="18"/>
                <w:szCs w:val="18"/>
                <w:lang w:val="en-GB" w:eastAsia="en-GB"/>
              </w:rPr>
            </w:pPr>
          </w:p>
        </w:tc>
        <w:tc>
          <w:tcPr>
            <w:tcW w:w="1370" w:type="dxa"/>
            <w:tcBorders>
              <w:top w:val="single" w:sz="4" w:space="0" w:color="auto"/>
              <w:left w:val="nil"/>
              <w:bottom w:val="single" w:sz="4" w:space="0" w:color="auto"/>
              <w:right w:val="nil"/>
            </w:tcBorders>
            <w:shd w:val="clear" w:color="000000" w:fill="FFFFFF"/>
            <w:noWrap/>
            <w:vAlign w:val="center"/>
            <w:hideMark/>
          </w:tcPr>
          <w:p w14:paraId="546C762F" w14:textId="5CC99147" w:rsidR="00CE653F" w:rsidRPr="00CE653F" w:rsidRDefault="00CE653F" w:rsidP="0041394A">
            <w:pPr>
              <w:jc w:val="center"/>
              <w:rPr>
                <w:rFonts w:eastAsia="Times New Roman" w:cs="Calibri"/>
                <w:b/>
                <w:bCs/>
                <w:color w:val="000000"/>
                <w:sz w:val="18"/>
                <w:szCs w:val="18"/>
                <w:lang w:val="en-GB" w:eastAsia="en-GB"/>
              </w:rPr>
            </w:pPr>
          </w:p>
        </w:tc>
        <w:tc>
          <w:tcPr>
            <w:tcW w:w="1333" w:type="dxa"/>
            <w:tcBorders>
              <w:top w:val="single" w:sz="4" w:space="0" w:color="auto"/>
              <w:left w:val="single" w:sz="4" w:space="0" w:color="auto"/>
              <w:bottom w:val="single" w:sz="4" w:space="0" w:color="auto"/>
              <w:right w:val="nil"/>
            </w:tcBorders>
            <w:shd w:val="clear" w:color="000000" w:fill="FFFFFF"/>
            <w:noWrap/>
            <w:vAlign w:val="center"/>
            <w:hideMark/>
          </w:tcPr>
          <w:p w14:paraId="5FFED3C5" w14:textId="77777777" w:rsidR="00CE653F" w:rsidRPr="00CE653F" w:rsidRDefault="00CE653F" w:rsidP="0041394A">
            <w:pPr>
              <w:jc w:val="right"/>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227,647</w:t>
            </w:r>
          </w:p>
        </w:tc>
        <w:tc>
          <w:tcPr>
            <w:tcW w:w="1438" w:type="dxa"/>
            <w:tcBorders>
              <w:top w:val="single" w:sz="4" w:space="0" w:color="auto"/>
              <w:left w:val="single" w:sz="4" w:space="0" w:color="auto"/>
              <w:bottom w:val="single" w:sz="4" w:space="0" w:color="auto"/>
              <w:right w:val="nil"/>
            </w:tcBorders>
            <w:shd w:val="clear" w:color="000000" w:fill="FFFFFF"/>
            <w:noWrap/>
            <w:vAlign w:val="center"/>
            <w:hideMark/>
          </w:tcPr>
          <w:p w14:paraId="4E0F1F95" w14:textId="77777777" w:rsidR="00CE653F" w:rsidRPr="00CE653F" w:rsidRDefault="00CE653F" w:rsidP="0041394A">
            <w:pPr>
              <w:jc w:val="right"/>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38,699</w:t>
            </w:r>
          </w:p>
        </w:tc>
        <w:tc>
          <w:tcPr>
            <w:tcW w:w="989" w:type="dxa"/>
            <w:tcBorders>
              <w:top w:val="single" w:sz="4" w:space="0" w:color="auto"/>
              <w:left w:val="single" w:sz="4" w:space="0" w:color="auto"/>
              <w:bottom w:val="single" w:sz="4" w:space="0" w:color="auto"/>
              <w:right w:val="nil"/>
            </w:tcBorders>
            <w:shd w:val="clear" w:color="000000" w:fill="FFFFFF"/>
            <w:noWrap/>
            <w:vAlign w:val="center"/>
            <w:hideMark/>
          </w:tcPr>
          <w:p w14:paraId="353B6A00" w14:textId="77777777" w:rsidR="00CE653F" w:rsidRPr="00CE653F" w:rsidRDefault="00CE653F" w:rsidP="0041394A">
            <w:pPr>
              <w:jc w:val="right"/>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0</w:t>
            </w:r>
          </w:p>
        </w:tc>
        <w:tc>
          <w:tcPr>
            <w:tcW w:w="1260" w:type="dxa"/>
            <w:tcBorders>
              <w:top w:val="single" w:sz="4" w:space="0" w:color="auto"/>
              <w:left w:val="single" w:sz="4" w:space="0" w:color="auto"/>
              <w:bottom w:val="single" w:sz="4" w:space="0" w:color="auto"/>
              <w:right w:val="nil"/>
            </w:tcBorders>
            <w:shd w:val="clear" w:color="000000" w:fill="FFFFFF"/>
            <w:noWrap/>
            <w:vAlign w:val="center"/>
            <w:hideMark/>
          </w:tcPr>
          <w:p w14:paraId="435E57CB" w14:textId="77777777" w:rsidR="00CE653F" w:rsidRPr="00CE653F" w:rsidRDefault="00CE653F" w:rsidP="0041394A">
            <w:pPr>
              <w:jc w:val="right"/>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0</w:t>
            </w:r>
          </w:p>
        </w:tc>
        <w:tc>
          <w:tcPr>
            <w:tcW w:w="1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5ADFC4" w14:textId="77777777" w:rsidR="00CE653F" w:rsidRPr="00CE653F" w:rsidRDefault="00CE653F">
            <w:pPr>
              <w:jc w:val="right"/>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266,346</w:t>
            </w:r>
          </w:p>
        </w:tc>
      </w:tr>
      <w:tr w:rsidR="00CE653F" w:rsidRPr="00CE653F" w14:paraId="329A718B" w14:textId="77777777" w:rsidTr="00704337">
        <w:trPr>
          <w:trHeight w:val="171"/>
        </w:trPr>
        <w:tc>
          <w:tcPr>
            <w:tcW w:w="4105" w:type="dxa"/>
            <w:tcBorders>
              <w:top w:val="nil"/>
              <w:left w:val="single" w:sz="4" w:space="0" w:color="auto"/>
              <w:bottom w:val="single" w:sz="4" w:space="0" w:color="000000"/>
              <w:right w:val="single" w:sz="4" w:space="0" w:color="auto"/>
            </w:tcBorders>
            <w:shd w:val="clear" w:color="000000" w:fill="FFFFFF"/>
            <w:noWrap/>
            <w:vAlign w:val="bottom"/>
            <w:hideMark/>
          </w:tcPr>
          <w:p w14:paraId="72E113D9" w14:textId="77777777" w:rsidR="00CE653F" w:rsidRPr="00CE653F" w:rsidRDefault="00CE653F" w:rsidP="00CE653F">
            <w:pPr>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TOTAL GROUP</w:t>
            </w:r>
          </w:p>
        </w:tc>
        <w:tc>
          <w:tcPr>
            <w:tcW w:w="1674" w:type="dxa"/>
            <w:tcBorders>
              <w:top w:val="nil"/>
              <w:left w:val="single" w:sz="4" w:space="0" w:color="auto"/>
              <w:bottom w:val="single" w:sz="4" w:space="0" w:color="000000"/>
              <w:right w:val="single" w:sz="4" w:space="0" w:color="auto"/>
            </w:tcBorders>
            <w:shd w:val="clear" w:color="000000" w:fill="FFFFFF"/>
            <w:noWrap/>
            <w:vAlign w:val="bottom"/>
            <w:hideMark/>
          </w:tcPr>
          <w:p w14:paraId="3FC35C4D" w14:textId="3BD72C81" w:rsidR="00CE653F" w:rsidRPr="00CE653F" w:rsidRDefault="00CE653F">
            <w:pPr>
              <w:jc w:val="center"/>
              <w:rPr>
                <w:rFonts w:eastAsia="Times New Roman" w:cs="Calibri"/>
                <w:color w:val="000000"/>
                <w:sz w:val="16"/>
                <w:szCs w:val="16"/>
                <w:lang w:val="en-GB" w:eastAsia="en-GB"/>
              </w:rPr>
            </w:pPr>
          </w:p>
        </w:tc>
        <w:tc>
          <w:tcPr>
            <w:tcW w:w="1370" w:type="dxa"/>
            <w:tcBorders>
              <w:top w:val="nil"/>
              <w:left w:val="single" w:sz="4" w:space="0" w:color="auto"/>
              <w:bottom w:val="single" w:sz="4" w:space="0" w:color="000000"/>
              <w:right w:val="single" w:sz="4" w:space="0" w:color="auto"/>
            </w:tcBorders>
            <w:shd w:val="clear" w:color="000000" w:fill="FFFFFF"/>
            <w:noWrap/>
            <w:vAlign w:val="bottom"/>
            <w:hideMark/>
          </w:tcPr>
          <w:p w14:paraId="44B8C22D" w14:textId="48D3374A" w:rsidR="00CE653F" w:rsidRPr="00CE653F" w:rsidRDefault="00CE653F">
            <w:pPr>
              <w:jc w:val="center"/>
              <w:rPr>
                <w:rFonts w:eastAsia="Times New Roman" w:cs="Calibri"/>
                <w:color w:val="000000"/>
                <w:sz w:val="16"/>
                <w:szCs w:val="16"/>
                <w:lang w:val="en-GB" w:eastAsia="en-GB"/>
              </w:rPr>
            </w:pPr>
          </w:p>
        </w:tc>
        <w:tc>
          <w:tcPr>
            <w:tcW w:w="1333" w:type="dxa"/>
            <w:tcBorders>
              <w:top w:val="nil"/>
              <w:left w:val="single" w:sz="4" w:space="0" w:color="auto"/>
              <w:bottom w:val="single" w:sz="4" w:space="0" w:color="000000"/>
              <w:right w:val="single" w:sz="4" w:space="0" w:color="auto"/>
            </w:tcBorders>
            <w:shd w:val="clear" w:color="000000" w:fill="FFFFFF"/>
            <w:noWrap/>
            <w:vAlign w:val="bottom"/>
            <w:hideMark/>
          </w:tcPr>
          <w:p w14:paraId="7EFE07C5" w14:textId="77777777" w:rsidR="00CE653F" w:rsidRPr="00CE653F" w:rsidRDefault="00CE653F" w:rsidP="0041394A">
            <w:pPr>
              <w:jc w:val="right"/>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1,360,964</w:t>
            </w:r>
          </w:p>
        </w:tc>
        <w:tc>
          <w:tcPr>
            <w:tcW w:w="1438" w:type="dxa"/>
            <w:tcBorders>
              <w:top w:val="nil"/>
              <w:left w:val="single" w:sz="4" w:space="0" w:color="auto"/>
              <w:bottom w:val="single" w:sz="4" w:space="0" w:color="000000"/>
              <w:right w:val="single" w:sz="4" w:space="0" w:color="auto"/>
            </w:tcBorders>
            <w:shd w:val="clear" w:color="000000" w:fill="FFFFFF"/>
            <w:noWrap/>
            <w:vAlign w:val="bottom"/>
            <w:hideMark/>
          </w:tcPr>
          <w:p w14:paraId="727CFF15" w14:textId="77777777" w:rsidR="00CE653F" w:rsidRPr="00CE653F" w:rsidRDefault="00CE653F" w:rsidP="0041394A">
            <w:pPr>
              <w:jc w:val="right"/>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331,587</w:t>
            </w:r>
          </w:p>
        </w:tc>
        <w:tc>
          <w:tcPr>
            <w:tcW w:w="989" w:type="dxa"/>
            <w:tcBorders>
              <w:top w:val="nil"/>
              <w:left w:val="single" w:sz="4" w:space="0" w:color="auto"/>
              <w:bottom w:val="single" w:sz="4" w:space="0" w:color="000000"/>
              <w:right w:val="single" w:sz="4" w:space="0" w:color="auto"/>
            </w:tcBorders>
            <w:shd w:val="clear" w:color="000000" w:fill="FFFFFF"/>
            <w:noWrap/>
            <w:vAlign w:val="bottom"/>
            <w:hideMark/>
          </w:tcPr>
          <w:p w14:paraId="4052C5D6" w14:textId="77777777" w:rsidR="00CE653F" w:rsidRPr="00CE653F" w:rsidRDefault="00CE653F" w:rsidP="0041394A">
            <w:pPr>
              <w:jc w:val="right"/>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 xml:space="preserve">                 -   </w:t>
            </w:r>
          </w:p>
        </w:tc>
        <w:tc>
          <w:tcPr>
            <w:tcW w:w="1260" w:type="dxa"/>
            <w:tcBorders>
              <w:top w:val="nil"/>
              <w:left w:val="single" w:sz="4" w:space="0" w:color="auto"/>
              <w:bottom w:val="single" w:sz="4" w:space="0" w:color="000000"/>
              <w:right w:val="single" w:sz="4" w:space="0" w:color="auto"/>
            </w:tcBorders>
            <w:shd w:val="clear" w:color="000000" w:fill="FFFFFF"/>
            <w:noWrap/>
            <w:vAlign w:val="bottom"/>
            <w:hideMark/>
          </w:tcPr>
          <w:p w14:paraId="427C6A4D" w14:textId="77777777" w:rsidR="00CE653F" w:rsidRPr="00CE653F" w:rsidRDefault="00CE653F" w:rsidP="0041394A">
            <w:pPr>
              <w:jc w:val="right"/>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25,113</w:t>
            </w:r>
          </w:p>
        </w:tc>
        <w:tc>
          <w:tcPr>
            <w:tcW w:w="1839" w:type="dxa"/>
            <w:tcBorders>
              <w:top w:val="nil"/>
              <w:left w:val="single" w:sz="4" w:space="0" w:color="auto"/>
              <w:bottom w:val="single" w:sz="4" w:space="0" w:color="000000"/>
              <w:right w:val="single" w:sz="4" w:space="0" w:color="auto"/>
            </w:tcBorders>
            <w:shd w:val="clear" w:color="000000" w:fill="FFFFFF"/>
            <w:noWrap/>
            <w:vAlign w:val="bottom"/>
            <w:hideMark/>
          </w:tcPr>
          <w:p w14:paraId="3A06D15B" w14:textId="77777777" w:rsidR="00CE653F" w:rsidRPr="00CE653F" w:rsidRDefault="00CE653F">
            <w:pPr>
              <w:jc w:val="right"/>
              <w:rPr>
                <w:rFonts w:eastAsia="Times New Roman" w:cs="Calibri"/>
                <w:b/>
                <w:bCs/>
                <w:color w:val="000000"/>
                <w:sz w:val="18"/>
                <w:szCs w:val="18"/>
                <w:lang w:val="en-GB" w:eastAsia="en-GB"/>
              </w:rPr>
            </w:pPr>
            <w:r w:rsidRPr="00CE653F">
              <w:rPr>
                <w:rFonts w:eastAsia="Times New Roman" w:cs="Calibri"/>
                <w:b/>
                <w:bCs/>
                <w:color w:val="000000"/>
                <w:sz w:val="18"/>
                <w:szCs w:val="18"/>
                <w:lang w:val="en-GB" w:eastAsia="en-GB"/>
              </w:rPr>
              <w:t>1,717,664</w:t>
            </w:r>
          </w:p>
        </w:tc>
      </w:tr>
    </w:tbl>
    <w:p w14:paraId="6A02A108" w14:textId="77777777" w:rsidR="00CE653F" w:rsidRDefault="00CE653F">
      <w:pPr>
        <w:pStyle w:val="Normal0"/>
        <w:spacing w:after="160" w:line="259" w:lineRule="auto"/>
        <w:rPr>
          <w:rFonts w:ascii="Verdana" w:eastAsia="Verdana" w:hAnsi="Verdana" w:cs="Verdana"/>
          <w:sz w:val="22"/>
          <w:szCs w:val="22"/>
          <w:lang w:val="en-GB"/>
        </w:rPr>
      </w:pPr>
    </w:p>
    <w:p w14:paraId="29CA29CD" w14:textId="77777777" w:rsidR="00704337" w:rsidRDefault="00704337">
      <w:pPr>
        <w:rPr>
          <w:rFonts w:eastAsia="Verdana" w:cs="Verdana"/>
          <w:b/>
          <w:lang w:val="en-GB"/>
        </w:rPr>
      </w:pPr>
      <w:r>
        <w:rPr>
          <w:rFonts w:eastAsia="Verdana" w:cs="Verdana"/>
          <w:b/>
          <w:lang w:val="en-GB"/>
        </w:rPr>
        <w:br w:type="page"/>
      </w:r>
    </w:p>
    <w:p w14:paraId="519B4BCF" w14:textId="2DD0C123" w:rsidR="00704337" w:rsidRPr="00704337" w:rsidRDefault="00704337" w:rsidP="00704337">
      <w:pPr>
        <w:pStyle w:val="Normal0"/>
        <w:spacing w:after="160" w:line="259" w:lineRule="auto"/>
        <w:rPr>
          <w:rFonts w:ascii="Verdana" w:eastAsia="Verdana" w:hAnsi="Verdana" w:cs="Verdana"/>
          <w:b/>
          <w:sz w:val="22"/>
          <w:szCs w:val="22"/>
          <w:lang w:val="en-GB"/>
        </w:rPr>
      </w:pPr>
      <w:r w:rsidRPr="00704337">
        <w:rPr>
          <w:rFonts w:ascii="Verdana" w:eastAsia="Verdana" w:hAnsi="Verdana" w:cs="Verdana"/>
          <w:b/>
          <w:sz w:val="22"/>
          <w:szCs w:val="22"/>
          <w:lang w:val="en-GB"/>
        </w:rPr>
        <w:t>Remuneration paid to senior employees during 20</w:t>
      </w:r>
      <w:r>
        <w:rPr>
          <w:rFonts w:ascii="Verdana" w:eastAsia="Verdana" w:hAnsi="Verdana" w:cs="Verdana"/>
          <w:b/>
          <w:sz w:val="22"/>
          <w:szCs w:val="22"/>
          <w:lang w:val="en-GB"/>
        </w:rPr>
        <w:t>19</w:t>
      </w:r>
      <w:r w:rsidRPr="00704337">
        <w:rPr>
          <w:rFonts w:ascii="Verdana" w:eastAsia="Verdana" w:hAnsi="Verdana" w:cs="Verdana"/>
          <w:b/>
          <w:sz w:val="22"/>
          <w:szCs w:val="22"/>
          <w:lang w:val="en-GB"/>
        </w:rPr>
        <w:t>/2</w:t>
      </w:r>
      <w:r>
        <w:rPr>
          <w:rFonts w:ascii="Verdana" w:eastAsia="Verdana" w:hAnsi="Verdana" w:cs="Verdana"/>
          <w:b/>
          <w:sz w:val="22"/>
          <w:szCs w:val="22"/>
          <w:lang w:val="en-GB"/>
        </w:rPr>
        <w:t>0</w:t>
      </w:r>
      <w:r w:rsidRPr="00704337">
        <w:rPr>
          <w:rFonts w:ascii="Verdana" w:eastAsia="Verdana" w:hAnsi="Verdana" w:cs="Verdana"/>
          <w:b/>
          <w:sz w:val="22"/>
          <w:szCs w:val="22"/>
          <w:lang w:val="en-GB"/>
        </w:rPr>
        <w:t>:</w:t>
      </w:r>
    </w:p>
    <w:tbl>
      <w:tblPr>
        <w:tblW w:w="13622" w:type="dxa"/>
        <w:tblInd w:w="-5" w:type="dxa"/>
        <w:tblLook w:val="04A0" w:firstRow="1" w:lastRow="0" w:firstColumn="1" w:lastColumn="0" w:noHBand="0" w:noVBand="1"/>
      </w:tblPr>
      <w:tblGrid>
        <w:gridCol w:w="3655"/>
        <w:gridCol w:w="1373"/>
        <w:gridCol w:w="1400"/>
        <w:gridCol w:w="1242"/>
        <w:gridCol w:w="1340"/>
        <w:gridCol w:w="921"/>
        <w:gridCol w:w="1053"/>
        <w:gridCol w:w="1365"/>
        <w:gridCol w:w="1489"/>
      </w:tblGrid>
      <w:tr w:rsidR="00DF66A4" w:rsidRPr="00DF66A4" w14:paraId="51C894C9" w14:textId="77777777" w:rsidTr="00704337">
        <w:trPr>
          <w:trHeight w:val="579"/>
        </w:trPr>
        <w:tc>
          <w:tcPr>
            <w:tcW w:w="3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E68B4" w14:textId="77777777" w:rsidR="00DF66A4" w:rsidRPr="00DF66A4" w:rsidRDefault="00DF66A4" w:rsidP="00DF66A4">
            <w:pPr>
              <w:jc w:val="center"/>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Position</w:t>
            </w:r>
          </w:p>
        </w:tc>
        <w:tc>
          <w:tcPr>
            <w:tcW w:w="1373" w:type="dxa"/>
            <w:tcBorders>
              <w:top w:val="single" w:sz="4" w:space="0" w:color="auto"/>
              <w:left w:val="nil"/>
              <w:bottom w:val="single" w:sz="4" w:space="0" w:color="auto"/>
              <w:right w:val="single" w:sz="4" w:space="0" w:color="auto"/>
            </w:tcBorders>
            <w:shd w:val="clear" w:color="000000" w:fill="FFFFFF"/>
            <w:vAlign w:val="center"/>
            <w:hideMark/>
          </w:tcPr>
          <w:p w14:paraId="4F536A3A" w14:textId="77777777" w:rsidR="00DF66A4" w:rsidRPr="00DF66A4" w:rsidRDefault="00DF66A4" w:rsidP="00DF66A4">
            <w:pPr>
              <w:jc w:val="center"/>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Position Start Date</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14:paraId="4E1F0CAF" w14:textId="77777777" w:rsidR="00DF66A4" w:rsidRPr="00DF66A4" w:rsidRDefault="00DF66A4" w:rsidP="00DF66A4">
            <w:pPr>
              <w:jc w:val="center"/>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Position End Date</w:t>
            </w:r>
          </w:p>
        </w:tc>
        <w:tc>
          <w:tcPr>
            <w:tcW w:w="1187" w:type="dxa"/>
            <w:tcBorders>
              <w:top w:val="single" w:sz="4" w:space="0" w:color="auto"/>
              <w:left w:val="nil"/>
              <w:bottom w:val="single" w:sz="4" w:space="0" w:color="auto"/>
              <w:right w:val="single" w:sz="4" w:space="0" w:color="auto"/>
            </w:tcBorders>
            <w:shd w:val="clear" w:color="000000" w:fill="FFFFFF"/>
            <w:vAlign w:val="center"/>
            <w:hideMark/>
          </w:tcPr>
          <w:p w14:paraId="1836842C" w14:textId="77777777" w:rsidR="00DF66A4" w:rsidRPr="00DF66A4" w:rsidRDefault="00DF66A4" w:rsidP="00DF66A4">
            <w:pPr>
              <w:jc w:val="center"/>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Salary, Fees &amp; Allowances</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14:paraId="7E79435A" w14:textId="77777777" w:rsidR="00DF66A4" w:rsidRPr="00DF66A4" w:rsidRDefault="00DF66A4" w:rsidP="00DF66A4">
            <w:pPr>
              <w:jc w:val="center"/>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Employers Pension Contribution</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0D19DCD1" w14:textId="77777777" w:rsidR="00DF66A4" w:rsidRPr="00DF66A4" w:rsidRDefault="00DF66A4" w:rsidP="00DF66A4">
            <w:pPr>
              <w:jc w:val="center"/>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P11D Benefit</w:t>
            </w:r>
          </w:p>
        </w:tc>
        <w:tc>
          <w:tcPr>
            <w:tcW w:w="1053" w:type="dxa"/>
            <w:tcBorders>
              <w:top w:val="single" w:sz="4" w:space="0" w:color="auto"/>
              <w:left w:val="nil"/>
              <w:bottom w:val="single" w:sz="4" w:space="0" w:color="auto"/>
              <w:right w:val="single" w:sz="4" w:space="0" w:color="auto"/>
            </w:tcBorders>
            <w:shd w:val="clear" w:color="000000" w:fill="FFFFFF"/>
            <w:vAlign w:val="center"/>
            <w:hideMark/>
          </w:tcPr>
          <w:p w14:paraId="343900FD" w14:textId="77777777" w:rsidR="00DF66A4" w:rsidRPr="00DF66A4" w:rsidRDefault="00DF66A4" w:rsidP="00DF66A4">
            <w:pPr>
              <w:jc w:val="center"/>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Comp for Loss of Office’</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14:paraId="09E7B332" w14:textId="77777777" w:rsidR="00DF66A4" w:rsidRPr="00DF66A4" w:rsidRDefault="00DF66A4" w:rsidP="00DF66A4">
            <w:pPr>
              <w:jc w:val="center"/>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Accrued Annual Leave not yet taken</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18D22B01" w14:textId="77777777" w:rsidR="00DF66A4" w:rsidRPr="00DF66A4" w:rsidRDefault="00DF66A4" w:rsidP="00DF66A4">
            <w:pPr>
              <w:jc w:val="center"/>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 xml:space="preserve">Total Remuneration </w:t>
            </w:r>
          </w:p>
        </w:tc>
      </w:tr>
      <w:tr w:rsidR="00DF66A4" w:rsidRPr="00DF66A4" w14:paraId="7F7A9BBE" w14:textId="77777777" w:rsidTr="00704337">
        <w:trPr>
          <w:trHeight w:val="111"/>
        </w:trPr>
        <w:tc>
          <w:tcPr>
            <w:tcW w:w="3655" w:type="dxa"/>
            <w:tcBorders>
              <w:top w:val="nil"/>
              <w:left w:val="single" w:sz="4" w:space="0" w:color="auto"/>
              <w:bottom w:val="single" w:sz="4" w:space="0" w:color="auto"/>
              <w:right w:val="single" w:sz="4" w:space="0" w:color="auto"/>
            </w:tcBorders>
            <w:shd w:val="clear" w:color="000000" w:fill="FFFFFF"/>
            <w:noWrap/>
            <w:vAlign w:val="center"/>
            <w:hideMark/>
          </w:tcPr>
          <w:p w14:paraId="1700D18B" w14:textId="77777777" w:rsidR="00DF66A4" w:rsidRPr="00DF66A4" w:rsidRDefault="00DF66A4" w:rsidP="00DF66A4">
            <w:pPr>
              <w:ind w:firstLineChars="100" w:firstLine="161"/>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 </w:t>
            </w:r>
          </w:p>
        </w:tc>
        <w:tc>
          <w:tcPr>
            <w:tcW w:w="1373" w:type="dxa"/>
            <w:tcBorders>
              <w:top w:val="nil"/>
              <w:left w:val="nil"/>
              <w:bottom w:val="single" w:sz="4" w:space="0" w:color="auto"/>
              <w:right w:val="single" w:sz="4" w:space="0" w:color="auto"/>
            </w:tcBorders>
            <w:shd w:val="clear" w:color="000000" w:fill="FFFFFF"/>
            <w:vAlign w:val="center"/>
            <w:hideMark/>
          </w:tcPr>
          <w:p w14:paraId="157371E7" w14:textId="77777777" w:rsidR="00DF66A4" w:rsidRPr="00DF66A4" w:rsidRDefault="00DF66A4" w:rsidP="00DF66A4">
            <w:pPr>
              <w:jc w:val="center"/>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 </w:t>
            </w:r>
          </w:p>
        </w:tc>
        <w:tc>
          <w:tcPr>
            <w:tcW w:w="1400" w:type="dxa"/>
            <w:tcBorders>
              <w:top w:val="nil"/>
              <w:left w:val="nil"/>
              <w:bottom w:val="single" w:sz="4" w:space="0" w:color="auto"/>
              <w:right w:val="single" w:sz="4" w:space="0" w:color="auto"/>
            </w:tcBorders>
            <w:shd w:val="clear" w:color="000000" w:fill="FFFFFF"/>
            <w:vAlign w:val="center"/>
            <w:hideMark/>
          </w:tcPr>
          <w:p w14:paraId="08E56B6F" w14:textId="77777777" w:rsidR="00DF66A4" w:rsidRPr="00DF66A4" w:rsidRDefault="00DF66A4" w:rsidP="00DF66A4">
            <w:pPr>
              <w:jc w:val="center"/>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 </w:t>
            </w:r>
          </w:p>
        </w:tc>
        <w:tc>
          <w:tcPr>
            <w:tcW w:w="1187" w:type="dxa"/>
            <w:tcBorders>
              <w:top w:val="nil"/>
              <w:left w:val="nil"/>
              <w:bottom w:val="single" w:sz="4" w:space="0" w:color="auto"/>
              <w:right w:val="single" w:sz="4" w:space="0" w:color="auto"/>
            </w:tcBorders>
            <w:shd w:val="clear" w:color="000000" w:fill="FFFFFF"/>
            <w:vAlign w:val="center"/>
            <w:hideMark/>
          </w:tcPr>
          <w:p w14:paraId="645743DC" w14:textId="77777777" w:rsidR="00DF66A4" w:rsidRPr="00DF66A4" w:rsidRDefault="00DF66A4" w:rsidP="00DF66A4">
            <w:pPr>
              <w:jc w:val="center"/>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w:t>
            </w:r>
          </w:p>
        </w:tc>
        <w:tc>
          <w:tcPr>
            <w:tcW w:w="1281" w:type="dxa"/>
            <w:tcBorders>
              <w:top w:val="nil"/>
              <w:left w:val="nil"/>
              <w:bottom w:val="single" w:sz="4" w:space="0" w:color="auto"/>
              <w:right w:val="single" w:sz="4" w:space="0" w:color="auto"/>
            </w:tcBorders>
            <w:shd w:val="clear" w:color="000000" w:fill="FFFFFF"/>
            <w:vAlign w:val="center"/>
            <w:hideMark/>
          </w:tcPr>
          <w:p w14:paraId="02D33427" w14:textId="77777777" w:rsidR="00DF66A4" w:rsidRPr="00DF66A4" w:rsidRDefault="00DF66A4" w:rsidP="00DF66A4">
            <w:pPr>
              <w:jc w:val="center"/>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w:t>
            </w:r>
          </w:p>
        </w:tc>
        <w:tc>
          <w:tcPr>
            <w:tcW w:w="880" w:type="dxa"/>
            <w:tcBorders>
              <w:top w:val="nil"/>
              <w:left w:val="nil"/>
              <w:bottom w:val="single" w:sz="4" w:space="0" w:color="auto"/>
              <w:right w:val="single" w:sz="4" w:space="0" w:color="auto"/>
            </w:tcBorders>
            <w:shd w:val="clear" w:color="000000" w:fill="FFFFFF"/>
            <w:vAlign w:val="center"/>
            <w:hideMark/>
          </w:tcPr>
          <w:p w14:paraId="7B847EDA" w14:textId="77777777" w:rsidR="00DF66A4" w:rsidRPr="00DF66A4" w:rsidRDefault="00DF66A4" w:rsidP="00DF66A4">
            <w:pPr>
              <w:jc w:val="center"/>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w:t>
            </w:r>
          </w:p>
        </w:tc>
        <w:tc>
          <w:tcPr>
            <w:tcW w:w="1053" w:type="dxa"/>
            <w:tcBorders>
              <w:top w:val="nil"/>
              <w:left w:val="nil"/>
              <w:bottom w:val="single" w:sz="4" w:space="0" w:color="auto"/>
              <w:right w:val="single" w:sz="4" w:space="0" w:color="auto"/>
            </w:tcBorders>
            <w:shd w:val="clear" w:color="000000" w:fill="FFFFFF"/>
            <w:vAlign w:val="center"/>
            <w:hideMark/>
          </w:tcPr>
          <w:p w14:paraId="2503645D" w14:textId="77777777" w:rsidR="00DF66A4" w:rsidRPr="00DF66A4" w:rsidRDefault="00DF66A4" w:rsidP="00DF66A4">
            <w:pPr>
              <w:jc w:val="center"/>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w:t>
            </w:r>
          </w:p>
        </w:tc>
        <w:tc>
          <w:tcPr>
            <w:tcW w:w="1365" w:type="dxa"/>
            <w:tcBorders>
              <w:top w:val="nil"/>
              <w:left w:val="nil"/>
              <w:bottom w:val="single" w:sz="4" w:space="0" w:color="auto"/>
              <w:right w:val="single" w:sz="4" w:space="0" w:color="auto"/>
            </w:tcBorders>
            <w:shd w:val="clear" w:color="000000" w:fill="FFFFFF"/>
            <w:vAlign w:val="center"/>
            <w:hideMark/>
          </w:tcPr>
          <w:p w14:paraId="0E2E153C" w14:textId="77777777" w:rsidR="00DF66A4" w:rsidRPr="00DF66A4" w:rsidRDefault="00DF66A4" w:rsidP="00DF66A4">
            <w:pPr>
              <w:jc w:val="center"/>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 </w:t>
            </w:r>
          </w:p>
        </w:tc>
        <w:tc>
          <w:tcPr>
            <w:tcW w:w="1428" w:type="dxa"/>
            <w:tcBorders>
              <w:top w:val="nil"/>
              <w:left w:val="nil"/>
              <w:bottom w:val="single" w:sz="4" w:space="0" w:color="auto"/>
              <w:right w:val="single" w:sz="4" w:space="0" w:color="auto"/>
            </w:tcBorders>
            <w:shd w:val="clear" w:color="000000" w:fill="FFFFFF"/>
            <w:vAlign w:val="center"/>
            <w:hideMark/>
          </w:tcPr>
          <w:p w14:paraId="18F16349" w14:textId="77777777" w:rsidR="00DF66A4" w:rsidRPr="00DF66A4" w:rsidRDefault="00DF66A4" w:rsidP="00DF66A4">
            <w:pPr>
              <w:jc w:val="center"/>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w:t>
            </w:r>
          </w:p>
        </w:tc>
      </w:tr>
      <w:tr w:rsidR="00DF66A4" w:rsidRPr="00DF66A4" w14:paraId="27DCA765"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1DB5B905"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Chief Constable-G Stevens</w:t>
            </w:r>
          </w:p>
        </w:tc>
        <w:tc>
          <w:tcPr>
            <w:tcW w:w="1373" w:type="dxa"/>
            <w:tcBorders>
              <w:top w:val="nil"/>
              <w:left w:val="single" w:sz="4" w:space="0" w:color="auto"/>
              <w:bottom w:val="nil"/>
              <w:right w:val="nil"/>
            </w:tcBorders>
            <w:shd w:val="clear" w:color="000000" w:fill="FFFFFF"/>
            <w:vAlign w:val="center"/>
            <w:hideMark/>
          </w:tcPr>
          <w:p w14:paraId="5F87A4FE"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20/01/2019</w:t>
            </w:r>
          </w:p>
        </w:tc>
        <w:tc>
          <w:tcPr>
            <w:tcW w:w="1400" w:type="dxa"/>
            <w:tcBorders>
              <w:top w:val="nil"/>
              <w:left w:val="single" w:sz="4" w:space="0" w:color="auto"/>
              <w:bottom w:val="nil"/>
              <w:right w:val="nil"/>
            </w:tcBorders>
            <w:shd w:val="clear" w:color="000000" w:fill="FFFFFF"/>
            <w:vAlign w:val="center"/>
            <w:hideMark/>
          </w:tcPr>
          <w:p w14:paraId="71D19C9B"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187" w:type="dxa"/>
            <w:tcBorders>
              <w:top w:val="nil"/>
              <w:left w:val="single" w:sz="4" w:space="0" w:color="auto"/>
              <w:bottom w:val="nil"/>
              <w:right w:val="nil"/>
            </w:tcBorders>
            <w:shd w:val="clear" w:color="auto" w:fill="auto"/>
            <w:noWrap/>
            <w:vAlign w:val="center"/>
            <w:hideMark/>
          </w:tcPr>
          <w:p w14:paraId="1171DB93"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152,710</w:t>
            </w:r>
          </w:p>
        </w:tc>
        <w:tc>
          <w:tcPr>
            <w:tcW w:w="1281" w:type="dxa"/>
            <w:tcBorders>
              <w:top w:val="nil"/>
              <w:left w:val="single" w:sz="4" w:space="0" w:color="auto"/>
              <w:bottom w:val="nil"/>
              <w:right w:val="single" w:sz="4" w:space="0" w:color="auto"/>
            </w:tcBorders>
            <w:shd w:val="clear" w:color="auto" w:fill="auto"/>
            <w:vAlign w:val="center"/>
            <w:hideMark/>
          </w:tcPr>
          <w:p w14:paraId="58015438"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22,556</w:t>
            </w:r>
          </w:p>
        </w:tc>
        <w:tc>
          <w:tcPr>
            <w:tcW w:w="880" w:type="dxa"/>
            <w:tcBorders>
              <w:top w:val="nil"/>
              <w:left w:val="nil"/>
              <w:bottom w:val="nil"/>
              <w:right w:val="single" w:sz="4" w:space="0" w:color="auto"/>
            </w:tcBorders>
            <w:shd w:val="clear" w:color="auto" w:fill="auto"/>
            <w:vAlign w:val="center"/>
            <w:hideMark/>
          </w:tcPr>
          <w:p w14:paraId="4608BC90"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4,171</w:t>
            </w:r>
          </w:p>
        </w:tc>
        <w:tc>
          <w:tcPr>
            <w:tcW w:w="1053" w:type="dxa"/>
            <w:tcBorders>
              <w:top w:val="nil"/>
              <w:left w:val="nil"/>
              <w:bottom w:val="nil"/>
              <w:right w:val="single" w:sz="4" w:space="0" w:color="auto"/>
            </w:tcBorders>
            <w:shd w:val="clear" w:color="auto" w:fill="auto"/>
            <w:vAlign w:val="center"/>
            <w:hideMark/>
          </w:tcPr>
          <w:p w14:paraId="5836C072"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auto" w:fill="auto"/>
            <w:vAlign w:val="center"/>
            <w:hideMark/>
          </w:tcPr>
          <w:p w14:paraId="4781B0FA"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2,868</w:t>
            </w:r>
          </w:p>
        </w:tc>
        <w:tc>
          <w:tcPr>
            <w:tcW w:w="1428" w:type="dxa"/>
            <w:tcBorders>
              <w:top w:val="nil"/>
              <w:left w:val="nil"/>
              <w:bottom w:val="nil"/>
              <w:right w:val="single" w:sz="4" w:space="0" w:color="auto"/>
            </w:tcBorders>
            <w:shd w:val="clear" w:color="000000" w:fill="FFFFFF"/>
            <w:vAlign w:val="center"/>
            <w:hideMark/>
          </w:tcPr>
          <w:p w14:paraId="556F3F4F"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182,305</w:t>
            </w:r>
          </w:p>
        </w:tc>
      </w:tr>
      <w:tr w:rsidR="00DF66A4" w:rsidRPr="00DF66A4" w14:paraId="70DFC66F"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570EA488"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Temporary Deputy Chief Constable</w:t>
            </w:r>
          </w:p>
        </w:tc>
        <w:tc>
          <w:tcPr>
            <w:tcW w:w="1373" w:type="dxa"/>
            <w:tcBorders>
              <w:top w:val="nil"/>
              <w:left w:val="single" w:sz="4" w:space="0" w:color="auto"/>
              <w:bottom w:val="nil"/>
              <w:right w:val="nil"/>
            </w:tcBorders>
            <w:shd w:val="clear" w:color="000000" w:fill="FFFFFF"/>
            <w:vAlign w:val="center"/>
            <w:hideMark/>
          </w:tcPr>
          <w:p w14:paraId="67CAE340"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20/01/2019</w:t>
            </w:r>
          </w:p>
        </w:tc>
        <w:tc>
          <w:tcPr>
            <w:tcW w:w="1400" w:type="dxa"/>
            <w:tcBorders>
              <w:top w:val="nil"/>
              <w:left w:val="single" w:sz="4" w:space="0" w:color="auto"/>
              <w:bottom w:val="nil"/>
              <w:right w:val="nil"/>
            </w:tcBorders>
            <w:shd w:val="clear" w:color="000000" w:fill="FFFFFF"/>
            <w:vAlign w:val="center"/>
            <w:hideMark/>
          </w:tcPr>
          <w:p w14:paraId="6D7CF307"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23/09/2019</w:t>
            </w:r>
          </w:p>
        </w:tc>
        <w:tc>
          <w:tcPr>
            <w:tcW w:w="1187" w:type="dxa"/>
            <w:tcBorders>
              <w:top w:val="nil"/>
              <w:left w:val="single" w:sz="4" w:space="0" w:color="auto"/>
              <w:bottom w:val="nil"/>
              <w:right w:val="nil"/>
            </w:tcBorders>
            <w:shd w:val="clear" w:color="000000" w:fill="FFFFFF"/>
            <w:noWrap/>
            <w:vAlign w:val="center"/>
            <w:hideMark/>
          </w:tcPr>
          <w:p w14:paraId="6D843925"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64,421</w:t>
            </w:r>
          </w:p>
        </w:tc>
        <w:tc>
          <w:tcPr>
            <w:tcW w:w="1281" w:type="dxa"/>
            <w:tcBorders>
              <w:top w:val="nil"/>
              <w:left w:val="single" w:sz="4" w:space="0" w:color="auto"/>
              <w:bottom w:val="nil"/>
              <w:right w:val="single" w:sz="4" w:space="0" w:color="auto"/>
            </w:tcBorders>
            <w:shd w:val="clear" w:color="000000" w:fill="FFFFFF"/>
            <w:vAlign w:val="center"/>
            <w:hideMark/>
          </w:tcPr>
          <w:p w14:paraId="049125F9"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17,991</w:t>
            </w:r>
          </w:p>
        </w:tc>
        <w:tc>
          <w:tcPr>
            <w:tcW w:w="880" w:type="dxa"/>
            <w:tcBorders>
              <w:top w:val="nil"/>
              <w:left w:val="nil"/>
              <w:bottom w:val="nil"/>
              <w:right w:val="single" w:sz="4" w:space="0" w:color="auto"/>
            </w:tcBorders>
            <w:shd w:val="clear" w:color="000000" w:fill="FFFFFF"/>
            <w:vAlign w:val="center"/>
            <w:hideMark/>
          </w:tcPr>
          <w:p w14:paraId="4F6A79BA"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053" w:type="dxa"/>
            <w:tcBorders>
              <w:top w:val="nil"/>
              <w:left w:val="nil"/>
              <w:bottom w:val="nil"/>
              <w:right w:val="single" w:sz="4" w:space="0" w:color="auto"/>
            </w:tcBorders>
            <w:shd w:val="clear" w:color="000000" w:fill="FFFFFF"/>
            <w:vAlign w:val="center"/>
            <w:hideMark/>
          </w:tcPr>
          <w:p w14:paraId="42CCBE38"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43AA4887"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2,366</w:t>
            </w:r>
          </w:p>
        </w:tc>
        <w:tc>
          <w:tcPr>
            <w:tcW w:w="1428" w:type="dxa"/>
            <w:tcBorders>
              <w:top w:val="nil"/>
              <w:left w:val="nil"/>
              <w:bottom w:val="nil"/>
              <w:right w:val="single" w:sz="4" w:space="0" w:color="auto"/>
            </w:tcBorders>
            <w:shd w:val="clear" w:color="000000" w:fill="FFFFFF"/>
            <w:vAlign w:val="center"/>
            <w:hideMark/>
          </w:tcPr>
          <w:p w14:paraId="76AD493E"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84,778</w:t>
            </w:r>
          </w:p>
        </w:tc>
      </w:tr>
      <w:tr w:rsidR="00DF66A4" w:rsidRPr="00DF66A4" w14:paraId="2666A1A4"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53CC745A"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Deputy Chief Constable</w:t>
            </w:r>
          </w:p>
        </w:tc>
        <w:tc>
          <w:tcPr>
            <w:tcW w:w="1373" w:type="dxa"/>
            <w:tcBorders>
              <w:top w:val="nil"/>
              <w:left w:val="single" w:sz="4" w:space="0" w:color="auto"/>
              <w:bottom w:val="nil"/>
              <w:right w:val="nil"/>
            </w:tcBorders>
            <w:shd w:val="clear" w:color="000000" w:fill="FFFFFF"/>
            <w:vAlign w:val="center"/>
            <w:hideMark/>
          </w:tcPr>
          <w:p w14:paraId="65988D6A"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23/09/2019</w:t>
            </w:r>
          </w:p>
        </w:tc>
        <w:tc>
          <w:tcPr>
            <w:tcW w:w="1400" w:type="dxa"/>
            <w:tcBorders>
              <w:top w:val="nil"/>
              <w:left w:val="single" w:sz="4" w:space="0" w:color="auto"/>
              <w:bottom w:val="nil"/>
              <w:right w:val="nil"/>
            </w:tcBorders>
            <w:shd w:val="clear" w:color="000000" w:fill="FFFFFF"/>
            <w:vAlign w:val="center"/>
            <w:hideMark/>
          </w:tcPr>
          <w:p w14:paraId="28760ADA"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187" w:type="dxa"/>
            <w:tcBorders>
              <w:top w:val="nil"/>
              <w:left w:val="single" w:sz="4" w:space="0" w:color="auto"/>
              <w:bottom w:val="nil"/>
              <w:right w:val="nil"/>
            </w:tcBorders>
            <w:shd w:val="clear" w:color="000000" w:fill="FFFFFF"/>
            <w:noWrap/>
            <w:vAlign w:val="center"/>
            <w:hideMark/>
          </w:tcPr>
          <w:p w14:paraId="538B23E3"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64,102</w:t>
            </w:r>
          </w:p>
        </w:tc>
        <w:tc>
          <w:tcPr>
            <w:tcW w:w="1281" w:type="dxa"/>
            <w:tcBorders>
              <w:top w:val="nil"/>
              <w:left w:val="single" w:sz="4" w:space="0" w:color="auto"/>
              <w:bottom w:val="nil"/>
              <w:right w:val="single" w:sz="4" w:space="0" w:color="auto"/>
            </w:tcBorders>
            <w:shd w:val="clear" w:color="000000" w:fill="FFFFFF"/>
            <w:vAlign w:val="center"/>
            <w:hideMark/>
          </w:tcPr>
          <w:p w14:paraId="1BEC9B60"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19,973</w:t>
            </w:r>
          </w:p>
        </w:tc>
        <w:tc>
          <w:tcPr>
            <w:tcW w:w="880" w:type="dxa"/>
            <w:tcBorders>
              <w:top w:val="nil"/>
              <w:left w:val="nil"/>
              <w:bottom w:val="nil"/>
              <w:right w:val="single" w:sz="4" w:space="0" w:color="auto"/>
            </w:tcBorders>
            <w:shd w:val="clear" w:color="000000" w:fill="FFFFFF"/>
            <w:vAlign w:val="center"/>
            <w:hideMark/>
          </w:tcPr>
          <w:p w14:paraId="5F117888"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1,689</w:t>
            </w:r>
          </w:p>
        </w:tc>
        <w:tc>
          <w:tcPr>
            <w:tcW w:w="1053" w:type="dxa"/>
            <w:tcBorders>
              <w:top w:val="nil"/>
              <w:left w:val="nil"/>
              <w:bottom w:val="nil"/>
              <w:right w:val="single" w:sz="4" w:space="0" w:color="auto"/>
            </w:tcBorders>
            <w:shd w:val="clear" w:color="000000" w:fill="FFFFFF"/>
            <w:vAlign w:val="center"/>
            <w:hideMark/>
          </w:tcPr>
          <w:p w14:paraId="3C49DE43"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78E0768B"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428" w:type="dxa"/>
            <w:tcBorders>
              <w:top w:val="nil"/>
              <w:left w:val="nil"/>
              <w:bottom w:val="nil"/>
              <w:right w:val="single" w:sz="4" w:space="0" w:color="auto"/>
            </w:tcBorders>
            <w:shd w:val="clear" w:color="000000" w:fill="FFFFFF"/>
            <w:vAlign w:val="center"/>
            <w:hideMark/>
          </w:tcPr>
          <w:p w14:paraId="5630BA44"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85,764</w:t>
            </w:r>
          </w:p>
        </w:tc>
      </w:tr>
      <w:tr w:rsidR="00DF66A4" w:rsidRPr="00DF66A4" w14:paraId="3C7D1544"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4A53C960"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Assistant Chief Constable</w:t>
            </w:r>
          </w:p>
        </w:tc>
        <w:tc>
          <w:tcPr>
            <w:tcW w:w="1373" w:type="dxa"/>
            <w:tcBorders>
              <w:top w:val="nil"/>
              <w:left w:val="single" w:sz="4" w:space="0" w:color="auto"/>
              <w:bottom w:val="nil"/>
              <w:right w:val="nil"/>
            </w:tcBorders>
            <w:shd w:val="clear" w:color="000000" w:fill="FFFFFF"/>
            <w:vAlign w:val="center"/>
            <w:hideMark/>
          </w:tcPr>
          <w:p w14:paraId="0B613594"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07/05/2017</w:t>
            </w:r>
          </w:p>
        </w:tc>
        <w:tc>
          <w:tcPr>
            <w:tcW w:w="1400" w:type="dxa"/>
            <w:tcBorders>
              <w:top w:val="nil"/>
              <w:left w:val="single" w:sz="4" w:space="0" w:color="auto"/>
              <w:bottom w:val="nil"/>
              <w:right w:val="nil"/>
            </w:tcBorders>
            <w:shd w:val="clear" w:color="000000" w:fill="FFFFFF"/>
            <w:vAlign w:val="center"/>
            <w:hideMark/>
          </w:tcPr>
          <w:p w14:paraId="2B51301B"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22/09/2019</w:t>
            </w:r>
          </w:p>
        </w:tc>
        <w:tc>
          <w:tcPr>
            <w:tcW w:w="1187" w:type="dxa"/>
            <w:tcBorders>
              <w:top w:val="nil"/>
              <w:left w:val="single" w:sz="4" w:space="0" w:color="auto"/>
              <w:bottom w:val="nil"/>
              <w:right w:val="nil"/>
            </w:tcBorders>
            <w:shd w:val="clear" w:color="000000" w:fill="FFFFFF"/>
            <w:noWrap/>
            <w:vAlign w:val="center"/>
            <w:hideMark/>
          </w:tcPr>
          <w:p w14:paraId="64AF3E45"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54,420</w:t>
            </w:r>
          </w:p>
        </w:tc>
        <w:tc>
          <w:tcPr>
            <w:tcW w:w="1281" w:type="dxa"/>
            <w:tcBorders>
              <w:top w:val="nil"/>
              <w:left w:val="single" w:sz="4" w:space="0" w:color="auto"/>
              <w:bottom w:val="nil"/>
              <w:right w:val="single" w:sz="4" w:space="0" w:color="auto"/>
            </w:tcBorders>
            <w:shd w:val="clear" w:color="000000" w:fill="FFFFFF"/>
            <w:vAlign w:val="center"/>
            <w:hideMark/>
          </w:tcPr>
          <w:p w14:paraId="31F4BB54"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16,661</w:t>
            </w:r>
          </w:p>
        </w:tc>
        <w:tc>
          <w:tcPr>
            <w:tcW w:w="880" w:type="dxa"/>
            <w:tcBorders>
              <w:top w:val="nil"/>
              <w:left w:val="nil"/>
              <w:bottom w:val="nil"/>
              <w:right w:val="single" w:sz="4" w:space="0" w:color="auto"/>
            </w:tcBorders>
            <w:shd w:val="clear" w:color="000000" w:fill="FFFFFF"/>
            <w:vAlign w:val="center"/>
            <w:hideMark/>
          </w:tcPr>
          <w:p w14:paraId="14C34C53"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627</w:t>
            </w:r>
          </w:p>
        </w:tc>
        <w:tc>
          <w:tcPr>
            <w:tcW w:w="1053" w:type="dxa"/>
            <w:tcBorders>
              <w:top w:val="nil"/>
              <w:left w:val="nil"/>
              <w:bottom w:val="nil"/>
              <w:right w:val="single" w:sz="4" w:space="0" w:color="auto"/>
            </w:tcBorders>
            <w:shd w:val="clear" w:color="000000" w:fill="FFFFFF"/>
            <w:vAlign w:val="center"/>
            <w:hideMark/>
          </w:tcPr>
          <w:p w14:paraId="2353D895"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62A88A18"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1,976</w:t>
            </w:r>
          </w:p>
        </w:tc>
        <w:tc>
          <w:tcPr>
            <w:tcW w:w="1428" w:type="dxa"/>
            <w:tcBorders>
              <w:top w:val="nil"/>
              <w:left w:val="nil"/>
              <w:bottom w:val="nil"/>
              <w:right w:val="single" w:sz="4" w:space="0" w:color="auto"/>
            </w:tcBorders>
            <w:shd w:val="clear" w:color="000000" w:fill="FFFFFF"/>
            <w:vAlign w:val="center"/>
            <w:hideMark/>
          </w:tcPr>
          <w:p w14:paraId="76C69CDF"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73,684</w:t>
            </w:r>
          </w:p>
        </w:tc>
      </w:tr>
      <w:tr w:rsidR="00DF66A4" w:rsidRPr="00DF66A4" w14:paraId="2B47C7B6"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25A5AE17"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 xml:space="preserve">Temporary Assistant Chief Constable </w:t>
            </w:r>
          </w:p>
        </w:tc>
        <w:tc>
          <w:tcPr>
            <w:tcW w:w="1373" w:type="dxa"/>
            <w:tcBorders>
              <w:top w:val="nil"/>
              <w:left w:val="single" w:sz="4" w:space="0" w:color="auto"/>
              <w:bottom w:val="nil"/>
              <w:right w:val="nil"/>
            </w:tcBorders>
            <w:shd w:val="clear" w:color="000000" w:fill="FFFFFF"/>
            <w:vAlign w:val="center"/>
            <w:hideMark/>
          </w:tcPr>
          <w:p w14:paraId="601480C5"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07/10/2019</w:t>
            </w:r>
          </w:p>
        </w:tc>
        <w:tc>
          <w:tcPr>
            <w:tcW w:w="1400" w:type="dxa"/>
            <w:tcBorders>
              <w:top w:val="nil"/>
              <w:left w:val="single" w:sz="4" w:space="0" w:color="auto"/>
              <w:bottom w:val="nil"/>
              <w:right w:val="nil"/>
            </w:tcBorders>
            <w:shd w:val="clear" w:color="000000" w:fill="FFFFFF"/>
            <w:vAlign w:val="center"/>
            <w:hideMark/>
          </w:tcPr>
          <w:p w14:paraId="0D9CEC4C"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187" w:type="dxa"/>
            <w:tcBorders>
              <w:top w:val="nil"/>
              <w:left w:val="single" w:sz="4" w:space="0" w:color="auto"/>
              <w:bottom w:val="nil"/>
              <w:right w:val="nil"/>
            </w:tcBorders>
            <w:shd w:val="clear" w:color="000000" w:fill="FFFFFF"/>
            <w:noWrap/>
            <w:vAlign w:val="center"/>
            <w:hideMark/>
          </w:tcPr>
          <w:p w14:paraId="5821D435"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50,723</w:t>
            </w:r>
          </w:p>
        </w:tc>
        <w:tc>
          <w:tcPr>
            <w:tcW w:w="1281" w:type="dxa"/>
            <w:tcBorders>
              <w:top w:val="nil"/>
              <w:left w:val="single" w:sz="4" w:space="0" w:color="auto"/>
              <w:bottom w:val="nil"/>
              <w:right w:val="single" w:sz="4" w:space="0" w:color="auto"/>
            </w:tcBorders>
            <w:shd w:val="clear" w:color="000000" w:fill="FFFFFF"/>
            <w:vAlign w:val="center"/>
            <w:hideMark/>
          </w:tcPr>
          <w:p w14:paraId="24D6E2BA"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9,160</w:t>
            </w:r>
          </w:p>
        </w:tc>
        <w:tc>
          <w:tcPr>
            <w:tcW w:w="880" w:type="dxa"/>
            <w:tcBorders>
              <w:top w:val="nil"/>
              <w:left w:val="nil"/>
              <w:bottom w:val="nil"/>
              <w:right w:val="single" w:sz="4" w:space="0" w:color="auto"/>
            </w:tcBorders>
            <w:shd w:val="clear" w:color="000000" w:fill="FFFFFF"/>
            <w:vAlign w:val="center"/>
            <w:hideMark/>
          </w:tcPr>
          <w:p w14:paraId="62C4BB81"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625</w:t>
            </w:r>
          </w:p>
        </w:tc>
        <w:tc>
          <w:tcPr>
            <w:tcW w:w="1053" w:type="dxa"/>
            <w:tcBorders>
              <w:top w:val="nil"/>
              <w:left w:val="nil"/>
              <w:bottom w:val="nil"/>
              <w:right w:val="single" w:sz="4" w:space="0" w:color="auto"/>
            </w:tcBorders>
            <w:shd w:val="clear" w:color="000000" w:fill="FFFFFF"/>
            <w:vAlign w:val="center"/>
            <w:hideMark/>
          </w:tcPr>
          <w:p w14:paraId="305A3E13"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110C1C32"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428" w:type="dxa"/>
            <w:tcBorders>
              <w:top w:val="nil"/>
              <w:left w:val="nil"/>
              <w:bottom w:val="nil"/>
              <w:right w:val="single" w:sz="4" w:space="0" w:color="auto"/>
            </w:tcBorders>
            <w:shd w:val="clear" w:color="000000" w:fill="FFFFFF"/>
            <w:vAlign w:val="center"/>
            <w:hideMark/>
          </w:tcPr>
          <w:p w14:paraId="18A273F9"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60,508</w:t>
            </w:r>
          </w:p>
        </w:tc>
      </w:tr>
      <w:tr w:rsidR="00DF66A4" w:rsidRPr="00DF66A4" w14:paraId="12515BE9"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7BC56A0E"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 xml:space="preserve">Chief Superintendent </w:t>
            </w:r>
          </w:p>
        </w:tc>
        <w:tc>
          <w:tcPr>
            <w:tcW w:w="1373" w:type="dxa"/>
            <w:tcBorders>
              <w:top w:val="nil"/>
              <w:left w:val="single" w:sz="4" w:space="0" w:color="auto"/>
              <w:bottom w:val="nil"/>
              <w:right w:val="nil"/>
            </w:tcBorders>
            <w:shd w:val="clear" w:color="000000" w:fill="FFFFFF"/>
            <w:vAlign w:val="center"/>
            <w:hideMark/>
          </w:tcPr>
          <w:p w14:paraId="5F828C3A"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18/10/2017</w:t>
            </w:r>
          </w:p>
        </w:tc>
        <w:tc>
          <w:tcPr>
            <w:tcW w:w="1400" w:type="dxa"/>
            <w:tcBorders>
              <w:top w:val="nil"/>
              <w:left w:val="single" w:sz="4" w:space="0" w:color="auto"/>
              <w:bottom w:val="nil"/>
              <w:right w:val="nil"/>
            </w:tcBorders>
            <w:shd w:val="clear" w:color="000000" w:fill="FFFFFF"/>
            <w:vAlign w:val="center"/>
            <w:hideMark/>
          </w:tcPr>
          <w:p w14:paraId="2E4A71B3"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06/10/2019</w:t>
            </w:r>
          </w:p>
        </w:tc>
        <w:tc>
          <w:tcPr>
            <w:tcW w:w="1187" w:type="dxa"/>
            <w:tcBorders>
              <w:top w:val="nil"/>
              <w:left w:val="single" w:sz="4" w:space="0" w:color="auto"/>
              <w:bottom w:val="nil"/>
              <w:right w:val="nil"/>
            </w:tcBorders>
            <w:shd w:val="clear" w:color="000000" w:fill="FFFFFF"/>
            <w:noWrap/>
            <w:vAlign w:val="center"/>
            <w:hideMark/>
          </w:tcPr>
          <w:p w14:paraId="78F8B7B1"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46,106</w:t>
            </w:r>
          </w:p>
        </w:tc>
        <w:tc>
          <w:tcPr>
            <w:tcW w:w="1281" w:type="dxa"/>
            <w:tcBorders>
              <w:top w:val="nil"/>
              <w:left w:val="single" w:sz="4" w:space="0" w:color="auto"/>
              <w:bottom w:val="nil"/>
              <w:right w:val="single" w:sz="4" w:space="0" w:color="auto"/>
            </w:tcBorders>
            <w:shd w:val="clear" w:color="000000" w:fill="FFFFFF"/>
            <w:vAlign w:val="center"/>
            <w:hideMark/>
          </w:tcPr>
          <w:p w14:paraId="78ABEF11"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13,820</w:t>
            </w:r>
          </w:p>
        </w:tc>
        <w:tc>
          <w:tcPr>
            <w:tcW w:w="880" w:type="dxa"/>
            <w:tcBorders>
              <w:top w:val="nil"/>
              <w:left w:val="nil"/>
              <w:bottom w:val="nil"/>
              <w:right w:val="single" w:sz="4" w:space="0" w:color="auto"/>
            </w:tcBorders>
            <w:shd w:val="clear" w:color="000000" w:fill="FFFFFF"/>
            <w:vAlign w:val="center"/>
            <w:hideMark/>
          </w:tcPr>
          <w:p w14:paraId="76FF636C"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625</w:t>
            </w:r>
          </w:p>
        </w:tc>
        <w:tc>
          <w:tcPr>
            <w:tcW w:w="1053" w:type="dxa"/>
            <w:tcBorders>
              <w:top w:val="nil"/>
              <w:left w:val="nil"/>
              <w:bottom w:val="nil"/>
              <w:right w:val="single" w:sz="4" w:space="0" w:color="auto"/>
            </w:tcBorders>
            <w:shd w:val="clear" w:color="000000" w:fill="FFFFFF"/>
            <w:vAlign w:val="center"/>
            <w:hideMark/>
          </w:tcPr>
          <w:p w14:paraId="3E961700"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1EFD4314"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428" w:type="dxa"/>
            <w:tcBorders>
              <w:top w:val="nil"/>
              <w:left w:val="nil"/>
              <w:bottom w:val="nil"/>
              <w:right w:val="single" w:sz="4" w:space="0" w:color="auto"/>
            </w:tcBorders>
            <w:shd w:val="clear" w:color="000000" w:fill="FFFFFF"/>
            <w:vAlign w:val="center"/>
            <w:hideMark/>
          </w:tcPr>
          <w:p w14:paraId="75031534"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60,551</w:t>
            </w:r>
          </w:p>
        </w:tc>
      </w:tr>
      <w:tr w:rsidR="00DF66A4" w:rsidRPr="00DF66A4" w14:paraId="106C1BD5"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563FC266"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 xml:space="preserve">Temporary Assistant Chief Constable </w:t>
            </w:r>
          </w:p>
        </w:tc>
        <w:tc>
          <w:tcPr>
            <w:tcW w:w="1373" w:type="dxa"/>
            <w:tcBorders>
              <w:top w:val="nil"/>
              <w:left w:val="single" w:sz="4" w:space="0" w:color="auto"/>
              <w:bottom w:val="nil"/>
              <w:right w:val="nil"/>
            </w:tcBorders>
            <w:shd w:val="clear" w:color="000000" w:fill="FFFFFF"/>
            <w:vAlign w:val="center"/>
            <w:hideMark/>
          </w:tcPr>
          <w:p w14:paraId="6711AB34"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16/12/2019</w:t>
            </w:r>
          </w:p>
        </w:tc>
        <w:tc>
          <w:tcPr>
            <w:tcW w:w="1400" w:type="dxa"/>
            <w:tcBorders>
              <w:top w:val="nil"/>
              <w:left w:val="single" w:sz="4" w:space="0" w:color="auto"/>
              <w:bottom w:val="nil"/>
              <w:right w:val="nil"/>
            </w:tcBorders>
            <w:shd w:val="clear" w:color="000000" w:fill="FFFFFF"/>
            <w:vAlign w:val="center"/>
            <w:hideMark/>
          </w:tcPr>
          <w:p w14:paraId="2BE1D62A"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187" w:type="dxa"/>
            <w:tcBorders>
              <w:top w:val="nil"/>
              <w:left w:val="single" w:sz="4" w:space="0" w:color="auto"/>
              <w:bottom w:val="nil"/>
              <w:right w:val="nil"/>
            </w:tcBorders>
            <w:shd w:val="clear" w:color="auto" w:fill="auto"/>
            <w:noWrap/>
            <w:vAlign w:val="center"/>
            <w:hideMark/>
          </w:tcPr>
          <w:p w14:paraId="11E1CECB"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64,084</w:t>
            </w:r>
          </w:p>
        </w:tc>
        <w:tc>
          <w:tcPr>
            <w:tcW w:w="1281" w:type="dxa"/>
            <w:tcBorders>
              <w:top w:val="nil"/>
              <w:left w:val="single" w:sz="4" w:space="0" w:color="auto"/>
              <w:bottom w:val="nil"/>
              <w:right w:val="single" w:sz="4" w:space="0" w:color="auto"/>
            </w:tcBorders>
            <w:shd w:val="clear" w:color="000000" w:fill="FFFFFF"/>
            <w:vAlign w:val="center"/>
            <w:hideMark/>
          </w:tcPr>
          <w:p w14:paraId="1EC70ACE"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18,398</w:t>
            </w:r>
          </w:p>
        </w:tc>
        <w:tc>
          <w:tcPr>
            <w:tcW w:w="880" w:type="dxa"/>
            <w:tcBorders>
              <w:top w:val="nil"/>
              <w:left w:val="nil"/>
              <w:bottom w:val="nil"/>
              <w:right w:val="single" w:sz="4" w:space="0" w:color="auto"/>
            </w:tcBorders>
            <w:shd w:val="clear" w:color="auto" w:fill="auto"/>
            <w:vAlign w:val="center"/>
            <w:hideMark/>
          </w:tcPr>
          <w:p w14:paraId="54F63822"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053" w:type="dxa"/>
            <w:tcBorders>
              <w:top w:val="nil"/>
              <w:left w:val="nil"/>
              <w:bottom w:val="nil"/>
              <w:right w:val="single" w:sz="4" w:space="0" w:color="auto"/>
            </w:tcBorders>
            <w:shd w:val="clear" w:color="auto" w:fill="auto"/>
            <w:vAlign w:val="center"/>
            <w:hideMark/>
          </w:tcPr>
          <w:p w14:paraId="04D44C25"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auto" w:fill="auto"/>
            <w:vAlign w:val="center"/>
            <w:hideMark/>
          </w:tcPr>
          <w:p w14:paraId="5F79C81C"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428" w:type="dxa"/>
            <w:tcBorders>
              <w:top w:val="nil"/>
              <w:left w:val="nil"/>
              <w:bottom w:val="nil"/>
              <w:right w:val="single" w:sz="4" w:space="0" w:color="auto"/>
            </w:tcBorders>
            <w:shd w:val="clear" w:color="000000" w:fill="FFFFFF"/>
            <w:vAlign w:val="center"/>
            <w:hideMark/>
          </w:tcPr>
          <w:p w14:paraId="5DFEBB81"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82,482</w:t>
            </w:r>
          </w:p>
        </w:tc>
      </w:tr>
      <w:tr w:rsidR="00DF66A4" w:rsidRPr="00DF66A4" w14:paraId="2F21448A"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1E74774C"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 xml:space="preserve">Chief Superintendent </w:t>
            </w:r>
          </w:p>
        </w:tc>
        <w:tc>
          <w:tcPr>
            <w:tcW w:w="1373" w:type="dxa"/>
            <w:tcBorders>
              <w:top w:val="nil"/>
              <w:left w:val="single" w:sz="4" w:space="0" w:color="auto"/>
              <w:bottom w:val="nil"/>
              <w:right w:val="nil"/>
            </w:tcBorders>
            <w:shd w:val="clear" w:color="000000" w:fill="FFFFFF"/>
            <w:vAlign w:val="center"/>
            <w:hideMark/>
          </w:tcPr>
          <w:p w14:paraId="75116BEF"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01/12/2018</w:t>
            </w:r>
          </w:p>
        </w:tc>
        <w:tc>
          <w:tcPr>
            <w:tcW w:w="1400" w:type="dxa"/>
            <w:tcBorders>
              <w:top w:val="nil"/>
              <w:left w:val="single" w:sz="4" w:space="0" w:color="auto"/>
              <w:bottom w:val="nil"/>
              <w:right w:val="nil"/>
            </w:tcBorders>
            <w:shd w:val="clear" w:color="000000" w:fill="FFFFFF"/>
            <w:vAlign w:val="center"/>
            <w:hideMark/>
          </w:tcPr>
          <w:p w14:paraId="38669B0C"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15/12/2019</w:t>
            </w:r>
          </w:p>
        </w:tc>
        <w:tc>
          <w:tcPr>
            <w:tcW w:w="1187" w:type="dxa"/>
            <w:tcBorders>
              <w:top w:val="nil"/>
              <w:left w:val="single" w:sz="4" w:space="0" w:color="auto"/>
              <w:bottom w:val="nil"/>
              <w:right w:val="nil"/>
            </w:tcBorders>
            <w:shd w:val="clear" w:color="000000" w:fill="FFFFFF"/>
            <w:noWrap/>
            <w:vAlign w:val="center"/>
            <w:hideMark/>
          </w:tcPr>
          <w:p w14:paraId="5356F280"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31,949</w:t>
            </w:r>
          </w:p>
        </w:tc>
        <w:tc>
          <w:tcPr>
            <w:tcW w:w="1281" w:type="dxa"/>
            <w:tcBorders>
              <w:top w:val="nil"/>
              <w:left w:val="single" w:sz="4" w:space="0" w:color="auto"/>
              <w:bottom w:val="nil"/>
              <w:right w:val="single" w:sz="4" w:space="0" w:color="auto"/>
            </w:tcBorders>
            <w:shd w:val="clear" w:color="000000" w:fill="FFFFFF"/>
            <w:vAlign w:val="center"/>
            <w:hideMark/>
          </w:tcPr>
          <w:p w14:paraId="49A1FBDB"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9,339</w:t>
            </w:r>
          </w:p>
        </w:tc>
        <w:tc>
          <w:tcPr>
            <w:tcW w:w="880" w:type="dxa"/>
            <w:tcBorders>
              <w:top w:val="nil"/>
              <w:left w:val="nil"/>
              <w:bottom w:val="nil"/>
              <w:right w:val="single" w:sz="4" w:space="0" w:color="auto"/>
            </w:tcBorders>
            <w:shd w:val="clear" w:color="000000" w:fill="FFFFFF"/>
            <w:vAlign w:val="center"/>
            <w:hideMark/>
          </w:tcPr>
          <w:p w14:paraId="6647D4DA"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053" w:type="dxa"/>
            <w:tcBorders>
              <w:top w:val="nil"/>
              <w:left w:val="nil"/>
              <w:bottom w:val="nil"/>
              <w:right w:val="single" w:sz="4" w:space="0" w:color="auto"/>
            </w:tcBorders>
            <w:shd w:val="clear" w:color="000000" w:fill="FFFFFF"/>
            <w:vAlign w:val="center"/>
            <w:hideMark/>
          </w:tcPr>
          <w:p w14:paraId="6CBD964B"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403BB90D"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428" w:type="dxa"/>
            <w:tcBorders>
              <w:top w:val="nil"/>
              <w:left w:val="nil"/>
              <w:bottom w:val="nil"/>
              <w:right w:val="single" w:sz="4" w:space="0" w:color="auto"/>
            </w:tcBorders>
            <w:shd w:val="clear" w:color="000000" w:fill="FFFFFF"/>
            <w:vAlign w:val="center"/>
            <w:hideMark/>
          </w:tcPr>
          <w:p w14:paraId="4E3700A9"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41,288</w:t>
            </w:r>
          </w:p>
        </w:tc>
      </w:tr>
      <w:tr w:rsidR="00DF66A4" w:rsidRPr="00DF66A4" w14:paraId="0E2FED5C"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2A4F2040"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Chief Superintendent</w:t>
            </w:r>
          </w:p>
        </w:tc>
        <w:tc>
          <w:tcPr>
            <w:tcW w:w="1373" w:type="dxa"/>
            <w:tcBorders>
              <w:top w:val="nil"/>
              <w:left w:val="single" w:sz="4" w:space="0" w:color="auto"/>
              <w:bottom w:val="nil"/>
              <w:right w:val="nil"/>
            </w:tcBorders>
            <w:shd w:val="clear" w:color="000000" w:fill="FFFFFF"/>
            <w:vAlign w:val="center"/>
            <w:hideMark/>
          </w:tcPr>
          <w:p w14:paraId="389500FB"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07/01/2013</w:t>
            </w:r>
          </w:p>
        </w:tc>
        <w:tc>
          <w:tcPr>
            <w:tcW w:w="1400" w:type="dxa"/>
            <w:tcBorders>
              <w:top w:val="nil"/>
              <w:left w:val="single" w:sz="4" w:space="0" w:color="auto"/>
              <w:bottom w:val="nil"/>
              <w:right w:val="nil"/>
            </w:tcBorders>
            <w:shd w:val="clear" w:color="000000" w:fill="FFFFFF"/>
            <w:vAlign w:val="center"/>
            <w:hideMark/>
          </w:tcPr>
          <w:p w14:paraId="47536CD5"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27/05/2020</w:t>
            </w:r>
          </w:p>
        </w:tc>
        <w:tc>
          <w:tcPr>
            <w:tcW w:w="1187" w:type="dxa"/>
            <w:tcBorders>
              <w:top w:val="nil"/>
              <w:left w:val="single" w:sz="4" w:space="0" w:color="auto"/>
              <w:bottom w:val="nil"/>
              <w:right w:val="nil"/>
            </w:tcBorders>
            <w:shd w:val="clear" w:color="000000" w:fill="FFFFFF"/>
            <w:noWrap/>
            <w:vAlign w:val="center"/>
            <w:hideMark/>
          </w:tcPr>
          <w:p w14:paraId="66830470"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13,750</w:t>
            </w:r>
          </w:p>
        </w:tc>
        <w:tc>
          <w:tcPr>
            <w:tcW w:w="1281" w:type="dxa"/>
            <w:tcBorders>
              <w:top w:val="nil"/>
              <w:left w:val="single" w:sz="4" w:space="0" w:color="auto"/>
              <w:bottom w:val="nil"/>
              <w:right w:val="single" w:sz="4" w:space="0" w:color="auto"/>
            </w:tcBorders>
            <w:shd w:val="clear" w:color="000000" w:fill="FFFFFF"/>
            <w:vAlign w:val="center"/>
            <w:hideMark/>
          </w:tcPr>
          <w:p w14:paraId="4B4E2D74"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4,148</w:t>
            </w:r>
          </w:p>
        </w:tc>
        <w:tc>
          <w:tcPr>
            <w:tcW w:w="880" w:type="dxa"/>
            <w:tcBorders>
              <w:top w:val="nil"/>
              <w:left w:val="nil"/>
              <w:bottom w:val="nil"/>
              <w:right w:val="single" w:sz="4" w:space="0" w:color="auto"/>
            </w:tcBorders>
            <w:shd w:val="clear" w:color="000000" w:fill="FFFFFF"/>
            <w:vAlign w:val="center"/>
            <w:hideMark/>
          </w:tcPr>
          <w:p w14:paraId="1132A325"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64</w:t>
            </w:r>
          </w:p>
        </w:tc>
        <w:tc>
          <w:tcPr>
            <w:tcW w:w="1053" w:type="dxa"/>
            <w:tcBorders>
              <w:top w:val="nil"/>
              <w:left w:val="nil"/>
              <w:bottom w:val="nil"/>
              <w:right w:val="single" w:sz="4" w:space="0" w:color="auto"/>
            </w:tcBorders>
            <w:shd w:val="clear" w:color="000000" w:fill="FFFFFF"/>
            <w:vAlign w:val="center"/>
            <w:hideMark/>
          </w:tcPr>
          <w:p w14:paraId="5EA97A69"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26CA0249"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428" w:type="dxa"/>
            <w:tcBorders>
              <w:top w:val="nil"/>
              <w:left w:val="nil"/>
              <w:bottom w:val="nil"/>
              <w:right w:val="single" w:sz="4" w:space="0" w:color="auto"/>
            </w:tcBorders>
            <w:shd w:val="clear" w:color="000000" w:fill="FFFFFF"/>
            <w:vAlign w:val="center"/>
            <w:hideMark/>
          </w:tcPr>
          <w:p w14:paraId="2EC672D4"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17,962</w:t>
            </w:r>
          </w:p>
        </w:tc>
      </w:tr>
      <w:tr w:rsidR="00DF66A4" w:rsidRPr="00DF66A4" w14:paraId="632A3468"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5FB19AB1"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 xml:space="preserve">Temporary Assistant Chief Constable </w:t>
            </w:r>
          </w:p>
        </w:tc>
        <w:tc>
          <w:tcPr>
            <w:tcW w:w="1373" w:type="dxa"/>
            <w:tcBorders>
              <w:top w:val="nil"/>
              <w:left w:val="single" w:sz="4" w:space="0" w:color="auto"/>
              <w:bottom w:val="nil"/>
              <w:right w:val="nil"/>
            </w:tcBorders>
            <w:shd w:val="clear" w:color="000000" w:fill="FFFFFF"/>
            <w:vAlign w:val="center"/>
            <w:hideMark/>
          </w:tcPr>
          <w:p w14:paraId="3B8861F3"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20/01/2019</w:t>
            </w:r>
          </w:p>
        </w:tc>
        <w:tc>
          <w:tcPr>
            <w:tcW w:w="1400" w:type="dxa"/>
            <w:tcBorders>
              <w:top w:val="nil"/>
              <w:left w:val="single" w:sz="4" w:space="0" w:color="auto"/>
              <w:bottom w:val="nil"/>
              <w:right w:val="nil"/>
            </w:tcBorders>
            <w:shd w:val="clear" w:color="000000" w:fill="FFFFFF"/>
            <w:vAlign w:val="center"/>
            <w:hideMark/>
          </w:tcPr>
          <w:p w14:paraId="7A228575"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187" w:type="dxa"/>
            <w:tcBorders>
              <w:top w:val="nil"/>
              <w:left w:val="single" w:sz="4" w:space="0" w:color="auto"/>
              <w:bottom w:val="nil"/>
              <w:right w:val="nil"/>
            </w:tcBorders>
            <w:shd w:val="clear" w:color="000000" w:fill="FFFFFF"/>
            <w:noWrap/>
            <w:vAlign w:val="center"/>
            <w:hideMark/>
          </w:tcPr>
          <w:p w14:paraId="1966E612"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100,951</w:t>
            </w:r>
          </w:p>
        </w:tc>
        <w:tc>
          <w:tcPr>
            <w:tcW w:w="1281" w:type="dxa"/>
            <w:tcBorders>
              <w:top w:val="nil"/>
              <w:left w:val="single" w:sz="4" w:space="0" w:color="auto"/>
              <w:bottom w:val="nil"/>
              <w:right w:val="single" w:sz="4" w:space="0" w:color="auto"/>
            </w:tcBorders>
            <w:shd w:val="clear" w:color="000000" w:fill="FFFFFF"/>
            <w:vAlign w:val="center"/>
            <w:hideMark/>
          </w:tcPr>
          <w:p w14:paraId="1B951117"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27,230</w:t>
            </w:r>
          </w:p>
        </w:tc>
        <w:tc>
          <w:tcPr>
            <w:tcW w:w="880" w:type="dxa"/>
            <w:tcBorders>
              <w:top w:val="nil"/>
              <w:left w:val="nil"/>
              <w:bottom w:val="nil"/>
              <w:right w:val="single" w:sz="4" w:space="0" w:color="auto"/>
            </w:tcBorders>
            <w:shd w:val="clear" w:color="000000" w:fill="FFFFFF"/>
            <w:vAlign w:val="center"/>
            <w:hideMark/>
          </w:tcPr>
          <w:p w14:paraId="40BD5CF2"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1,233</w:t>
            </w:r>
          </w:p>
        </w:tc>
        <w:tc>
          <w:tcPr>
            <w:tcW w:w="1053" w:type="dxa"/>
            <w:tcBorders>
              <w:top w:val="nil"/>
              <w:left w:val="nil"/>
              <w:bottom w:val="nil"/>
              <w:right w:val="single" w:sz="4" w:space="0" w:color="auto"/>
            </w:tcBorders>
            <w:shd w:val="clear" w:color="000000" w:fill="FFFFFF"/>
            <w:vAlign w:val="center"/>
            <w:hideMark/>
          </w:tcPr>
          <w:p w14:paraId="3BA39598"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0DAEAE5B"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1,717</w:t>
            </w:r>
          </w:p>
        </w:tc>
        <w:tc>
          <w:tcPr>
            <w:tcW w:w="1428" w:type="dxa"/>
            <w:tcBorders>
              <w:top w:val="nil"/>
              <w:left w:val="nil"/>
              <w:bottom w:val="nil"/>
              <w:right w:val="single" w:sz="4" w:space="0" w:color="auto"/>
            </w:tcBorders>
            <w:shd w:val="clear" w:color="000000" w:fill="FFFFFF"/>
            <w:vAlign w:val="center"/>
            <w:hideMark/>
          </w:tcPr>
          <w:p w14:paraId="01638D23"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131,131</w:t>
            </w:r>
          </w:p>
        </w:tc>
      </w:tr>
      <w:tr w:rsidR="00DF66A4" w:rsidRPr="00DF66A4" w14:paraId="21379FC2"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65295891"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Chief Information Office</w:t>
            </w:r>
          </w:p>
        </w:tc>
        <w:tc>
          <w:tcPr>
            <w:tcW w:w="1373" w:type="dxa"/>
            <w:tcBorders>
              <w:top w:val="nil"/>
              <w:left w:val="single" w:sz="4" w:space="0" w:color="auto"/>
              <w:bottom w:val="nil"/>
              <w:right w:val="nil"/>
            </w:tcBorders>
            <w:shd w:val="clear" w:color="000000" w:fill="FFFFFF"/>
            <w:vAlign w:val="center"/>
            <w:hideMark/>
          </w:tcPr>
          <w:p w14:paraId="7E378F5C"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03/12/2018</w:t>
            </w:r>
          </w:p>
        </w:tc>
        <w:tc>
          <w:tcPr>
            <w:tcW w:w="1400" w:type="dxa"/>
            <w:tcBorders>
              <w:top w:val="nil"/>
              <w:left w:val="single" w:sz="4" w:space="0" w:color="auto"/>
              <w:bottom w:val="nil"/>
              <w:right w:val="nil"/>
            </w:tcBorders>
            <w:shd w:val="clear" w:color="000000" w:fill="FFFFFF"/>
            <w:vAlign w:val="center"/>
            <w:hideMark/>
          </w:tcPr>
          <w:p w14:paraId="3483B0B6"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187" w:type="dxa"/>
            <w:tcBorders>
              <w:top w:val="nil"/>
              <w:left w:val="single" w:sz="4" w:space="0" w:color="auto"/>
              <w:bottom w:val="nil"/>
              <w:right w:val="nil"/>
            </w:tcBorders>
            <w:shd w:val="clear" w:color="000000" w:fill="FFFFFF"/>
            <w:noWrap/>
            <w:vAlign w:val="center"/>
            <w:hideMark/>
          </w:tcPr>
          <w:p w14:paraId="3B1F0C5C"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132,533</w:t>
            </w:r>
          </w:p>
        </w:tc>
        <w:tc>
          <w:tcPr>
            <w:tcW w:w="1281" w:type="dxa"/>
            <w:tcBorders>
              <w:top w:val="nil"/>
              <w:left w:val="single" w:sz="4" w:space="0" w:color="auto"/>
              <w:bottom w:val="nil"/>
              <w:right w:val="single" w:sz="4" w:space="0" w:color="auto"/>
            </w:tcBorders>
            <w:shd w:val="clear" w:color="000000" w:fill="FFFFFF"/>
            <w:vAlign w:val="center"/>
            <w:hideMark/>
          </w:tcPr>
          <w:p w14:paraId="312A01E2"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16,646</w:t>
            </w:r>
          </w:p>
        </w:tc>
        <w:tc>
          <w:tcPr>
            <w:tcW w:w="880" w:type="dxa"/>
            <w:tcBorders>
              <w:top w:val="nil"/>
              <w:left w:val="nil"/>
              <w:bottom w:val="nil"/>
              <w:right w:val="single" w:sz="4" w:space="0" w:color="auto"/>
            </w:tcBorders>
            <w:shd w:val="clear" w:color="000000" w:fill="FFFFFF"/>
            <w:vAlign w:val="center"/>
            <w:hideMark/>
          </w:tcPr>
          <w:p w14:paraId="33971A7D"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053" w:type="dxa"/>
            <w:tcBorders>
              <w:top w:val="nil"/>
              <w:left w:val="nil"/>
              <w:bottom w:val="nil"/>
              <w:right w:val="single" w:sz="4" w:space="0" w:color="auto"/>
            </w:tcBorders>
            <w:shd w:val="clear" w:color="000000" w:fill="FFFFFF"/>
            <w:vAlign w:val="center"/>
            <w:hideMark/>
          </w:tcPr>
          <w:p w14:paraId="46DFE9A7"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17138702"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1,717</w:t>
            </w:r>
          </w:p>
        </w:tc>
        <w:tc>
          <w:tcPr>
            <w:tcW w:w="1428" w:type="dxa"/>
            <w:tcBorders>
              <w:top w:val="nil"/>
              <w:left w:val="nil"/>
              <w:bottom w:val="nil"/>
              <w:right w:val="single" w:sz="4" w:space="0" w:color="auto"/>
            </w:tcBorders>
            <w:shd w:val="clear" w:color="000000" w:fill="FFFFFF"/>
            <w:vAlign w:val="center"/>
            <w:hideMark/>
          </w:tcPr>
          <w:p w14:paraId="632F1B4F"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150,896</w:t>
            </w:r>
          </w:p>
        </w:tc>
      </w:tr>
      <w:tr w:rsidR="00DF66A4" w:rsidRPr="00DF66A4" w14:paraId="5F7732F4"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6DF8AB31"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 xml:space="preserve">Head of Corporate Communications </w:t>
            </w:r>
          </w:p>
        </w:tc>
        <w:tc>
          <w:tcPr>
            <w:tcW w:w="1373" w:type="dxa"/>
            <w:tcBorders>
              <w:top w:val="nil"/>
              <w:left w:val="single" w:sz="4" w:space="0" w:color="auto"/>
              <w:bottom w:val="nil"/>
              <w:right w:val="nil"/>
            </w:tcBorders>
            <w:shd w:val="clear" w:color="000000" w:fill="FFFFFF"/>
            <w:vAlign w:val="center"/>
            <w:hideMark/>
          </w:tcPr>
          <w:p w14:paraId="77CC6F35"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16/07/2018</w:t>
            </w:r>
          </w:p>
        </w:tc>
        <w:tc>
          <w:tcPr>
            <w:tcW w:w="1400" w:type="dxa"/>
            <w:tcBorders>
              <w:top w:val="nil"/>
              <w:left w:val="single" w:sz="4" w:space="0" w:color="auto"/>
              <w:bottom w:val="nil"/>
              <w:right w:val="nil"/>
            </w:tcBorders>
            <w:shd w:val="clear" w:color="000000" w:fill="FFFFFF"/>
            <w:vAlign w:val="center"/>
            <w:hideMark/>
          </w:tcPr>
          <w:p w14:paraId="78D3408F"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187" w:type="dxa"/>
            <w:tcBorders>
              <w:top w:val="nil"/>
              <w:left w:val="single" w:sz="4" w:space="0" w:color="auto"/>
              <w:bottom w:val="nil"/>
              <w:right w:val="nil"/>
            </w:tcBorders>
            <w:shd w:val="clear" w:color="000000" w:fill="FFFFFF"/>
            <w:noWrap/>
            <w:vAlign w:val="center"/>
            <w:hideMark/>
          </w:tcPr>
          <w:p w14:paraId="5B6094F9"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73,774</w:t>
            </w:r>
          </w:p>
        </w:tc>
        <w:tc>
          <w:tcPr>
            <w:tcW w:w="1281" w:type="dxa"/>
            <w:tcBorders>
              <w:top w:val="nil"/>
              <w:left w:val="single" w:sz="4" w:space="0" w:color="auto"/>
              <w:bottom w:val="nil"/>
              <w:right w:val="single" w:sz="4" w:space="0" w:color="auto"/>
            </w:tcBorders>
            <w:shd w:val="clear" w:color="000000" w:fill="FFFFFF"/>
            <w:vAlign w:val="center"/>
            <w:hideMark/>
          </w:tcPr>
          <w:p w14:paraId="23400B5F"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9,821</w:t>
            </w:r>
          </w:p>
        </w:tc>
        <w:tc>
          <w:tcPr>
            <w:tcW w:w="880" w:type="dxa"/>
            <w:tcBorders>
              <w:top w:val="nil"/>
              <w:left w:val="nil"/>
              <w:bottom w:val="nil"/>
              <w:right w:val="single" w:sz="4" w:space="0" w:color="auto"/>
            </w:tcBorders>
            <w:shd w:val="clear" w:color="000000" w:fill="FFFFFF"/>
            <w:vAlign w:val="center"/>
            <w:hideMark/>
          </w:tcPr>
          <w:p w14:paraId="6B00F91A"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053" w:type="dxa"/>
            <w:tcBorders>
              <w:top w:val="nil"/>
              <w:left w:val="nil"/>
              <w:bottom w:val="nil"/>
              <w:right w:val="single" w:sz="4" w:space="0" w:color="auto"/>
            </w:tcBorders>
            <w:shd w:val="clear" w:color="000000" w:fill="FFFFFF"/>
            <w:vAlign w:val="center"/>
            <w:hideMark/>
          </w:tcPr>
          <w:p w14:paraId="1F614020"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70E5D1D5"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200</w:t>
            </w:r>
          </w:p>
        </w:tc>
        <w:tc>
          <w:tcPr>
            <w:tcW w:w="1428" w:type="dxa"/>
            <w:tcBorders>
              <w:top w:val="nil"/>
              <w:left w:val="nil"/>
              <w:bottom w:val="nil"/>
              <w:right w:val="single" w:sz="4" w:space="0" w:color="auto"/>
            </w:tcBorders>
            <w:shd w:val="clear" w:color="000000" w:fill="FFFFFF"/>
            <w:vAlign w:val="center"/>
            <w:hideMark/>
          </w:tcPr>
          <w:p w14:paraId="3BAFB9C9"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83,795</w:t>
            </w:r>
          </w:p>
        </w:tc>
      </w:tr>
      <w:tr w:rsidR="00DF66A4" w:rsidRPr="00DF66A4" w14:paraId="5EF8DFD1"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7AEA99CC"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 xml:space="preserve">Chief Superintendent </w:t>
            </w:r>
          </w:p>
        </w:tc>
        <w:tc>
          <w:tcPr>
            <w:tcW w:w="1373" w:type="dxa"/>
            <w:tcBorders>
              <w:top w:val="nil"/>
              <w:left w:val="single" w:sz="4" w:space="0" w:color="auto"/>
              <w:bottom w:val="nil"/>
              <w:right w:val="nil"/>
            </w:tcBorders>
            <w:shd w:val="clear" w:color="000000" w:fill="FFFFFF"/>
            <w:vAlign w:val="center"/>
            <w:hideMark/>
          </w:tcPr>
          <w:p w14:paraId="151B1B2D"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01/04/2017</w:t>
            </w:r>
          </w:p>
        </w:tc>
        <w:tc>
          <w:tcPr>
            <w:tcW w:w="1400" w:type="dxa"/>
            <w:tcBorders>
              <w:top w:val="nil"/>
              <w:left w:val="single" w:sz="4" w:space="0" w:color="auto"/>
              <w:bottom w:val="nil"/>
              <w:right w:val="nil"/>
            </w:tcBorders>
            <w:shd w:val="clear" w:color="000000" w:fill="FFFFFF"/>
            <w:vAlign w:val="center"/>
            <w:hideMark/>
          </w:tcPr>
          <w:p w14:paraId="4BEE4EC2"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29/07/2019</w:t>
            </w:r>
          </w:p>
        </w:tc>
        <w:tc>
          <w:tcPr>
            <w:tcW w:w="1187" w:type="dxa"/>
            <w:tcBorders>
              <w:top w:val="nil"/>
              <w:left w:val="single" w:sz="4" w:space="0" w:color="auto"/>
              <w:bottom w:val="nil"/>
              <w:right w:val="nil"/>
            </w:tcBorders>
            <w:shd w:val="clear" w:color="000000" w:fill="FFFFFF"/>
            <w:noWrap/>
            <w:vAlign w:val="center"/>
            <w:hideMark/>
          </w:tcPr>
          <w:p w14:paraId="10505846"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28,129</w:t>
            </w:r>
          </w:p>
        </w:tc>
        <w:tc>
          <w:tcPr>
            <w:tcW w:w="1281" w:type="dxa"/>
            <w:tcBorders>
              <w:top w:val="nil"/>
              <w:left w:val="single" w:sz="4" w:space="0" w:color="auto"/>
              <w:bottom w:val="nil"/>
              <w:right w:val="single" w:sz="4" w:space="0" w:color="auto"/>
            </w:tcBorders>
            <w:shd w:val="clear" w:color="000000" w:fill="FFFFFF"/>
            <w:vAlign w:val="center"/>
            <w:hideMark/>
          </w:tcPr>
          <w:p w14:paraId="75572934"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7,225</w:t>
            </w:r>
          </w:p>
        </w:tc>
        <w:tc>
          <w:tcPr>
            <w:tcW w:w="880" w:type="dxa"/>
            <w:tcBorders>
              <w:top w:val="nil"/>
              <w:left w:val="nil"/>
              <w:bottom w:val="nil"/>
              <w:right w:val="single" w:sz="4" w:space="0" w:color="auto"/>
            </w:tcBorders>
            <w:shd w:val="clear" w:color="000000" w:fill="FFFFFF"/>
            <w:vAlign w:val="center"/>
            <w:hideMark/>
          </w:tcPr>
          <w:p w14:paraId="2BD49D70"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053" w:type="dxa"/>
            <w:tcBorders>
              <w:top w:val="nil"/>
              <w:left w:val="nil"/>
              <w:bottom w:val="nil"/>
              <w:right w:val="single" w:sz="4" w:space="0" w:color="auto"/>
            </w:tcBorders>
            <w:shd w:val="clear" w:color="000000" w:fill="FFFFFF"/>
            <w:vAlign w:val="center"/>
            <w:hideMark/>
          </w:tcPr>
          <w:p w14:paraId="16A89ABF"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5D4548AF"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428" w:type="dxa"/>
            <w:tcBorders>
              <w:top w:val="nil"/>
              <w:left w:val="nil"/>
              <w:bottom w:val="nil"/>
              <w:right w:val="single" w:sz="4" w:space="0" w:color="auto"/>
            </w:tcBorders>
            <w:shd w:val="clear" w:color="000000" w:fill="FFFFFF"/>
            <w:vAlign w:val="center"/>
            <w:hideMark/>
          </w:tcPr>
          <w:p w14:paraId="46023D5D"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35,354</w:t>
            </w:r>
          </w:p>
        </w:tc>
      </w:tr>
      <w:tr w:rsidR="00DF66A4" w:rsidRPr="00DF66A4" w14:paraId="2555414A"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0CAF3643"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 xml:space="preserve">Chief Superintendent </w:t>
            </w:r>
          </w:p>
        </w:tc>
        <w:tc>
          <w:tcPr>
            <w:tcW w:w="1373" w:type="dxa"/>
            <w:tcBorders>
              <w:top w:val="nil"/>
              <w:left w:val="single" w:sz="4" w:space="0" w:color="auto"/>
              <w:bottom w:val="nil"/>
              <w:right w:val="nil"/>
            </w:tcBorders>
            <w:shd w:val="clear" w:color="000000" w:fill="FFFFFF"/>
            <w:vAlign w:val="center"/>
            <w:hideMark/>
          </w:tcPr>
          <w:p w14:paraId="38C159F1"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09/06/2014</w:t>
            </w:r>
          </w:p>
        </w:tc>
        <w:tc>
          <w:tcPr>
            <w:tcW w:w="1400" w:type="dxa"/>
            <w:tcBorders>
              <w:top w:val="nil"/>
              <w:left w:val="single" w:sz="4" w:space="0" w:color="auto"/>
              <w:bottom w:val="nil"/>
              <w:right w:val="nil"/>
            </w:tcBorders>
            <w:shd w:val="clear" w:color="000000" w:fill="FFFFFF"/>
            <w:vAlign w:val="center"/>
            <w:hideMark/>
          </w:tcPr>
          <w:p w14:paraId="6CA455D4"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187" w:type="dxa"/>
            <w:tcBorders>
              <w:top w:val="nil"/>
              <w:left w:val="single" w:sz="4" w:space="0" w:color="auto"/>
              <w:bottom w:val="nil"/>
              <w:right w:val="nil"/>
            </w:tcBorders>
            <w:shd w:val="clear" w:color="000000" w:fill="FFFFFF"/>
            <w:noWrap/>
            <w:vAlign w:val="center"/>
            <w:hideMark/>
          </w:tcPr>
          <w:p w14:paraId="777D99B4"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91,494</w:t>
            </w:r>
          </w:p>
        </w:tc>
        <w:tc>
          <w:tcPr>
            <w:tcW w:w="1281" w:type="dxa"/>
            <w:tcBorders>
              <w:top w:val="nil"/>
              <w:left w:val="single" w:sz="4" w:space="0" w:color="auto"/>
              <w:bottom w:val="nil"/>
              <w:right w:val="single" w:sz="4" w:space="0" w:color="auto"/>
            </w:tcBorders>
            <w:shd w:val="clear" w:color="000000" w:fill="FFFFFF"/>
            <w:vAlign w:val="center"/>
            <w:hideMark/>
          </w:tcPr>
          <w:p w14:paraId="287E799D"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27,466</w:t>
            </w:r>
          </w:p>
        </w:tc>
        <w:tc>
          <w:tcPr>
            <w:tcW w:w="880" w:type="dxa"/>
            <w:tcBorders>
              <w:top w:val="nil"/>
              <w:left w:val="nil"/>
              <w:bottom w:val="nil"/>
              <w:right w:val="single" w:sz="4" w:space="0" w:color="auto"/>
            </w:tcBorders>
            <w:shd w:val="clear" w:color="000000" w:fill="FFFFFF"/>
            <w:vAlign w:val="center"/>
            <w:hideMark/>
          </w:tcPr>
          <w:p w14:paraId="170C532E"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2,013</w:t>
            </w:r>
          </w:p>
        </w:tc>
        <w:tc>
          <w:tcPr>
            <w:tcW w:w="1053" w:type="dxa"/>
            <w:tcBorders>
              <w:top w:val="nil"/>
              <w:left w:val="nil"/>
              <w:bottom w:val="nil"/>
              <w:right w:val="single" w:sz="4" w:space="0" w:color="auto"/>
            </w:tcBorders>
            <w:shd w:val="clear" w:color="000000" w:fill="FFFFFF"/>
            <w:vAlign w:val="center"/>
            <w:hideMark/>
          </w:tcPr>
          <w:p w14:paraId="4EDFC8B4"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7A2375AF"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428" w:type="dxa"/>
            <w:tcBorders>
              <w:top w:val="nil"/>
              <w:left w:val="nil"/>
              <w:bottom w:val="nil"/>
              <w:right w:val="single" w:sz="4" w:space="0" w:color="auto"/>
            </w:tcBorders>
            <w:shd w:val="clear" w:color="000000" w:fill="FFFFFF"/>
            <w:vAlign w:val="center"/>
            <w:hideMark/>
          </w:tcPr>
          <w:p w14:paraId="3D66A1AD"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120,973</w:t>
            </w:r>
          </w:p>
        </w:tc>
      </w:tr>
      <w:tr w:rsidR="00DF66A4" w:rsidRPr="00DF66A4" w14:paraId="35F0FDD4"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52B68CBF"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 xml:space="preserve">Chief Superintendent </w:t>
            </w:r>
          </w:p>
        </w:tc>
        <w:tc>
          <w:tcPr>
            <w:tcW w:w="1373" w:type="dxa"/>
            <w:tcBorders>
              <w:top w:val="nil"/>
              <w:left w:val="single" w:sz="4" w:space="0" w:color="auto"/>
              <w:bottom w:val="nil"/>
              <w:right w:val="nil"/>
            </w:tcBorders>
            <w:shd w:val="clear" w:color="000000" w:fill="FFFFFF"/>
            <w:vAlign w:val="center"/>
            <w:hideMark/>
          </w:tcPr>
          <w:p w14:paraId="4042658F"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02/01/2018</w:t>
            </w:r>
          </w:p>
        </w:tc>
        <w:tc>
          <w:tcPr>
            <w:tcW w:w="1400" w:type="dxa"/>
            <w:tcBorders>
              <w:top w:val="nil"/>
              <w:left w:val="single" w:sz="4" w:space="0" w:color="auto"/>
              <w:bottom w:val="nil"/>
              <w:right w:val="nil"/>
            </w:tcBorders>
            <w:shd w:val="clear" w:color="000000" w:fill="FFFFFF"/>
            <w:vAlign w:val="center"/>
            <w:hideMark/>
          </w:tcPr>
          <w:p w14:paraId="4E3F078C"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187" w:type="dxa"/>
            <w:tcBorders>
              <w:top w:val="nil"/>
              <w:left w:val="single" w:sz="4" w:space="0" w:color="auto"/>
              <w:bottom w:val="nil"/>
              <w:right w:val="nil"/>
            </w:tcBorders>
            <w:shd w:val="clear" w:color="000000" w:fill="FFFFFF"/>
            <w:noWrap/>
            <w:vAlign w:val="center"/>
            <w:hideMark/>
          </w:tcPr>
          <w:p w14:paraId="63117593"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92,482</w:t>
            </w:r>
          </w:p>
        </w:tc>
        <w:tc>
          <w:tcPr>
            <w:tcW w:w="1281" w:type="dxa"/>
            <w:tcBorders>
              <w:top w:val="nil"/>
              <w:left w:val="single" w:sz="4" w:space="0" w:color="auto"/>
              <w:bottom w:val="nil"/>
              <w:right w:val="single" w:sz="4" w:space="0" w:color="auto"/>
            </w:tcBorders>
            <w:shd w:val="clear" w:color="000000" w:fill="FFFFFF"/>
            <w:vAlign w:val="center"/>
            <w:hideMark/>
          </w:tcPr>
          <w:p w14:paraId="2FD881F0"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27,054</w:t>
            </w:r>
          </w:p>
        </w:tc>
        <w:tc>
          <w:tcPr>
            <w:tcW w:w="880" w:type="dxa"/>
            <w:tcBorders>
              <w:top w:val="nil"/>
              <w:left w:val="nil"/>
              <w:bottom w:val="nil"/>
              <w:right w:val="single" w:sz="4" w:space="0" w:color="auto"/>
            </w:tcBorders>
            <w:shd w:val="clear" w:color="000000" w:fill="FFFFFF"/>
            <w:vAlign w:val="center"/>
            <w:hideMark/>
          </w:tcPr>
          <w:p w14:paraId="1FFD9F7E"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053" w:type="dxa"/>
            <w:tcBorders>
              <w:top w:val="nil"/>
              <w:left w:val="nil"/>
              <w:bottom w:val="nil"/>
              <w:right w:val="single" w:sz="4" w:space="0" w:color="auto"/>
            </w:tcBorders>
            <w:shd w:val="clear" w:color="000000" w:fill="FFFFFF"/>
            <w:vAlign w:val="center"/>
            <w:hideMark/>
          </w:tcPr>
          <w:p w14:paraId="5FDC6D4D"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265A1C95"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310</w:t>
            </w:r>
          </w:p>
        </w:tc>
        <w:tc>
          <w:tcPr>
            <w:tcW w:w="1428" w:type="dxa"/>
            <w:tcBorders>
              <w:top w:val="nil"/>
              <w:left w:val="nil"/>
              <w:bottom w:val="nil"/>
              <w:right w:val="single" w:sz="4" w:space="0" w:color="auto"/>
            </w:tcBorders>
            <w:shd w:val="clear" w:color="000000" w:fill="FFFFFF"/>
            <w:vAlign w:val="center"/>
            <w:hideMark/>
          </w:tcPr>
          <w:p w14:paraId="6A075266"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119,846</w:t>
            </w:r>
          </w:p>
        </w:tc>
      </w:tr>
      <w:tr w:rsidR="00DF66A4" w:rsidRPr="00DF66A4" w14:paraId="3E1D2E23"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794681A2"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 xml:space="preserve">Temporary Chief Superintendent </w:t>
            </w:r>
          </w:p>
        </w:tc>
        <w:tc>
          <w:tcPr>
            <w:tcW w:w="1373" w:type="dxa"/>
            <w:tcBorders>
              <w:top w:val="nil"/>
              <w:left w:val="single" w:sz="4" w:space="0" w:color="auto"/>
              <w:bottom w:val="nil"/>
              <w:right w:val="nil"/>
            </w:tcBorders>
            <w:shd w:val="clear" w:color="000000" w:fill="FFFFFF"/>
            <w:vAlign w:val="center"/>
            <w:hideMark/>
          </w:tcPr>
          <w:p w14:paraId="20E818F7"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14/10/2019</w:t>
            </w:r>
          </w:p>
        </w:tc>
        <w:tc>
          <w:tcPr>
            <w:tcW w:w="1400" w:type="dxa"/>
            <w:tcBorders>
              <w:top w:val="nil"/>
              <w:left w:val="single" w:sz="4" w:space="0" w:color="auto"/>
              <w:bottom w:val="nil"/>
              <w:right w:val="nil"/>
            </w:tcBorders>
            <w:shd w:val="clear" w:color="000000" w:fill="FFFFFF"/>
            <w:vAlign w:val="center"/>
            <w:hideMark/>
          </w:tcPr>
          <w:p w14:paraId="031291FA"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187" w:type="dxa"/>
            <w:tcBorders>
              <w:top w:val="nil"/>
              <w:left w:val="single" w:sz="4" w:space="0" w:color="auto"/>
              <w:bottom w:val="nil"/>
              <w:right w:val="nil"/>
            </w:tcBorders>
            <w:shd w:val="clear" w:color="000000" w:fill="FFFFFF"/>
            <w:noWrap/>
            <w:vAlign w:val="center"/>
            <w:hideMark/>
          </w:tcPr>
          <w:p w14:paraId="7A76D9EA"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40,871</w:t>
            </w:r>
          </w:p>
        </w:tc>
        <w:tc>
          <w:tcPr>
            <w:tcW w:w="1281" w:type="dxa"/>
            <w:tcBorders>
              <w:top w:val="nil"/>
              <w:left w:val="single" w:sz="4" w:space="0" w:color="auto"/>
              <w:bottom w:val="nil"/>
              <w:right w:val="single" w:sz="4" w:space="0" w:color="auto"/>
            </w:tcBorders>
            <w:shd w:val="clear" w:color="000000" w:fill="FFFFFF"/>
            <w:vAlign w:val="center"/>
            <w:hideMark/>
          </w:tcPr>
          <w:p w14:paraId="3C92EBC2"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11,561</w:t>
            </w:r>
          </w:p>
        </w:tc>
        <w:tc>
          <w:tcPr>
            <w:tcW w:w="880" w:type="dxa"/>
            <w:tcBorders>
              <w:top w:val="nil"/>
              <w:left w:val="nil"/>
              <w:bottom w:val="nil"/>
              <w:right w:val="single" w:sz="4" w:space="0" w:color="auto"/>
            </w:tcBorders>
            <w:shd w:val="clear" w:color="000000" w:fill="FFFFFF"/>
            <w:vAlign w:val="center"/>
            <w:hideMark/>
          </w:tcPr>
          <w:p w14:paraId="6B6B44B8"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053" w:type="dxa"/>
            <w:tcBorders>
              <w:top w:val="nil"/>
              <w:left w:val="nil"/>
              <w:bottom w:val="nil"/>
              <w:right w:val="single" w:sz="4" w:space="0" w:color="auto"/>
            </w:tcBorders>
            <w:shd w:val="clear" w:color="000000" w:fill="FFFFFF"/>
            <w:vAlign w:val="center"/>
            <w:hideMark/>
          </w:tcPr>
          <w:p w14:paraId="0D383F7B"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41E8163E"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428" w:type="dxa"/>
            <w:tcBorders>
              <w:top w:val="nil"/>
              <w:left w:val="nil"/>
              <w:bottom w:val="nil"/>
              <w:right w:val="single" w:sz="4" w:space="0" w:color="auto"/>
            </w:tcBorders>
            <w:shd w:val="clear" w:color="000000" w:fill="FFFFFF"/>
            <w:vAlign w:val="center"/>
            <w:hideMark/>
          </w:tcPr>
          <w:p w14:paraId="7FAA2A14"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52,432</w:t>
            </w:r>
          </w:p>
        </w:tc>
      </w:tr>
      <w:tr w:rsidR="00DF66A4" w:rsidRPr="00DF66A4" w14:paraId="748AFD93"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007FCBB6"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 xml:space="preserve">Temporary Chief Superintendent </w:t>
            </w:r>
          </w:p>
        </w:tc>
        <w:tc>
          <w:tcPr>
            <w:tcW w:w="1373" w:type="dxa"/>
            <w:tcBorders>
              <w:top w:val="nil"/>
              <w:left w:val="single" w:sz="4" w:space="0" w:color="auto"/>
              <w:bottom w:val="nil"/>
              <w:right w:val="nil"/>
            </w:tcBorders>
            <w:shd w:val="clear" w:color="000000" w:fill="FFFFFF"/>
            <w:vAlign w:val="center"/>
            <w:hideMark/>
          </w:tcPr>
          <w:p w14:paraId="41B6B42C"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16/12/2019</w:t>
            </w:r>
          </w:p>
        </w:tc>
        <w:tc>
          <w:tcPr>
            <w:tcW w:w="1400" w:type="dxa"/>
            <w:tcBorders>
              <w:top w:val="nil"/>
              <w:left w:val="single" w:sz="4" w:space="0" w:color="auto"/>
              <w:bottom w:val="nil"/>
              <w:right w:val="nil"/>
            </w:tcBorders>
            <w:shd w:val="clear" w:color="000000" w:fill="FFFFFF"/>
            <w:vAlign w:val="center"/>
            <w:hideMark/>
          </w:tcPr>
          <w:p w14:paraId="192AD886"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187" w:type="dxa"/>
            <w:tcBorders>
              <w:top w:val="nil"/>
              <w:left w:val="single" w:sz="4" w:space="0" w:color="auto"/>
              <w:bottom w:val="nil"/>
              <w:right w:val="nil"/>
            </w:tcBorders>
            <w:shd w:val="clear" w:color="000000" w:fill="FFFFFF"/>
            <w:noWrap/>
            <w:vAlign w:val="center"/>
            <w:hideMark/>
          </w:tcPr>
          <w:p w14:paraId="1BC15823"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25,285</w:t>
            </w:r>
          </w:p>
        </w:tc>
        <w:tc>
          <w:tcPr>
            <w:tcW w:w="1281" w:type="dxa"/>
            <w:tcBorders>
              <w:top w:val="nil"/>
              <w:left w:val="single" w:sz="4" w:space="0" w:color="auto"/>
              <w:bottom w:val="nil"/>
              <w:right w:val="single" w:sz="4" w:space="0" w:color="auto"/>
            </w:tcBorders>
            <w:shd w:val="clear" w:color="000000" w:fill="FFFFFF"/>
            <w:vAlign w:val="center"/>
            <w:hideMark/>
          </w:tcPr>
          <w:p w14:paraId="635EE6D1"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7,612</w:t>
            </w:r>
          </w:p>
        </w:tc>
        <w:tc>
          <w:tcPr>
            <w:tcW w:w="880" w:type="dxa"/>
            <w:tcBorders>
              <w:top w:val="nil"/>
              <w:left w:val="nil"/>
              <w:bottom w:val="nil"/>
              <w:right w:val="single" w:sz="4" w:space="0" w:color="auto"/>
            </w:tcBorders>
            <w:shd w:val="clear" w:color="000000" w:fill="FFFFFF"/>
            <w:vAlign w:val="center"/>
            <w:hideMark/>
          </w:tcPr>
          <w:p w14:paraId="4AC9D14B"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792</w:t>
            </w:r>
          </w:p>
        </w:tc>
        <w:tc>
          <w:tcPr>
            <w:tcW w:w="1053" w:type="dxa"/>
            <w:tcBorders>
              <w:top w:val="nil"/>
              <w:left w:val="nil"/>
              <w:bottom w:val="nil"/>
              <w:right w:val="single" w:sz="4" w:space="0" w:color="auto"/>
            </w:tcBorders>
            <w:shd w:val="clear" w:color="000000" w:fill="FFFFFF"/>
            <w:vAlign w:val="center"/>
            <w:hideMark/>
          </w:tcPr>
          <w:p w14:paraId="3B6EFD44"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2BF6FD6F"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1,627</w:t>
            </w:r>
          </w:p>
        </w:tc>
        <w:tc>
          <w:tcPr>
            <w:tcW w:w="1428" w:type="dxa"/>
            <w:tcBorders>
              <w:top w:val="nil"/>
              <w:left w:val="nil"/>
              <w:bottom w:val="nil"/>
              <w:right w:val="single" w:sz="4" w:space="0" w:color="auto"/>
            </w:tcBorders>
            <w:shd w:val="clear" w:color="000000" w:fill="FFFFFF"/>
            <w:vAlign w:val="center"/>
            <w:hideMark/>
          </w:tcPr>
          <w:p w14:paraId="3D655C19"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35,316</w:t>
            </w:r>
          </w:p>
        </w:tc>
      </w:tr>
      <w:tr w:rsidR="00DF66A4" w:rsidRPr="00DF66A4" w14:paraId="413EB967"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132EF015"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 xml:space="preserve">Assistant Chief Officer </w:t>
            </w:r>
          </w:p>
        </w:tc>
        <w:tc>
          <w:tcPr>
            <w:tcW w:w="1373" w:type="dxa"/>
            <w:tcBorders>
              <w:top w:val="nil"/>
              <w:left w:val="single" w:sz="4" w:space="0" w:color="auto"/>
              <w:bottom w:val="nil"/>
              <w:right w:val="nil"/>
            </w:tcBorders>
            <w:shd w:val="clear" w:color="000000" w:fill="FFFFFF"/>
            <w:vAlign w:val="center"/>
            <w:hideMark/>
          </w:tcPr>
          <w:p w14:paraId="0ABD1CE4"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27/08/2013</w:t>
            </w:r>
          </w:p>
        </w:tc>
        <w:tc>
          <w:tcPr>
            <w:tcW w:w="1400" w:type="dxa"/>
            <w:tcBorders>
              <w:top w:val="nil"/>
              <w:left w:val="single" w:sz="4" w:space="0" w:color="auto"/>
              <w:bottom w:val="nil"/>
              <w:right w:val="nil"/>
            </w:tcBorders>
            <w:shd w:val="clear" w:color="000000" w:fill="FFFFFF"/>
            <w:vAlign w:val="center"/>
            <w:hideMark/>
          </w:tcPr>
          <w:p w14:paraId="140A0057"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31/12/2019</w:t>
            </w:r>
          </w:p>
        </w:tc>
        <w:tc>
          <w:tcPr>
            <w:tcW w:w="1187" w:type="dxa"/>
            <w:tcBorders>
              <w:top w:val="nil"/>
              <w:left w:val="single" w:sz="4" w:space="0" w:color="auto"/>
              <w:bottom w:val="nil"/>
              <w:right w:val="nil"/>
            </w:tcBorders>
            <w:shd w:val="clear" w:color="000000" w:fill="FFFFFF"/>
            <w:noWrap/>
            <w:vAlign w:val="center"/>
            <w:hideMark/>
          </w:tcPr>
          <w:p w14:paraId="5EBBD535"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113,348</w:t>
            </w:r>
          </w:p>
        </w:tc>
        <w:tc>
          <w:tcPr>
            <w:tcW w:w="1281" w:type="dxa"/>
            <w:tcBorders>
              <w:top w:val="nil"/>
              <w:left w:val="single" w:sz="4" w:space="0" w:color="auto"/>
              <w:bottom w:val="nil"/>
              <w:right w:val="single" w:sz="4" w:space="0" w:color="auto"/>
            </w:tcBorders>
            <w:shd w:val="clear" w:color="000000" w:fill="FFFFFF"/>
            <w:vAlign w:val="center"/>
            <w:hideMark/>
          </w:tcPr>
          <w:p w14:paraId="66EF36A8"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12,949</w:t>
            </w:r>
          </w:p>
        </w:tc>
        <w:tc>
          <w:tcPr>
            <w:tcW w:w="880" w:type="dxa"/>
            <w:tcBorders>
              <w:top w:val="nil"/>
              <w:left w:val="nil"/>
              <w:bottom w:val="nil"/>
              <w:right w:val="single" w:sz="4" w:space="0" w:color="auto"/>
            </w:tcBorders>
            <w:shd w:val="clear" w:color="000000" w:fill="FFFFFF"/>
            <w:vAlign w:val="center"/>
            <w:hideMark/>
          </w:tcPr>
          <w:p w14:paraId="0210B429"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053" w:type="dxa"/>
            <w:tcBorders>
              <w:top w:val="nil"/>
              <w:left w:val="nil"/>
              <w:bottom w:val="nil"/>
              <w:right w:val="single" w:sz="4" w:space="0" w:color="auto"/>
            </w:tcBorders>
            <w:shd w:val="clear" w:color="000000" w:fill="FFFFFF"/>
            <w:vAlign w:val="center"/>
            <w:hideMark/>
          </w:tcPr>
          <w:p w14:paraId="55DC364D"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93,538</w:t>
            </w:r>
          </w:p>
        </w:tc>
        <w:tc>
          <w:tcPr>
            <w:tcW w:w="1365" w:type="dxa"/>
            <w:tcBorders>
              <w:top w:val="nil"/>
              <w:left w:val="nil"/>
              <w:bottom w:val="nil"/>
              <w:right w:val="single" w:sz="4" w:space="0" w:color="auto"/>
            </w:tcBorders>
            <w:shd w:val="clear" w:color="000000" w:fill="FFFFFF"/>
            <w:vAlign w:val="center"/>
            <w:hideMark/>
          </w:tcPr>
          <w:p w14:paraId="7C1C04A8"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428" w:type="dxa"/>
            <w:tcBorders>
              <w:top w:val="nil"/>
              <w:left w:val="nil"/>
              <w:bottom w:val="nil"/>
              <w:right w:val="single" w:sz="4" w:space="0" w:color="auto"/>
            </w:tcBorders>
            <w:shd w:val="clear" w:color="000000" w:fill="FFFFFF"/>
            <w:vAlign w:val="center"/>
            <w:hideMark/>
          </w:tcPr>
          <w:p w14:paraId="59EBAC52"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219,835</w:t>
            </w:r>
          </w:p>
        </w:tc>
      </w:tr>
      <w:tr w:rsidR="00DF66A4" w:rsidRPr="00DF66A4" w14:paraId="1FBC8131"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1E5B88AD"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 xml:space="preserve">Head of Finance &amp; Services </w:t>
            </w:r>
          </w:p>
        </w:tc>
        <w:tc>
          <w:tcPr>
            <w:tcW w:w="1373" w:type="dxa"/>
            <w:tcBorders>
              <w:top w:val="nil"/>
              <w:left w:val="single" w:sz="4" w:space="0" w:color="auto"/>
              <w:bottom w:val="nil"/>
              <w:right w:val="nil"/>
            </w:tcBorders>
            <w:shd w:val="clear" w:color="000000" w:fill="FFFFFF"/>
            <w:vAlign w:val="center"/>
            <w:hideMark/>
          </w:tcPr>
          <w:p w14:paraId="389709AC"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01/09/2010</w:t>
            </w:r>
          </w:p>
        </w:tc>
        <w:tc>
          <w:tcPr>
            <w:tcW w:w="1400" w:type="dxa"/>
            <w:tcBorders>
              <w:top w:val="nil"/>
              <w:left w:val="single" w:sz="4" w:space="0" w:color="auto"/>
              <w:bottom w:val="nil"/>
              <w:right w:val="nil"/>
            </w:tcBorders>
            <w:shd w:val="clear" w:color="000000" w:fill="FFFFFF"/>
            <w:vAlign w:val="center"/>
            <w:hideMark/>
          </w:tcPr>
          <w:p w14:paraId="155AE780"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187" w:type="dxa"/>
            <w:tcBorders>
              <w:top w:val="nil"/>
              <w:left w:val="single" w:sz="4" w:space="0" w:color="auto"/>
              <w:bottom w:val="nil"/>
              <w:right w:val="nil"/>
            </w:tcBorders>
            <w:shd w:val="clear" w:color="000000" w:fill="FFFFFF"/>
            <w:noWrap/>
            <w:vAlign w:val="center"/>
            <w:hideMark/>
          </w:tcPr>
          <w:p w14:paraId="5B6FCF13"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99,048</w:t>
            </w:r>
          </w:p>
        </w:tc>
        <w:tc>
          <w:tcPr>
            <w:tcW w:w="1281" w:type="dxa"/>
            <w:tcBorders>
              <w:top w:val="nil"/>
              <w:left w:val="single" w:sz="4" w:space="0" w:color="auto"/>
              <w:bottom w:val="nil"/>
              <w:right w:val="single" w:sz="4" w:space="0" w:color="auto"/>
            </w:tcBorders>
            <w:shd w:val="clear" w:color="000000" w:fill="FFFFFF"/>
            <w:vAlign w:val="center"/>
            <w:hideMark/>
          </w:tcPr>
          <w:p w14:paraId="6B67E0DE"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12,248</w:t>
            </w:r>
          </w:p>
        </w:tc>
        <w:tc>
          <w:tcPr>
            <w:tcW w:w="880" w:type="dxa"/>
            <w:tcBorders>
              <w:top w:val="nil"/>
              <w:left w:val="nil"/>
              <w:bottom w:val="nil"/>
              <w:right w:val="single" w:sz="4" w:space="0" w:color="auto"/>
            </w:tcBorders>
            <w:shd w:val="clear" w:color="000000" w:fill="FFFFFF"/>
            <w:vAlign w:val="center"/>
            <w:hideMark/>
          </w:tcPr>
          <w:p w14:paraId="0B2AA41B"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053" w:type="dxa"/>
            <w:tcBorders>
              <w:top w:val="nil"/>
              <w:left w:val="nil"/>
              <w:bottom w:val="nil"/>
              <w:right w:val="single" w:sz="4" w:space="0" w:color="auto"/>
            </w:tcBorders>
            <w:shd w:val="clear" w:color="000000" w:fill="FFFFFF"/>
            <w:vAlign w:val="center"/>
            <w:hideMark/>
          </w:tcPr>
          <w:p w14:paraId="7DE6523B"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07EDAB01"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1,296</w:t>
            </w:r>
          </w:p>
        </w:tc>
        <w:tc>
          <w:tcPr>
            <w:tcW w:w="1428" w:type="dxa"/>
            <w:tcBorders>
              <w:top w:val="nil"/>
              <w:left w:val="nil"/>
              <w:bottom w:val="nil"/>
              <w:right w:val="single" w:sz="4" w:space="0" w:color="auto"/>
            </w:tcBorders>
            <w:shd w:val="clear" w:color="000000" w:fill="FFFFFF"/>
            <w:vAlign w:val="center"/>
            <w:hideMark/>
          </w:tcPr>
          <w:p w14:paraId="43C60BB9"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112,592</w:t>
            </w:r>
          </w:p>
        </w:tc>
      </w:tr>
      <w:tr w:rsidR="00DF66A4" w:rsidRPr="00DF66A4" w14:paraId="3D3C32BF"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1DB4E522"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PCC</w:t>
            </w:r>
          </w:p>
        </w:tc>
        <w:tc>
          <w:tcPr>
            <w:tcW w:w="1373" w:type="dxa"/>
            <w:tcBorders>
              <w:top w:val="nil"/>
              <w:left w:val="single" w:sz="4" w:space="0" w:color="auto"/>
              <w:bottom w:val="nil"/>
              <w:right w:val="nil"/>
            </w:tcBorders>
            <w:shd w:val="clear" w:color="000000" w:fill="FFFFFF"/>
            <w:vAlign w:val="center"/>
            <w:hideMark/>
          </w:tcPr>
          <w:p w14:paraId="3FC702E6"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12/05/2016</w:t>
            </w:r>
          </w:p>
        </w:tc>
        <w:tc>
          <w:tcPr>
            <w:tcW w:w="1400" w:type="dxa"/>
            <w:tcBorders>
              <w:top w:val="nil"/>
              <w:left w:val="single" w:sz="4" w:space="0" w:color="auto"/>
              <w:bottom w:val="nil"/>
              <w:right w:val="nil"/>
            </w:tcBorders>
            <w:shd w:val="clear" w:color="000000" w:fill="FFFFFF"/>
            <w:vAlign w:val="center"/>
            <w:hideMark/>
          </w:tcPr>
          <w:p w14:paraId="50C6F836"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187" w:type="dxa"/>
            <w:tcBorders>
              <w:top w:val="nil"/>
              <w:left w:val="single" w:sz="4" w:space="0" w:color="auto"/>
              <w:bottom w:val="nil"/>
              <w:right w:val="nil"/>
            </w:tcBorders>
            <w:shd w:val="clear" w:color="000000" w:fill="FFFFFF"/>
            <w:noWrap/>
            <w:vAlign w:val="center"/>
            <w:hideMark/>
          </w:tcPr>
          <w:p w14:paraId="7C2D1478"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78,288</w:t>
            </w:r>
          </w:p>
        </w:tc>
        <w:tc>
          <w:tcPr>
            <w:tcW w:w="1281" w:type="dxa"/>
            <w:tcBorders>
              <w:top w:val="nil"/>
              <w:left w:val="single" w:sz="4" w:space="0" w:color="auto"/>
              <w:bottom w:val="nil"/>
              <w:right w:val="single" w:sz="4" w:space="0" w:color="auto"/>
            </w:tcBorders>
            <w:shd w:val="clear" w:color="000000" w:fill="FFFFFF"/>
            <w:vAlign w:val="center"/>
            <w:hideMark/>
          </w:tcPr>
          <w:p w14:paraId="68772C2A"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10,353</w:t>
            </w:r>
          </w:p>
        </w:tc>
        <w:tc>
          <w:tcPr>
            <w:tcW w:w="880" w:type="dxa"/>
            <w:tcBorders>
              <w:top w:val="nil"/>
              <w:left w:val="nil"/>
              <w:bottom w:val="nil"/>
              <w:right w:val="single" w:sz="4" w:space="0" w:color="auto"/>
            </w:tcBorders>
            <w:shd w:val="clear" w:color="000000" w:fill="FFFFFF"/>
            <w:vAlign w:val="center"/>
            <w:hideMark/>
          </w:tcPr>
          <w:p w14:paraId="3EE628BD"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053" w:type="dxa"/>
            <w:tcBorders>
              <w:top w:val="nil"/>
              <w:left w:val="nil"/>
              <w:bottom w:val="nil"/>
              <w:right w:val="single" w:sz="4" w:space="0" w:color="auto"/>
            </w:tcBorders>
            <w:shd w:val="clear" w:color="000000" w:fill="FFFFFF"/>
            <w:vAlign w:val="center"/>
            <w:hideMark/>
          </w:tcPr>
          <w:p w14:paraId="1EB5C091"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3DA92F5A"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1,304</w:t>
            </w:r>
          </w:p>
        </w:tc>
        <w:tc>
          <w:tcPr>
            <w:tcW w:w="1428" w:type="dxa"/>
            <w:tcBorders>
              <w:top w:val="nil"/>
              <w:left w:val="nil"/>
              <w:bottom w:val="nil"/>
              <w:right w:val="single" w:sz="4" w:space="0" w:color="auto"/>
            </w:tcBorders>
            <w:shd w:val="clear" w:color="000000" w:fill="FFFFFF"/>
            <w:vAlign w:val="center"/>
            <w:hideMark/>
          </w:tcPr>
          <w:p w14:paraId="1E8A5DC6"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89,945</w:t>
            </w:r>
          </w:p>
        </w:tc>
      </w:tr>
      <w:tr w:rsidR="00DF66A4" w:rsidRPr="00DF66A4" w14:paraId="4AA8538E"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49739D9B"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 xml:space="preserve">PCC Temporary Chief Executive </w:t>
            </w:r>
          </w:p>
        </w:tc>
        <w:tc>
          <w:tcPr>
            <w:tcW w:w="1373" w:type="dxa"/>
            <w:tcBorders>
              <w:top w:val="nil"/>
              <w:left w:val="single" w:sz="4" w:space="0" w:color="auto"/>
              <w:bottom w:val="nil"/>
              <w:right w:val="nil"/>
            </w:tcBorders>
            <w:shd w:val="clear" w:color="000000" w:fill="FFFFFF"/>
            <w:vAlign w:val="center"/>
            <w:hideMark/>
          </w:tcPr>
          <w:p w14:paraId="73722370"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01/04/2019</w:t>
            </w:r>
          </w:p>
        </w:tc>
        <w:tc>
          <w:tcPr>
            <w:tcW w:w="1400" w:type="dxa"/>
            <w:tcBorders>
              <w:top w:val="nil"/>
              <w:left w:val="single" w:sz="4" w:space="0" w:color="auto"/>
              <w:bottom w:val="nil"/>
              <w:right w:val="nil"/>
            </w:tcBorders>
            <w:shd w:val="clear" w:color="000000" w:fill="FFFFFF"/>
            <w:vAlign w:val="center"/>
            <w:hideMark/>
          </w:tcPr>
          <w:p w14:paraId="7CC6819C"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31/03/2020</w:t>
            </w:r>
          </w:p>
        </w:tc>
        <w:tc>
          <w:tcPr>
            <w:tcW w:w="1187" w:type="dxa"/>
            <w:tcBorders>
              <w:top w:val="nil"/>
              <w:left w:val="single" w:sz="4" w:space="0" w:color="auto"/>
              <w:bottom w:val="nil"/>
              <w:right w:val="nil"/>
            </w:tcBorders>
            <w:shd w:val="clear" w:color="000000" w:fill="FFFFFF"/>
            <w:noWrap/>
            <w:vAlign w:val="center"/>
            <w:hideMark/>
          </w:tcPr>
          <w:p w14:paraId="66673CAC"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90,404</w:t>
            </w:r>
          </w:p>
        </w:tc>
        <w:tc>
          <w:tcPr>
            <w:tcW w:w="1281" w:type="dxa"/>
            <w:tcBorders>
              <w:top w:val="nil"/>
              <w:left w:val="single" w:sz="4" w:space="0" w:color="auto"/>
              <w:bottom w:val="nil"/>
              <w:right w:val="single" w:sz="4" w:space="0" w:color="auto"/>
            </w:tcBorders>
            <w:shd w:val="clear" w:color="000000" w:fill="FFFFFF"/>
            <w:vAlign w:val="center"/>
            <w:hideMark/>
          </w:tcPr>
          <w:p w14:paraId="218F8E31"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12,255</w:t>
            </w:r>
          </w:p>
        </w:tc>
        <w:tc>
          <w:tcPr>
            <w:tcW w:w="880" w:type="dxa"/>
            <w:tcBorders>
              <w:top w:val="nil"/>
              <w:left w:val="nil"/>
              <w:bottom w:val="nil"/>
              <w:right w:val="single" w:sz="4" w:space="0" w:color="auto"/>
            </w:tcBorders>
            <w:shd w:val="clear" w:color="000000" w:fill="FFFFFF"/>
            <w:vAlign w:val="center"/>
            <w:hideMark/>
          </w:tcPr>
          <w:p w14:paraId="1B4EC35F"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053" w:type="dxa"/>
            <w:tcBorders>
              <w:top w:val="nil"/>
              <w:left w:val="nil"/>
              <w:bottom w:val="nil"/>
              <w:right w:val="single" w:sz="4" w:space="0" w:color="auto"/>
            </w:tcBorders>
            <w:shd w:val="clear" w:color="000000" w:fill="FFFFFF"/>
            <w:vAlign w:val="center"/>
            <w:hideMark/>
          </w:tcPr>
          <w:p w14:paraId="37A9D79F"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09C1CCE0"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428" w:type="dxa"/>
            <w:tcBorders>
              <w:top w:val="nil"/>
              <w:left w:val="nil"/>
              <w:bottom w:val="nil"/>
              <w:right w:val="single" w:sz="4" w:space="0" w:color="auto"/>
            </w:tcBorders>
            <w:shd w:val="clear" w:color="000000" w:fill="FFFFFF"/>
            <w:vAlign w:val="center"/>
            <w:hideMark/>
          </w:tcPr>
          <w:p w14:paraId="6ADD663E"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102,659</w:t>
            </w:r>
          </w:p>
        </w:tc>
      </w:tr>
      <w:tr w:rsidR="00DF66A4" w:rsidRPr="00DF66A4" w14:paraId="066683CF"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369A5251"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 xml:space="preserve">PCC Chief Executive </w:t>
            </w:r>
          </w:p>
        </w:tc>
        <w:tc>
          <w:tcPr>
            <w:tcW w:w="1373" w:type="dxa"/>
            <w:tcBorders>
              <w:top w:val="nil"/>
              <w:left w:val="single" w:sz="4" w:space="0" w:color="auto"/>
              <w:bottom w:val="nil"/>
              <w:right w:val="nil"/>
            </w:tcBorders>
            <w:shd w:val="clear" w:color="000000" w:fill="FFFFFF"/>
            <w:vAlign w:val="center"/>
            <w:hideMark/>
          </w:tcPr>
          <w:p w14:paraId="5954BE32"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27/09/2010</w:t>
            </w:r>
          </w:p>
        </w:tc>
        <w:tc>
          <w:tcPr>
            <w:tcW w:w="1400" w:type="dxa"/>
            <w:tcBorders>
              <w:top w:val="nil"/>
              <w:left w:val="single" w:sz="4" w:space="0" w:color="auto"/>
              <w:bottom w:val="nil"/>
              <w:right w:val="nil"/>
            </w:tcBorders>
            <w:shd w:val="clear" w:color="000000" w:fill="FFFFFF"/>
            <w:vAlign w:val="center"/>
            <w:hideMark/>
          </w:tcPr>
          <w:p w14:paraId="23117D07"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187" w:type="dxa"/>
            <w:tcBorders>
              <w:top w:val="nil"/>
              <w:left w:val="single" w:sz="4" w:space="0" w:color="auto"/>
              <w:bottom w:val="nil"/>
              <w:right w:val="nil"/>
            </w:tcBorders>
            <w:shd w:val="clear" w:color="000000" w:fill="FFFFFF"/>
            <w:noWrap/>
            <w:vAlign w:val="center"/>
            <w:hideMark/>
          </w:tcPr>
          <w:p w14:paraId="70F6287E"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34,499</w:t>
            </w:r>
          </w:p>
        </w:tc>
        <w:tc>
          <w:tcPr>
            <w:tcW w:w="1281" w:type="dxa"/>
            <w:tcBorders>
              <w:top w:val="nil"/>
              <w:left w:val="single" w:sz="4" w:space="0" w:color="auto"/>
              <w:bottom w:val="nil"/>
              <w:right w:val="single" w:sz="4" w:space="0" w:color="auto"/>
            </w:tcBorders>
            <w:shd w:val="clear" w:color="000000" w:fill="FFFFFF"/>
            <w:vAlign w:val="center"/>
            <w:hideMark/>
          </w:tcPr>
          <w:p w14:paraId="2E7C5765"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11,820</w:t>
            </w:r>
          </w:p>
        </w:tc>
        <w:tc>
          <w:tcPr>
            <w:tcW w:w="880" w:type="dxa"/>
            <w:tcBorders>
              <w:top w:val="nil"/>
              <w:left w:val="nil"/>
              <w:bottom w:val="nil"/>
              <w:right w:val="single" w:sz="4" w:space="0" w:color="auto"/>
            </w:tcBorders>
            <w:shd w:val="clear" w:color="000000" w:fill="FFFFFF"/>
            <w:vAlign w:val="center"/>
            <w:hideMark/>
          </w:tcPr>
          <w:p w14:paraId="73318DA3"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053" w:type="dxa"/>
            <w:tcBorders>
              <w:top w:val="nil"/>
              <w:left w:val="nil"/>
              <w:bottom w:val="nil"/>
              <w:right w:val="single" w:sz="4" w:space="0" w:color="auto"/>
            </w:tcBorders>
            <w:shd w:val="clear" w:color="000000" w:fill="FFFFFF"/>
            <w:vAlign w:val="center"/>
            <w:hideMark/>
          </w:tcPr>
          <w:p w14:paraId="4F139F26"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3ECD553D"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1,800</w:t>
            </w:r>
          </w:p>
        </w:tc>
        <w:tc>
          <w:tcPr>
            <w:tcW w:w="1428" w:type="dxa"/>
            <w:tcBorders>
              <w:top w:val="nil"/>
              <w:left w:val="nil"/>
              <w:bottom w:val="nil"/>
              <w:right w:val="single" w:sz="4" w:space="0" w:color="auto"/>
            </w:tcBorders>
            <w:shd w:val="clear" w:color="000000" w:fill="FFFFFF"/>
            <w:vAlign w:val="center"/>
            <w:hideMark/>
          </w:tcPr>
          <w:p w14:paraId="664BD63B"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48,119</w:t>
            </w:r>
          </w:p>
        </w:tc>
      </w:tr>
      <w:tr w:rsidR="00DF66A4" w:rsidRPr="00DF66A4" w14:paraId="48CBA43B" w14:textId="77777777" w:rsidTr="00704337">
        <w:trPr>
          <w:trHeight w:val="258"/>
        </w:trPr>
        <w:tc>
          <w:tcPr>
            <w:tcW w:w="3655" w:type="dxa"/>
            <w:tcBorders>
              <w:top w:val="nil"/>
              <w:left w:val="single" w:sz="4" w:space="0" w:color="auto"/>
              <w:bottom w:val="nil"/>
              <w:right w:val="nil"/>
            </w:tcBorders>
            <w:shd w:val="clear" w:color="000000" w:fill="FFFFFF"/>
            <w:vAlign w:val="center"/>
            <w:hideMark/>
          </w:tcPr>
          <w:p w14:paraId="25DB3EAB"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PCC Treasurer</w:t>
            </w:r>
          </w:p>
        </w:tc>
        <w:tc>
          <w:tcPr>
            <w:tcW w:w="1373" w:type="dxa"/>
            <w:tcBorders>
              <w:top w:val="nil"/>
              <w:left w:val="single" w:sz="4" w:space="0" w:color="auto"/>
              <w:bottom w:val="nil"/>
              <w:right w:val="nil"/>
            </w:tcBorders>
            <w:shd w:val="clear" w:color="000000" w:fill="FFFFFF"/>
            <w:vAlign w:val="center"/>
            <w:hideMark/>
          </w:tcPr>
          <w:p w14:paraId="66FFEEE0" w14:textId="77777777" w:rsidR="00DF66A4" w:rsidRPr="00DF66A4" w:rsidRDefault="00DF66A4" w:rsidP="00DF66A4">
            <w:pPr>
              <w:ind w:firstLineChars="100" w:firstLine="160"/>
              <w:rPr>
                <w:rFonts w:eastAsia="Times New Roman" w:cs="Calibri"/>
                <w:color w:val="000000"/>
                <w:sz w:val="16"/>
                <w:szCs w:val="16"/>
                <w:lang w:val="en-GB" w:eastAsia="en-GB"/>
              </w:rPr>
            </w:pPr>
            <w:r w:rsidRPr="00DF66A4">
              <w:rPr>
                <w:rFonts w:eastAsia="Times New Roman" w:cs="Calibri"/>
                <w:color w:val="000000"/>
                <w:sz w:val="16"/>
                <w:szCs w:val="16"/>
                <w:lang w:val="en-GB" w:eastAsia="en-GB"/>
              </w:rPr>
              <w:t>09/05/2005</w:t>
            </w:r>
          </w:p>
        </w:tc>
        <w:tc>
          <w:tcPr>
            <w:tcW w:w="1400" w:type="dxa"/>
            <w:tcBorders>
              <w:top w:val="nil"/>
              <w:left w:val="single" w:sz="4" w:space="0" w:color="auto"/>
              <w:bottom w:val="nil"/>
              <w:right w:val="nil"/>
            </w:tcBorders>
            <w:shd w:val="clear" w:color="000000" w:fill="FFFFFF"/>
            <w:vAlign w:val="center"/>
            <w:hideMark/>
          </w:tcPr>
          <w:p w14:paraId="037BEF88" w14:textId="77777777" w:rsidR="00DF66A4" w:rsidRPr="00DF66A4" w:rsidRDefault="00DF66A4" w:rsidP="00DF66A4">
            <w:pPr>
              <w:jc w:val="center"/>
              <w:rPr>
                <w:rFonts w:eastAsia="Times New Roman" w:cs="Calibri"/>
                <w:color w:val="000000"/>
                <w:sz w:val="16"/>
                <w:szCs w:val="16"/>
                <w:lang w:val="en-GB" w:eastAsia="en-GB"/>
              </w:rPr>
            </w:pPr>
            <w:r w:rsidRPr="00DF66A4">
              <w:rPr>
                <w:rFonts w:eastAsia="Times New Roman" w:cs="Calibri"/>
                <w:color w:val="000000"/>
                <w:sz w:val="16"/>
                <w:szCs w:val="16"/>
                <w:lang w:val="en-GB" w:eastAsia="en-GB"/>
              </w:rPr>
              <w:t>31/03/2020</w:t>
            </w:r>
          </w:p>
        </w:tc>
        <w:tc>
          <w:tcPr>
            <w:tcW w:w="1187" w:type="dxa"/>
            <w:tcBorders>
              <w:top w:val="nil"/>
              <w:left w:val="single" w:sz="4" w:space="0" w:color="auto"/>
              <w:bottom w:val="nil"/>
              <w:right w:val="nil"/>
            </w:tcBorders>
            <w:shd w:val="clear" w:color="000000" w:fill="FFFFFF"/>
            <w:noWrap/>
            <w:vAlign w:val="center"/>
            <w:hideMark/>
          </w:tcPr>
          <w:p w14:paraId="44A0D3F3"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66,208</w:t>
            </w:r>
          </w:p>
        </w:tc>
        <w:tc>
          <w:tcPr>
            <w:tcW w:w="1281" w:type="dxa"/>
            <w:tcBorders>
              <w:top w:val="nil"/>
              <w:left w:val="single" w:sz="4" w:space="0" w:color="auto"/>
              <w:bottom w:val="nil"/>
              <w:right w:val="single" w:sz="4" w:space="0" w:color="auto"/>
            </w:tcBorders>
            <w:shd w:val="clear" w:color="000000" w:fill="FFFFFF"/>
            <w:vAlign w:val="center"/>
            <w:hideMark/>
          </w:tcPr>
          <w:p w14:paraId="68EFFD2C"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17,135</w:t>
            </w:r>
          </w:p>
        </w:tc>
        <w:tc>
          <w:tcPr>
            <w:tcW w:w="880" w:type="dxa"/>
            <w:tcBorders>
              <w:top w:val="nil"/>
              <w:left w:val="nil"/>
              <w:bottom w:val="nil"/>
              <w:right w:val="single" w:sz="4" w:space="0" w:color="auto"/>
            </w:tcBorders>
            <w:shd w:val="clear" w:color="000000" w:fill="FFFFFF"/>
            <w:vAlign w:val="center"/>
            <w:hideMark/>
          </w:tcPr>
          <w:p w14:paraId="59D07067"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053" w:type="dxa"/>
            <w:tcBorders>
              <w:top w:val="nil"/>
              <w:left w:val="nil"/>
              <w:bottom w:val="nil"/>
              <w:right w:val="single" w:sz="4" w:space="0" w:color="auto"/>
            </w:tcBorders>
            <w:shd w:val="clear" w:color="000000" w:fill="FFFFFF"/>
            <w:vAlign w:val="center"/>
            <w:hideMark/>
          </w:tcPr>
          <w:p w14:paraId="2C74FD14" w14:textId="77777777" w:rsidR="00DF66A4" w:rsidRPr="00DF66A4" w:rsidRDefault="00DF66A4" w:rsidP="00DF66A4">
            <w:pPr>
              <w:rPr>
                <w:rFonts w:eastAsia="Times New Roman" w:cs="Calibri"/>
                <w:color w:val="000000"/>
                <w:sz w:val="16"/>
                <w:szCs w:val="16"/>
                <w:lang w:val="en-GB" w:eastAsia="en-GB"/>
              </w:rPr>
            </w:pPr>
            <w:r w:rsidRPr="00DF66A4">
              <w:rPr>
                <w:rFonts w:eastAsia="Times New Roman" w:cs="Calibri"/>
                <w:color w:val="000000"/>
                <w:sz w:val="16"/>
                <w:szCs w:val="16"/>
                <w:lang w:val="en-GB" w:eastAsia="en-GB"/>
              </w:rPr>
              <w:t> </w:t>
            </w:r>
          </w:p>
        </w:tc>
        <w:tc>
          <w:tcPr>
            <w:tcW w:w="1365" w:type="dxa"/>
            <w:tcBorders>
              <w:top w:val="nil"/>
              <w:left w:val="nil"/>
              <w:bottom w:val="nil"/>
              <w:right w:val="single" w:sz="4" w:space="0" w:color="auto"/>
            </w:tcBorders>
            <w:shd w:val="clear" w:color="000000" w:fill="FFFFFF"/>
            <w:vAlign w:val="center"/>
            <w:hideMark/>
          </w:tcPr>
          <w:p w14:paraId="1F1DC40E" w14:textId="77777777" w:rsidR="00DF66A4" w:rsidRPr="00DF66A4" w:rsidRDefault="00DF66A4" w:rsidP="00DF66A4">
            <w:pPr>
              <w:jc w:val="right"/>
              <w:rPr>
                <w:rFonts w:eastAsia="Times New Roman" w:cs="Calibri"/>
                <w:color w:val="000000"/>
                <w:sz w:val="16"/>
                <w:szCs w:val="16"/>
                <w:lang w:val="en-GB" w:eastAsia="en-GB"/>
              </w:rPr>
            </w:pPr>
            <w:r w:rsidRPr="00DF66A4">
              <w:rPr>
                <w:rFonts w:eastAsia="Times New Roman" w:cs="Calibri"/>
                <w:color w:val="000000"/>
                <w:sz w:val="16"/>
                <w:szCs w:val="16"/>
                <w:lang w:val="en-GB" w:eastAsia="en-GB"/>
              </w:rPr>
              <w:t>643</w:t>
            </w:r>
          </w:p>
        </w:tc>
        <w:tc>
          <w:tcPr>
            <w:tcW w:w="1428" w:type="dxa"/>
            <w:tcBorders>
              <w:top w:val="nil"/>
              <w:left w:val="nil"/>
              <w:bottom w:val="nil"/>
              <w:right w:val="single" w:sz="4" w:space="0" w:color="auto"/>
            </w:tcBorders>
            <w:shd w:val="clear" w:color="000000" w:fill="FFFFFF"/>
            <w:vAlign w:val="center"/>
            <w:hideMark/>
          </w:tcPr>
          <w:p w14:paraId="53F7141E" w14:textId="77777777" w:rsidR="00DF66A4" w:rsidRPr="00DF66A4" w:rsidRDefault="00DF66A4" w:rsidP="00DF66A4">
            <w:pPr>
              <w:jc w:val="right"/>
              <w:rPr>
                <w:rFonts w:eastAsia="Times New Roman" w:cs="Calibri"/>
                <w:b/>
                <w:bCs/>
                <w:color w:val="000000"/>
                <w:sz w:val="16"/>
                <w:szCs w:val="16"/>
                <w:lang w:val="en-GB" w:eastAsia="en-GB"/>
              </w:rPr>
            </w:pPr>
            <w:r w:rsidRPr="00DF66A4">
              <w:rPr>
                <w:rFonts w:eastAsia="Times New Roman" w:cs="Calibri"/>
                <w:b/>
                <w:bCs/>
                <w:color w:val="000000"/>
                <w:sz w:val="16"/>
                <w:szCs w:val="16"/>
                <w:lang w:val="en-GB" w:eastAsia="en-GB"/>
              </w:rPr>
              <w:t>83,986</w:t>
            </w:r>
          </w:p>
        </w:tc>
      </w:tr>
      <w:tr w:rsidR="00A00ADD" w:rsidRPr="00DF66A4" w14:paraId="7934BFF8" w14:textId="77777777" w:rsidTr="00704337">
        <w:trPr>
          <w:trHeight w:val="232"/>
        </w:trPr>
        <w:tc>
          <w:tcPr>
            <w:tcW w:w="3655" w:type="dxa"/>
            <w:tcBorders>
              <w:top w:val="single" w:sz="4" w:space="0" w:color="auto"/>
              <w:left w:val="single" w:sz="4" w:space="0" w:color="auto"/>
              <w:bottom w:val="single" w:sz="4" w:space="0" w:color="000000"/>
              <w:right w:val="single" w:sz="4" w:space="0" w:color="auto"/>
            </w:tcBorders>
            <w:shd w:val="clear" w:color="000000" w:fill="FFFFFF"/>
            <w:noWrap/>
            <w:vAlign w:val="bottom"/>
            <w:hideMark/>
          </w:tcPr>
          <w:p w14:paraId="47684366" w14:textId="77777777" w:rsidR="00DF66A4" w:rsidRPr="00DF66A4" w:rsidRDefault="00DF66A4" w:rsidP="00DF66A4">
            <w:pPr>
              <w:rPr>
                <w:rFonts w:eastAsia="Times New Roman" w:cs="Calibri"/>
                <w:b/>
                <w:bCs/>
                <w:color w:val="000000"/>
                <w:sz w:val="18"/>
                <w:szCs w:val="18"/>
                <w:lang w:val="en-GB" w:eastAsia="en-GB"/>
              </w:rPr>
            </w:pPr>
            <w:r w:rsidRPr="00DF66A4">
              <w:rPr>
                <w:rFonts w:eastAsia="Times New Roman" w:cs="Calibri"/>
                <w:b/>
                <w:bCs/>
                <w:color w:val="000000"/>
                <w:sz w:val="18"/>
                <w:szCs w:val="18"/>
                <w:lang w:val="en-GB" w:eastAsia="en-GB"/>
              </w:rPr>
              <w:t>GROUP TOTAL</w:t>
            </w:r>
          </w:p>
        </w:tc>
        <w:tc>
          <w:tcPr>
            <w:tcW w:w="1373" w:type="dxa"/>
            <w:tcBorders>
              <w:top w:val="single" w:sz="4" w:space="0" w:color="auto"/>
              <w:left w:val="single" w:sz="4" w:space="0" w:color="auto"/>
              <w:bottom w:val="single" w:sz="4" w:space="0" w:color="000000"/>
              <w:right w:val="nil"/>
            </w:tcBorders>
            <w:shd w:val="clear" w:color="auto" w:fill="auto"/>
            <w:noWrap/>
            <w:vAlign w:val="bottom"/>
            <w:hideMark/>
          </w:tcPr>
          <w:p w14:paraId="05EE8357" w14:textId="77777777" w:rsidR="00DF66A4" w:rsidRPr="00DF66A4" w:rsidRDefault="00DF66A4" w:rsidP="00DF66A4">
            <w:pPr>
              <w:rPr>
                <w:rFonts w:eastAsia="Times New Roman" w:cs="Calibri"/>
                <w:b/>
                <w:bCs/>
                <w:color w:val="000000"/>
                <w:sz w:val="18"/>
                <w:szCs w:val="18"/>
                <w:lang w:val="en-GB" w:eastAsia="en-GB"/>
              </w:rPr>
            </w:pPr>
            <w:r w:rsidRPr="00DF66A4">
              <w:rPr>
                <w:rFonts w:eastAsia="Times New Roman" w:cs="Calibri"/>
                <w:b/>
                <w:bCs/>
                <w:color w:val="000000"/>
                <w:sz w:val="18"/>
                <w:szCs w:val="18"/>
                <w:lang w:val="en-GB" w:eastAsia="en-GB"/>
              </w:rPr>
              <w:t> </w:t>
            </w:r>
          </w:p>
        </w:tc>
        <w:tc>
          <w:tcPr>
            <w:tcW w:w="1400" w:type="dxa"/>
            <w:tcBorders>
              <w:top w:val="single" w:sz="4" w:space="0" w:color="auto"/>
              <w:left w:val="single" w:sz="4" w:space="0" w:color="auto"/>
              <w:bottom w:val="single" w:sz="4" w:space="0" w:color="000000"/>
              <w:right w:val="nil"/>
            </w:tcBorders>
            <w:shd w:val="clear" w:color="000000" w:fill="FFFFFF"/>
            <w:noWrap/>
            <w:vAlign w:val="bottom"/>
            <w:hideMark/>
          </w:tcPr>
          <w:p w14:paraId="2A314792" w14:textId="77777777" w:rsidR="00DF66A4" w:rsidRPr="00DF66A4" w:rsidRDefault="00DF66A4" w:rsidP="00DF66A4">
            <w:pPr>
              <w:rPr>
                <w:rFonts w:eastAsia="Times New Roman" w:cs="Calibri"/>
                <w:b/>
                <w:bCs/>
                <w:color w:val="000000"/>
                <w:sz w:val="18"/>
                <w:szCs w:val="18"/>
                <w:lang w:val="en-GB" w:eastAsia="en-GB"/>
              </w:rPr>
            </w:pPr>
            <w:r w:rsidRPr="00DF66A4">
              <w:rPr>
                <w:rFonts w:eastAsia="Times New Roman" w:cs="Calibri"/>
                <w:b/>
                <w:bCs/>
                <w:color w:val="000000"/>
                <w:sz w:val="18"/>
                <w:szCs w:val="18"/>
                <w:lang w:val="en-GB" w:eastAsia="en-GB"/>
              </w:rPr>
              <w:t> </w:t>
            </w:r>
          </w:p>
        </w:tc>
        <w:tc>
          <w:tcPr>
            <w:tcW w:w="1187" w:type="dxa"/>
            <w:tcBorders>
              <w:top w:val="single" w:sz="4" w:space="0" w:color="auto"/>
              <w:left w:val="single" w:sz="4" w:space="0" w:color="auto"/>
              <w:bottom w:val="single" w:sz="4" w:space="0" w:color="000000"/>
              <w:right w:val="nil"/>
            </w:tcBorders>
            <w:shd w:val="clear" w:color="000000" w:fill="FFFFFF"/>
            <w:noWrap/>
            <w:vAlign w:val="bottom"/>
            <w:hideMark/>
          </w:tcPr>
          <w:p w14:paraId="3F9370E6" w14:textId="77777777" w:rsidR="00DF66A4" w:rsidRPr="00DF66A4" w:rsidRDefault="00DF66A4" w:rsidP="00DF66A4">
            <w:pPr>
              <w:jc w:val="right"/>
              <w:rPr>
                <w:rFonts w:eastAsia="Times New Roman" w:cs="Calibri"/>
                <w:b/>
                <w:bCs/>
                <w:color w:val="000000"/>
                <w:sz w:val="18"/>
                <w:szCs w:val="18"/>
                <w:lang w:val="en-GB" w:eastAsia="en-GB"/>
              </w:rPr>
            </w:pPr>
            <w:r w:rsidRPr="00DF66A4">
              <w:rPr>
                <w:rFonts w:eastAsia="Times New Roman" w:cs="Calibri"/>
                <w:b/>
                <w:bCs/>
                <w:color w:val="000000"/>
                <w:sz w:val="18"/>
                <w:szCs w:val="18"/>
                <w:lang w:val="en-GB" w:eastAsia="en-GB"/>
              </w:rPr>
              <w:t>1,609,580</w:t>
            </w:r>
          </w:p>
        </w:tc>
        <w:tc>
          <w:tcPr>
            <w:tcW w:w="1281" w:type="dxa"/>
            <w:tcBorders>
              <w:top w:val="single" w:sz="4" w:space="0" w:color="auto"/>
              <w:left w:val="single" w:sz="4" w:space="0" w:color="auto"/>
              <w:bottom w:val="single" w:sz="4" w:space="0" w:color="000000"/>
              <w:right w:val="single" w:sz="4" w:space="0" w:color="auto"/>
            </w:tcBorders>
            <w:shd w:val="clear" w:color="000000" w:fill="FFFFFF"/>
            <w:noWrap/>
            <w:vAlign w:val="bottom"/>
            <w:hideMark/>
          </w:tcPr>
          <w:p w14:paraId="165EFEA0" w14:textId="77777777" w:rsidR="00DF66A4" w:rsidRPr="00DF66A4" w:rsidRDefault="00DF66A4" w:rsidP="00DF66A4">
            <w:pPr>
              <w:jc w:val="right"/>
              <w:rPr>
                <w:rFonts w:eastAsia="Times New Roman" w:cs="Calibri"/>
                <w:b/>
                <w:bCs/>
                <w:color w:val="000000"/>
                <w:sz w:val="18"/>
                <w:szCs w:val="18"/>
                <w:lang w:val="en-GB" w:eastAsia="en-GB"/>
              </w:rPr>
            </w:pPr>
            <w:r w:rsidRPr="00DF66A4">
              <w:rPr>
                <w:rFonts w:eastAsia="Times New Roman" w:cs="Calibri"/>
                <w:b/>
                <w:bCs/>
                <w:color w:val="000000"/>
                <w:sz w:val="18"/>
                <w:szCs w:val="18"/>
                <w:lang w:val="en-GB" w:eastAsia="en-GB"/>
              </w:rPr>
              <w:t>343,421</w:t>
            </w:r>
          </w:p>
        </w:tc>
        <w:tc>
          <w:tcPr>
            <w:tcW w:w="880" w:type="dxa"/>
            <w:tcBorders>
              <w:top w:val="single" w:sz="4" w:space="0" w:color="auto"/>
              <w:left w:val="nil"/>
              <w:bottom w:val="single" w:sz="4" w:space="0" w:color="000000"/>
              <w:right w:val="single" w:sz="4" w:space="0" w:color="auto"/>
            </w:tcBorders>
            <w:shd w:val="clear" w:color="000000" w:fill="FFFFFF"/>
            <w:noWrap/>
            <w:vAlign w:val="bottom"/>
            <w:hideMark/>
          </w:tcPr>
          <w:p w14:paraId="555AF626" w14:textId="77777777" w:rsidR="00DF66A4" w:rsidRPr="00DF66A4" w:rsidRDefault="00DF66A4" w:rsidP="00DF66A4">
            <w:pPr>
              <w:jc w:val="right"/>
              <w:rPr>
                <w:rFonts w:eastAsia="Times New Roman" w:cs="Calibri"/>
                <w:b/>
                <w:bCs/>
                <w:color w:val="000000"/>
                <w:sz w:val="18"/>
                <w:szCs w:val="18"/>
                <w:lang w:val="en-GB" w:eastAsia="en-GB"/>
              </w:rPr>
            </w:pPr>
            <w:r w:rsidRPr="00DF66A4">
              <w:rPr>
                <w:rFonts w:eastAsia="Times New Roman" w:cs="Calibri"/>
                <w:b/>
                <w:bCs/>
                <w:color w:val="000000"/>
                <w:sz w:val="18"/>
                <w:szCs w:val="18"/>
                <w:lang w:val="en-GB" w:eastAsia="en-GB"/>
              </w:rPr>
              <w:t>11,839</w:t>
            </w:r>
          </w:p>
        </w:tc>
        <w:tc>
          <w:tcPr>
            <w:tcW w:w="1053" w:type="dxa"/>
            <w:tcBorders>
              <w:top w:val="single" w:sz="4" w:space="0" w:color="auto"/>
              <w:left w:val="nil"/>
              <w:bottom w:val="single" w:sz="4" w:space="0" w:color="000000"/>
              <w:right w:val="single" w:sz="4" w:space="0" w:color="auto"/>
            </w:tcBorders>
            <w:shd w:val="clear" w:color="000000" w:fill="FFFFFF"/>
            <w:noWrap/>
            <w:vAlign w:val="bottom"/>
            <w:hideMark/>
          </w:tcPr>
          <w:p w14:paraId="1DA1E839" w14:textId="77777777" w:rsidR="00DF66A4" w:rsidRPr="00DF66A4" w:rsidRDefault="00DF66A4" w:rsidP="00DF66A4">
            <w:pPr>
              <w:jc w:val="right"/>
              <w:rPr>
                <w:rFonts w:eastAsia="Times New Roman" w:cs="Calibri"/>
                <w:b/>
                <w:bCs/>
                <w:color w:val="000000"/>
                <w:sz w:val="18"/>
                <w:szCs w:val="18"/>
                <w:lang w:val="en-GB" w:eastAsia="en-GB"/>
              </w:rPr>
            </w:pPr>
            <w:r w:rsidRPr="00DF66A4">
              <w:rPr>
                <w:rFonts w:eastAsia="Times New Roman" w:cs="Calibri"/>
                <w:b/>
                <w:bCs/>
                <w:color w:val="000000"/>
                <w:sz w:val="18"/>
                <w:szCs w:val="18"/>
                <w:lang w:val="en-GB" w:eastAsia="en-GB"/>
              </w:rPr>
              <w:t>93,538</w:t>
            </w:r>
          </w:p>
        </w:tc>
        <w:tc>
          <w:tcPr>
            <w:tcW w:w="1365" w:type="dxa"/>
            <w:tcBorders>
              <w:top w:val="single" w:sz="4" w:space="0" w:color="auto"/>
              <w:left w:val="nil"/>
              <w:bottom w:val="single" w:sz="4" w:space="0" w:color="000000"/>
              <w:right w:val="single" w:sz="4" w:space="0" w:color="auto"/>
            </w:tcBorders>
            <w:shd w:val="clear" w:color="000000" w:fill="FFFFFF"/>
            <w:noWrap/>
            <w:vAlign w:val="bottom"/>
            <w:hideMark/>
          </w:tcPr>
          <w:p w14:paraId="67569312" w14:textId="77777777" w:rsidR="00DF66A4" w:rsidRPr="00DF66A4" w:rsidRDefault="00DF66A4" w:rsidP="00DF66A4">
            <w:pPr>
              <w:jc w:val="right"/>
              <w:rPr>
                <w:rFonts w:eastAsia="Times New Roman" w:cs="Calibri"/>
                <w:b/>
                <w:bCs/>
                <w:color w:val="000000"/>
                <w:sz w:val="18"/>
                <w:szCs w:val="18"/>
                <w:lang w:val="en-GB" w:eastAsia="en-GB"/>
              </w:rPr>
            </w:pPr>
            <w:r w:rsidRPr="00DF66A4">
              <w:rPr>
                <w:rFonts w:eastAsia="Times New Roman" w:cs="Calibri"/>
                <w:b/>
                <w:bCs/>
                <w:color w:val="000000"/>
                <w:sz w:val="18"/>
                <w:szCs w:val="18"/>
                <w:lang w:val="en-GB" w:eastAsia="en-GB"/>
              </w:rPr>
              <w:t>17,824</w:t>
            </w:r>
          </w:p>
        </w:tc>
        <w:tc>
          <w:tcPr>
            <w:tcW w:w="1428" w:type="dxa"/>
            <w:tcBorders>
              <w:top w:val="single" w:sz="4" w:space="0" w:color="auto"/>
              <w:left w:val="single" w:sz="4" w:space="0" w:color="auto"/>
              <w:bottom w:val="single" w:sz="4" w:space="0" w:color="000000"/>
              <w:right w:val="single" w:sz="4" w:space="0" w:color="auto"/>
            </w:tcBorders>
            <w:shd w:val="clear" w:color="000000" w:fill="FFFFFF"/>
            <w:noWrap/>
            <w:vAlign w:val="bottom"/>
            <w:hideMark/>
          </w:tcPr>
          <w:p w14:paraId="7F54F480" w14:textId="2BF68EF1" w:rsidR="00DF66A4" w:rsidRPr="00DF66A4" w:rsidRDefault="00DF66A4" w:rsidP="00DF66A4">
            <w:pPr>
              <w:jc w:val="right"/>
              <w:rPr>
                <w:rFonts w:eastAsia="Times New Roman" w:cs="Calibri"/>
                <w:b/>
                <w:bCs/>
                <w:color w:val="000000"/>
                <w:sz w:val="18"/>
                <w:szCs w:val="18"/>
                <w:lang w:val="en-GB" w:eastAsia="en-GB"/>
              </w:rPr>
            </w:pPr>
            <w:r w:rsidRPr="00DF66A4">
              <w:rPr>
                <w:rFonts w:eastAsia="Times New Roman" w:cs="Calibri"/>
                <w:b/>
                <w:bCs/>
                <w:color w:val="000000"/>
                <w:sz w:val="18"/>
                <w:szCs w:val="18"/>
                <w:lang w:val="en-GB" w:eastAsia="en-GB"/>
              </w:rPr>
              <w:t>2</w:t>
            </w:r>
            <w:r w:rsidR="00BF08A8">
              <w:rPr>
                <w:rFonts w:eastAsia="Times New Roman" w:cs="Calibri"/>
                <w:b/>
                <w:bCs/>
                <w:color w:val="000000"/>
                <w:sz w:val="18"/>
                <w:szCs w:val="18"/>
                <w:lang w:val="en-GB" w:eastAsia="en-GB"/>
              </w:rPr>
              <w:t>,</w:t>
            </w:r>
            <w:r w:rsidRPr="00DF66A4">
              <w:rPr>
                <w:rFonts w:eastAsia="Times New Roman" w:cs="Calibri"/>
                <w:b/>
                <w:bCs/>
                <w:color w:val="000000"/>
                <w:sz w:val="18"/>
                <w:szCs w:val="18"/>
                <w:lang w:val="en-GB" w:eastAsia="en-GB"/>
              </w:rPr>
              <w:t>076</w:t>
            </w:r>
            <w:r w:rsidR="00BF08A8">
              <w:rPr>
                <w:rFonts w:eastAsia="Times New Roman" w:cs="Calibri"/>
                <w:b/>
                <w:bCs/>
                <w:color w:val="000000"/>
                <w:sz w:val="18"/>
                <w:szCs w:val="18"/>
                <w:lang w:val="en-GB" w:eastAsia="en-GB"/>
              </w:rPr>
              <w:t>,</w:t>
            </w:r>
            <w:r w:rsidRPr="00DF66A4">
              <w:rPr>
                <w:rFonts w:eastAsia="Times New Roman" w:cs="Calibri"/>
                <w:b/>
                <w:bCs/>
                <w:color w:val="000000"/>
                <w:sz w:val="18"/>
                <w:szCs w:val="18"/>
                <w:lang w:val="en-GB" w:eastAsia="en-GB"/>
              </w:rPr>
              <w:t>202</w:t>
            </w:r>
          </w:p>
        </w:tc>
      </w:tr>
    </w:tbl>
    <w:p w14:paraId="77B57577" w14:textId="77777777" w:rsidR="00A00ADD" w:rsidRPr="00704337" w:rsidRDefault="00A00ADD" w:rsidP="00A00ADD">
      <w:pPr>
        <w:rPr>
          <w:rFonts w:eastAsia="Times New Roman" w:cs="Calibri"/>
          <w:bCs/>
          <w:color w:val="000000"/>
          <w:sz w:val="18"/>
          <w:szCs w:val="18"/>
          <w:lang w:val="en-GB" w:eastAsia="en-GB"/>
        </w:rPr>
      </w:pPr>
      <w:r w:rsidRPr="00704337">
        <w:rPr>
          <w:rFonts w:eastAsia="Times New Roman" w:cs="Calibri"/>
          <w:bCs/>
          <w:color w:val="000000"/>
          <w:sz w:val="18"/>
          <w:szCs w:val="18"/>
          <w:lang w:val="en-GB" w:eastAsia="en-GB"/>
        </w:rPr>
        <w:t>The permanent Chief Executive of the PCC was on maternity leave for most of this Financial Year</w:t>
      </w:r>
    </w:p>
    <w:p w14:paraId="0768577C" w14:textId="77777777" w:rsidR="00A00ADD" w:rsidRDefault="00A00ADD" w:rsidP="00A00ADD">
      <w:pPr>
        <w:rPr>
          <w:rFonts w:eastAsia="Times New Roman" w:cs="Calibri"/>
          <w:b/>
          <w:bCs/>
          <w:color w:val="000000"/>
          <w:sz w:val="18"/>
          <w:szCs w:val="18"/>
          <w:lang w:val="en-GB" w:eastAsia="en-GB"/>
        </w:rPr>
      </w:pPr>
    </w:p>
    <w:p w14:paraId="249CD790" w14:textId="3947D439" w:rsidR="00E65F27" w:rsidRPr="00E65F27" w:rsidRDefault="00E65F27" w:rsidP="00E65F27">
      <w:pPr>
        <w:pStyle w:val="Normal0"/>
        <w:jc w:val="both"/>
        <w:rPr>
          <w:rFonts w:ascii="Verdana" w:eastAsia="Times New Roman" w:hAnsi="Verdana" w:cs="Arial"/>
          <w:sz w:val="22"/>
          <w:szCs w:val="22"/>
          <w:lang w:val="en-GB" w:eastAsia="en-GB"/>
        </w:rPr>
      </w:pPr>
      <w:r w:rsidRPr="00E65F27">
        <w:rPr>
          <w:rFonts w:ascii="Verdana" w:eastAsia="Times New Roman" w:hAnsi="Verdana" w:cs="Arial"/>
          <w:sz w:val="22"/>
          <w:szCs w:val="22"/>
          <w:lang w:val="en-GB" w:eastAsia="en-GB"/>
        </w:rPr>
        <w:t>In line with Trade Union (Facility Time Publication Requirements) Regulations 2017 (SI 2017/328) the Chief Constable has an obligation to report annually on paid time off provided to trade union representatives for trade union duties and activities. The following details relate to 2020/21. There were 11 employees who were union officials during the period (6.5 full time equivalents)  The total cost of this facility time was £93,837 which represents 0.11% of the total pay bill.</w:t>
      </w:r>
    </w:p>
    <w:p w14:paraId="081D61F1" w14:textId="77777777" w:rsidR="00A00ADD" w:rsidRPr="00A00ADD" w:rsidRDefault="00A00ADD" w:rsidP="00A00ADD">
      <w:pPr>
        <w:rPr>
          <w:rFonts w:eastAsia="Times New Roman" w:cs="Calibri"/>
          <w:b/>
          <w:bCs/>
          <w:color w:val="000000"/>
          <w:sz w:val="18"/>
          <w:szCs w:val="18"/>
          <w:lang w:val="en-GB" w:eastAsia="en-GB"/>
        </w:rPr>
      </w:pPr>
    </w:p>
    <w:p w14:paraId="6A430CC1" w14:textId="77777777" w:rsidR="00A00ADD" w:rsidRDefault="00A00ADD" w:rsidP="00A00ADD">
      <w:pPr>
        <w:pStyle w:val="T1TableStyle"/>
        <w:rPr>
          <w:rFonts w:ascii="Verdana" w:eastAsia="Verdana" w:hAnsi="Verdana" w:cs="Verdana"/>
          <w:b/>
          <w:color w:val="000000"/>
          <w:lang w:val="en-GB"/>
        </w:rPr>
      </w:pPr>
    </w:p>
    <w:p w14:paraId="103EFA91" w14:textId="77777777" w:rsidR="00704337" w:rsidRDefault="00704337" w:rsidP="00A00ADD">
      <w:pPr>
        <w:pStyle w:val="T1TableStyle"/>
        <w:rPr>
          <w:rFonts w:ascii="Verdana" w:eastAsia="Verdana" w:hAnsi="Verdana" w:cs="Verdana"/>
          <w:b/>
          <w:color w:val="000000"/>
          <w:lang w:val="en-GB"/>
        </w:rPr>
      </w:pPr>
    </w:p>
    <w:p w14:paraId="5B1F410D" w14:textId="12B41FFE" w:rsidR="00704337" w:rsidRDefault="00704337" w:rsidP="00A00ADD">
      <w:pPr>
        <w:pStyle w:val="T1TableStyle"/>
        <w:rPr>
          <w:rFonts w:ascii="Verdana" w:eastAsia="Verdana" w:hAnsi="Verdana" w:cs="Verdana"/>
          <w:b/>
          <w:color w:val="000000"/>
          <w:lang w:val="en-GB"/>
        </w:rPr>
      </w:pPr>
      <w:r>
        <w:rPr>
          <w:rFonts w:ascii="Verdana" w:eastAsia="Verdana" w:hAnsi="Verdana" w:cs="Verdana"/>
          <w:b/>
          <w:color w:val="000000"/>
          <w:lang w:val="en-GB"/>
        </w:rPr>
        <w:t>Exit Packages</w:t>
      </w:r>
    </w:p>
    <w:p w14:paraId="233BFDE9" w14:textId="77777777" w:rsidR="00704337" w:rsidRDefault="00704337" w:rsidP="00A00ADD">
      <w:pPr>
        <w:pStyle w:val="T1TableStyle"/>
        <w:rPr>
          <w:rFonts w:ascii="Verdana" w:eastAsia="Verdana" w:hAnsi="Verdana" w:cs="Verdana"/>
          <w:b/>
          <w:color w:val="000000"/>
          <w:lang w:val="en-GB"/>
        </w:rPr>
      </w:pPr>
    </w:p>
    <w:p w14:paraId="4F8894AF" w14:textId="5911232E" w:rsidR="00704337" w:rsidRDefault="00704337" w:rsidP="00A00ADD">
      <w:pPr>
        <w:pStyle w:val="T1TableStyle"/>
        <w:rPr>
          <w:rFonts w:ascii="Verdana" w:eastAsia="Verdana" w:hAnsi="Verdana" w:cs="Verdana"/>
          <w:color w:val="000000"/>
          <w:lang w:val="en-GB"/>
        </w:rPr>
      </w:pPr>
      <w:r>
        <w:rPr>
          <w:rFonts w:ascii="Verdana" w:eastAsia="Verdana" w:hAnsi="Verdana" w:cs="Verdana"/>
          <w:color w:val="000000"/>
          <w:lang w:val="en-GB"/>
        </w:rPr>
        <w:t>The 2020/21 Code requires disclosure of the number and cost of exit packages agreed, including:</w:t>
      </w:r>
    </w:p>
    <w:p w14:paraId="29AFD1D2" w14:textId="77777777" w:rsidR="00704337" w:rsidRDefault="00704337" w:rsidP="00A00ADD">
      <w:pPr>
        <w:pStyle w:val="T1TableStyle"/>
        <w:rPr>
          <w:rFonts w:ascii="Verdana" w:eastAsia="Verdana" w:hAnsi="Verdana" w:cs="Verdana"/>
          <w:color w:val="000000"/>
          <w:lang w:val="en-GB"/>
        </w:rPr>
      </w:pPr>
    </w:p>
    <w:p w14:paraId="017F76E7" w14:textId="5AEDDDFC" w:rsidR="00704337" w:rsidRDefault="00704337" w:rsidP="00704337">
      <w:pPr>
        <w:pStyle w:val="T1TableStyle"/>
        <w:numPr>
          <w:ilvl w:val="0"/>
          <w:numId w:val="29"/>
        </w:numPr>
        <w:rPr>
          <w:rFonts w:ascii="Verdana" w:eastAsia="Verdana" w:hAnsi="Verdana" w:cs="Verdana"/>
          <w:color w:val="000000"/>
          <w:lang w:val="en-GB"/>
        </w:rPr>
      </w:pPr>
      <w:r>
        <w:rPr>
          <w:rFonts w:ascii="Verdana" w:eastAsia="Verdana" w:hAnsi="Verdana" w:cs="Verdana"/>
          <w:color w:val="000000"/>
          <w:lang w:val="en-GB"/>
        </w:rPr>
        <w:t>Number of packages agreed (in bands of £29k up to £100k and £50k thereafter)</w:t>
      </w:r>
    </w:p>
    <w:p w14:paraId="3A6BF6F5" w14:textId="64BA9A05" w:rsidR="00704337" w:rsidRDefault="00704337" w:rsidP="00704337">
      <w:pPr>
        <w:pStyle w:val="T1TableStyle"/>
        <w:numPr>
          <w:ilvl w:val="0"/>
          <w:numId w:val="29"/>
        </w:numPr>
        <w:rPr>
          <w:rFonts w:ascii="Verdana" w:eastAsia="Verdana" w:hAnsi="Verdana" w:cs="Verdana"/>
          <w:color w:val="000000"/>
          <w:lang w:val="en-GB"/>
        </w:rPr>
      </w:pPr>
      <w:r>
        <w:rPr>
          <w:rFonts w:ascii="Verdana" w:eastAsia="Verdana" w:hAnsi="Verdana" w:cs="Verdana"/>
          <w:color w:val="000000"/>
          <w:lang w:val="en-GB"/>
        </w:rPr>
        <w:t>Analysis between compulsory redundancies and “other” agreed departures</w:t>
      </w:r>
    </w:p>
    <w:p w14:paraId="1D33BBDC" w14:textId="37153B6F" w:rsidR="00704337" w:rsidRPr="00704337" w:rsidRDefault="00704337" w:rsidP="00704337">
      <w:pPr>
        <w:pStyle w:val="T1TableStyle"/>
        <w:numPr>
          <w:ilvl w:val="0"/>
          <w:numId w:val="29"/>
        </w:numPr>
        <w:rPr>
          <w:rFonts w:ascii="Verdana" w:eastAsia="Verdana" w:hAnsi="Verdana" w:cs="Verdana"/>
          <w:color w:val="000000"/>
          <w:lang w:val="en-GB"/>
        </w:rPr>
      </w:pPr>
      <w:r>
        <w:rPr>
          <w:rFonts w:ascii="Verdana" w:eastAsia="Verdana" w:hAnsi="Verdana" w:cs="Verdana"/>
          <w:color w:val="000000"/>
          <w:lang w:val="en-GB"/>
        </w:rPr>
        <w:t>Total cost for each band</w:t>
      </w:r>
    </w:p>
    <w:p w14:paraId="10D3CF84" w14:textId="77777777" w:rsidR="00A00ADD" w:rsidRDefault="00A00ADD" w:rsidP="00764891">
      <w:pPr>
        <w:pStyle w:val="T1TableStyle"/>
        <w:rPr>
          <w:rFonts w:ascii="Verdana" w:eastAsia="Verdana" w:hAnsi="Verdana" w:cs="Verdana"/>
          <w:b/>
          <w:color w:val="000000"/>
          <w:lang w:val="en-GB"/>
        </w:rPr>
      </w:pPr>
    </w:p>
    <w:p w14:paraId="28CCC18A" w14:textId="77777777" w:rsidR="009A45FE" w:rsidRDefault="009A45FE" w:rsidP="009A45FE">
      <w:pPr>
        <w:pStyle w:val="T1TableStyle"/>
        <w:ind w:left="3600"/>
        <w:rPr>
          <w:rFonts w:ascii="Verdana" w:eastAsia="Verdana" w:hAnsi="Verdana" w:cs="Verdana"/>
          <w:sz w:val="22"/>
          <w:highlight w:val="yellow"/>
          <w:lang w:val="en-GB"/>
        </w:rPr>
      </w:pPr>
      <w:r w:rsidRPr="00043A44">
        <w:rPr>
          <w:rFonts w:ascii="Verdana" w:eastAsia="Verdana" w:hAnsi="Verdana" w:cs="Verdana"/>
          <w:b/>
          <w:color w:val="000000"/>
          <w:lang w:val="en-GB"/>
        </w:rPr>
        <w:t>Exit Packages</w:t>
      </w:r>
    </w:p>
    <w:p w14:paraId="522982A7" w14:textId="77777777" w:rsidR="009A45FE" w:rsidRDefault="009A45FE">
      <w:pPr>
        <w:pStyle w:val="T1TableStyle"/>
        <w:rPr>
          <w:rFonts w:ascii="Verdana" w:eastAsia="Verdana" w:hAnsi="Verdana" w:cs="Verdana"/>
          <w:sz w:val="22"/>
          <w:highlight w:val="yellow"/>
          <w:lang w:val="en-GB"/>
        </w:rPr>
      </w:pPr>
    </w:p>
    <w:tbl>
      <w:tblPr>
        <w:tblW w:w="0" w:type="auto"/>
        <w:jc w:val="center"/>
        <w:tblLayout w:type="fixed"/>
        <w:tblLook w:val="04A0" w:firstRow="1" w:lastRow="0" w:firstColumn="1" w:lastColumn="0" w:noHBand="0" w:noVBand="1"/>
      </w:tblPr>
      <w:tblGrid>
        <w:gridCol w:w="1980"/>
        <w:gridCol w:w="945"/>
        <w:gridCol w:w="945"/>
        <w:gridCol w:w="1305"/>
        <w:gridCol w:w="1305"/>
      </w:tblGrid>
      <w:tr w:rsidR="009A45FE" w:rsidRPr="00043A44" w14:paraId="0D92DDFD" w14:textId="77777777" w:rsidTr="002D48D1">
        <w:trPr>
          <w:trHeight w:val="795"/>
          <w:jc w:val="center"/>
        </w:trPr>
        <w:tc>
          <w:tcPr>
            <w:tcW w:w="1980" w:type="dxa"/>
            <w:shd w:val="clear" w:color="auto" w:fill="auto"/>
            <w:tcMar>
              <w:top w:w="20" w:type="dxa"/>
              <w:left w:w="20" w:type="dxa"/>
              <w:bottom w:w="20" w:type="dxa"/>
              <w:right w:w="20" w:type="dxa"/>
            </w:tcMar>
            <w:vAlign w:val="center"/>
          </w:tcPr>
          <w:p w14:paraId="1D86315D" w14:textId="77777777" w:rsidR="009A45FE" w:rsidRPr="00043A44" w:rsidRDefault="009A45FE" w:rsidP="002D48D1">
            <w:pPr>
              <w:pStyle w:val="T1TableStyle"/>
              <w:rPr>
                <w:rFonts w:ascii="Verdana" w:eastAsia="Verdana" w:hAnsi="Verdana" w:cs="Verdana"/>
                <w:b/>
                <w:color w:val="000000"/>
                <w:sz w:val="16"/>
                <w:lang w:val="en-GB"/>
              </w:rPr>
            </w:pPr>
            <w:r w:rsidRPr="00043A44">
              <w:rPr>
                <w:rFonts w:ascii="Verdana" w:eastAsia="Verdana" w:hAnsi="Verdana" w:cs="Verdana"/>
                <w:b/>
                <w:color w:val="000000"/>
                <w:sz w:val="16"/>
                <w:lang w:val="en-GB"/>
              </w:rPr>
              <w:t>Exit package cost band (including special payments)</w:t>
            </w:r>
          </w:p>
        </w:tc>
        <w:tc>
          <w:tcPr>
            <w:tcW w:w="1890" w:type="dxa"/>
            <w:gridSpan w:val="2"/>
            <w:shd w:val="clear" w:color="auto" w:fill="auto"/>
            <w:tcMar>
              <w:top w:w="20" w:type="dxa"/>
              <w:left w:w="20" w:type="dxa"/>
              <w:bottom w:w="20" w:type="dxa"/>
              <w:right w:w="20" w:type="dxa"/>
            </w:tcMar>
            <w:vAlign w:val="center"/>
          </w:tcPr>
          <w:p w14:paraId="40207774" w14:textId="77777777" w:rsidR="009A45FE" w:rsidRPr="00043A44" w:rsidRDefault="009A45FE" w:rsidP="002D48D1">
            <w:pPr>
              <w:pStyle w:val="T1TableStyle"/>
              <w:jc w:val="center"/>
              <w:rPr>
                <w:rFonts w:ascii="Verdana" w:eastAsia="Verdana" w:hAnsi="Verdana" w:cs="Verdana"/>
                <w:b/>
                <w:color w:val="000000"/>
                <w:sz w:val="16"/>
                <w:lang w:val="en-GB"/>
              </w:rPr>
            </w:pPr>
            <w:r w:rsidRPr="00043A44">
              <w:rPr>
                <w:rFonts w:ascii="Verdana" w:eastAsia="Verdana" w:hAnsi="Verdana" w:cs="Verdana"/>
                <w:b/>
                <w:color w:val="000000"/>
                <w:sz w:val="16"/>
                <w:lang w:val="en-GB"/>
              </w:rPr>
              <w:t>Total number of exit packages by cost band</w:t>
            </w:r>
          </w:p>
        </w:tc>
        <w:tc>
          <w:tcPr>
            <w:tcW w:w="2610" w:type="dxa"/>
            <w:gridSpan w:val="2"/>
            <w:shd w:val="clear" w:color="auto" w:fill="auto"/>
            <w:tcMar>
              <w:top w:w="20" w:type="dxa"/>
              <w:left w:w="20" w:type="dxa"/>
              <w:bottom w:w="20" w:type="dxa"/>
              <w:right w:w="20" w:type="dxa"/>
            </w:tcMar>
            <w:vAlign w:val="center"/>
          </w:tcPr>
          <w:p w14:paraId="38937F99" w14:textId="77777777" w:rsidR="009A45FE" w:rsidRPr="00043A44" w:rsidRDefault="009A45FE" w:rsidP="002D48D1">
            <w:pPr>
              <w:pStyle w:val="T1TableStyle"/>
              <w:jc w:val="center"/>
              <w:rPr>
                <w:rFonts w:ascii="Verdana" w:eastAsia="Verdana" w:hAnsi="Verdana" w:cs="Verdana"/>
                <w:b/>
                <w:color w:val="000000"/>
                <w:sz w:val="16"/>
                <w:lang w:val="en-GB"/>
              </w:rPr>
            </w:pPr>
            <w:r w:rsidRPr="00043A44">
              <w:rPr>
                <w:rFonts w:ascii="Verdana" w:eastAsia="Verdana" w:hAnsi="Verdana" w:cs="Verdana"/>
                <w:b/>
                <w:color w:val="000000"/>
                <w:sz w:val="16"/>
                <w:lang w:val="en-GB"/>
              </w:rPr>
              <w:t>Total cost of exit packages in each band (£)</w:t>
            </w:r>
          </w:p>
        </w:tc>
      </w:tr>
      <w:tr w:rsidR="009A45FE" w:rsidRPr="00043A44" w14:paraId="44D7E6EF" w14:textId="77777777" w:rsidTr="002D48D1">
        <w:trPr>
          <w:trHeight w:val="210"/>
          <w:jc w:val="center"/>
        </w:trPr>
        <w:tc>
          <w:tcPr>
            <w:tcW w:w="1980" w:type="dxa"/>
            <w:tcBorders>
              <w:bottom w:val="single" w:sz="2" w:space="0" w:color="000000"/>
            </w:tcBorders>
            <w:shd w:val="clear" w:color="auto" w:fill="auto"/>
            <w:tcMar>
              <w:top w:w="20" w:type="dxa"/>
              <w:left w:w="20" w:type="dxa"/>
              <w:bottom w:w="20" w:type="dxa"/>
              <w:right w:w="20" w:type="dxa"/>
            </w:tcMar>
          </w:tcPr>
          <w:p w14:paraId="565AD860" w14:textId="77777777" w:rsidR="009A45FE" w:rsidRPr="00043A44" w:rsidRDefault="009A45FE" w:rsidP="002D48D1">
            <w:pPr>
              <w:pStyle w:val="T1TableStyle"/>
              <w:jc w:val="center"/>
              <w:rPr>
                <w:rFonts w:ascii="Verdana" w:eastAsia="Verdana" w:hAnsi="Verdana" w:cs="Verdana"/>
                <w:b/>
                <w:color w:val="000000"/>
                <w:sz w:val="2"/>
                <w:lang w:val="en-GB"/>
              </w:rPr>
            </w:pPr>
            <w:r w:rsidRPr="00043A44">
              <w:rPr>
                <w:rFonts w:ascii="Verdana" w:eastAsia="Verdana" w:hAnsi="Verdana" w:cs="Verdana"/>
                <w:b/>
                <w:color w:val="000000"/>
                <w:sz w:val="2"/>
                <w:lang w:val="en-GB"/>
              </w:rPr>
              <w:t xml:space="preserve"> </w:t>
            </w:r>
          </w:p>
        </w:tc>
        <w:tc>
          <w:tcPr>
            <w:tcW w:w="945" w:type="dxa"/>
            <w:tcBorders>
              <w:bottom w:val="single" w:sz="2" w:space="0" w:color="000000"/>
            </w:tcBorders>
            <w:shd w:val="clear" w:color="auto" w:fill="auto"/>
            <w:tcMar>
              <w:top w:w="20" w:type="dxa"/>
              <w:left w:w="20" w:type="dxa"/>
              <w:bottom w:w="20" w:type="dxa"/>
              <w:right w:w="20" w:type="dxa"/>
            </w:tcMar>
            <w:vAlign w:val="bottom"/>
          </w:tcPr>
          <w:p w14:paraId="762BADD1" w14:textId="77777777" w:rsidR="009A45FE" w:rsidRPr="00043A44" w:rsidRDefault="009A45FE" w:rsidP="002D48D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2019/20</w:t>
            </w:r>
          </w:p>
        </w:tc>
        <w:tc>
          <w:tcPr>
            <w:tcW w:w="945" w:type="dxa"/>
            <w:tcBorders>
              <w:bottom w:val="single" w:sz="2" w:space="0" w:color="000000"/>
            </w:tcBorders>
            <w:shd w:val="clear" w:color="auto" w:fill="auto"/>
            <w:tcMar>
              <w:top w:w="20" w:type="dxa"/>
              <w:left w:w="20" w:type="dxa"/>
              <w:bottom w:w="20" w:type="dxa"/>
              <w:right w:w="20" w:type="dxa"/>
            </w:tcMar>
            <w:vAlign w:val="bottom"/>
          </w:tcPr>
          <w:p w14:paraId="04B82E0E" w14:textId="77777777" w:rsidR="009A45FE" w:rsidRPr="00043A44" w:rsidRDefault="009A45FE" w:rsidP="002D48D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2020/21</w:t>
            </w:r>
          </w:p>
        </w:tc>
        <w:tc>
          <w:tcPr>
            <w:tcW w:w="1305" w:type="dxa"/>
            <w:tcBorders>
              <w:bottom w:val="single" w:sz="2" w:space="0" w:color="000000"/>
            </w:tcBorders>
            <w:shd w:val="clear" w:color="auto" w:fill="auto"/>
            <w:tcMar>
              <w:top w:w="20" w:type="dxa"/>
              <w:left w:w="20" w:type="dxa"/>
              <w:bottom w:w="20" w:type="dxa"/>
              <w:right w:w="20" w:type="dxa"/>
            </w:tcMar>
            <w:vAlign w:val="bottom"/>
          </w:tcPr>
          <w:p w14:paraId="28CB7DC5" w14:textId="77777777" w:rsidR="009A45FE" w:rsidRPr="00043A44" w:rsidRDefault="009A45FE" w:rsidP="002D48D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2019/20</w:t>
            </w:r>
          </w:p>
        </w:tc>
        <w:tc>
          <w:tcPr>
            <w:tcW w:w="1305" w:type="dxa"/>
            <w:tcBorders>
              <w:bottom w:val="single" w:sz="2" w:space="0" w:color="000000"/>
            </w:tcBorders>
            <w:shd w:val="clear" w:color="auto" w:fill="auto"/>
            <w:tcMar>
              <w:top w:w="20" w:type="dxa"/>
              <w:left w:w="20" w:type="dxa"/>
              <w:bottom w:w="20" w:type="dxa"/>
              <w:right w:w="20" w:type="dxa"/>
            </w:tcMar>
            <w:vAlign w:val="bottom"/>
          </w:tcPr>
          <w:p w14:paraId="21A4A843" w14:textId="77777777" w:rsidR="009A45FE" w:rsidRPr="00043A44" w:rsidRDefault="009A45FE" w:rsidP="002D48D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2020/21</w:t>
            </w:r>
          </w:p>
        </w:tc>
      </w:tr>
      <w:tr w:rsidR="009A45FE" w:rsidRPr="00043A44" w14:paraId="0907EDEE" w14:textId="77777777" w:rsidTr="002D48D1">
        <w:trPr>
          <w:trHeight w:val="210"/>
          <w:jc w:val="center"/>
        </w:trPr>
        <w:tc>
          <w:tcPr>
            <w:tcW w:w="1980" w:type="dxa"/>
            <w:shd w:val="clear" w:color="auto" w:fill="auto"/>
            <w:tcMar>
              <w:top w:w="20" w:type="dxa"/>
              <w:left w:w="20" w:type="dxa"/>
              <w:bottom w:w="20" w:type="dxa"/>
              <w:right w:w="20" w:type="dxa"/>
            </w:tcMar>
            <w:vAlign w:val="center"/>
          </w:tcPr>
          <w:p w14:paraId="29C33B70" w14:textId="77777777" w:rsidR="009A45FE" w:rsidRPr="00043A44" w:rsidRDefault="009A45FE" w:rsidP="002D48D1">
            <w:pPr>
              <w:pStyle w:val="T1TableStyle"/>
              <w:rPr>
                <w:rFonts w:ascii="Verdana" w:eastAsia="Verdana" w:hAnsi="Verdana" w:cs="Verdana"/>
                <w:color w:val="000000"/>
                <w:sz w:val="16"/>
                <w:lang w:val="en-GB"/>
              </w:rPr>
            </w:pPr>
            <w:r w:rsidRPr="00043A44">
              <w:rPr>
                <w:rFonts w:ascii="Verdana" w:eastAsia="Verdana" w:hAnsi="Verdana" w:cs="Verdana"/>
                <w:color w:val="000000"/>
                <w:sz w:val="16"/>
                <w:lang w:val="en-GB"/>
              </w:rPr>
              <w:t>£0-£20,000</w:t>
            </w:r>
          </w:p>
        </w:tc>
        <w:tc>
          <w:tcPr>
            <w:tcW w:w="945" w:type="dxa"/>
            <w:shd w:val="clear" w:color="auto" w:fill="auto"/>
            <w:tcMar>
              <w:top w:w="20" w:type="dxa"/>
              <w:left w:w="20" w:type="dxa"/>
              <w:bottom w:w="20" w:type="dxa"/>
              <w:right w:w="20" w:type="dxa"/>
            </w:tcMar>
          </w:tcPr>
          <w:p w14:paraId="41CBFEA5" w14:textId="77777777" w:rsidR="009A45FE" w:rsidRPr="00043A44" w:rsidRDefault="009A45FE" w:rsidP="002D48D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w:t>
            </w:r>
          </w:p>
        </w:tc>
        <w:tc>
          <w:tcPr>
            <w:tcW w:w="945" w:type="dxa"/>
            <w:shd w:val="clear" w:color="auto" w:fill="auto"/>
            <w:tcMar>
              <w:top w:w="20" w:type="dxa"/>
              <w:left w:w="20" w:type="dxa"/>
              <w:bottom w:w="20" w:type="dxa"/>
              <w:right w:w="20" w:type="dxa"/>
            </w:tcMar>
          </w:tcPr>
          <w:p w14:paraId="49F4DA4E" w14:textId="77777777" w:rsidR="009A45FE" w:rsidRPr="00043A44" w:rsidRDefault="009A45FE" w:rsidP="002D48D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w:t>
            </w:r>
          </w:p>
        </w:tc>
        <w:tc>
          <w:tcPr>
            <w:tcW w:w="1305" w:type="dxa"/>
            <w:shd w:val="clear" w:color="auto" w:fill="auto"/>
            <w:tcMar>
              <w:top w:w="20" w:type="dxa"/>
              <w:left w:w="20" w:type="dxa"/>
              <w:bottom w:w="20" w:type="dxa"/>
              <w:right w:w="20" w:type="dxa"/>
            </w:tcMar>
          </w:tcPr>
          <w:p w14:paraId="5167BE6C" w14:textId="77777777" w:rsidR="009A45FE" w:rsidRPr="00043A44" w:rsidRDefault="009A45FE" w:rsidP="002D48D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75,741</w:t>
            </w:r>
          </w:p>
        </w:tc>
        <w:tc>
          <w:tcPr>
            <w:tcW w:w="1305" w:type="dxa"/>
            <w:shd w:val="clear" w:color="auto" w:fill="auto"/>
            <w:tcMar>
              <w:top w:w="20" w:type="dxa"/>
              <w:left w:w="20" w:type="dxa"/>
              <w:bottom w:w="20" w:type="dxa"/>
              <w:right w:w="20" w:type="dxa"/>
            </w:tcMar>
          </w:tcPr>
          <w:p w14:paraId="14011825" w14:textId="77777777" w:rsidR="009A45FE" w:rsidRPr="00043A44" w:rsidRDefault="009A45FE" w:rsidP="002D48D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21,063</w:t>
            </w:r>
          </w:p>
        </w:tc>
      </w:tr>
      <w:tr w:rsidR="009A45FE" w:rsidRPr="00043A44" w14:paraId="609602CF" w14:textId="77777777" w:rsidTr="002D48D1">
        <w:trPr>
          <w:trHeight w:val="210"/>
          <w:jc w:val="center"/>
        </w:trPr>
        <w:tc>
          <w:tcPr>
            <w:tcW w:w="1980" w:type="dxa"/>
            <w:shd w:val="clear" w:color="auto" w:fill="auto"/>
            <w:tcMar>
              <w:top w:w="20" w:type="dxa"/>
              <w:left w:w="20" w:type="dxa"/>
              <w:bottom w:w="20" w:type="dxa"/>
              <w:right w:w="20" w:type="dxa"/>
            </w:tcMar>
            <w:vAlign w:val="center"/>
          </w:tcPr>
          <w:p w14:paraId="103F7691" w14:textId="77777777" w:rsidR="009A45FE" w:rsidRPr="00043A44" w:rsidRDefault="009A45FE" w:rsidP="002D48D1">
            <w:pPr>
              <w:pStyle w:val="T1TableStyle"/>
              <w:rPr>
                <w:rFonts w:ascii="Verdana" w:eastAsia="Verdana" w:hAnsi="Verdana" w:cs="Verdana"/>
                <w:color w:val="000000"/>
                <w:sz w:val="16"/>
                <w:lang w:val="en-GB"/>
              </w:rPr>
            </w:pPr>
            <w:r w:rsidRPr="00043A44">
              <w:rPr>
                <w:rFonts w:ascii="Verdana" w:eastAsia="Verdana" w:hAnsi="Verdana" w:cs="Verdana"/>
                <w:color w:val="000000"/>
                <w:sz w:val="16"/>
                <w:lang w:val="en-GB"/>
              </w:rPr>
              <w:t>£20,001 - £40,000</w:t>
            </w:r>
          </w:p>
        </w:tc>
        <w:tc>
          <w:tcPr>
            <w:tcW w:w="945" w:type="dxa"/>
            <w:shd w:val="clear" w:color="auto" w:fill="auto"/>
            <w:tcMar>
              <w:top w:w="20" w:type="dxa"/>
              <w:left w:w="20" w:type="dxa"/>
              <w:bottom w:w="20" w:type="dxa"/>
              <w:right w:w="20" w:type="dxa"/>
            </w:tcMar>
          </w:tcPr>
          <w:p w14:paraId="6DB44781" w14:textId="77777777" w:rsidR="009A45FE" w:rsidRPr="00043A44" w:rsidRDefault="009A45FE" w:rsidP="002D48D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p>
        </w:tc>
        <w:tc>
          <w:tcPr>
            <w:tcW w:w="945" w:type="dxa"/>
            <w:shd w:val="clear" w:color="auto" w:fill="auto"/>
            <w:tcMar>
              <w:top w:w="20" w:type="dxa"/>
              <w:left w:w="20" w:type="dxa"/>
              <w:bottom w:w="20" w:type="dxa"/>
              <w:right w:w="20" w:type="dxa"/>
            </w:tcMar>
          </w:tcPr>
          <w:p w14:paraId="38280DDC" w14:textId="77777777" w:rsidR="009A45FE" w:rsidRPr="00043A44" w:rsidRDefault="009A45FE" w:rsidP="002D48D1">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1</w:t>
            </w:r>
          </w:p>
        </w:tc>
        <w:tc>
          <w:tcPr>
            <w:tcW w:w="1305" w:type="dxa"/>
            <w:shd w:val="clear" w:color="auto" w:fill="auto"/>
            <w:tcMar>
              <w:top w:w="20" w:type="dxa"/>
              <w:left w:w="20" w:type="dxa"/>
              <w:bottom w:w="20" w:type="dxa"/>
              <w:right w:w="20" w:type="dxa"/>
            </w:tcMar>
          </w:tcPr>
          <w:p w14:paraId="73A87D45" w14:textId="77777777" w:rsidR="009A45FE" w:rsidRPr="00043A44" w:rsidRDefault="009A45FE" w:rsidP="002D48D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30,770</w:t>
            </w:r>
          </w:p>
        </w:tc>
        <w:tc>
          <w:tcPr>
            <w:tcW w:w="1305" w:type="dxa"/>
            <w:shd w:val="clear" w:color="auto" w:fill="auto"/>
            <w:tcMar>
              <w:top w:w="20" w:type="dxa"/>
              <w:left w:w="20" w:type="dxa"/>
              <w:bottom w:w="20" w:type="dxa"/>
              <w:right w:w="20" w:type="dxa"/>
            </w:tcMar>
          </w:tcPr>
          <w:p w14:paraId="21DAC3CB" w14:textId="77777777" w:rsidR="009A45FE" w:rsidRPr="00043A44" w:rsidRDefault="009A45FE" w:rsidP="002D48D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21,155</w:t>
            </w:r>
          </w:p>
        </w:tc>
      </w:tr>
      <w:tr w:rsidR="009A45FE" w:rsidRPr="00043A44" w14:paraId="130DCDF7" w14:textId="77777777" w:rsidTr="002D48D1">
        <w:trPr>
          <w:trHeight w:val="210"/>
          <w:jc w:val="center"/>
        </w:trPr>
        <w:tc>
          <w:tcPr>
            <w:tcW w:w="1980" w:type="dxa"/>
            <w:shd w:val="clear" w:color="auto" w:fill="auto"/>
            <w:tcMar>
              <w:top w:w="20" w:type="dxa"/>
              <w:left w:w="20" w:type="dxa"/>
              <w:bottom w:w="20" w:type="dxa"/>
              <w:right w:w="20" w:type="dxa"/>
            </w:tcMar>
            <w:vAlign w:val="center"/>
          </w:tcPr>
          <w:p w14:paraId="75F6A4A6" w14:textId="77777777" w:rsidR="009A45FE" w:rsidRPr="00043A44" w:rsidRDefault="009A45FE" w:rsidP="002D48D1">
            <w:pPr>
              <w:pStyle w:val="T1TableStyle"/>
              <w:rPr>
                <w:rFonts w:ascii="Verdana" w:eastAsia="Verdana" w:hAnsi="Verdana" w:cs="Verdana"/>
                <w:color w:val="000000"/>
                <w:sz w:val="16"/>
                <w:lang w:val="en-GB"/>
              </w:rPr>
            </w:pPr>
            <w:r w:rsidRPr="00043A44">
              <w:rPr>
                <w:rFonts w:ascii="Verdana" w:eastAsia="Verdana" w:hAnsi="Verdana" w:cs="Verdana"/>
                <w:color w:val="000000"/>
                <w:sz w:val="16"/>
                <w:lang w:val="en-GB"/>
              </w:rPr>
              <w:t>£40,001 - £60,000</w:t>
            </w:r>
          </w:p>
        </w:tc>
        <w:tc>
          <w:tcPr>
            <w:tcW w:w="945" w:type="dxa"/>
            <w:shd w:val="clear" w:color="auto" w:fill="auto"/>
            <w:tcMar>
              <w:top w:w="20" w:type="dxa"/>
              <w:left w:w="20" w:type="dxa"/>
              <w:bottom w:w="20" w:type="dxa"/>
              <w:right w:w="20" w:type="dxa"/>
            </w:tcMar>
          </w:tcPr>
          <w:p w14:paraId="12177243" w14:textId="77777777" w:rsidR="009A45FE" w:rsidRPr="00043A44" w:rsidRDefault="009A45FE" w:rsidP="002D48D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p>
        </w:tc>
        <w:tc>
          <w:tcPr>
            <w:tcW w:w="945" w:type="dxa"/>
            <w:shd w:val="clear" w:color="auto" w:fill="auto"/>
            <w:tcMar>
              <w:top w:w="20" w:type="dxa"/>
              <w:left w:w="20" w:type="dxa"/>
              <w:bottom w:w="20" w:type="dxa"/>
              <w:right w:w="20" w:type="dxa"/>
            </w:tcMar>
          </w:tcPr>
          <w:p w14:paraId="288734DB" w14:textId="77777777" w:rsidR="009A45FE" w:rsidRPr="00043A44" w:rsidRDefault="009A45FE" w:rsidP="002D48D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05" w:type="dxa"/>
            <w:shd w:val="clear" w:color="auto" w:fill="auto"/>
            <w:tcMar>
              <w:top w:w="20" w:type="dxa"/>
              <w:left w:w="20" w:type="dxa"/>
              <w:bottom w:w="20" w:type="dxa"/>
              <w:right w:w="20" w:type="dxa"/>
            </w:tcMar>
          </w:tcPr>
          <w:p w14:paraId="66037818" w14:textId="77777777" w:rsidR="009A45FE" w:rsidRPr="00043A44" w:rsidRDefault="009A45FE" w:rsidP="002D48D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50,000</w:t>
            </w:r>
          </w:p>
        </w:tc>
        <w:tc>
          <w:tcPr>
            <w:tcW w:w="1305" w:type="dxa"/>
            <w:shd w:val="clear" w:color="auto" w:fill="auto"/>
            <w:tcMar>
              <w:top w:w="20" w:type="dxa"/>
              <w:left w:w="20" w:type="dxa"/>
              <w:bottom w:w="20" w:type="dxa"/>
              <w:right w:w="20" w:type="dxa"/>
            </w:tcMar>
          </w:tcPr>
          <w:p w14:paraId="2E2315F3" w14:textId="77777777" w:rsidR="009A45FE" w:rsidRPr="00043A44" w:rsidRDefault="009A45FE" w:rsidP="002D48D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9A45FE" w:rsidRPr="00043A44" w14:paraId="21274257" w14:textId="77777777" w:rsidTr="002D48D1">
        <w:trPr>
          <w:trHeight w:val="210"/>
          <w:jc w:val="center"/>
        </w:trPr>
        <w:tc>
          <w:tcPr>
            <w:tcW w:w="1980" w:type="dxa"/>
            <w:shd w:val="clear" w:color="auto" w:fill="auto"/>
            <w:tcMar>
              <w:top w:w="20" w:type="dxa"/>
              <w:left w:w="20" w:type="dxa"/>
              <w:bottom w:w="20" w:type="dxa"/>
              <w:right w:w="20" w:type="dxa"/>
            </w:tcMar>
            <w:vAlign w:val="center"/>
          </w:tcPr>
          <w:p w14:paraId="13A34989" w14:textId="77777777" w:rsidR="009A45FE" w:rsidRPr="00043A44" w:rsidRDefault="009A45FE" w:rsidP="002D48D1">
            <w:pPr>
              <w:pStyle w:val="T1TableStyle"/>
              <w:rPr>
                <w:rFonts w:ascii="Verdana" w:eastAsia="Verdana" w:hAnsi="Verdana" w:cs="Verdana"/>
                <w:color w:val="000000"/>
                <w:sz w:val="16"/>
                <w:lang w:val="en-GB"/>
              </w:rPr>
            </w:pPr>
            <w:r w:rsidRPr="00043A44">
              <w:rPr>
                <w:rFonts w:ascii="Verdana" w:eastAsia="Verdana" w:hAnsi="Verdana" w:cs="Verdana"/>
                <w:color w:val="000000"/>
                <w:sz w:val="16"/>
                <w:lang w:val="en-GB"/>
              </w:rPr>
              <w:t>£150000- £200000</w:t>
            </w:r>
          </w:p>
        </w:tc>
        <w:tc>
          <w:tcPr>
            <w:tcW w:w="945" w:type="dxa"/>
            <w:shd w:val="clear" w:color="auto" w:fill="auto"/>
            <w:tcMar>
              <w:top w:w="20" w:type="dxa"/>
              <w:left w:w="20" w:type="dxa"/>
              <w:bottom w:w="20" w:type="dxa"/>
              <w:right w:w="20" w:type="dxa"/>
            </w:tcMar>
          </w:tcPr>
          <w:p w14:paraId="7A48C736" w14:textId="77777777" w:rsidR="009A45FE" w:rsidRPr="00043A44" w:rsidRDefault="009A45FE" w:rsidP="002D48D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w:t>
            </w:r>
          </w:p>
        </w:tc>
        <w:tc>
          <w:tcPr>
            <w:tcW w:w="945" w:type="dxa"/>
            <w:shd w:val="clear" w:color="auto" w:fill="auto"/>
            <w:tcMar>
              <w:top w:w="20" w:type="dxa"/>
              <w:left w:w="20" w:type="dxa"/>
              <w:bottom w:w="20" w:type="dxa"/>
              <w:right w:w="20" w:type="dxa"/>
            </w:tcMar>
          </w:tcPr>
          <w:p w14:paraId="550F5688" w14:textId="77777777" w:rsidR="009A45FE" w:rsidRPr="00043A44" w:rsidRDefault="009A45FE" w:rsidP="002D48D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05" w:type="dxa"/>
            <w:shd w:val="clear" w:color="auto" w:fill="auto"/>
            <w:tcMar>
              <w:top w:w="20" w:type="dxa"/>
              <w:left w:w="20" w:type="dxa"/>
              <w:bottom w:w="20" w:type="dxa"/>
              <w:right w:w="20" w:type="dxa"/>
            </w:tcMar>
          </w:tcPr>
          <w:p w14:paraId="4877793F" w14:textId="77777777" w:rsidR="009A45FE" w:rsidRPr="00043A44" w:rsidRDefault="009A45FE" w:rsidP="002D48D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345,656</w:t>
            </w:r>
          </w:p>
        </w:tc>
        <w:tc>
          <w:tcPr>
            <w:tcW w:w="1305" w:type="dxa"/>
            <w:shd w:val="clear" w:color="auto" w:fill="auto"/>
            <w:tcMar>
              <w:top w:w="20" w:type="dxa"/>
              <w:left w:w="20" w:type="dxa"/>
              <w:bottom w:w="20" w:type="dxa"/>
              <w:right w:w="20" w:type="dxa"/>
            </w:tcMar>
          </w:tcPr>
          <w:p w14:paraId="2A73378F" w14:textId="77777777" w:rsidR="009A45FE" w:rsidRPr="00043A44" w:rsidRDefault="009A45FE" w:rsidP="002D48D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9A45FE" w:rsidRPr="00043A44" w14:paraId="1AAE7D40" w14:textId="77777777" w:rsidTr="002D48D1">
        <w:trPr>
          <w:trHeight w:val="225"/>
          <w:jc w:val="center"/>
        </w:trPr>
        <w:tc>
          <w:tcPr>
            <w:tcW w:w="198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A28D1D4" w14:textId="77777777" w:rsidR="009A45FE" w:rsidRPr="00043A44" w:rsidRDefault="009A45FE" w:rsidP="002D48D1">
            <w:pPr>
              <w:pStyle w:val="T1TableStyle"/>
              <w:rPr>
                <w:rFonts w:ascii="Verdana" w:eastAsia="Verdana" w:hAnsi="Verdana" w:cs="Verdana"/>
                <w:b/>
                <w:color w:val="000000"/>
                <w:sz w:val="16"/>
                <w:lang w:val="en-GB"/>
              </w:rPr>
            </w:pPr>
            <w:r w:rsidRPr="00043A44">
              <w:rPr>
                <w:rFonts w:ascii="Verdana" w:eastAsia="Verdana" w:hAnsi="Verdana" w:cs="Verdana"/>
                <w:b/>
                <w:color w:val="000000"/>
                <w:sz w:val="16"/>
                <w:lang w:val="en-GB"/>
              </w:rPr>
              <w:t>Total</w:t>
            </w:r>
          </w:p>
        </w:tc>
        <w:tc>
          <w:tcPr>
            <w:tcW w:w="945" w:type="dxa"/>
            <w:tcBorders>
              <w:top w:val="single" w:sz="2" w:space="0" w:color="000000"/>
              <w:bottom w:val="single" w:sz="12" w:space="0" w:color="000000"/>
            </w:tcBorders>
            <w:shd w:val="clear" w:color="auto" w:fill="auto"/>
            <w:tcMar>
              <w:top w:w="20" w:type="dxa"/>
              <w:left w:w="20" w:type="dxa"/>
              <w:bottom w:w="20" w:type="dxa"/>
              <w:right w:w="20" w:type="dxa"/>
            </w:tcMar>
          </w:tcPr>
          <w:p w14:paraId="0B06A423" w14:textId="77777777" w:rsidR="009A45FE" w:rsidRPr="00043A44" w:rsidRDefault="009A45FE" w:rsidP="002D48D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11</w:t>
            </w:r>
          </w:p>
        </w:tc>
        <w:tc>
          <w:tcPr>
            <w:tcW w:w="945" w:type="dxa"/>
            <w:tcBorders>
              <w:top w:val="single" w:sz="2" w:space="0" w:color="000000"/>
              <w:bottom w:val="single" w:sz="12" w:space="0" w:color="000000"/>
            </w:tcBorders>
            <w:shd w:val="clear" w:color="auto" w:fill="auto"/>
            <w:tcMar>
              <w:top w:w="20" w:type="dxa"/>
              <w:left w:w="20" w:type="dxa"/>
              <w:bottom w:w="20" w:type="dxa"/>
              <w:right w:w="20" w:type="dxa"/>
            </w:tcMar>
          </w:tcPr>
          <w:p w14:paraId="18D37868" w14:textId="77777777" w:rsidR="009A45FE" w:rsidRPr="00043A44" w:rsidRDefault="009A45FE" w:rsidP="002D48D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w:t>
            </w:r>
          </w:p>
        </w:tc>
        <w:tc>
          <w:tcPr>
            <w:tcW w:w="1305" w:type="dxa"/>
            <w:tcBorders>
              <w:top w:val="single" w:sz="2" w:space="0" w:color="000000"/>
              <w:bottom w:val="single" w:sz="12" w:space="0" w:color="000000"/>
            </w:tcBorders>
            <w:shd w:val="clear" w:color="auto" w:fill="auto"/>
            <w:tcMar>
              <w:top w:w="20" w:type="dxa"/>
              <w:left w:w="20" w:type="dxa"/>
              <w:bottom w:w="20" w:type="dxa"/>
              <w:right w:w="20" w:type="dxa"/>
            </w:tcMar>
          </w:tcPr>
          <w:p w14:paraId="03BEEF46" w14:textId="77777777" w:rsidR="009A45FE" w:rsidRPr="00043A44" w:rsidRDefault="009A45FE" w:rsidP="002D48D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502,167</w:t>
            </w:r>
          </w:p>
        </w:tc>
        <w:tc>
          <w:tcPr>
            <w:tcW w:w="1305" w:type="dxa"/>
            <w:tcBorders>
              <w:top w:val="single" w:sz="2" w:space="0" w:color="000000"/>
              <w:bottom w:val="single" w:sz="12" w:space="0" w:color="000000"/>
            </w:tcBorders>
            <w:shd w:val="clear" w:color="auto" w:fill="auto"/>
            <w:tcMar>
              <w:top w:w="20" w:type="dxa"/>
              <w:left w:w="20" w:type="dxa"/>
              <w:bottom w:w="20" w:type="dxa"/>
              <w:right w:w="20" w:type="dxa"/>
            </w:tcMar>
          </w:tcPr>
          <w:p w14:paraId="4EEDFA77" w14:textId="77777777" w:rsidR="009A45FE" w:rsidRPr="00043A44" w:rsidRDefault="009A45FE" w:rsidP="002D48D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41,218</w:t>
            </w:r>
          </w:p>
        </w:tc>
      </w:tr>
    </w:tbl>
    <w:p w14:paraId="3307C7CF" w14:textId="77777777" w:rsidR="009A45FE" w:rsidRDefault="009A45FE">
      <w:pPr>
        <w:pStyle w:val="T1TableStyle"/>
        <w:rPr>
          <w:rFonts w:ascii="Verdana" w:eastAsia="Verdana" w:hAnsi="Verdana" w:cs="Verdana"/>
          <w:sz w:val="22"/>
          <w:highlight w:val="yellow"/>
          <w:lang w:val="en-GB"/>
        </w:rPr>
      </w:pPr>
    </w:p>
    <w:p w14:paraId="4C891595" w14:textId="40004B85" w:rsidR="009A45FE" w:rsidRPr="00226191" w:rsidRDefault="009A45FE">
      <w:pPr>
        <w:pStyle w:val="T1TableStyle"/>
        <w:rPr>
          <w:rFonts w:ascii="Verdana" w:eastAsia="Verdana" w:hAnsi="Verdana" w:cs="Verdana"/>
          <w:sz w:val="22"/>
          <w:lang w:val="en-GB"/>
        </w:rPr>
      </w:pPr>
    </w:p>
    <w:p w14:paraId="420DD69C" w14:textId="512AC800" w:rsidR="00CA6653" w:rsidRPr="00226191" w:rsidRDefault="00226191">
      <w:pPr>
        <w:pStyle w:val="Normal0"/>
        <w:spacing w:after="160" w:line="259" w:lineRule="auto"/>
        <w:rPr>
          <w:rFonts w:ascii="Verdana" w:eastAsia="Verdana" w:hAnsi="Verdana" w:cs="Verdana"/>
          <w:sz w:val="22"/>
          <w:szCs w:val="22"/>
          <w:lang w:val="en-GB"/>
        </w:rPr>
      </w:pPr>
      <w:r w:rsidRPr="00226191">
        <w:rPr>
          <w:rFonts w:ascii="Verdana" w:eastAsia="Verdana" w:hAnsi="Verdana" w:cs="Verdana"/>
          <w:sz w:val="22"/>
          <w:szCs w:val="22"/>
          <w:lang w:val="en-GB"/>
        </w:rPr>
        <w:t>For t</w:t>
      </w:r>
      <w:r w:rsidR="00CA6653" w:rsidRPr="00226191">
        <w:rPr>
          <w:rFonts w:ascii="Verdana" w:eastAsia="Verdana" w:hAnsi="Verdana" w:cs="Verdana"/>
          <w:sz w:val="22"/>
          <w:szCs w:val="22"/>
          <w:lang w:val="en-GB"/>
        </w:rPr>
        <w:t xml:space="preserve">he numbers and total amounts of exit packages paid to employees of the Group </w:t>
      </w:r>
      <w:r w:rsidRPr="00226191">
        <w:rPr>
          <w:rFonts w:ascii="Verdana" w:eastAsia="Verdana" w:hAnsi="Verdana" w:cs="Verdana"/>
          <w:sz w:val="22"/>
          <w:szCs w:val="22"/>
          <w:lang w:val="en-GB"/>
        </w:rPr>
        <w:t>shown in the table above, a</w:t>
      </w:r>
      <w:r w:rsidR="00CA6653" w:rsidRPr="00226191">
        <w:rPr>
          <w:rFonts w:ascii="Verdana" w:eastAsia="Verdana" w:hAnsi="Verdana" w:cs="Verdana"/>
          <w:sz w:val="22"/>
          <w:szCs w:val="22"/>
          <w:lang w:val="en-GB"/>
        </w:rPr>
        <w:t>ll payments were voluntary redundancies.</w:t>
      </w:r>
    </w:p>
    <w:p w14:paraId="27EF0493" w14:textId="77777777" w:rsidR="00CA6653" w:rsidRPr="00226191" w:rsidRDefault="00CA6653">
      <w:pPr>
        <w:pStyle w:val="Normal0"/>
        <w:spacing w:after="160" w:line="259" w:lineRule="auto"/>
        <w:rPr>
          <w:rFonts w:ascii="Verdana" w:eastAsia="Verdana" w:hAnsi="Verdana" w:cs="Verdana"/>
          <w:sz w:val="22"/>
          <w:szCs w:val="22"/>
          <w:lang w:val="en-GB"/>
        </w:rPr>
      </w:pPr>
      <w:r w:rsidRPr="00226191">
        <w:rPr>
          <w:rFonts w:ascii="Verdana" w:eastAsia="Verdana" w:hAnsi="Verdana" w:cs="Verdana"/>
          <w:sz w:val="22"/>
          <w:szCs w:val="22"/>
          <w:lang w:val="en-GB"/>
        </w:rPr>
        <w:t>There were no exit packages paid to employees of the PCC.</w:t>
      </w:r>
    </w:p>
    <w:p w14:paraId="178F5671" w14:textId="77777777" w:rsidR="00B57D1B" w:rsidRPr="00226191" w:rsidRDefault="00B57D1B">
      <w:pPr>
        <w:pStyle w:val="Normal0"/>
        <w:spacing w:after="160" w:line="259" w:lineRule="auto"/>
        <w:rPr>
          <w:rFonts w:ascii="Verdana" w:eastAsia="Verdana" w:hAnsi="Verdana" w:cs="Verdana"/>
          <w:sz w:val="22"/>
          <w:szCs w:val="22"/>
          <w:lang w:val="en-GB"/>
        </w:rPr>
      </w:pPr>
    </w:p>
    <w:p w14:paraId="70F3FB20" w14:textId="77777777" w:rsidR="0069214E" w:rsidRPr="003516A4" w:rsidRDefault="0069214E">
      <w:pPr>
        <w:rPr>
          <w:rFonts w:asciiTheme="majorHAnsi" w:eastAsiaTheme="majorEastAsia" w:hAnsiTheme="majorHAnsi" w:cstheme="majorBidi"/>
          <w:color w:val="2E74B5" w:themeColor="accent1" w:themeShade="BF"/>
          <w:sz w:val="32"/>
          <w:szCs w:val="32"/>
          <w:highlight w:val="yellow"/>
          <w:lang w:val="pt-BR"/>
        </w:rPr>
      </w:pPr>
      <w:r w:rsidRPr="003516A4">
        <w:rPr>
          <w:highlight w:val="yellow"/>
        </w:rPr>
        <w:br w:type="page"/>
      </w:r>
    </w:p>
    <w:p w14:paraId="5AF5DECE" w14:textId="77777777" w:rsidR="00CA6653" w:rsidRPr="00EB17A7" w:rsidRDefault="00CA6653" w:rsidP="00A31A9E">
      <w:pPr>
        <w:pStyle w:val="Heading1"/>
      </w:pPr>
      <w:bookmarkStart w:id="41" w:name="_Toc75122794"/>
      <w:r w:rsidRPr="00EB17A7">
        <w:t>Note 2</w:t>
      </w:r>
      <w:r w:rsidR="00502D6C" w:rsidRPr="00EB17A7">
        <w:t>6</w:t>
      </w:r>
      <w:r w:rsidRPr="00EB17A7">
        <w:t xml:space="preserve"> - Defined Benefit Pension Scheme</w:t>
      </w:r>
      <w:bookmarkEnd w:id="41"/>
      <w:r w:rsidRPr="00EB17A7">
        <w:t xml:space="preserve"> </w:t>
      </w:r>
    </w:p>
    <w:p w14:paraId="25715922" w14:textId="77777777" w:rsidR="00CA6653" w:rsidRPr="00EB17A7" w:rsidRDefault="00CA6653" w:rsidP="001B120B">
      <w:pPr>
        <w:pStyle w:val="Normal0"/>
        <w:spacing w:after="160" w:line="259" w:lineRule="auto"/>
        <w:jc w:val="both"/>
        <w:rPr>
          <w:rFonts w:ascii="Verdana" w:hAnsi="Verdana"/>
          <w:sz w:val="22"/>
          <w:szCs w:val="22"/>
          <w:lang w:val="en-GB"/>
        </w:rPr>
      </w:pPr>
      <w:r w:rsidRPr="00EB17A7">
        <w:rPr>
          <w:rFonts w:ascii="Verdana" w:eastAsia="Calibri" w:hAnsi="Verdana" w:cs="Arial"/>
          <w:sz w:val="22"/>
          <w:szCs w:val="22"/>
          <w:lang w:val="en-GB"/>
        </w:rPr>
        <w:t>As part of the terms and conditions of employment of its officers and other employees, the Group offers retirement benefits. Although these benefits will not actually be payable until employees retire, the Group has a commitment to make the payments that need to be disclosed at the time that employees earn their future entitlement. These commitments are included in the Chief Constable's Accounts and consolidated into the Group Accounts.</w:t>
      </w:r>
    </w:p>
    <w:p w14:paraId="08752E18" w14:textId="77777777" w:rsidR="00CA6653" w:rsidRPr="00EB17A7" w:rsidRDefault="00CA6653" w:rsidP="001B120B">
      <w:pPr>
        <w:pStyle w:val="Normal0"/>
        <w:spacing w:after="160" w:line="259" w:lineRule="auto"/>
        <w:jc w:val="both"/>
        <w:rPr>
          <w:rFonts w:ascii="Verdana" w:hAnsi="Verdana"/>
          <w:sz w:val="22"/>
          <w:szCs w:val="22"/>
          <w:lang w:val="en-GB"/>
        </w:rPr>
      </w:pPr>
      <w:r w:rsidRPr="00EB17A7">
        <w:rPr>
          <w:rFonts w:ascii="Verdana" w:eastAsia="Calibri" w:hAnsi="Verdana" w:cs="Arial"/>
          <w:sz w:val="22"/>
          <w:szCs w:val="22"/>
          <w:lang w:val="en-GB"/>
        </w:rPr>
        <w:t>The Group participates in separate pension schemes for police staff and police officers:</w:t>
      </w:r>
    </w:p>
    <w:p w14:paraId="1275FFCD" w14:textId="77777777" w:rsidR="00CA6653" w:rsidRPr="00EB17A7" w:rsidRDefault="00CA6653" w:rsidP="001B120B">
      <w:pPr>
        <w:pStyle w:val="Normal0"/>
        <w:spacing w:after="160" w:line="259" w:lineRule="auto"/>
        <w:jc w:val="both"/>
        <w:rPr>
          <w:rFonts w:ascii="Verdana" w:hAnsi="Verdana"/>
          <w:sz w:val="22"/>
          <w:szCs w:val="22"/>
          <w:lang w:val="en-GB"/>
        </w:rPr>
      </w:pPr>
      <w:r w:rsidRPr="00EB17A7">
        <w:rPr>
          <w:rFonts w:ascii="Verdana" w:eastAsia="Calibri" w:hAnsi="Verdana" w:cs="Arial"/>
          <w:sz w:val="22"/>
          <w:szCs w:val="22"/>
          <w:lang w:val="en-GB"/>
        </w:rPr>
        <w:t>•</w:t>
      </w:r>
      <w:r w:rsidRPr="00EB17A7">
        <w:rPr>
          <w:rFonts w:ascii="Verdana" w:eastAsia="Calibri" w:hAnsi="Verdana" w:cs="Arial"/>
          <w:sz w:val="22"/>
          <w:szCs w:val="22"/>
          <w:lang w:val="en-GB"/>
        </w:rPr>
        <w:tab/>
      </w:r>
      <w:r w:rsidRPr="00EB17A7">
        <w:rPr>
          <w:rFonts w:ascii="Verdana" w:eastAsia="Calibri" w:hAnsi="Verdana" w:cs="Arial"/>
          <w:b/>
          <w:sz w:val="22"/>
          <w:szCs w:val="22"/>
          <w:lang w:val="en-GB"/>
        </w:rPr>
        <w:t>The Local Government Pension Scheme (LGPS) for police staff employees</w:t>
      </w:r>
      <w:r w:rsidRPr="00EB17A7">
        <w:rPr>
          <w:rFonts w:ascii="Verdana" w:eastAsia="Calibri" w:hAnsi="Verdana" w:cs="Arial"/>
          <w:sz w:val="22"/>
          <w:szCs w:val="22"/>
          <w:lang w:val="en-GB"/>
        </w:rPr>
        <w:t>, administered locally by Surrey County Council – this is a funded defined benefit scheme, meaning that the Group and employees pay contributions into a fund, calculated at a level intended to balance the pension liabilities with investment assets. Up to 31 March 2014 the scheme was based on final salary but from 1 April 2014 the scheme has been based on career average.</w:t>
      </w:r>
    </w:p>
    <w:p w14:paraId="53E30DF9" w14:textId="77777777" w:rsidR="00CA6653" w:rsidRPr="00EB17A7" w:rsidRDefault="00CA6653" w:rsidP="001B120B">
      <w:pPr>
        <w:pStyle w:val="Normal0"/>
        <w:spacing w:after="160" w:line="259" w:lineRule="auto"/>
        <w:jc w:val="both"/>
        <w:rPr>
          <w:rFonts w:ascii="Verdana" w:hAnsi="Verdana"/>
          <w:sz w:val="22"/>
          <w:szCs w:val="22"/>
          <w:lang w:val="en-GB"/>
        </w:rPr>
      </w:pPr>
      <w:r w:rsidRPr="00EB17A7">
        <w:rPr>
          <w:rFonts w:ascii="Verdana" w:eastAsia="Calibri" w:hAnsi="Verdana" w:cs="Arial"/>
          <w:sz w:val="22"/>
          <w:szCs w:val="22"/>
          <w:lang w:val="en-GB"/>
        </w:rPr>
        <w:t>•</w:t>
      </w:r>
      <w:r w:rsidRPr="00EB17A7">
        <w:rPr>
          <w:rFonts w:ascii="Verdana" w:eastAsia="Calibri" w:hAnsi="Verdana" w:cs="Arial"/>
          <w:sz w:val="22"/>
          <w:szCs w:val="22"/>
          <w:lang w:val="en-GB"/>
        </w:rPr>
        <w:tab/>
      </w:r>
      <w:r w:rsidRPr="00EB17A7">
        <w:rPr>
          <w:rFonts w:ascii="Verdana" w:eastAsia="Calibri" w:hAnsi="Verdana" w:cs="Arial"/>
          <w:b/>
          <w:sz w:val="22"/>
          <w:szCs w:val="22"/>
          <w:lang w:val="en-GB"/>
        </w:rPr>
        <w:t>The Police Pension Scheme for police officers</w:t>
      </w:r>
      <w:r w:rsidRPr="00EB17A7">
        <w:rPr>
          <w:rFonts w:ascii="Verdana" w:eastAsia="Calibri" w:hAnsi="Verdana" w:cs="Arial"/>
          <w:sz w:val="22"/>
          <w:szCs w:val="22"/>
          <w:lang w:val="en-GB"/>
        </w:rPr>
        <w:t xml:space="preserve"> – this is an unfunded defined benefit final salary scheme, the funding arrangements of which are contained in the Police Pension Fund Regulations 2007 (SI 2007/1932).  The Group and employees pay contributions into the fund during the year, but there is no investment assets built up to meet the pension liabilities and payments as they fall due. The regulations require that if the pension fund does not have enough funds to meet the cost of pensions in any year, the amount required to meet the deficit must be transferred from the Group to the pension fund. Subject to Parliamentary scrutiny and approval, up to 100% of this amount is then recouped by the Group in the form of a top-up grant paid by Central Government. Conversely, if the police pension fund is in surplus for the year, the surplus is required to be transferred from the pension fund to the Group, which in turn is required to pay the amount to central Government. </w:t>
      </w:r>
    </w:p>
    <w:p w14:paraId="489BF3A1" w14:textId="77777777" w:rsidR="00CA6653" w:rsidRPr="00EB17A7" w:rsidRDefault="00CA6653" w:rsidP="001B120B">
      <w:pPr>
        <w:pStyle w:val="Normal0"/>
        <w:spacing w:after="160" w:line="259" w:lineRule="auto"/>
        <w:jc w:val="both"/>
        <w:rPr>
          <w:rFonts w:ascii="Verdana" w:hAnsi="Verdana"/>
          <w:sz w:val="22"/>
          <w:szCs w:val="22"/>
          <w:lang w:val="en-GB"/>
        </w:rPr>
      </w:pPr>
      <w:r w:rsidRPr="00EB17A7">
        <w:rPr>
          <w:rFonts w:ascii="Verdana" w:eastAsia="Calibri" w:hAnsi="Verdana" w:cs="Arial"/>
          <w:sz w:val="22"/>
          <w:szCs w:val="22"/>
          <w:lang w:val="en-GB"/>
        </w:rPr>
        <w:t>The costs of retirement benefits are recognised in the Net Cost of Services when they are earned by employees, rather than when the benefits are eventually paid as pensions. In accordance with IAS 19 requirements, the amount includes current and past service costs, curtailments and settlements, together with the gains/losses on the police injury pension.  The current service cost and valuation of the Schemes as at 31 March 2019 have been produced by actuaries.  The following transactions reflect the total charges in the Chief Constable's Comprehensive Income and Expenditure Statement. Although these benefits will not actually be payable until employees retire, the Group has a commitment to make the payments for those benefits and to disclose them at the time the employee earns them.</w:t>
      </w:r>
    </w:p>
    <w:p w14:paraId="5E88F354" w14:textId="77777777" w:rsidR="00E245E6" w:rsidRDefault="00E245E6">
      <w:pPr>
        <w:pStyle w:val="Normal0"/>
        <w:spacing w:after="160" w:line="259" w:lineRule="auto"/>
        <w:rPr>
          <w:rFonts w:ascii="Verdana" w:eastAsia="Calibri" w:hAnsi="Verdana" w:cs="Arial"/>
          <w:b/>
          <w:sz w:val="22"/>
          <w:szCs w:val="22"/>
          <w:lang w:val="en-GB"/>
        </w:rPr>
      </w:pPr>
    </w:p>
    <w:p w14:paraId="21DE5017" w14:textId="77777777" w:rsidR="00CA6653" w:rsidRPr="00EB17A7" w:rsidRDefault="00CA6653">
      <w:pPr>
        <w:pStyle w:val="Normal0"/>
        <w:spacing w:after="160" w:line="259" w:lineRule="auto"/>
        <w:rPr>
          <w:rFonts w:ascii="Verdana" w:hAnsi="Verdana"/>
          <w:b/>
          <w:sz w:val="22"/>
          <w:szCs w:val="22"/>
          <w:lang w:val="en-GB"/>
        </w:rPr>
      </w:pPr>
      <w:r w:rsidRPr="00EB17A7">
        <w:rPr>
          <w:rFonts w:ascii="Verdana" w:eastAsia="Calibri" w:hAnsi="Verdana" w:cs="Arial"/>
          <w:b/>
          <w:sz w:val="22"/>
          <w:szCs w:val="22"/>
          <w:lang w:val="en-GB"/>
        </w:rPr>
        <w:t>McCloud / Sargeant judgement</w:t>
      </w:r>
    </w:p>
    <w:p w14:paraId="68B34BB5" w14:textId="77777777" w:rsidR="00CA6653" w:rsidRPr="00EB17A7" w:rsidRDefault="00CA6653" w:rsidP="001B120B">
      <w:pPr>
        <w:pStyle w:val="Normal0"/>
        <w:spacing w:after="160" w:line="259" w:lineRule="auto"/>
        <w:jc w:val="both"/>
        <w:rPr>
          <w:rFonts w:ascii="Verdana" w:hAnsi="Verdana"/>
          <w:sz w:val="22"/>
          <w:szCs w:val="22"/>
          <w:lang w:val="en-GB"/>
        </w:rPr>
      </w:pPr>
      <w:r w:rsidRPr="00EB17A7">
        <w:rPr>
          <w:rFonts w:ascii="Verdana" w:eastAsia="Calibri" w:hAnsi="Verdana" w:cs="Arial"/>
          <w:sz w:val="22"/>
          <w:szCs w:val="22"/>
          <w:lang w:val="en-GB"/>
        </w:rPr>
        <w:t>The Chief Constable of Surrey, along with the other Chief Constables and the Home Office, currently has a number of claims lodged against them with the Central London Employment Tribunal.  The claims are in respect of alleged unlawful discrimination arising from the Transitional Provisions in the Police Pension Regulations 2015.</w:t>
      </w:r>
    </w:p>
    <w:p w14:paraId="416C584A" w14:textId="77777777" w:rsidR="00CA6653" w:rsidRPr="00EB17A7" w:rsidRDefault="001B120B" w:rsidP="001B120B">
      <w:pPr>
        <w:pStyle w:val="Normal0"/>
        <w:spacing w:after="160" w:line="259" w:lineRule="auto"/>
        <w:jc w:val="both"/>
        <w:rPr>
          <w:rFonts w:ascii="Verdana" w:hAnsi="Verdana"/>
          <w:sz w:val="22"/>
          <w:szCs w:val="22"/>
        </w:rPr>
      </w:pPr>
      <w:r w:rsidRPr="00EB17A7">
        <w:rPr>
          <w:rFonts w:ascii="Verdana" w:hAnsi="Verdana"/>
          <w:sz w:val="22"/>
          <w:szCs w:val="22"/>
        </w:rPr>
        <w:t>The McCloud and Sargeant judgements concerned the introduction of career average revalued earnings (CARE) pension schemes to replace the former final salary based pension schemes as part of the Hutton recommendation to reform public service pension schemes. Under the changes introduced to each scheme, members were required to transfer to the new schemes from the transition date of the new schemes, this was 1 April 2014 for the police staff scheme (LGPS) and 1 April 2015 for the Police pension scheme.</w:t>
      </w:r>
    </w:p>
    <w:p w14:paraId="7483DA2F" w14:textId="77777777" w:rsidR="001B120B" w:rsidRPr="00EB17A7" w:rsidRDefault="001B120B" w:rsidP="001B120B">
      <w:pPr>
        <w:jc w:val="both"/>
      </w:pPr>
      <w:r w:rsidRPr="00EB17A7">
        <w:t>There was protection provided for older members under each scheme known as ‘transitional protection’. The McCloud and Sargeant judgements have upheld the claimants’ cases that the method of implementation of the new schemes discriminated against younger members. The government was refused leave to appeal the McCloud and Sargeant Judgements on 27 June 2019. This means various parties return to the respective employment tribunals to formulate a remedy which will resolve the age discrimination of the pension changes.</w:t>
      </w:r>
    </w:p>
    <w:p w14:paraId="01562BF9" w14:textId="77777777" w:rsidR="001B120B" w:rsidRPr="00EB17A7" w:rsidRDefault="001B120B" w:rsidP="001B120B">
      <w:pPr>
        <w:jc w:val="both"/>
        <w:rPr>
          <w:iCs/>
        </w:rPr>
      </w:pPr>
    </w:p>
    <w:p w14:paraId="28C37F96" w14:textId="77777777" w:rsidR="00EB17A7" w:rsidRDefault="00EB17A7" w:rsidP="00EB17A7">
      <w:pPr>
        <w:jc w:val="both"/>
      </w:pPr>
      <w:r w:rsidRPr="00EB17A7">
        <w:t>In respect of the Police pension schemes, a case management was held in October 2019 resulted in an Order including an interim declaration that claimants are entitled to be treated as if they had been given full transitional protection and had remained in their existing scheme after 1 April 2015. The Government later issued a Ministerial Statement on 25 March 2020 that non-claimants would also be treated in the same way. On 16 July 2020, HM Treasury issued a consultation on transitional arrangements for public sector pensions to eliminate discrimination identified via McCloud/Sargeant cases. This meant that members of the pension scheme on or before 31 March 2012 and on or after 1April to be eligible for the remedy.</w:t>
      </w:r>
    </w:p>
    <w:p w14:paraId="6F0255E9" w14:textId="77777777" w:rsidR="00EB17A7" w:rsidRDefault="00EB17A7" w:rsidP="00EB17A7">
      <w:pPr>
        <w:jc w:val="both"/>
      </w:pPr>
    </w:p>
    <w:p w14:paraId="47A6C33B" w14:textId="77777777" w:rsidR="00EB17A7" w:rsidRDefault="00EB17A7" w:rsidP="00EB17A7">
      <w:pPr>
        <w:jc w:val="both"/>
      </w:pPr>
      <w:r>
        <w:t xml:space="preserve">On 4 February 2021, HM Treasury issued a response to the consultation confirming remedy arrangement requirements that were set out in the consultation with members being given a choice as to whether they retain benefits from their legacy pension scheme, or their new scheme, during the remedy period of 2015 to 2022 so as not to disadvantage any of those members. This choice will be deferred for members until retirement which creates further uncertainty of impact for employers. The legacy pension schemes will then be removed from April 2022 and replaced by the new pension schemes originally introduced in 2015 as it was only the transitional arrangements that were found to be discriminatory, not the actual new pension schemes. </w:t>
      </w:r>
    </w:p>
    <w:p w14:paraId="639C8460" w14:textId="77777777" w:rsidR="00EB17A7" w:rsidRPr="00DF7ABB" w:rsidRDefault="00EB17A7" w:rsidP="00EB17A7">
      <w:pPr>
        <w:jc w:val="both"/>
        <w:rPr>
          <w:iCs/>
        </w:rPr>
      </w:pPr>
    </w:p>
    <w:p w14:paraId="068F3DD5" w14:textId="77777777" w:rsidR="00EB17A7" w:rsidRPr="003D06C5" w:rsidRDefault="00EB17A7" w:rsidP="00EB17A7">
      <w:pPr>
        <w:pStyle w:val="Normal0"/>
        <w:spacing w:after="160"/>
        <w:jc w:val="both"/>
        <w:rPr>
          <w:rFonts w:ascii="Verdana" w:hAnsi="Verdana"/>
          <w:iCs/>
          <w:sz w:val="22"/>
          <w:szCs w:val="22"/>
        </w:rPr>
      </w:pPr>
      <w:r w:rsidRPr="00DF7ABB">
        <w:rPr>
          <w:rFonts w:ascii="Verdana" w:hAnsi="Verdana"/>
          <w:iCs/>
          <w:sz w:val="22"/>
          <w:szCs w:val="22"/>
        </w:rPr>
        <w:t xml:space="preserve">IAS 19 pension actuarial reports include these impacts and provide for them within the 2020/21 accounts of the PCC Group for both police </w:t>
      </w:r>
      <w:r w:rsidRPr="003D06C5">
        <w:rPr>
          <w:rFonts w:ascii="Verdana" w:hAnsi="Verdana"/>
          <w:iCs/>
          <w:sz w:val="22"/>
          <w:szCs w:val="22"/>
        </w:rPr>
        <w:t>and staff pension schemes.</w:t>
      </w:r>
    </w:p>
    <w:p w14:paraId="08E73A4F" w14:textId="4927CB3E" w:rsidR="003D06C5" w:rsidRPr="003D06C5" w:rsidRDefault="003D06C5" w:rsidP="001B120B">
      <w:pPr>
        <w:pStyle w:val="Normal0"/>
        <w:spacing w:after="160" w:line="259" w:lineRule="auto"/>
        <w:jc w:val="both"/>
        <w:rPr>
          <w:rFonts w:ascii="Verdana" w:hAnsi="Verdana"/>
          <w:b/>
          <w:iCs/>
          <w:sz w:val="16"/>
          <w:szCs w:val="16"/>
        </w:rPr>
      </w:pPr>
      <w:r w:rsidRPr="003D06C5">
        <w:rPr>
          <w:rFonts w:ascii="Verdana" w:hAnsi="Verdana"/>
          <w:b/>
          <w:iCs/>
          <w:sz w:val="16"/>
          <w:szCs w:val="16"/>
        </w:rPr>
        <w:t>General Fund Transactions</w:t>
      </w:r>
    </w:p>
    <w:tbl>
      <w:tblPr>
        <w:tblW w:w="5179" w:type="pct"/>
        <w:tblLayout w:type="fixed"/>
        <w:tblLook w:val="04A0" w:firstRow="1" w:lastRow="0" w:firstColumn="1" w:lastColumn="0" w:noHBand="0" w:noVBand="1"/>
      </w:tblPr>
      <w:tblGrid>
        <w:gridCol w:w="1081"/>
        <w:gridCol w:w="1293"/>
        <w:gridCol w:w="1463"/>
        <w:gridCol w:w="1463"/>
        <w:gridCol w:w="3126"/>
        <w:gridCol w:w="1406"/>
        <w:gridCol w:w="1293"/>
        <w:gridCol w:w="1776"/>
        <w:gridCol w:w="1559"/>
      </w:tblGrid>
      <w:tr w:rsidR="0065570A" w:rsidRPr="0065570A" w14:paraId="69095217" w14:textId="77777777" w:rsidTr="0041394A">
        <w:trPr>
          <w:trHeight w:val="204"/>
        </w:trPr>
        <w:tc>
          <w:tcPr>
            <w:tcW w:w="1833" w:type="pct"/>
            <w:gridSpan w:val="4"/>
            <w:tcBorders>
              <w:top w:val="nil"/>
              <w:left w:val="nil"/>
              <w:bottom w:val="nil"/>
              <w:right w:val="nil"/>
            </w:tcBorders>
            <w:shd w:val="clear" w:color="000000" w:fill="FFFFFF"/>
            <w:noWrap/>
            <w:vAlign w:val="center"/>
            <w:hideMark/>
          </w:tcPr>
          <w:p w14:paraId="1AC49F93" w14:textId="16ACF725"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2019/20</w:t>
            </w:r>
          </w:p>
        </w:tc>
        <w:tc>
          <w:tcPr>
            <w:tcW w:w="1081" w:type="pct"/>
            <w:tcBorders>
              <w:top w:val="nil"/>
              <w:left w:val="nil"/>
              <w:bottom w:val="nil"/>
              <w:right w:val="nil"/>
            </w:tcBorders>
            <w:shd w:val="clear" w:color="000000" w:fill="FFFFFF"/>
            <w:noWrap/>
            <w:vAlign w:val="center"/>
            <w:hideMark/>
          </w:tcPr>
          <w:p w14:paraId="042A90B0" w14:textId="77777777" w:rsidR="0065570A" w:rsidRPr="0065570A" w:rsidRDefault="0065570A" w:rsidP="0065570A">
            <w:pP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2086" w:type="pct"/>
            <w:gridSpan w:val="4"/>
            <w:tcBorders>
              <w:top w:val="nil"/>
              <w:left w:val="nil"/>
              <w:bottom w:val="nil"/>
              <w:right w:val="nil"/>
            </w:tcBorders>
            <w:shd w:val="clear" w:color="000000" w:fill="FFFFFF"/>
            <w:noWrap/>
            <w:vAlign w:val="center"/>
            <w:hideMark/>
          </w:tcPr>
          <w:p w14:paraId="6FFD71F2" w14:textId="11EC7778" w:rsidR="0065570A" w:rsidRPr="0065570A" w:rsidRDefault="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20</w:t>
            </w:r>
            <w:r w:rsidR="0021180A">
              <w:rPr>
                <w:rFonts w:eastAsia="Times New Roman" w:cs="Calibri"/>
                <w:b/>
                <w:bCs/>
                <w:color w:val="000000"/>
                <w:sz w:val="16"/>
                <w:szCs w:val="16"/>
                <w:lang w:val="en-GB" w:eastAsia="en-GB"/>
              </w:rPr>
              <w:t>20</w:t>
            </w:r>
            <w:r w:rsidRPr="0065570A">
              <w:rPr>
                <w:rFonts w:eastAsia="Times New Roman" w:cs="Calibri"/>
                <w:b/>
                <w:bCs/>
                <w:color w:val="000000"/>
                <w:sz w:val="16"/>
                <w:szCs w:val="16"/>
                <w:lang w:val="en-GB" w:eastAsia="en-GB"/>
              </w:rPr>
              <w:t>/2</w:t>
            </w:r>
            <w:r w:rsidR="0021180A">
              <w:rPr>
                <w:rFonts w:eastAsia="Times New Roman" w:cs="Calibri"/>
                <w:b/>
                <w:bCs/>
                <w:color w:val="000000"/>
                <w:sz w:val="16"/>
                <w:szCs w:val="16"/>
                <w:lang w:val="en-GB" w:eastAsia="en-GB"/>
              </w:rPr>
              <w:t>1</w:t>
            </w:r>
          </w:p>
        </w:tc>
      </w:tr>
      <w:tr w:rsidR="0065570A" w:rsidRPr="0065570A" w14:paraId="69816696" w14:textId="77777777" w:rsidTr="0041394A">
        <w:trPr>
          <w:trHeight w:val="204"/>
        </w:trPr>
        <w:tc>
          <w:tcPr>
            <w:tcW w:w="374" w:type="pct"/>
            <w:tcBorders>
              <w:top w:val="nil"/>
              <w:left w:val="nil"/>
              <w:right w:val="nil"/>
            </w:tcBorders>
            <w:shd w:val="clear" w:color="000000" w:fill="FFFFFF"/>
            <w:noWrap/>
            <w:vAlign w:val="center"/>
            <w:hideMark/>
          </w:tcPr>
          <w:p w14:paraId="259F1BE4"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PCC LGPS </w:t>
            </w:r>
          </w:p>
        </w:tc>
        <w:tc>
          <w:tcPr>
            <w:tcW w:w="447" w:type="pct"/>
            <w:tcBorders>
              <w:top w:val="nil"/>
              <w:left w:val="nil"/>
              <w:right w:val="nil"/>
            </w:tcBorders>
            <w:shd w:val="clear" w:color="000000" w:fill="FFFFFF"/>
            <w:noWrap/>
            <w:vAlign w:val="center"/>
            <w:hideMark/>
          </w:tcPr>
          <w:p w14:paraId="63FDC401"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CC LGPS </w:t>
            </w:r>
          </w:p>
        </w:tc>
        <w:tc>
          <w:tcPr>
            <w:tcW w:w="506" w:type="pct"/>
            <w:tcBorders>
              <w:top w:val="nil"/>
              <w:left w:val="nil"/>
              <w:right w:val="nil"/>
            </w:tcBorders>
            <w:shd w:val="clear" w:color="000000" w:fill="FFFFFF"/>
            <w:vAlign w:val="center"/>
            <w:hideMark/>
          </w:tcPr>
          <w:p w14:paraId="195553D3"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Police Officers</w:t>
            </w:r>
          </w:p>
        </w:tc>
        <w:tc>
          <w:tcPr>
            <w:tcW w:w="506" w:type="pct"/>
            <w:tcBorders>
              <w:top w:val="nil"/>
              <w:left w:val="nil"/>
              <w:right w:val="nil"/>
            </w:tcBorders>
            <w:shd w:val="clear" w:color="000000" w:fill="FFFFFF"/>
            <w:vAlign w:val="center"/>
            <w:hideMark/>
          </w:tcPr>
          <w:p w14:paraId="797D89FC"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Total</w:t>
            </w:r>
          </w:p>
        </w:tc>
        <w:tc>
          <w:tcPr>
            <w:tcW w:w="1081" w:type="pct"/>
            <w:tcBorders>
              <w:top w:val="nil"/>
              <w:left w:val="nil"/>
              <w:bottom w:val="nil"/>
              <w:right w:val="nil"/>
            </w:tcBorders>
            <w:shd w:val="clear" w:color="000000" w:fill="FFFFFF"/>
            <w:noWrap/>
            <w:vAlign w:val="center"/>
            <w:hideMark/>
          </w:tcPr>
          <w:p w14:paraId="60237B8F" w14:textId="77777777" w:rsidR="0065570A" w:rsidRPr="0065570A" w:rsidRDefault="0065570A" w:rsidP="0065570A">
            <w:pP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4C481642"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PCC LGPS </w:t>
            </w:r>
          </w:p>
        </w:tc>
        <w:tc>
          <w:tcPr>
            <w:tcW w:w="447" w:type="pct"/>
            <w:tcBorders>
              <w:top w:val="nil"/>
              <w:left w:val="nil"/>
              <w:bottom w:val="nil"/>
              <w:right w:val="nil"/>
            </w:tcBorders>
            <w:shd w:val="clear" w:color="000000" w:fill="FFFFFF"/>
            <w:noWrap/>
            <w:vAlign w:val="center"/>
            <w:hideMark/>
          </w:tcPr>
          <w:p w14:paraId="048ABEBE"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CC LGPS </w:t>
            </w:r>
          </w:p>
        </w:tc>
        <w:tc>
          <w:tcPr>
            <w:tcW w:w="614" w:type="pct"/>
            <w:tcBorders>
              <w:top w:val="nil"/>
              <w:left w:val="nil"/>
              <w:bottom w:val="nil"/>
              <w:right w:val="nil"/>
            </w:tcBorders>
            <w:shd w:val="clear" w:color="000000" w:fill="FFFFFF"/>
            <w:vAlign w:val="center"/>
            <w:hideMark/>
          </w:tcPr>
          <w:p w14:paraId="59C42D8D"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Police Officers</w:t>
            </w:r>
          </w:p>
        </w:tc>
        <w:tc>
          <w:tcPr>
            <w:tcW w:w="538" w:type="pct"/>
            <w:tcBorders>
              <w:top w:val="nil"/>
              <w:left w:val="nil"/>
              <w:bottom w:val="nil"/>
              <w:right w:val="nil"/>
            </w:tcBorders>
            <w:shd w:val="clear" w:color="000000" w:fill="FFFFFF"/>
            <w:vAlign w:val="center"/>
            <w:hideMark/>
          </w:tcPr>
          <w:p w14:paraId="561472B5"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Total</w:t>
            </w:r>
          </w:p>
        </w:tc>
      </w:tr>
      <w:tr w:rsidR="0065570A" w:rsidRPr="0065570A" w14:paraId="5E84546D" w14:textId="77777777" w:rsidTr="0041394A">
        <w:trPr>
          <w:trHeight w:val="204"/>
        </w:trPr>
        <w:tc>
          <w:tcPr>
            <w:tcW w:w="374" w:type="pct"/>
            <w:tcBorders>
              <w:top w:val="nil"/>
              <w:left w:val="nil"/>
              <w:bottom w:val="single" w:sz="4" w:space="0" w:color="auto"/>
              <w:right w:val="nil"/>
            </w:tcBorders>
            <w:shd w:val="clear" w:color="000000" w:fill="FFFFFF"/>
            <w:noWrap/>
            <w:vAlign w:val="center"/>
            <w:hideMark/>
          </w:tcPr>
          <w:p w14:paraId="24498AB8"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447" w:type="pct"/>
            <w:tcBorders>
              <w:top w:val="nil"/>
              <w:left w:val="nil"/>
              <w:bottom w:val="single" w:sz="4" w:space="0" w:color="auto"/>
              <w:right w:val="nil"/>
            </w:tcBorders>
            <w:shd w:val="clear" w:color="000000" w:fill="FFFFFF"/>
            <w:noWrap/>
            <w:vAlign w:val="center"/>
            <w:hideMark/>
          </w:tcPr>
          <w:p w14:paraId="345B82D8"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06" w:type="pct"/>
            <w:tcBorders>
              <w:top w:val="nil"/>
              <w:left w:val="nil"/>
              <w:bottom w:val="single" w:sz="4" w:space="0" w:color="auto"/>
              <w:right w:val="nil"/>
            </w:tcBorders>
            <w:shd w:val="clear" w:color="000000" w:fill="FFFFFF"/>
            <w:noWrap/>
            <w:vAlign w:val="center"/>
            <w:hideMark/>
          </w:tcPr>
          <w:p w14:paraId="35B775AE"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06" w:type="pct"/>
            <w:tcBorders>
              <w:top w:val="nil"/>
              <w:left w:val="nil"/>
              <w:bottom w:val="single" w:sz="4" w:space="0" w:color="auto"/>
              <w:right w:val="nil"/>
            </w:tcBorders>
            <w:shd w:val="clear" w:color="000000" w:fill="FFFFFF"/>
            <w:noWrap/>
            <w:vAlign w:val="center"/>
            <w:hideMark/>
          </w:tcPr>
          <w:p w14:paraId="5A2A6C8D"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1081" w:type="pct"/>
            <w:tcBorders>
              <w:top w:val="nil"/>
              <w:left w:val="nil"/>
              <w:bottom w:val="nil"/>
              <w:right w:val="nil"/>
            </w:tcBorders>
            <w:shd w:val="clear" w:color="000000" w:fill="FFFFFF"/>
            <w:noWrap/>
            <w:vAlign w:val="center"/>
            <w:hideMark/>
          </w:tcPr>
          <w:p w14:paraId="28933CFC"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33974845"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447" w:type="pct"/>
            <w:tcBorders>
              <w:top w:val="nil"/>
              <w:left w:val="nil"/>
              <w:bottom w:val="nil"/>
              <w:right w:val="nil"/>
            </w:tcBorders>
            <w:shd w:val="clear" w:color="000000" w:fill="FFFFFF"/>
            <w:noWrap/>
            <w:vAlign w:val="center"/>
            <w:hideMark/>
          </w:tcPr>
          <w:p w14:paraId="4DBC45CC"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614" w:type="pct"/>
            <w:tcBorders>
              <w:top w:val="nil"/>
              <w:left w:val="nil"/>
              <w:bottom w:val="nil"/>
              <w:right w:val="nil"/>
            </w:tcBorders>
            <w:shd w:val="clear" w:color="000000" w:fill="FFFFFF"/>
            <w:noWrap/>
            <w:vAlign w:val="center"/>
            <w:hideMark/>
          </w:tcPr>
          <w:p w14:paraId="4ACE8EEE"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38" w:type="pct"/>
            <w:tcBorders>
              <w:top w:val="nil"/>
              <w:left w:val="nil"/>
              <w:bottom w:val="nil"/>
              <w:right w:val="nil"/>
            </w:tcBorders>
            <w:shd w:val="clear" w:color="000000" w:fill="FFFFFF"/>
            <w:noWrap/>
            <w:vAlign w:val="center"/>
            <w:hideMark/>
          </w:tcPr>
          <w:p w14:paraId="714E28E9"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r>
      <w:tr w:rsidR="0065570A" w:rsidRPr="0065570A" w14:paraId="17F71195" w14:textId="77777777" w:rsidTr="0041394A">
        <w:trPr>
          <w:trHeight w:val="204"/>
        </w:trPr>
        <w:tc>
          <w:tcPr>
            <w:tcW w:w="1833" w:type="pct"/>
            <w:gridSpan w:val="4"/>
            <w:tcBorders>
              <w:top w:val="single" w:sz="4" w:space="0" w:color="auto"/>
              <w:left w:val="nil"/>
              <w:bottom w:val="nil"/>
              <w:right w:val="nil"/>
            </w:tcBorders>
            <w:shd w:val="clear" w:color="000000" w:fill="FFFFFF"/>
            <w:noWrap/>
            <w:vAlign w:val="center"/>
            <w:hideMark/>
          </w:tcPr>
          <w:p w14:paraId="15A7B517" w14:textId="77777777" w:rsidR="0065570A" w:rsidRPr="0065570A" w:rsidRDefault="0065570A" w:rsidP="00B966B3">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Comprehensive Income and Expenditure Statement</w:t>
            </w:r>
          </w:p>
        </w:tc>
        <w:tc>
          <w:tcPr>
            <w:tcW w:w="1081" w:type="pct"/>
            <w:tcBorders>
              <w:top w:val="single" w:sz="4" w:space="0" w:color="auto"/>
              <w:left w:val="nil"/>
              <w:bottom w:val="nil"/>
              <w:right w:val="nil"/>
            </w:tcBorders>
            <w:shd w:val="clear" w:color="000000" w:fill="FFFFFF"/>
            <w:noWrap/>
            <w:vAlign w:val="center"/>
            <w:hideMark/>
          </w:tcPr>
          <w:p w14:paraId="5DDADE83" w14:textId="77777777" w:rsidR="0065570A" w:rsidRPr="0065570A" w:rsidRDefault="0065570A" w:rsidP="0065570A">
            <w:pPr>
              <w:ind w:firstLineChars="100" w:firstLine="161"/>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single" w:sz="4" w:space="0" w:color="auto"/>
              <w:left w:val="nil"/>
              <w:bottom w:val="nil"/>
              <w:right w:val="nil"/>
            </w:tcBorders>
            <w:shd w:val="clear" w:color="000000" w:fill="FFFFFF"/>
            <w:noWrap/>
            <w:vAlign w:val="center"/>
            <w:hideMark/>
          </w:tcPr>
          <w:p w14:paraId="3097396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single" w:sz="4" w:space="0" w:color="auto"/>
              <w:left w:val="nil"/>
              <w:bottom w:val="nil"/>
              <w:right w:val="nil"/>
            </w:tcBorders>
            <w:shd w:val="clear" w:color="000000" w:fill="FFFFFF"/>
            <w:noWrap/>
            <w:vAlign w:val="center"/>
            <w:hideMark/>
          </w:tcPr>
          <w:p w14:paraId="3482214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single" w:sz="4" w:space="0" w:color="auto"/>
              <w:left w:val="nil"/>
              <w:bottom w:val="nil"/>
              <w:right w:val="nil"/>
            </w:tcBorders>
            <w:shd w:val="clear" w:color="000000" w:fill="FFFFFF"/>
            <w:noWrap/>
            <w:vAlign w:val="center"/>
            <w:hideMark/>
          </w:tcPr>
          <w:p w14:paraId="7F425F4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single" w:sz="4" w:space="0" w:color="auto"/>
              <w:left w:val="nil"/>
              <w:bottom w:val="nil"/>
              <w:right w:val="nil"/>
            </w:tcBorders>
            <w:shd w:val="clear" w:color="000000" w:fill="FFFFFF"/>
            <w:noWrap/>
            <w:vAlign w:val="center"/>
            <w:hideMark/>
          </w:tcPr>
          <w:p w14:paraId="304D13A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09135D04" w14:textId="77777777" w:rsidTr="0041394A">
        <w:trPr>
          <w:trHeight w:val="204"/>
        </w:trPr>
        <w:tc>
          <w:tcPr>
            <w:tcW w:w="821" w:type="pct"/>
            <w:gridSpan w:val="2"/>
            <w:tcBorders>
              <w:top w:val="nil"/>
              <w:left w:val="nil"/>
              <w:bottom w:val="nil"/>
              <w:right w:val="nil"/>
            </w:tcBorders>
            <w:shd w:val="clear" w:color="000000" w:fill="FFFFFF"/>
            <w:noWrap/>
            <w:vAlign w:val="center"/>
            <w:hideMark/>
          </w:tcPr>
          <w:p w14:paraId="7C6A51E6" w14:textId="77777777" w:rsidR="0065570A" w:rsidRPr="0065570A" w:rsidRDefault="0065570A" w:rsidP="00B966B3">
            <w:pPr>
              <w:ind w:firstLineChars="100" w:firstLine="161"/>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Cost of Services</w:t>
            </w:r>
          </w:p>
        </w:tc>
        <w:tc>
          <w:tcPr>
            <w:tcW w:w="506" w:type="pct"/>
            <w:tcBorders>
              <w:top w:val="nil"/>
              <w:left w:val="nil"/>
              <w:bottom w:val="nil"/>
              <w:right w:val="nil"/>
            </w:tcBorders>
            <w:shd w:val="clear" w:color="000000" w:fill="FFFFFF"/>
            <w:noWrap/>
            <w:vAlign w:val="center"/>
            <w:hideMark/>
          </w:tcPr>
          <w:p w14:paraId="15D4DD6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223F04E6" w14:textId="77777777" w:rsidR="0065570A" w:rsidRPr="0065570A" w:rsidRDefault="0065570A" w:rsidP="0065570A">
            <w:pPr>
              <w:ind w:firstLineChars="100" w:firstLine="161"/>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66ABB9C7" w14:textId="77777777" w:rsidR="0065570A" w:rsidRPr="0065570A" w:rsidRDefault="0065570A" w:rsidP="0065570A">
            <w:pPr>
              <w:ind w:firstLineChars="100" w:firstLine="161"/>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6502F96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3E26FD1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78C96F2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62B9B2F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0218003C" w14:textId="77777777" w:rsidTr="0041394A">
        <w:trPr>
          <w:trHeight w:val="204"/>
        </w:trPr>
        <w:tc>
          <w:tcPr>
            <w:tcW w:w="374" w:type="pct"/>
            <w:tcBorders>
              <w:top w:val="nil"/>
              <w:left w:val="nil"/>
              <w:bottom w:val="nil"/>
              <w:right w:val="nil"/>
            </w:tcBorders>
            <w:shd w:val="clear" w:color="000000" w:fill="FFFFFF"/>
            <w:noWrap/>
            <w:vAlign w:val="center"/>
            <w:hideMark/>
          </w:tcPr>
          <w:p w14:paraId="46E4072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34F3D69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097CFE4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1B33E14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30573C50"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Service cost comprising:</w:t>
            </w:r>
          </w:p>
        </w:tc>
        <w:tc>
          <w:tcPr>
            <w:tcW w:w="486" w:type="pct"/>
            <w:tcBorders>
              <w:top w:val="nil"/>
              <w:left w:val="nil"/>
              <w:bottom w:val="nil"/>
              <w:right w:val="nil"/>
            </w:tcBorders>
            <w:shd w:val="clear" w:color="000000" w:fill="FFFFFF"/>
            <w:noWrap/>
            <w:vAlign w:val="center"/>
            <w:hideMark/>
          </w:tcPr>
          <w:p w14:paraId="1DB18DC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3F98AE0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5F5A5A1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283E88E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6DB471B7" w14:textId="77777777" w:rsidTr="0041394A">
        <w:trPr>
          <w:trHeight w:val="204"/>
        </w:trPr>
        <w:tc>
          <w:tcPr>
            <w:tcW w:w="374" w:type="pct"/>
            <w:tcBorders>
              <w:top w:val="nil"/>
              <w:left w:val="nil"/>
              <w:bottom w:val="nil"/>
              <w:right w:val="nil"/>
            </w:tcBorders>
            <w:shd w:val="clear" w:color="000000" w:fill="FFFFFF"/>
            <w:noWrap/>
            <w:vAlign w:val="center"/>
            <w:hideMark/>
          </w:tcPr>
          <w:p w14:paraId="6DCDB53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207</w:t>
            </w:r>
          </w:p>
        </w:tc>
        <w:tc>
          <w:tcPr>
            <w:tcW w:w="447" w:type="pct"/>
            <w:tcBorders>
              <w:top w:val="nil"/>
              <w:left w:val="nil"/>
              <w:bottom w:val="nil"/>
              <w:right w:val="nil"/>
            </w:tcBorders>
            <w:shd w:val="clear" w:color="000000" w:fill="FFFFFF"/>
            <w:noWrap/>
            <w:vAlign w:val="center"/>
            <w:hideMark/>
          </w:tcPr>
          <w:p w14:paraId="07AEF54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20,410</w:t>
            </w:r>
          </w:p>
        </w:tc>
        <w:tc>
          <w:tcPr>
            <w:tcW w:w="506" w:type="pct"/>
            <w:tcBorders>
              <w:top w:val="nil"/>
              <w:left w:val="nil"/>
              <w:bottom w:val="nil"/>
              <w:right w:val="nil"/>
            </w:tcBorders>
            <w:shd w:val="clear" w:color="000000" w:fill="FFFFFF"/>
            <w:noWrap/>
            <w:vAlign w:val="center"/>
            <w:hideMark/>
          </w:tcPr>
          <w:p w14:paraId="5E036E0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54,660</w:t>
            </w:r>
          </w:p>
        </w:tc>
        <w:tc>
          <w:tcPr>
            <w:tcW w:w="506" w:type="pct"/>
            <w:tcBorders>
              <w:top w:val="nil"/>
              <w:left w:val="nil"/>
              <w:bottom w:val="nil"/>
              <w:right w:val="nil"/>
            </w:tcBorders>
            <w:shd w:val="clear" w:color="000000" w:fill="FFFFFF"/>
            <w:noWrap/>
            <w:vAlign w:val="center"/>
            <w:hideMark/>
          </w:tcPr>
          <w:p w14:paraId="44A1750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75,277</w:t>
            </w:r>
          </w:p>
        </w:tc>
        <w:tc>
          <w:tcPr>
            <w:tcW w:w="1081" w:type="pct"/>
            <w:tcBorders>
              <w:top w:val="nil"/>
              <w:left w:val="nil"/>
              <w:bottom w:val="nil"/>
              <w:right w:val="nil"/>
            </w:tcBorders>
            <w:shd w:val="clear" w:color="000000" w:fill="FFFFFF"/>
            <w:noWrap/>
            <w:vAlign w:val="center"/>
            <w:hideMark/>
          </w:tcPr>
          <w:p w14:paraId="0112C5D7"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Current service cost</w:t>
            </w:r>
          </w:p>
        </w:tc>
        <w:tc>
          <w:tcPr>
            <w:tcW w:w="486" w:type="pct"/>
            <w:tcBorders>
              <w:top w:val="nil"/>
              <w:left w:val="nil"/>
              <w:bottom w:val="nil"/>
              <w:right w:val="nil"/>
            </w:tcBorders>
            <w:shd w:val="clear" w:color="000000" w:fill="FFFFFF"/>
            <w:noWrap/>
            <w:vAlign w:val="center"/>
            <w:hideMark/>
          </w:tcPr>
          <w:p w14:paraId="483C831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213</w:t>
            </w:r>
          </w:p>
        </w:tc>
        <w:tc>
          <w:tcPr>
            <w:tcW w:w="447" w:type="pct"/>
            <w:tcBorders>
              <w:top w:val="nil"/>
              <w:left w:val="nil"/>
              <w:bottom w:val="nil"/>
              <w:right w:val="nil"/>
            </w:tcBorders>
            <w:shd w:val="clear" w:color="000000" w:fill="FFFFFF"/>
            <w:noWrap/>
            <w:vAlign w:val="center"/>
            <w:hideMark/>
          </w:tcPr>
          <w:p w14:paraId="547E468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17,786</w:t>
            </w:r>
          </w:p>
        </w:tc>
        <w:tc>
          <w:tcPr>
            <w:tcW w:w="614" w:type="pct"/>
            <w:tcBorders>
              <w:top w:val="nil"/>
              <w:left w:val="nil"/>
              <w:bottom w:val="nil"/>
              <w:right w:val="nil"/>
            </w:tcBorders>
            <w:shd w:val="clear" w:color="000000" w:fill="FFFFFF"/>
            <w:noWrap/>
            <w:vAlign w:val="center"/>
            <w:hideMark/>
          </w:tcPr>
          <w:p w14:paraId="0B6566D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53,250</w:t>
            </w:r>
          </w:p>
        </w:tc>
        <w:tc>
          <w:tcPr>
            <w:tcW w:w="538" w:type="pct"/>
            <w:tcBorders>
              <w:top w:val="nil"/>
              <w:left w:val="nil"/>
              <w:bottom w:val="nil"/>
              <w:right w:val="nil"/>
            </w:tcBorders>
            <w:shd w:val="clear" w:color="000000" w:fill="FFFFFF"/>
            <w:noWrap/>
            <w:vAlign w:val="center"/>
            <w:hideMark/>
          </w:tcPr>
          <w:p w14:paraId="4C26205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71,249</w:t>
            </w:r>
          </w:p>
        </w:tc>
      </w:tr>
      <w:tr w:rsidR="0065570A" w:rsidRPr="0065570A" w14:paraId="6D48D5B8" w14:textId="77777777" w:rsidTr="0041394A">
        <w:trPr>
          <w:trHeight w:val="204"/>
        </w:trPr>
        <w:tc>
          <w:tcPr>
            <w:tcW w:w="374" w:type="pct"/>
            <w:tcBorders>
              <w:top w:val="nil"/>
              <w:left w:val="nil"/>
              <w:bottom w:val="nil"/>
              <w:right w:val="nil"/>
            </w:tcBorders>
            <w:shd w:val="clear" w:color="000000" w:fill="FFFFFF"/>
            <w:noWrap/>
            <w:vAlign w:val="center"/>
            <w:hideMark/>
          </w:tcPr>
          <w:p w14:paraId="3E7B62D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(18)</w:t>
            </w:r>
          </w:p>
        </w:tc>
        <w:tc>
          <w:tcPr>
            <w:tcW w:w="447" w:type="pct"/>
            <w:tcBorders>
              <w:top w:val="nil"/>
              <w:left w:val="nil"/>
              <w:bottom w:val="nil"/>
              <w:right w:val="nil"/>
            </w:tcBorders>
            <w:shd w:val="clear" w:color="000000" w:fill="FFFFFF"/>
            <w:noWrap/>
            <w:vAlign w:val="center"/>
            <w:hideMark/>
          </w:tcPr>
          <w:p w14:paraId="1E8B47D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(1,054)</w:t>
            </w:r>
          </w:p>
        </w:tc>
        <w:tc>
          <w:tcPr>
            <w:tcW w:w="506" w:type="pct"/>
            <w:tcBorders>
              <w:top w:val="nil"/>
              <w:left w:val="nil"/>
              <w:bottom w:val="nil"/>
              <w:right w:val="nil"/>
            </w:tcBorders>
            <w:shd w:val="clear" w:color="000000" w:fill="FFFFFF"/>
            <w:noWrap/>
            <w:vAlign w:val="center"/>
            <w:hideMark/>
          </w:tcPr>
          <w:p w14:paraId="604FE15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(13,950)</w:t>
            </w:r>
          </w:p>
        </w:tc>
        <w:tc>
          <w:tcPr>
            <w:tcW w:w="506" w:type="pct"/>
            <w:tcBorders>
              <w:top w:val="nil"/>
              <w:left w:val="nil"/>
              <w:bottom w:val="nil"/>
              <w:right w:val="nil"/>
            </w:tcBorders>
            <w:shd w:val="clear" w:color="000000" w:fill="FFFFFF"/>
            <w:noWrap/>
            <w:vAlign w:val="center"/>
            <w:hideMark/>
          </w:tcPr>
          <w:p w14:paraId="738599F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(15,022)</w:t>
            </w:r>
          </w:p>
        </w:tc>
        <w:tc>
          <w:tcPr>
            <w:tcW w:w="1081" w:type="pct"/>
            <w:tcBorders>
              <w:top w:val="nil"/>
              <w:left w:val="nil"/>
              <w:bottom w:val="nil"/>
              <w:right w:val="nil"/>
            </w:tcBorders>
            <w:shd w:val="clear" w:color="000000" w:fill="FFFFFF"/>
            <w:noWrap/>
            <w:vAlign w:val="center"/>
            <w:hideMark/>
          </w:tcPr>
          <w:p w14:paraId="6770186E"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Past service cost</w:t>
            </w:r>
          </w:p>
        </w:tc>
        <w:tc>
          <w:tcPr>
            <w:tcW w:w="486" w:type="pct"/>
            <w:tcBorders>
              <w:top w:val="nil"/>
              <w:left w:val="nil"/>
              <w:bottom w:val="nil"/>
              <w:right w:val="nil"/>
            </w:tcBorders>
            <w:shd w:val="clear" w:color="000000" w:fill="FFFFFF"/>
            <w:noWrap/>
            <w:vAlign w:val="center"/>
            <w:hideMark/>
          </w:tcPr>
          <w:p w14:paraId="5266184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447" w:type="pct"/>
            <w:tcBorders>
              <w:top w:val="nil"/>
              <w:left w:val="nil"/>
              <w:bottom w:val="nil"/>
              <w:right w:val="nil"/>
            </w:tcBorders>
            <w:shd w:val="clear" w:color="000000" w:fill="FFFFFF"/>
            <w:noWrap/>
            <w:vAlign w:val="center"/>
            <w:hideMark/>
          </w:tcPr>
          <w:p w14:paraId="31BEB10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614" w:type="pct"/>
            <w:tcBorders>
              <w:top w:val="nil"/>
              <w:left w:val="nil"/>
              <w:bottom w:val="nil"/>
              <w:right w:val="nil"/>
            </w:tcBorders>
            <w:shd w:val="clear" w:color="000000" w:fill="FFFFFF"/>
            <w:noWrap/>
            <w:vAlign w:val="center"/>
            <w:hideMark/>
          </w:tcPr>
          <w:p w14:paraId="7B9AA48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38" w:type="pct"/>
            <w:tcBorders>
              <w:top w:val="nil"/>
              <w:left w:val="nil"/>
              <w:bottom w:val="nil"/>
              <w:right w:val="nil"/>
            </w:tcBorders>
            <w:shd w:val="clear" w:color="000000" w:fill="FFFFFF"/>
            <w:noWrap/>
            <w:vAlign w:val="center"/>
            <w:hideMark/>
          </w:tcPr>
          <w:p w14:paraId="76A684F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r>
      <w:tr w:rsidR="0065570A" w:rsidRPr="0065570A" w14:paraId="4FAA1D88" w14:textId="77777777" w:rsidTr="0041394A">
        <w:trPr>
          <w:trHeight w:val="204"/>
        </w:trPr>
        <w:tc>
          <w:tcPr>
            <w:tcW w:w="374" w:type="pct"/>
            <w:tcBorders>
              <w:top w:val="nil"/>
              <w:left w:val="nil"/>
              <w:bottom w:val="nil"/>
              <w:right w:val="nil"/>
            </w:tcBorders>
            <w:shd w:val="clear" w:color="000000" w:fill="FFFFFF"/>
            <w:noWrap/>
            <w:vAlign w:val="center"/>
            <w:hideMark/>
          </w:tcPr>
          <w:p w14:paraId="45A11A9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5086F32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642B954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770BC59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38AB6F22" w14:textId="77777777" w:rsidR="0065570A" w:rsidRDefault="003D06C5" w:rsidP="0065570A">
            <w:pPr>
              <w:ind w:firstLineChars="100" w:firstLine="160"/>
              <w:rPr>
                <w:rFonts w:eastAsia="Times New Roman" w:cs="Calibri"/>
                <w:color w:val="000000"/>
                <w:sz w:val="16"/>
                <w:szCs w:val="16"/>
                <w:lang w:val="en-GB" w:eastAsia="en-GB"/>
              </w:rPr>
            </w:pPr>
            <w:r>
              <w:rPr>
                <w:rFonts w:eastAsia="Times New Roman" w:cs="Calibri"/>
                <w:color w:val="000000"/>
                <w:sz w:val="16"/>
                <w:szCs w:val="16"/>
                <w:lang w:val="en-GB" w:eastAsia="en-GB"/>
              </w:rPr>
              <w:t>Financing and Investment Income</w:t>
            </w:r>
          </w:p>
          <w:p w14:paraId="19A9615F" w14:textId="1997165A" w:rsidR="003D06C5" w:rsidRPr="0065570A" w:rsidRDefault="003D06C5" w:rsidP="0065570A">
            <w:pPr>
              <w:ind w:firstLineChars="100" w:firstLine="160"/>
              <w:rPr>
                <w:rFonts w:eastAsia="Times New Roman" w:cs="Calibri"/>
                <w:color w:val="000000"/>
                <w:sz w:val="16"/>
                <w:szCs w:val="16"/>
                <w:lang w:val="en-GB" w:eastAsia="en-GB"/>
              </w:rPr>
            </w:pPr>
            <w:r>
              <w:rPr>
                <w:rFonts w:eastAsia="Times New Roman" w:cs="Calibri"/>
                <w:color w:val="000000"/>
                <w:sz w:val="16"/>
                <w:szCs w:val="16"/>
                <w:lang w:val="en-GB" w:eastAsia="en-GB"/>
              </w:rPr>
              <w:t>and expenditure:</w:t>
            </w:r>
          </w:p>
        </w:tc>
        <w:tc>
          <w:tcPr>
            <w:tcW w:w="486" w:type="pct"/>
            <w:tcBorders>
              <w:top w:val="nil"/>
              <w:left w:val="nil"/>
              <w:bottom w:val="nil"/>
              <w:right w:val="nil"/>
            </w:tcBorders>
            <w:shd w:val="clear" w:color="000000" w:fill="FFFFFF"/>
            <w:noWrap/>
            <w:vAlign w:val="center"/>
            <w:hideMark/>
          </w:tcPr>
          <w:p w14:paraId="12092FB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057732E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48E98C9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42C30BD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4228AD54" w14:textId="77777777" w:rsidTr="0041394A">
        <w:trPr>
          <w:trHeight w:val="204"/>
        </w:trPr>
        <w:tc>
          <w:tcPr>
            <w:tcW w:w="374" w:type="pct"/>
            <w:tcBorders>
              <w:top w:val="nil"/>
              <w:left w:val="nil"/>
              <w:bottom w:val="nil"/>
              <w:right w:val="nil"/>
            </w:tcBorders>
            <w:shd w:val="clear" w:color="000000" w:fill="FFFFFF"/>
            <w:noWrap/>
            <w:vAlign w:val="center"/>
            <w:hideMark/>
          </w:tcPr>
          <w:p w14:paraId="4C3BCFDC" w14:textId="23D34352"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35</w:t>
            </w:r>
          </w:p>
        </w:tc>
        <w:tc>
          <w:tcPr>
            <w:tcW w:w="447" w:type="pct"/>
            <w:tcBorders>
              <w:top w:val="nil"/>
              <w:left w:val="nil"/>
              <w:bottom w:val="nil"/>
              <w:right w:val="nil"/>
            </w:tcBorders>
            <w:shd w:val="clear" w:color="000000" w:fill="FFFFFF"/>
            <w:noWrap/>
            <w:vAlign w:val="center"/>
            <w:hideMark/>
          </w:tcPr>
          <w:p w14:paraId="2DA2028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4,154</w:t>
            </w:r>
          </w:p>
        </w:tc>
        <w:tc>
          <w:tcPr>
            <w:tcW w:w="506" w:type="pct"/>
            <w:tcBorders>
              <w:top w:val="nil"/>
              <w:left w:val="nil"/>
              <w:bottom w:val="nil"/>
              <w:right w:val="nil"/>
            </w:tcBorders>
            <w:shd w:val="clear" w:color="000000" w:fill="FFFFFF"/>
            <w:noWrap/>
            <w:vAlign w:val="center"/>
            <w:hideMark/>
          </w:tcPr>
          <w:p w14:paraId="3B47426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48,960</w:t>
            </w:r>
          </w:p>
        </w:tc>
        <w:tc>
          <w:tcPr>
            <w:tcW w:w="506" w:type="pct"/>
            <w:tcBorders>
              <w:top w:val="nil"/>
              <w:left w:val="nil"/>
              <w:bottom w:val="nil"/>
              <w:right w:val="nil"/>
            </w:tcBorders>
            <w:shd w:val="clear" w:color="000000" w:fill="FFFFFF"/>
            <w:noWrap/>
            <w:vAlign w:val="center"/>
            <w:hideMark/>
          </w:tcPr>
          <w:p w14:paraId="37CAD84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53,149</w:t>
            </w:r>
          </w:p>
        </w:tc>
        <w:tc>
          <w:tcPr>
            <w:tcW w:w="1081" w:type="pct"/>
            <w:tcBorders>
              <w:top w:val="nil"/>
              <w:left w:val="nil"/>
              <w:bottom w:val="nil"/>
              <w:right w:val="nil"/>
            </w:tcBorders>
            <w:shd w:val="clear" w:color="000000" w:fill="FFFFFF"/>
            <w:noWrap/>
            <w:vAlign w:val="center"/>
            <w:hideMark/>
          </w:tcPr>
          <w:p w14:paraId="7BD74553"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Net interest expense</w:t>
            </w:r>
          </w:p>
        </w:tc>
        <w:tc>
          <w:tcPr>
            <w:tcW w:w="486" w:type="pct"/>
            <w:tcBorders>
              <w:top w:val="nil"/>
              <w:left w:val="nil"/>
              <w:bottom w:val="nil"/>
              <w:right w:val="nil"/>
            </w:tcBorders>
            <w:shd w:val="clear" w:color="000000" w:fill="FFFFFF"/>
            <w:noWrap/>
            <w:vAlign w:val="center"/>
            <w:hideMark/>
          </w:tcPr>
          <w:p w14:paraId="0C8B69D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34</w:t>
            </w:r>
          </w:p>
        </w:tc>
        <w:tc>
          <w:tcPr>
            <w:tcW w:w="447" w:type="pct"/>
            <w:tcBorders>
              <w:top w:val="nil"/>
              <w:left w:val="nil"/>
              <w:bottom w:val="nil"/>
              <w:right w:val="nil"/>
            </w:tcBorders>
            <w:shd w:val="clear" w:color="000000" w:fill="FFFFFF"/>
            <w:noWrap/>
            <w:vAlign w:val="center"/>
            <w:hideMark/>
          </w:tcPr>
          <w:p w14:paraId="5B67BA6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3,077</w:t>
            </w:r>
          </w:p>
        </w:tc>
        <w:tc>
          <w:tcPr>
            <w:tcW w:w="614" w:type="pct"/>
            <w:tcBorders>
              <w:top w:val="nil"/>
              <w:left w:val="nil"/>
              <w:bottom w:val="nil"/>
              <w:right w:val="nil"/>
            </w:tcBorders>
            <w:shd w:val="clear" w:color="000000" w:fill="FFFFFF"/>
            <w:noWrap/>
            <w:vAlign w:val="center"/>
            <w:hideMark/>
          </w:tcPr>
          <w:p w14:paraId="35674A8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42,820</w:t>
            </w:r>
          </w:p>
        </w:tc>
        <w:tc>
          <w:tcPr>
            <w:tcW w:w="538" w:type="pct"/>
            <w:tcBorders>
              <w:top w:val="nil"/>
              <w:left w:val="nil"/>
              <w:bottom w:val="nil"/>
              <w:right w:val="nil"/>
            </w:tcBorders>
            <w:shd w:val="clear" w:color="000000" w:fill="FFFFFF"/>
            <w:noWrap/>
            <w:vAlign w:val="center"/>
            <w:hideMark/>
          </w:tcPr>
          <w:p w14:paraId="56A2E49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45,931</w:t>
            </w:r>
          </w:p>
        </w:tc>
      </w:tr>
      <w:tr w:rsidR="0065570A" w:rsidRPr="0065570A" w14:paraId="26837DF9" w14:textId="77777777" w:rsidTr="0041394A">
        <w:trPr>
          <w:trHeight w:val="204"/>
        </w:trPr>
        <w:tc>
          <w:tcPr>
            <w:tcW w:w="374" w:type="pct"/>
            <w:tcBorders>
              <w:top w:val="nil"/>
              <w:left w:val="nil"/>
              <w:bottom w:val="nil"/>
              <w:right w:val="nil"/>
            </w:tcBorders>
            <w:shd w:val="clear" w:color="000000" w:fill="FFFFFF"/>
            <w:noWrap/>
            <w:vAlign w:val="center"/>
            <w:hideMark/>
          </w:tcPr>
          <w:p w14:paraId="2D8E510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47C62C8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18A7852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6DACB70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15F79EA2"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578D5AC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64E091C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164496E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605E8E3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5F4B2735" w14:textId="77777777" w:rsidTr="0041394A">
        <w:trPr>
          <w:trHeight w:val="60"/>
        </w:trPr>
        <w:tc>
          <w:tcPr>
            <w:tcW w:w="374" w:type="pct"/>
            <w:tcBorders>
              <w:top w:val="single" w:sz="4" w:space="0" w:color="auto"/>
              <w:left w:val="nil"/>
              <w:bottom w:val="single" w:sz="8" w:space="0" w:color="auto"/>
              <w:right w:val="nil"/>
            </w:tcBorders>
            <w:shd w:val="clear" w:color="000000" w:fill="FFFFFF"/>
            <w:noWrap/>
            <w:vAlign w:val="center"/>
            <w:hideMark/>
          </w:tcPr>
          <w:p w14:paraId="1D847BB2"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224</w:t>
            </w:r>
          </w:p>
        </w:tc>
        <w:tc>
          <w:tcPr>
            <w:tcW w:w="447" w:type="pct"/>
            <w:tcBorders>
              <w:top w:val="single" w:sz="4" w:space="0" w:color="auto"/>
              <w:left w:val="nil"/>
              <w:bottom w:val="single" w:sz="8" w:space="0" w:color="auto"/>
              <w:right w:val="nil"/>
            </w:tcBorders>
            <w:shd w:val="clear" w:color="000000" w:fill="FFFFFF"/>
            <w:noWrap/>
            <w:vAlign w:val="center"/>
            <w:hideMark/>
          </w:tcPr>
          <w:p w14:paraId="7E8A2504"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23,510</w:t>
            </w:r>
          </w:p>
        </w:tc>
        <w:tc>
          <w:tcPr>
            <w:tcW w:w="506" w:type="pct"/>
            <w:tcBorders>
              <w:top w:val="single" w:sz="4" w:space="0" w:color="auto"/>
              <w:left w:val="nil"/>
              <w:bottom w:val="single" w:sz="8" w:space="0" w:color="auto"/>
              <w:right w:val="nil"/>
            </w:tcBorders>
            <w:shd w:val="clear" w:color="000000" w:fill="FFFFFF"/>
            <w:noWrap/>
            <w:vAlign w:val="center"/>
            <w:hideMark/>
          </w:tcPr>
          <w:p w14:paraId="14BB03FD"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89,670</w:t>
            </w:r>
          </w:p>
        </w:tc>
        <w:tc>
          <w:tcPr>
            <w:tcW w:w="506" w:type="pct"/>
            <w:tcBorders>
              <w:top w:val="single" w:sz="4" w:space="0" w:color="auto"/>
              <w:left w:val="nil"/>
              <w:bottom w:val="single" w:sz="8" w:space="0" w:color="auto"/>
              <w:right w:val="nil"/>
            </w:tcBorders>
            <w:shd w:val="clear" w:color="000000" w:fill="FFFFFF"/>
            <w:noWrap/>
            <w:vAlign w:val="center"/>
            <w:hideMark/>
          </w:tcPr>
          <w:p w14:paraId="6594CC5C"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113,404</w:t>
            </w:r>
          </w:p>
        </w:tc>
        <w:tc>
          <w:tcPr>
            <w:tcW w:w="1081" w:type="pct"/>
            <w:tcBorders>
              <w:top w:val="single" w:sz="4" w:space="0" w:color="auto"/>
              <w:left w:val="nil"/>
              <w:bottom w:val="single" w:sz="8" w:space="0" w:color="auto"/>
              <w:right w:val="nil"/>
            </w:tcBorders>
            <w:shd w:val="clear" w:color="000000" w:fill="FFFFFF"/>
            <w:vAlign w:val="center"/>
            <w:hideMark/>
          </w:tcPr>
          <w:p w14:paraId="1870E241" w14:textId="0781EF57" w:rsidR="0065570A" w:rsidRPr="0065570A" w:rsidRDefault="0065570A" w:rsidP="0065570A">
            <w:pPr>
              <w:ind w:firstLineChars="100" w:firstLine="161"/>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Total charged to Surplus and </w:t>
            </w:r>
            <w:r w:rsidR="003D06C5">
              <w:rPr>
                <w:rFonts w:eastAsia="Times New Roman" w:cs="Calibri"/>
                <w:b/>
                <w:bCs/>
                <w:color w:val="000000"/>
                <w:sz w:val="16"/>
                <w:szCs w:val="16"/>
                <w:lang w:val="en-GB" w:eastAsia="en-GB"/>
              </w:rPr>
              <w:t xml:space="preserve">    </w:t>
            </w:r>
            <w:r w:rsidRPr="0065570A">
              <w:rPr>
                <w:rFonts w:eastAsia="Times New Roman" w:cs="Calibri"/>
                <w:b/>
                <w:bCs/>
                <w:color w:val="000000"/>
                <w:sz w:val="16"/>
                <w:szCs w:val="16"/>
                <w:lang w:val="en-GB" w:eastAsia="en-GB"/>
              </w:rPr>
              <w:t>Deficit on Provision of Services</w:t>
            </w:r>
          </w:p>
        </w:tc>
        <w:tc>
          <w:tcPr>
            <w:tcW w:w="486" w:type="pct"/>
            <w:tcBorders>
              <w:top w:val="single" w:sz="4" w:space="0" w:color="auto"/>
              <w:left w:val="nil"/>
              <w:bottom w:val="single" w:sz="8" w:space="0" w:color="auto"/>
              <w:right w:val="nil"/>
            </w:tcBorders>
            <w:shd w:val="clear" w:color="000000" w:fill="FFFFFF"/>
            <w:noWrap/>
            <w:vAlign w:val="center"/>
            <w:hideMark/>
          </w:tcPr>
          <w:p w14:paraId="3DA4A29E"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247</w:t>
            </w:r>
          </w:p>
        </w:tc>
        <w:tc>
          <w:tcPr>
            <w:tcW w:w="447" w:type="pct"/>
            <w:tcBorders>
              <w:top w:val="single" w:sz="4" w:space="0" w:color="auto"/>
              <w:left w:val="nil"/>
              <w:bottom w:val="single" w:sz="8" w:space="0" w:color="auto"/>
              <w:right w:val="nil"/>
            </w:tcBorders>
            <w:shd w:val="clear" w:color="000000" w:fill="FFFFFF"/>
            <w:noWrap/>
            <w:vAlign w:val="center"/>
            <w:hideMark/>
          </w:tcPr>
          <w:p w14:paraId="6FFF5A6B"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20,863</w:t>
            </w:r>
          </w:p>
        </w:tc>
        <w:tc>
          <w:tcPr>
            <w:tcW w:w="614" w:type="pct"/>
            <w:tcBorders>
              <w:top w:val="single" w:sz="4" w:space="0" w:color="auto"/>
              <w:left w:val="nil"/>
              <w:bottom w:val="single" w:sz="8" w:space="0" w:color="auto"/>
              <w:right w:val="nil"/>
            </w:tcBorders>
            <w:shd w:val="clear" w:color="000000" w:fill="FFFFFF"/>
            <w:noWrap/>
            <w:vAlign w:val="center"/>
            <w:hideMark/>
          </w:tcPr>
          <w:p w14:paraId="323C9E9A"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96,070</w:t>
            </w:r>
          </w:p>
        </w:tc>
        <w:tc>
          <w:tcPr>
            <w:tcW w:w="538" w:type="pct"/>
            <w:tcBorders>
              <w:top w:val="single" w:sz="4" w:space="0" w:color="auto"/>
              <w:left w:val="nil"/>
              <w:bottom w:val="single" w:sz="8" w:space="0" w:color="auto"/>
              <w:right w:val="nil"/>
            </w:tcBorders>
            <w:shd w:val="clear" w:color="000000" w:fill="FFFFFF"/>
            <w:noWrap/>
            <w:vAlign w:val="center"/>
            <w:hideMark/>
          </w:tcPr>
          <w:p w14:paraId="5A9D4ACB"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117,180</w:t>
            </w:r>
          </w:p>
        </w:tc>
      </w:tr>
      <w:tr w:rsidR="0065570A" w:rsidRPr="0065570A" w14:paraId="2E1032D7" w14:textId="77777777" w:rsidTr="0041394A">
        <w:trPr>
          <w:trHeight w:val="50"/>
        </w:trPr>
        <w:tc>
          <w:tcPr>
            <w:tcW w:w="374" w:type="pct"/>
            <w:tcBorders>
              <w:top w:val="nil"/>
              <w:left w:val="nil"/>
              <w:bottom w:val="nil"/>
              <w:right w:val="nil"/>
            </w:tcBorders>
            <w:shd w:val="clear" w:color="000000" w:fill="FFFFFF"/>
            <w:noWrap/>
            <w:vAlign w:val="bottom"/>
            <w:hideMark/>
          </w:tcPr>
          <w:p w14:paraId="612C17CF"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447" w:type="pct"/>
            <w:tcBorders>
              <w:top w:val="nil"/>
              <w:left w:val="nil"/>
              <w:bottom w:val="nil"/>
              <w:right w:val="nil"/>
            </w:tcBorders>
            <w:shd w:val="clear" w:color="000000" w:fill="FFFFFF"/>
            <w:noWrap/>
            <w:vAlign w:val="bottom"/>
            <w:hideMark/>
          </w:tcPr>
          <w:p w14:paraId="739A4E31"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506" w:type="pct"/>
            <w:tcBorders>
              <w:top w:val="nil"/>
              <w:left w:val="nil"/>
              <w:bottom w:val="nil"/>
              <w:right w:val="nil"/>
            </w:tcBorders>
            <w:shd w:val="clear" w:color="000000" w:fill="FFFFFF"/>
            <w:noWrap/>
            <w:vAlign w:val="bottom"/>
            <w:hideMark/>
          </w:tcPr>
          <w:p w14:paraId="01B6A085"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506" w:type="pct"/>
            <w:tcBorders>
              <w:top w:val="nil"/>
              <w:left w:val="nil"/>
              <w:bottom w:val="nil"/>
              <w:right w:val="nil"/>
            </w:tcBorders>
            <w:shd w:val="clear" w:color="000000" w:fill="FFFFFF"/>
            <w:noWrap/>
            <w:vAlign w:val="bottom"/>
            <w:hideMark/>
          </w:tcPr>
          <w:p w14:paraId="5638C563"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1081" w:type="pct"/>
            <w:tcBorders>
              <w:top w:val="nil"/>
              <w:left w:val="nil"/>
              <w:bottom w:val="nil"/>
              <w:right w:val="nil"/>
            </w:tcBorders>
            <w:shd w:val="clear" w:color="000000" w:fill="FFFFFF"/>
            <w:noWrap/>
            <w:vAlign w:val="bottom"/>
            <w:hideMark/>
          </w:tcPr>
          <w:p w14:paraId="5AF95436"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486" w:type="pct"/>
            <w:tcBorders>
              <w:top w:val="nil"/>
              <w:left w:val="nil"/>
              <w:bottom w:val="nil"/>
              <w:right w:val="nil"/>
            </w:tcBorders>
            <w:shd w:val="clear" w:color="000000" w:fill="FFFFFF"/>
            <w:noWrap/>
            <w:vAlign w:val="bottom"/>
            <w:hideMark/>
          </w:tcPr>
          <w:p w14:paraId="2A208604"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447" w:type="pct"/>
            <w:tcBorders>
              <w:top w:val="nil"/>
              <w:left w:val="nil"/>
              <w:bottom w:val="nil"/>
              <w:right w:val="nil"/>
            </w:tcBorders>
            <w:shd w:val="clear" w:color="000000" w:fill="FFFFFF"/>
            <w:noWrap/>
            <w:vAlign w:val="bottom"/>
            <w:hideMark/>
          </w:tcPr>
          <w:p w14:paraId="3CC21E98"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614" w:type="pct"/>
            <w:tcBorders>
              <w:top w:val="nil"/>
              <w:left w:val="nil"/>
              <w:bottom w:val="nil"/>
              <w:right w:val="nil"/>
            </w:tcBorders>
            <w:shd w:val="clear" w:color="000000" w:fill="FFFFFF"/>
            <w:noWrap/>
            <w:vAlign w:val="bottom"/>
            <w:hideMark/>
          </w:tcPr>
          <w:p w14:paraId="7E1C9092"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538" w:type="pct"/>
            <w:tcBorders>
              <w:top w:val="nil"/>
              <w:left w:val="nil"/>
              <w:bottom w:val="nil"/>
              <w:right w:val="nil"/>
            </w:tcBorders>
            <w:shd w:val="clear" w:color="000000" w:fill="FFFFFF"/>
            <w:noWrap/>
            <w:vAlign w:val="bottom"/>
            <w:hideMark/>
          </w:tcPr>
          <w:p w14:paraId="28E32BB3"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r>
      <w:tr w:rsidR="0065570A" w:rsidRPr="0065570A" w14:paraId="623586C1" w14:textId="77777777" w:rsidTr="0041394A">
        <w:trPr>
          <w:trHeight w:val="204"/>
        </w:trPr>
        <w:tc>
          <w:tcPr>
            <w:tcW w:w="2914" w:type="pct"/>
            <w:gridSpan w:val="5"/>
            <w:tcBorders>
              <w:top w:val="nil"/>
              <w:left w:val="nil"/>
              <w:bottom w:val="nil"/>
              <w:right w:val="nil"/>
            </w:tcBorders>
            <w:shd w:val="clear" w:color="000000" w:fill="FFFFFF"/>
            <w:vAlign w:val="center"/>
            <w:hideMark/>
          </w:tcPr>
          <w:p w14:paraId="6AA2A3D6" w14:textId="77777777" w:rsidR="0065570A" w:rsidRPr="0065570A" w:rsidRDefault="0065570A" w:rsidP="0065570A">
            <w:pP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Other post-employment benefits charged to the Comprehensive Income and Expenditure Statement</w:t>
            </w:r>
          </w:p>
        </w:tc>
        <w:tc>
          <w:tcPr>
            <w:tcW w:w="486" w:type="pct"/>
            <w:tcBorders>
              <w:top w:val="nil"/>
              <w:left w:val="nil"/>
              <w:bottom w:val="nil"/>
              <w:right w:val="nil"/>
            </w:tcBorders>
            <w:shd w:val="clear" w:color="000000" w:fill="FFFFFF"/>
            <w:noWrap/>
            <w:vAlign w:val="center"/>
            <w:hideMark/>
          </w:tcPr>
          <w:p w14:paraId="7C743695" w14:textId="77777777" w:rsidR="0065570A" w:rsidRPr="0065570A" w:rsidRDefault="0065570A" w:rsidP="0065570A">
            <w:pPr>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115EFD46" w14:textId="77777777" w:rsidR="0065570A" w:rsidRPr="0065570A" w:rsidRDefault="0065570A" w:rsidP="0065570A">
            <w:pPr>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042725C0" w14:textId="77777777" w:rsidR="0065570A" w:rsidRPr="0065570A" w:rsidRDefault="0065570A" w:rsidP="0065570A">
            <w:pPr>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6CDFD684" w14:textId="77777777" w:rsidR="0065570A" w:rsidRPr="0065570A" w:rsidRDefault="0065570A" w:rsidP="0065570A">
            <w:pPr>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7E6C47A8" w14:textId="77777777" w:rsidTr="0041394A">
        <w:trPr>
          <w:trHeight w:val="204"/>
        </w:trPr>
        <w:tc>
          <w:tcPr>
            <w:tcW w:w="374" w:type="pct"/>
            <w:tcBorders>
              <w:top w:val="nil"/>
              <w:left w:val="nil"/>
              <w:bottom w:val="nil"/>
              <w:right w:val="nil"/>
            </w:tcBorders>
            <w:shd w:val="clear" w:color="000000" w:fill="FFFFFF"/>
            <w:noWrap/>
            <w:vAlign w:val="center"/>
            <w:hideMark/>
          </w:tcPr>
          <w:p w14:paraId="3A7F7D3E"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447" w:type="pct"/>
            <w:tcBorders>
              <w:top w:val="nil"/>
              <w:left w:val="nil"/>
              <w:bottom w:val="nil"/>
              <w:right w:val="nil"/>
            </w:tcBorders>
            <w:shd w:val="clear" w:color="000000" w:fill="FFFFFF"/>
            <w:noWrap/>
            <w:vAlign w:val="center"/>
            <w:hideMark/>
          </w:tcPr>
          <w:p w14:paraId="47F49947"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06" w:type="pct"/>
            <w:tcBorders>
              <w:top w:val="nil"/>
              <w:left w:val="nil"/>
              <w:bottom w:val="nil"/>
              <w:right w:val="nil"/>
            </w:tcBorders>
            <w:shd w:val="clear" w:color="000000" w:fill="FFFFFF"/>
            <w:noWrap/>
            <w:vAlign w:val="center"/>
            <w:hideMark/>
          </w:tcPr>
          <w:p w14:paraId="0DA905E6"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06" w:type="pct"/>
            <w:tcBorders>
              <w:top w:val="nil"/>
              <w:left w:val="nil"/>
              <w:bottom w:val="nil"/>
              <w:right w:val="nil"/>
            </w:tcBorders>
            <w:shd w:val="clear" w:color="000000" w:fill="FFFFFF"/>
            <w:noWrap/>
            <w:vAlign w:val="center"/>
            <w:hideMark/>
          </w:tcPr>
          <w:p w14:paraId="2853F883"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1081" w:type="pct"/>
            <w:tcBorders>
              <w:top w:val="nil"/>
              <w:left w:val="nil"/>
              <w:bottom w:val="nil"/>
              <w:right w:val="nil"/>
            </w:tcBorders>
            <w:shd w:val="clear" w:color="000000" w:fill="FFFFFF"/>
            <w:noWrap/>
            <w:vAlign w:val="center"/>
            <w:hideMark/>
          </w:tcPr>
          <w:p w14:paraId="387176A8"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73E1E64B"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447" w:type="pct"/>
            <w:tcBorders>
              <w:top w:val="nil"/>
              <w:left w:val="nil"/>
              <w:bottom w:val="nil"/>
              <w:right w:val="nil"/>
            </w:tcBorders>
            <w:shd w:val="clear" w:color="000000" w:fill="FFFFFF"/>
            <w:noWrap/>
            <w:vAlign w:val="center"/>
            <w:hideMark/>
          </w:tcPr>
          <w:p w14:paraId="3C4CAE3A"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614" w:type="pct"/>
            <w:tcBorders>
              <w:top w:val="nil"/>
              <w:left w:val="nil"/>
              <w:bottom w:val="nil"/>
              <w:right w:val="nil"/>
            </w:tcBorders>
            <w:shd w:val="clear" w:color="000000" w:fill="FFFFFF"/>
            <w:noWrap/>
            <w:vAlign w:val="center"/>
            <w:hideMark/>
          </w:tcPr>
          <w:p w14:paraId="64C4BEF6"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38" w:type="pct"/>
            <w:tcBorders>
              <w:top w:val="nil"/>
              <w:left w:val="nil"/>
              <w:bottom w:val="nil"/>
              <w:right w:val="nil"/>
            </w:tcBorders>
            <w:shd w:val="clear" w:color="000000" w:fill="FFFFFF"/>
            <w:noWrap/>
            <w:vAlign w:val="center"/>
            <w:hideMark/>
          </w:tcPr>
          <w:p w14:paraId="6ADEBFAD"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r>
      <w:tr w:rsidR="0065570A" w:rsidRPr="0065570A" w14:paraId="53ED5A1A" w14:textId="77777777" w:rsidTr="0041394A">
        <w:trPr>
          <w:trHeight w:val="612"/>
        </w:trPr>
        <w:tc>
          <w:tcPr>
            <w:tcW w:w="374" w:type="pct"/>
            <w:tcBorders>
              <w:top w:val="single" w:sz="4" w:space="0" w:color="auto"/>
              <w:left w:val="nil"/>
              <w:bottom w:val="nil"/>
              <w:right w:val="nil"/>
            </w:tcBorders>
            <w:shd w:val="clear" w:color="000000" w:fill="FFFFFF"/>
            <w:noWrap/>
            <w:vAlign w:val="center"/>
            <w:hideMark/>
          </w:tcPr>
          <w:p w14:paraId="1B05E2F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single" w:sz="4" w:space="0" w:color="auto"/>
              <w:left w:val="nil"/>
              <w:bottom w:val="nil"/>
              <w:right w:val="nil"/>
            </w:tcBorders>
            <w:shd w:val="clear" w:color="000000" w:fill="FFFFFF"/>
            <w:noWrap/>
            <w:vAlign w:val="center"/>
            <w:hideMark/>
          </w:tcPr>
          <w:p w14:paraId="4BE08C4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single" w:sz="4" w:space="0" w:color="auto"/>
              <w:left w:val="nil"/>
              <w:bottom w:val="nil"/>
              <w:right w:val="nil"/>
            </w:tcBorders>
            <w:shd w:val="clear" w:color="000000" w:fill="FFFFFF"/>
            <w:noWrap/>
            <w:vAlign w:val="center"/>
            <w:hideMark/>
          </w:tcPr>
          <w:p w14:paraId="007226E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single" w:sz="4" w:space="0" w:color="auto"/>
              <w:left w:val="nil"/>
              <w:bottom w:val="nil"/>
              <w:right w:val="nil"/>
            </w:tcBorders>
            <w:shd w:val="clear" w:color="000000" w:fill="FFFFFF"/>
            <w:noWrap/>
            <w:vAlign w:val="center"/>
            <w:hideMark/>
          </w:tcPr>
          <w:p w14:paraId="364B651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single" w:sz="4" w:space="0" w:color="auto"/>
              <w:left w:val="nil"/>
              <w:bottom w:val="nil"/>
              <w:right w:val="nil"/>
            </w:tcBorders>
            <w:shd w:val="clear" w:color="000000" w:fill="FFFFFF"/>
            <w:vAlign w:val="center"/>
            <w:hideMark/>
          </w:tcPr>
          <w:p w14:paraId="05717F18"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Re-measurement of the net defined benefit liability comprising:</w:t>
            </w:r>
          </w:p>
        </w:tc>
        <w:tc>
          <w:tcPr>
            <w:tcW w:w="486" w:type="pct"/>
            <w:tcBorders>
              <w:top w:val="single" w:sz="4" w:space="0" w:color="auto"/>
              <w:left w:val="nil"/>
              <w:bottom w:val="nil"/>
              <w:right w:val="nil"/>
            </w:tcBorders>
            <w:shd w:val="clear" w:color="000000" w:fill="FFFFFF"/>
            <w:noWrap/>
            <w:vAlign w:val="center"/>
            <w:hideMark/>
          </w:tcPr>
          <w:p w14:paraId="6E257DF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single" w:sz="4" w:space="0" w:color="auto"/>
              <w:left w:val="nil"/>
              <w:bottom w:val="nil"/>
              <w:right w:val="nil"/>
            </w:tcBorders>
            <w:shd w:val="clear" w:color="000000" w:fill="FFFFFF"/>
            <w:noWrap/>
            <w:vAlign w:val="center"/>
            <w:hideMark/>
          </w:tcPr>
          <w:p w14:paraId="2F5DE95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single" w:sz="4" w:space="0" w:color="auto"/>
              <w:left w:val="nil"/>
              <w:bottom w:val="nil"/>
              <w:right w:val="nil"/>
            </w:tcBorders>
            <w:shd w:val="clear" w:color="000000" w:fill="FFFFFF"/>
            <w:noWrap/>
            <w:vAlign w:val="center"/>
            <w:hideMark/>
          </w:tcPr>
          <w:p w14:paraId="40CE41A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single" w:sz="4" w:space="0" w:color="auto"/>
              <w:left w:val="nil"/>
              <w:bottom w:val="nil"/>
              <w:right w:val="nil"/>
            </w:tcBorders>
            <w:shd w:val="clear" w:color="000000" w:fill="FFFFFF"/>
            <w:noWrap/>
            <w:vAlign w:val="center"/>
            <w:hideMark/>
          </w:tcPr>
          <w:p w14:paraId="43BA0F6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37C14B30" w14:textId="77777777" w:rsidTr="0041394A">
        <w:trPr>
          <w:trHeight w:val="612"/>
        </w:trPr>
        <w:tc>
          <w:tcPr>
            <w:tcW w:w="374" w:type="pct"/>
            <w:tcBorders>
              <w:top w:val="nil"/>
              <w:left w:val="nil"/>
              <w:bottom w:val="nil"/>
              <w:right w:val="nil"/>
            </w:tcBorders>
            <w:shd w:val="clear" w:color="000000" w:fill="FFFFFF"/>
            <w:noWrap/>
            <w:vAlign w:val="center"/>
            <w:hideMark/>
          </w:tcPr>
          <w:p w14:paraId="6622314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387</w:t>
            </w:r>
          </w:p>
        </w:tc>
        <w:tc>
          <w:tcPr>
            <w:tcW w:w="447" w:type="pct"/>
            <w:tcBorders>
              <w:top w:val="nil"/>
              <w:left w:val="nil"/>
              <w:bottom w:val="nil"/>
              <w:right w:val="nil"/>
            </w:tcBorders>
            <w:shd w:val="clear" w:color="000000" w:fill="FFFFFF"/>
            <w:noWrap/>
            <w:vAlign w:val="center"/>
            <w:hideMark/>
          </w:tcPr>
          <w:p w14:paraId="48C8F09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41,563</w:t>
            </w:r>
          </w:p>
        </w:tc>
        <w:tc>
          <w:tcPr>
            <w:tcW w:w="506" w:type="pct"/>
            <w:tcBorders>
              <w:top w:val="nil"/>
              <w:left w:val="nil"/>
              <w:bottom w:val="nil"/>
              <w:right w:val="nil"/>
            </w:tcBorders>
            <w:shd w:val="clear" w:color="000000" w:fill="FFFFFF"/>
            <w:noWrap/>
            <w:vAlign w:val="center"/>
            <w:hideMark/>
          </w:tcPr>
          <w:p w14:paraId="5FC1D5F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06" w:type="pct"/>
            <w:tcBorders>
              <w:top w:val="nil"/>
              <w:left w:val="nil"/>
              <w:bottom w:val="nil"/>
              <w:right w:val="nil"/>
            </w:tcBorders>
            <w:shd w:val="clear" w:color="000000" w:fill="FFFFFF"/>
            <w:noWrap/>
            <w:vAlign w:val="center"/>
            <w:hideMark/>
          </w:tcPr>
          <w:p w14:paraId="2A3A8F7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41,950</w:t>
            </w:r>
          </w:p>
        </w:tc>
        <w:tc>
          <w:tcPr>
            <w:tcW w:w="1081" w:type="pct"/>
            <w:tcBorders>
              <w:top w:val="nil"/>
              <w:left w:val="nil"/>
              <w:bottom w:val="nil"/>
              <w:right w:val="nil"/>
            </w:tcBorders>
            <w:shd w:val="clear" w:color="000000" w:fill="FFFFFF"/>
            <w:vAlign w:val="center"/>
            <w:hideMark/>
          </w:tcPr>
          <w:p w14:paraId="239FAD0B"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Return on plan assets (excluding the amount included in the net interest expense)</w:t>
            </w:r>
          </w:p>
        </w:tc>
        <w:tc>
          <w:tcPr>
            <w:tcW w:w="486" w:type="pct"/>
            <w:tcBorders>
              <w:top w:val="nil"/>
              <w:left w:val="nil"/>
              <w:bottom w:val="nil"/>
              <w:right w:val="nil"/>
            </w:tcBorders>
            <w:shd w:val="clear" w:color="000000" w:fill="FFFFFF"/>
            <w:noWrap/>
            <w:vAlign w:val="center"/>
            <w:hideMark/>
          </w:tcPr>
          <w:p w14:paraId="3FBE316C" w14:textId="0BABDC05" w:rsidR="0065570A" w:rsidRPr="0065570A" w:rsidRDefault="00817C80" w:rsidP="0065570A">
            <w:pPr>
              <w:ind w:firstLineChars="100" w:firstLine="160"/>
              <w:jc w:val="right"/>
              <w:rPr>
                <w:rFonts w:eastAsia="Times New Roman" w:cs="Calibri"/>
                <w:color w:val="000000"/>
                <w:sz w:val="16"/>
                <w:szCs w:val="16"/>
                <w:lang w:val="en-GB" w:eastAsia="en-GB"/>
              </w:rPr>
            </w:pPr>
            <w:r>
              <w:rPr>
                <w:rFonts w:eastAsia="Times New Roman" w:cs="Calibri"/>
                <w:color w:val="000000"/>
                <w:sz w:val="16"/>
                <w:szCs w:val="16"/>
                <w:lang w:val="en-GB" w:eastAsia="en-GB"/>
              </w:rPr>
              <w:t>(</w:t>
            </w:r>
            <w:r w:rsidR="0065570A" w:rsidRPr="0065570A">
              <w:rPr>
                <w:rFonts w:eastAsia="Times New Roman" w:cs="Calibri"/>
                <w:color w:val="000000"/>
                <w:sz w:val="16"/>
                <w:szCs w:val="16"/>
                <w:lang w:val="en-GB" w:eastAsia="en-GB"/>
              </w:rPr>
              <w:t>688</w:t>
            </w:r>
            <w:r>
              <w:rPr>
                <w:rFonts w:eastAsia="Times New Roman" w:cs="Calibri"/>
                <w:color w:val="000000"/>
                <w:sz w:val="16"/>
                <w:szCs w:val="16"/>
                <w:lang w:val="en-GB" w:eastAsia="en-GB"/>
              </w:rPr>
              <w:t>)</w:t>
            </w:r>
          </w:p>
        </w:tc>
        <w:tc>
          <w:tcPr>
            <w:tcW w:w="447" w:type="pct"/>
            <w:tcBorders>
              <w:top w:val="nil"/>
              <w:left w:val="nil"/>
              <w:bottom w:val="nil"/>
              <w:right w:val="nil"/>
            </w:tcBorders>
            <w:shd w:val="clear" w:color="000000" w:fill="FFFFFF"/>
            <w:noWrap/>
            <w:vAlign w:val="center"/>
            <w:hideMark/>
          </w:tcPr>
          <w:p w14:paraId="7E7ADF7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(72,255)</w:t>
            </w:r>
          </w:p>
        </w:tc>
        <w:tc>
          <w:tcPr>
            <w:tcW w:w="614" w:type="pct"/>
            <w:tcBorders>
              <w:top w:val="nil"/>
              <w:left w:val="nil"/>
              <w:bottom w:val="nil"/>
              <w:right w:val="nil"/>
            </w:tcBorders>
            <w:shd w:val="clear" w:color="000000" w:fill="FFFFFF"/>
            <w:noWrap/>
            <w:vAlign w:val="center"/>
            <w:hideMark/>
          </w:tcPr>
          <w:p w14:paraId="4ADAB86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38" w:type="pct"/>
            <w:tcBorders>
              <w:top w:val="nil"/>
              <w:left w:val="nil"/>
              <w:bottom w:val="nil"/>
              <w:right w:val="nil"/>
            </w:tcBorders>
            <w:shd w:val="clear" w:color="000000" w:fill="FFFFFF"/>
            <w:noWrap/>
            <w:vAlign w:val="center"/>
            <w:hideMark/>
          </w:tcPr>
          <w:p w14:paraId="43E15D33" w14:textId="37AFE9D8" w:rsidR="0065570A" w:rsidRPr="0065570A" w:rsidRDefault="0065570A" w:rsidP="00817C80">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w:t>
            </w:r>
            <w:r w:rsidR="00817C80">
              <w:rPr>
                <w:rFonts w:eastAsia="Times New Roman" w:cs="Calibri"/>
                <w:color w:val="000000"/>
                <w:sz w:val="16"/>
                <w:szCs w:val="16"/>
                <w:lang w:val="en-GB" w:eastAsia="en-GB"/>
              </w:rPr>
              <w:t>2,943</w:t>
            </w:r>
            <w:r w:rsidRPr="0065570A">
              <w:rPr>
                <w:rFonts w:eastAsia="Times New Roman" w:cs="Calibri"/>
                <w:color w:val="000000"/>
                <w:sz w:val="16"/>
                <w:szCs w:val="16"/>
                <w:lang w:val="en-GB" w:eastAsia="en-GB"/>
              </w:rPr>
              <w:t>)</w:t>
            </w:r>
          </w:p>
        </w:tc>
      </w:tr>
      <w:tr w:rsidR="0065570A" w:rsidRPr="0065570A" w14:paraId="12B285B5" w14:textId="77777777" w:rsidTr="0041394A">
        <w:trPr>
          <w:trHeight w:val="204"/>
        </w:trPr>
        <w:tc>
          <w:tcPr>
            <w:tcW w:w="374" w:type="pct"/>
            <w:tcBorders>
              <w:top w:val="nil"/>
              <w:left w:val="nil"/>
              <w:bottom w:val="nil"/>
              <w:right w:val="nil"/>
            </w:tcBorders>
            <w:shd w:val="clear" w:color="000000" w:fill="FFFFFF"/>
            <w:noWrap/>
            <w:vAlign w:val="center"/>
            <w:hideMark/>
          </w:tcPr>
          <w:p w14:paraId="0D6E4C3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5B6F141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4F630AC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25A14C4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37F76342"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28A7A84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42F07D3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1EFFBE3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5431B9D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67E96F54" w14:textId="77777777" w:rsidTr="0041394A">
        <w:trPr>
          <w:trHeight w:val="408"/>
        </w:trPr>
        <w:tc>
          <w:tcPr>
            <w:tcW w:w="374" w:type="pct"/>
            <w:tcBorders>
              <w:top w:val="nil"/>
              <w:left w:val="nil"/>
              <w:bottom w:val="nil"/>
              <w:right w:val="nil"/>
            </w:tcBorders>
            <w:shd w:val="clear" w:color="000000" w:fill="FFFFFF"/>
            <w:noWrap/>
            <w:vAlign w:val="center"/>
            <w:hideMark/>
          </w:tcPr>
          <w:p w14:paraId="65C0311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(20)</w:t>
            </w:r>
          </w:p>
        </w:tc>
        <w:tc>
          <w:tcPr>
            <w:tcW w:w="447" w:type="pct"/>
            <w:tcBorders>
              <w:top w:val="nil"/>
              <w:left w:val="nil"/>
              <w:bottom w:val="nil"/>
              <w:right w:val="nil"/>
            </w:tcBorders>
            <w:shd w:val="clear" w:color="000000" w:fill="FFFFFF"/>
            <w:noWrap/>
            <w:vAlign w:val="center"/>
            <w:hideMark/>
          </w:tcPr>
          <w:p w14:paraId="192926D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(26,633)</w:t>
            </w:r>
          </w:p>
        </w:tc>
        <w:tc>
          <w:tcPr>
            <w:tcW w:w="506" w:type="pct"/>
            <w:tcBorders>
              <w:top w:val="nil"/>
              <w:left w:val="nil"/>
              <w:bottom w:val="nil"/>
              <w:right w:val="nil"/>
            </w:tcBorders>
            <w:shd w:val="clear" w:color="000000" w:fill="FFFFFF"/>
            <w:noWrap/>
            <w:vAlign w:val="center"/>
            <w:hideMark/>
          </w:tcPr>
          <w:p w14:paraId="5AC4B36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(33,160)</w:t>
            </w:r>
          </w:p>
        </w:tc>
        <w:tc>
          <w:tcPr>
            <w:tcW w:w="506" w:type="pct"/>
            <w:tcBorders>
              <w:top w:val="nil"/>
              <w:left w:val="nil"/>
              <w:bottom w:val="nil"/>
              <w:right w:val="nil"/>
            </w:tcBorders>
            <w:shd w:val="clear" w:color="000000" w:fill="FFFFFF"/>
            <w:noWrap/>
            <w:vAlign w:val="center"/>
            <w:hideMark/>
          </w:tcPr>
          <w:p w14:paraId="4722EBA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(59,813)</w:t>
            </w:r>
          </w:p>
        </w:tc>
        <w:tc>
          <w:tcPr>
            <w:tcW w:w="1081" w:type="pct"/>
            <w:tcBorders>
              <w:top w:val="nil"/>
              <w:left w:val="nil"/>
              <w:bottom w:val="nil"/>
              <w:right w:val="nil"/>
            </w:tcBorders>
            <w:shd w:val="clear" w:color="000000" w:fill="FFFFFF"/>
            <w:vAlign w:val="center"/>
            <w:hideMark/>
          </w:tcPr>
          <w:p w14:paraId="21B65356"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Actuarial gains and losses - experience</w:t>
            </w:r>
          </w:p>
        </w:tc>
        <w:tc>
          <w:tcPr>
            <w:tcW w:w="486" w:type="pct"/>
            <w:tcBorders>
              <w:top w:val="nil"/>
              <w:left w:val="nil"/>
              <w:bottom w:val="nil"/>
              <w:right w:val="nil"/>
            </w:tcBorders>
            <w:shd w:val="clear" w:color="000000" w:fill="FFFFFF"/>
            <w:noWrap/>
            <w:vAlign w:val="center"/>
            <w:hideMark/>
          </w:tcPr>
          <w:p w14:paraId="6AA7C788" w14:textId="1CC1D96C" w:rsidR="0065570A" w:rsidRPr="0065570A" w:rsidRDefault="00817C80" w:rsidP="0065570A">
            <w:pPr>
              <w:ind w:firstLineChars="100" w:firstLine="160"/>
              <w:jc w:val="right"/>
              <w:rPr>
                <w:rFonts w:eastAsia="Times New Roman" w:cs="Calibri"/>
                <w:color w:val="000000"/>
                <w:sz w:val="16"/>
                <w:szCs w:val="16"/>
                <w:lang w:val="en-GB" w:eastAsia="en-GB"/>
              </w:rPr>
            </w:pPr>
            <w:r>
              <w:rPr>
                <w:rFonts w:eastAsia="Times New Roman" w:cs="Calibri"/>
                <w:color w:val="000000"/>
                <w:sz w:val="16"/>
                <w:szCs w:val="16"/>
                <w:lang w:val="en-GB" w:eastAsia="en-GB"/>
              </w:rPr>
              <w:t>(</w:t>
            </w:r>
            <w:r w:rsidR="0065570A" w:rsidRPr="0065570A">
              <w:rPr>
                <w:rFonts w:eastAsia="Times New Roman" w:cs="Calibri"/>
                <w:color w:val="000000"/>
                <w:sz w:val="16"/>
                <w:szCs w:val="16"/>
                <w:lang w:val="en-GB" w:eastAsia="en-GB"/>
              </w:rPr>
              <w:t>32</w:t>
            </w:r>
            <w:r>
              <w:rPr>
                <w:rFonts w:eastAsia="Times New Roman" w:cs="Calibri"/>
                <w:color w:val="000000"/>
                <w:sz w:val="16"/>
                <w:szCs w:val="16"/>
                <w:lang w:val="en-GB" w:eastAsia="en-GB"/>
              </w:rPr>
              <w:t>)</w:t>
            </w:r>
          </w:p>
        </w:tc>
        <w:tc>
          <w:tcPr>
            <w:tcW w:w="447" w:type="pct"/>
            <w:tcBorders>
              <w:top w:val="nil"/>
              <w:left w:val="nil"/>
              <w:bottom w:val="nil"/>
              <w:right w:val="nil"/>
            </w:tcBorders>
            <w:shd w:val="clear" w:color="000000" w:fill="FFFFFF"/>
            <w:noWrap/>
            <w:vAlign w:val="center"/>
            <w:hideMark/>
          </w:tcPr>
          <w:p w14:paraId="419E9C9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(4,322)</w:t>
            </w:r>
          </w:p>
        </w:tc>
        <w:tc>
          <w:tcPr>
            <w:tcW w:w="614" w:type="pct"/>
            <w:tcBorders>
              <w:top w:val="nil"/>
              <w:left w:val="nil"/>
              <w:bottom w:val="nil"/>
              <w:right w:val="nil"/>
            </w:tcBorders>
            <w:shd w:val="clear" w:color="000000" w:fill="FFFFFF"/>
            <w:noWrap/>
            <w:vAlign w:val="center"/>
            <w:hideMark/>
          </w:tcPr>
          <w:p w14:paraId="7CE98A0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(219,050)</w:t>
            </w:r>
          </w:p>
        </w:tc>
        <w:tc>
          <w:tcPr>
            <w:tcW w:w="538" w:type="pct"/>
            <w:tcBorders>
              <w:top w:val="nil"/>
              <w:left w:val="nil"/>
              <w:bottom w:val="nil"/>
              <w:right w:val="nil"/>
            </w:tcBorders>
            <w:shd w:val="clear" w:color="000000" w:fill="FFFFFF"/>
            <w:noWrap/>
            <w:vAlign w:val="center"/>
            <w:hideMark/>
          </w:tcPr>
          <w:p w14:paraId="2660BAC2" w14:textId="72AAE699"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(223,</w:t>
            </w:r>
            <w:r w:rsidR="004F071D">
              <w:rPr>
                <w:rFonts w:eastAsia="Times New Roman" w:cs="Calibri"/>
                <w:color w:val="000000"/>
                <w:sz w:val="16"/>
                <w:szCs w:val="16"/>
                <w:lang w:val="en-GB" w:eastAsia="en-GB"/>
              </w:rPr>
              <w:t>404</w:t>
            </w:r>
            <w:r w:rsidRPr="0065570A">
              <w:rPr>
                <w:rFonts w:eastAsia="Times New Roman" w:cs="Calibri"/>
                <w:color w:val="000000"/>
                <w:sz w:val="16"/>
                <w:szCs w:val="16"/>
                <w:lang w:val="en-GB" w:eastAsia="en-GB"/>
              </w:rPr>
              <w:t>)</w:t>
            </w:r>
          </w:p>
        </w:tc>
      </w:tr>
      <w:tr w:rsidR="0065570A" w:rsidRPr="0065570A" w14:paraId="6FC50B9D" w14:textId="77777777" w:rsidTr="0041394A">
        <w:trPr>
          <w:trHeight w:val="204"/>
        </w:trPr>
        <w:tc>
          <w:tcPr>
            <w:tcW w:w="374" w:type="pct"/>
            <w:tcBorders>
              <w:top w:val="nil"/>
              <w:left w:val="nil"/>
              <w:bottom w:val="nil"/>
              <w:right w:val="nil"/>
            </w:tcBorders>
            <w:shd w:val="clear" w:color="000000" w:fill="FFFFFF"/>
            <w:noWrap/>
            <w:vAlign w:val="center"/>
            <w:hideMark/>
          </w:tcPr>
          <w:p w14:paraId="0160D4F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7AD6CD5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1D9052A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44BECF9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672DC8C9"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627CC26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673BAFA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77CE949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4B289AB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3FF49233" w14:textId="77777777" w:rsidTr="0041394A">
        <w:trPr>
          <w:trHeight w:val="612"/>
        </w:trPr>
        <w:tc>
          <w:tcPr>
            <w:tcW w:w="374" w:type="pct"/>
            <w:tcBorders>
              <w:top w:val="nil"/>
              <w:left w:val="nil"/>
              <w:bottom w:val="nil"/>
              <w:right w:val="nil"/>
            </w:tcBorders>
            <w:shd w:val="clear" w:color="000000" w:fill="FFFFFF"/>
            <w:noWrap/>
            <w:vAlign w:val="center"/>
            <w:hideMark/>
          </w:tcPr>
          <w:p w14:paraId="755B86C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(519)</w:t>
            </w:r>
          </w:p>
        </w:tc>
        <w:tc>
          <w:tcPr>
            <w:tcW w:w="447" w:type="pct"/>
            <w:tcBorders>
              <w:top w:val="nil"/>
              <w:left w:val="nil"/>
              <w:bottom w:val="nil"/>
              <w:right w:val="nil"/>
            </w:tcBorders>
            <w:shd w:val="clear" w:color="000000" w:fill="FFFFFF"/>
            <w:noWrap/>
            <w:vAlign w:val="center"/>
            <w:hideMark/>
          </w:tcPr>
          <w:p w14:paraId="534DC31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(54,522)</w:t>
            </w:r>
          </w:p>
        </w:tc>
        <w:tc>
          <w:tcPr>
            <w:tcW w:w="506" w:type="pct"/>
            <w:tcBorders>
              <w:top w:val="nil"/>
              <w:left w:val="nil"/>
              <w:bottom w:val="nil"/>
              <w:right w:val="nil"/>
            </w:tcBorders>
            <w:shd w:val="clear" w:color="000000" w:fill="FFFFFF"/>
            <w:noWrap/>
            <w:vAlign w:val="center"/>
            <w:hideMark/>
          </w:tcPr>
          <w:p w14:paraId="6941A0D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(61,100)</w:t>
            </w:r>
          </w:p>
        </w:tc>
        <w:tc>
          <w:tcPr>
            <w:tcW w:w="506" w:type="pct"/>
            <w:tcBorders>
              <w:top w:val="nil"/>
              <w:left w:val="nil"/>
              <w:bottom w:val="nil"/>
              <w:right w:val="nil"/>
            </w:tcBorders>
            <w:shd w:val="clear" w:color="000000" w:fill="FFFFFF"/>
            <w:noWrap/>
            <w:vAlign w:val="center"/>
            <w:hideMark/>
          </w:tcPr>
          <w:p w14:paraId="15C367D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(116,141)</w:t>
            </w:r>
          </w:p>
        </w:tc>
        <w:tc>
          <w:tcPr>
            <w:tcW w:w="1081" w:type="pct"/>
            <w:tcBorders>
              <w:top w:val="nil"/>
              <w:left w:val="nil"/>
              <w:bottom w:val="nil"/>
              <w:right w:val="nil"/>
            </w:tcBorders>
            <w:shd w:val="clear" w:color="000000" w:fill="FFFFFF"/>
            <w:vAlign w:val="center"/>
            <w:hideMark/>
          </w:tcPr>
          <w:p w14:paraId="04745F62"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Actuarial gains and losses -arising on changes in demographic assumptions</w:t>
            </w:r>
          </w:p>
        </w:tc>
        <w:tc>
          <w:tcPr>
            <w:tcW w:w="486" w:type="pct"/>
            <w:tcBorders>
              <w:top w:val="nil"/>
              <w:left w:val="nil"/>
              <w:bottom w:val="nil"/>
              <w:right w:val="nil"/>
            </w:tcBorders>
            <w:shd w:val="clear" w:color="000000" w:fill="FFFFFF"/>
            <w:noWrap/>
            <w:vAlign w:val="center"/>
            <w:hideMark/>
          </w:tcPr>
          <w:p w14:paraId="7F7BDAC2" w14:textId="166BED7F"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73</w:t>
            </w:r>
          </w:p>
        </w:tc>
        <w:tc>
          <w:tcPr>
            <w:tcW w:w="447" w:type="pct"/>
            <w:tcBorders>
              <w:top w:val="nil"/>
              <w:left w:val="nil"/>
              <w:bottom w:val="nil"/>
              <w:right w:val="nil"/>
            </w:tcBorders>
            <w:shd w:val="clear" w:color="000000" w:fill="FFFFFF"/>
            <w:noWrap/>
            <w:vAlign w:val="center"/>
            <w:hideMark/>
          </w:tcPr>
          <w:p w14:paraId="4D84527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7,087</w:t>
            </w:r>
          </w:p>
        </w:tc>
        <w:tc>
          <w:tcPr>
            <w:tcW w:w="614" w:type="pct"/>
            <w:tcBorders>
              <w:top w:val="nil"/>
              <w:left w:val="nil"/>
              <w:bottom w:val="nil"/>
              <w:right w:val="nil"/>
            </w:tcBorders>
            <w:shd w:val="clear" w:color="000000" w:fill="FFFFFF"/>
            <w:noWrap/>
            <w:vAlign w:val="center"/>
            <w:hideMark/>
          </w:tcPr>
          <w:p w14:paraId="685C812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38" w:type="pct"/>
            <w:tcBorders>
              <w:top w:val="nil"/>
              <w:left w:val="nil"/>
              <w:bottom w:val="nil"/>
              <w:right w:val="nil"/>
            </w:tcBorders>
            <w:shd w:val="clear" w:color="000000" w:fill="FFFFFF"/>
            <w:noWrap/>
            <w:vAlign w:val="center"/>
            <w:hideMark/>
          </w:tcPr>
          <w:p w14:paraId="3FD3EB3E" w14:textId="4582DF0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w:t>
            </w:r>
            <w:r w:rsidR="004F071D">
              <w:rPr>
                <w:rFonts w:eastAsia="Times New Roman" w:cs="Calibri"/>
                <w:color w:val="000000"/>
                <w:sz w:val="16"/>
                <w:szCs w:val="16"/>
                <w:lang w:val="en-GB" w:eastAsia="en-GB"/>
              </w:rPr>
              <w:t>160</w:t>
            </w:r>
          </w:p>
        </w:tc>
      </w:tr>
      <w:tr w:rsidR="0065570A" w:rsidRPr="0065570A" w14:paraId="7C8D4A32" w14:textId="77777777" w:rsidTr="0041394A">
        <w:trPr>
          <w:trHeight w:val="74"/>
        </w:trPr>
        <w:tc>
          <w:tcPr>
            <w:tcW w:w="374" w:type="pct"/>
            <w:tcBorders>
              <w:top w:val="nil"/>
              <w:left w:val="nil"/>
              <w:bottom w:val="nil"/>
              <w:right w:val="nil"/>
            </w:tcBorders>
            <w:shd w:val="clear" w:color="000000" w:fill="FFFFFF"/>
            <w:noWrap/>
            <w:vAlign w:val="center"/>
            <w:hideMark/>
          </w:tcPr>
          <w:p w14:paraId="24997ED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2FA4403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4B417C9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2A548BB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vAlign w:val="center"/>
            <w:hideMark/>
          </w:tcPr>
          <w:p w14:paraId="087F9D95"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22CD0AE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2F2865D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3BD695E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3240D73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304CECBB" w14:textId="77777777" w:rsidTr="0041394A">
        <w:trPr>
          <w:trHeight w:val="612"/>
        </w:trPr>
        <w:tc>
          <w:tcPr>
            <w:tcW w:w="374" w:type="pct"/>
            <w:tcBorders>
              <w:top w:val="nil"/>
              <w:left w:val="nil"/>
              <w:bottom w:val="nil"/>
              <w:right w:val="nil"/>
            </w:tcBorders>
            <w:shd w:val="clear" w:color="000000" w:fill="FFFFFF"/>
            <w:noWrap/>
            <w:vAlign w:val="center"/>
            <w:hideMark/>
          </w:tcPr>
          <w:p w14:paraId="53644B9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447" w:type="pct"/>
            <w:tcBorders>
              <w:top w:val="nil"/>
              <w:left w:val="nil"/>
              <w:bottom w:val="nil"/>
              <w:right w:val="nil"/>
            </w:tcBorders>
            <w:shd w:val="clear" w:color="000000" w:fill="FFFFFF"/>
            <w:noWrap/>
            <w:vAlign w:val="center"/>
            <w:hideMark/>
          </w:tcPr>
          <w:p w14:paraId="49B58BC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(11,095)</w:t>
            </w:r>
          </w:p>
        </w:tc>
        <w:tc>
          <w:tcPr>
            <w:tcW w:w="506" w:type="pct"/>
            <w:tcBorders>
              <w:top w:val="nil"/>
              <w:left w:val="nil"/>
              <w:bottom w:val="nil"/>
              <w:right w:val="nil"/>
            </w:tcBorders>
            <w:shd w:val="clear" w:color="000000" w:fill="FFFFFF"/>
            <w:noWrap/>
            <w:vAlign w:val="center"/>
            <w:hideMark/>
          </w:tcPr>
          <w:p w14:paraId="54C0C8B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(46,900)</w:t>
            </w:r>
          </w:p>
        </w:tc>
        <w:tc>
          <w:tcPr>
            <w:tcW w:w="506" w:type="pct"/>
            <w:tcBorders>
              <w:top w:val="nil"/>
              <w:left w:val="nil"/>
              <w:bottom w:val="nil"/>
              <w:right w:val="nil"/>
            </w:tcBorders>
            <w:shd w:val="clear" w:color="000000" w:fill="FFFFFF"/>
            <w:noWrap/>
            <w:vAlign w:val="center"/>
            <w:hideMark/>
          </w:tcPr>
          <w:p w14:paraId="02E0990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(57,995)</w:t>
            </w:r>
          </w:p>
        </w:tc>
        <w:tc>
          <w:tcPr>
            <w:tcW w:w="1081" w:type="pct"/>
            <w:tcBorders>
              <w:top w:val="nil"/>
              <w:left w:val="nil"/>
              <w:bottom w:val="nil"/>
              <w:right w:val="nil"/>
            </w:tcBorders>
            <w:shd w:val="clear" w:color="000000" w:fill="FFFFFF"/>
            <w:vAlign w:val="center"/>
            <w:hideMark/>
          </w:tcPr>
          <w:p w14:paraId="7D5C64A1"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Actuarial gains and losses -arising on changes in financial assumptions</w:t>
            </w:r>
          </w:p>
        </w:tc>
        <w:tc>
          <w:tcPr>
            <w:tcW w:w="486" w:type="pct"/>
            <w:tcBorders>
              <w:top w:val="nil"/>
              <w:left w:val="nil"/>
              <w:bottom w:val="nil"/>
              <w:right w:val="nil"/>
            </w:tcBorders>
            <w:shd w:val="clear" w:color="000000" w:fill="FFFFFF"/>
            <w:noWrap/>
            <w:vAlign w:val="center"/>
            <w:hideMark/>
          </w:tcPr>
          <w:p w14:paraId="5C8D7DAF" w14:textId="12E3E3F3" w:rsidR="0065570A" w:rsidRPr="0065570A" w:rsidRDefault="0065570A" w:rsidP="00817C80">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1,571</w:t>
            </w:r>
          </w:p>
        </w:tc>
        <w:tc>
          <w:tcPr>
            <w:tcW w:w="447" w:type="pct"/>
            <w:tcBorders>
              <w:top w:val="nil"/>
              <w:left w:val="nil"/>
              <w:bottom w:val="nil"/>
              <w:right w:val="nil"/>
            </w:tcBorders>
            <w:shd w:val="clear" w:color="000000" w:fill="FFFFFF"/>
            <w:noWrap/>
            <w:vAlign w:val="center"/>
            <w:hideMark/>
          </w:tcPr>
          <w:p w14:paraId="3B1B837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146,210</w:t>
            </w:r>
          </w:p>
        </w:tc>
        <w:tc>
          <w:tcPr>
            <w:tcW w:w="614" w:type="pct"/>
            <w:tcBorders>
              <w:top w:val="nil"/>
              <w:left w:val="nil"/>
              <w:bottom w:val="nil"/>
              <w:right w:val="nil"/>
            </w:tcBorders>
            <w:shd w:val="clear" w:color="000000" w:fill="FFFFFF"/>
            <w:noWrap/>
            <w:vAlign w:val="center"/>
            <w:hideMark/>
          </w:tcPr>
          <w:p w14:paraId="298EF40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222,190</w:t>
            </w:r>
          </w:p>
        </w:tc>
        <w:tc>
          <w:tcPr>
            <w:tcW w:w="538" w:type="pct"/>
            <w:tcBorders>
              <w:top w:val="nil"/>
              <w:left w:val="nil"/>
              <w:bottom w:val="nil"/>
              <w:right w:val="nil"/>
            </w:tcBorders>
            <w:shd w:val="clear" w:color="000000" w:fill="FFFFFF"/>
            <w:noWrap/>
            <w:vAlign w:val="center"/>
            <w:hideMark/>
          </w:tcPr>
          <w:p w14:paraId="6C345FD2" w14:textId="4BAC96DA"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36</w:t>
            </w:r>
            <w:r w:rsidR="004F071D">
              <w:rPr>
                <w:rFonts w:eastAsia="Times New Roman" w:cs="Calibri"/>
                <w:color w:val="000000"/>
                <w:sz w:val="16"/>
                <w:szCs w:val="16"/>
                <w:lang w:val="en-GB" w:eastAsia="en-GB"/>
              </w:rPr>
              <w:t>9,971</w:t>
            </w:r>
          </w:p>
        </w:tc>
      </w:tr>
      <w:tr w:rsidR="0065570A" w:rsidRPr="0065570A" w14:paraId="4793FDA0" w14:textId="77777777" w:rsidTr="0041394A">
        <w:trPr>
          <w:trHeight w:val="74"/>
        </w:trPr>
        <w:tc>
          <w:tcPr>
            <w:tcW w:w="374" w:type="pct"/>
            <w:tcBorders>
              <w:top w:val="nil"/>
              <w:left w:val="nil"/>
              <w:bottom w:val="nil"/>
              <w:right w:val="nil"/>
            </w:tcBorders>
            <w:shd w:val="clear" w:color="000000" w:fill="FFFFFF"/>
            <w:noWrap/>
            <w:vAlign w:val="center"/>
            <w:hideMark/>
          </w:tcPr>
          <w:p w14:paraId="12229C1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54CA4C1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6FD5B0E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73F0374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618582D2"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59F89F0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31F8FF1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385E2C3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0FD3B35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156FAA1C" w14:textId="77777777" w:rsidTr="0041394A">
        <w:trPr>
          <w:trHeight w:val="64"/>
        </w:trPr>
        <w:tc>
          <w:tcPr>
            <w:tcW w:w="374" w:type="pct"/>
            <w:tcBorders>
              <w:top w:val="single" w:sz="4" w:space="0" w:color="auto"/>
              <w:left w:val="nil"/>
              <w:bottom w:val="single" w:sz="8" w:space="0" w:color="auto"/>
              <w:right w:val="nil"/>
            </w:tcBorders>
            <w:shd w:val="clear" w:color="000000" w:fill="FFFFFF"/>
            <w:noWrap/>
            <w:vAlign w:val="center"/>
            <w:hideMark/>
          </w:tcPr>
          <w:p w14:paraId="1375C7FB"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(152)</w:t>
            </w:r>
          </w:p>
        </w:tc>
        <w:tc>
          <w:tcPr>
            <w:tcW w:w="447" w:type="pct"/>
            <w:tcBorders>
              <w:top w:val="single" w:sz="4" w:space="0" w:color="auto"/>
              <w:left w:val="nil"/>
              <w:bottom w:val="single" w:sz="8" w:space="0" w:color="auto"/>
              <w:right w:val="nil"/>
            </w:tcBorders>
            <w:shd w:val="clear" w:color="000000" w:fill="FFFFFF"/>
            <w:noWrap/>
            <w:vAlign w:val="center"/>
            <w:hideMark/>
          </w:tcPr>
          <w:p w14:paraId="2885AE65"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(50,687)</w:t>
            </w:r>
          </w:p>
        </w:tc>
        <w:tc>
          <w:tcPr>
            <w:tcW w:w="506" w:type="pct"/>
            <w:tcBorders>
              <w:top w:val="single" w:sz="4" w:space="0" w:color="auto"/>
              <w:left w:val="nil"/>
              <w:bottom w:val="single" w:sz="8" w:space="0" w:color="auto"/>
              <w:right w:val="nil"/>
            </w:tcBorders>
            <w:shd w:val="clear" w:color="000000" w:fill="FFFFFF"/>
            <w:noWrap/>
            <w:vAlign w:val="center"/>
            <w:hideMark/>
          </w:tcPr>
          <w:p w14:paraId="2B8013BD"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(141,160)</w:t>
            </w:r>
          </w:p>
        </w:tc>
        <w:tc>
          <w:tcPr>
            <w:tcW w:w="506" w:type="pct"/>
            <w:tcBorders>
              <w:top w:val="single" w:sz="4" w:space="0" w:color="auto"/>
              <w:left w:val="nil"/>
              <w:bottom w:val="single" w:sz="8" w:space="0" w:color="auto"/>
              <w:right w:val="nil"/>
            </w:tcBorders>
            <w:shd w:val="clear" w:color="000000" w:fill="FFFFFF"/>
            <w:noWrap/>
            <w:vAlign w:val="center"/>
            <w:hideMark/>
          </w:tcPr>
          <w:p w14:paraId="6B81F23B"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(191,999)</w:t>
            </w:r>
          </w:p>
        </w:tc>
        <w:tc>
          <w:tcPr>
            <w:tcW w:w="1081" w:type="pct"/>
            <w:tcBorders>
              <w:top w:val="single" w:sz="4" w:space="0" w:color="auto"/>
              <w:left w:val="nil"/>
              <w:bottom w:val="single" w:sz="8" w:space="0" w:color="auto"/>
              <w:right w:val="nil"/>
            </w:tcBorders>
            <w:shd w:val="clear" w:color="000000" w:fill="FFFFFF"/>
            <w:vAlign w:val="center"/>
            <w:hideMark/>
          </w:tcPr>
          <w:p w14:paraId="7336A097" w14:textId="77777777" w:rsidR="0065570A" w:rsidRPr="0065570A" w:rsidRDefault="0065570A" w:rsidP="0065570A">
            <w:pPr>
              <w:ind w:firstLineChars="100" w:firstLine="161"/>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Total charged to Surplus and Deficit on Provision of Services</w:t>
            </w:r>
          </w:p>
        </w:tc>
        <w:tc>
          <w:tcPr>
            <w:tcW w:w="486" w:type="pct"/>
            <w:tcBorders>
              <w:top w:val="single" w:sz="4" w:space="0" w:color="auto"/>
              <w:left w:val="nil"/>
              <w:bottom w:val="single" w:sz="8" w:space="0" w:color="auto"/>
              <w:right w:val="nil"/>
            </w:tcBorders>
            <w:shd w:val="clear" w:color="000000" w:fill="FFFFFF"/>
            <w:noWrap/>
            <w:vAlign w:val="center"/>
            <w:hideMark/>
          </w:tcPr>
          <w:p w14:paraId="11BBB513" w14:textId="7ADA6A58" w:rsidR="0065570A" w:rsidRPr="0065570A" w:rsidRDefault="0065570A" w:rsidP="00817C80">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924</w:t>
            </w:r>
          </w:p>
        </w:tc>
        <w:tc>
          <w:tcPr>
            <w:tcW w:w="447" w:type="pct"/>
            <w:tcBorders>
              <w:top w:val="single" w:sz="4" w:space="0" w:color="auto"/>
              <w:left w:val="nil"/>
              <w:bottom w:val="single" w:sz="8" w:space="0" w:color="auto"/>
              <w:right w:val="nil"/>
            </w:tcBorders>
            <w:shd w:val="clear" w:color="000000" w:fill="FFFFFF"/>
            <w:noWrap/>
            <w:vAlign w:val="center"/>
            <w:hideMark/>
          </w:tcPr>
          <w:p w14:paraId="691E42E3"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76,720</w:t>
            </w:r>
          </w:p>
        </w:tc>
        <w:tc>
          <w:tcPr>
            <w:tcW w:w="614" w:type="pct"/>
            <w:tcBorders>
              <w:top w:val="single" w:sz="4" w:space="0" w:color="auto"/>
              <w:left w:val="nil"/>
              <w:bottom w:val="single" w:sz="8" w:space="0" w:color="auto"/>
              <w:right w:val="nil"/>
            </w:tcBorders>
            <w:shd w:val="clear" w:color="000000" w:fill="FFFFFF"/>
            <w:noWrap/>
            <w:vAlign w:val="center"/>
            <w:hideMark/>
          </w:tcPr>
          <w:p w14:paraId="48F8E604"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3,140</w:t>
            </w:r>
          </w:p>
        </w:tc>
        <w:tc>
          <w:tcPr>
            <w:tcW w:w="538" w:type="pct"/>
            <w:tcBorders>
              <w:top w:val="single" w:sz="4" w:space="0" w:color="auto"/>
              <w:left w:val="nil"/>
              <w:bottom w:val="single" w:sz="8" w:space="0" w:color="auto"/>
              <w:right w:val="nil"/>
            </w:tcBorders>
            <w:shd w:val="clear" w:color="000000" w:fill="FFFFFF"/>
            <w:noWrap/>
            <w:vAlign w:val="center"/>
            <w:hideMark/>
          </w:tcPr>
          <w:p w14:paraId="0F9D0258" w14:textId="282EB10D" w:rsidR="0065570A" w:rsidRPr="0065570A" w:rsidRDefault="004F071D" w:rsidP="0065570A">
            <w:pPr>
              <w:ind w:firstLineChars="100" w:firstLine="161"/>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80,784</w:t>
            </w:r>
          </w:p>
        </w:tc>
      </w:tr>
      <w:tr w:rsidR="0065570A" w:rsidRPr="0065570A" w14:paraId="03CF576A" w14:textId="77777777" w:rsidTr="0041394A">
        <w:trPr>
          <w:trHeight w:val="54"/>
        </w:trPr>
        <w:tc>
          <w:tcPr>
            <w:tcW w:w="374" w:type="pct"/>
            <w:tcBorders>
              <w:top w:val="nil"/>
              <w:left w:val="nil"/>
              <w:bottom w:val="nil"/>
              <w:right w:val="nil"/>
            </w:tcBorders>
            <w:shd w:val="clear" w:color="000000" w:fill="FFFFFF"/>
            <w:noWrap/>
            <w:vAlign w:val="bottom"/>
            <w:hideMark/>
          </w:tcPr>
          <w:p w14:paraId="77DDBA3A" w14:textId="77777777" w:rsidR="0065570A" w:rsidRPr="003D06C5" w:rsidRDefault="0065570A" w:rsidP="0065570A">
            <w:pPr>
              <w:rPr>
                <w:rFonts w:ascii="Calibri" w:eastAsia="Times New Roman" w:hAnsi="Calibri" w:cs="Calibri"/>
                <w:color w:val="000000"/>
                <w:sz w:val="2"/>
                <w:szCs w:val="2"/>
                <w:lang w:val="en-GB" w:eastAsia="en-GB"/>
              </w:rPr>
            </w:pPr>
            <w:r w:rsidRPr="003D06C5">
              <w:rPr>
                <w:rFonts w:ascii="Calibri" w:eastAsia="Times New Roman" w:hAnsi="Calibri" w:cs="Calibri"/>
                <w:color w:val="000000"/>
                <w:sz w:val="2"/>
                <w:szCs w:val="2"/>
                <w:lang w:val="en-GB" w:eastAsia="en-GB"/>
              </w:rPr>
              <w:t> </w:t>
            </w:r>
          </w:p>
        </w:tc>
        <w:tc>
          <w:tcPr>
            <w:tcW w:w="447" w:type="pct"/>
            <w:tcBorders>
              <w:top w:val="nil"/>
              <w:left w:val="nil"/>
              <w:bottom w:val="nil"/>
              <w:right w:val="nil"/>
            </w:tcBorders>
            <w:shd w:val="clear" w:color="000000" w:fill="FFFFFF"/>
            <w:noWrap/>
            <w:vAlign w:val="bottom"/>
            <w:hideMark/>
          </w:tcPr>
          <w:p w14:paraId="103E3CE8" w14:textId="77777777" w:rsidR="0065570A" w:rsidRPr="003D06C5" w:rsidRDefault="0065570A" w:rsidP="0065570A">
            <w:pPr>
              <w:rPr>
                <w:rFonts w:ascii="Calibri" w:eastAsia="Times New Roman" w:hAnsi="Calibri" w:cs="Calibri"/>
                <w:color w:val="000000"/>
                <w:sz w:val="2"/>
                <w:szCs w:val="2"/>
                <w:lang w:val="en-GB" w:eastAsia="en-GB"/>
              </w:rPr>
            </w:pPr>
            <w:r w:rsidRPr="003D06C5">
              <w:rPr>
                <w:rFonts w:ascii="Calibri" w:eastAsia="Times New Roman" w:hAnsi="Calibri" w:cs="Calibri"/>
                <w:color w:val="000000"/>
                <w:sz w:val="2"/>
                <w:szCs w:val="2"/>
                <w:lang w:val="en-GB" w:eastAsia="en-GB"/>
              </w:rPr>
              <w:t> </w:t>
            </w:r>
          </w:p>
        </w:tc>
        <w:tc>
          <w:tcPr>
            <w:tcW w:w="506" w:type="pct"/>
            <w:tcBorders>
              <w:top w:val="nil"/>
              <w:left w:val="nil"/>
              <w:bottom w:val="nil"/>
              <w:right w:val="nil"/>
            </w:tcBorders>
            <w:shd w:val="clear" w:color="000000" w:fill="FFFFFF"/>
            <w:noWrap/>
            <w:vAlign w:val="bottom"/>
            <w:hideMark/>
          </w:tcPr>
          <w:p w14:paraId="3EB3513F" w14:textId="77777777" w:rsidR="0065570A" w:rsidRPr="003D06C5" w:rsidRDefault="0065570A" w:rsidP="0065570A">
            <w:pPr>
              <w:rPr>
                <w:rFonts w:ascii="Calibri" w:eastAsia="Times New Roman" w:hAnsi="Calibri" w:cs="Calibri"/>
                <w:color w:val="000000"/>
                <w:sz w:val="2"/>
                <w:szCs w:val="2"/>
                <w:lang w:val="en-GB" w:eastAsia="en-GB"/>
              </w:rPr>
            </w:pPr>
            <w:r w:rsidRPr="003D06C5">
              <w:rPr>
                <w:rFonts w:ascii="Calibri" w:eastAsia="Times New Roman" w:hAnsi="Calibri" w:cs="Calibri"/>
                <w:color w:val="000000"/>
                <w:sz w:val="2"/>
                <w:szCs w:val="2"/>
                <w:lang w:val="en-GB" w:eastAsia="en-GB"/>
              </w:rPr>
              <w:t> </w:t>
            </w:r>
          </w:p>
        </w:tc>
        <w:tc>
          <w:tcPr>
            <w:tcW w:w="506" w:type="pct"/>
            <w:tcBorders>
              <w:top w:val="nil"/>
              <w:left w:val="nil"/>
              <w:bottom w:val="nil"/>
              <w:right w:val="nil"/>
            </w:tcBorders>
            <w:shd w:val="clear" w:color="000000" w:fill="FFFFFF"/>
            <w:noWrap/>
            <w:vAlign w:val="bottom"/>
            <w:hideMark/>
          </w:tcPr>
          <w:p w14:paraId="0040A3E0" w14:textId="77777777" w:rsidR="0065570A" w:rsidRPr="003D06C5" w:rsidRDefault="0065570A" w:rsidP="0065570A">
            <w:pPr>
              <w:rPr>
                <w:rFonts w:ascii="Calibri" w:eastAsia="Times New Roman" w:hAnsi="Calibri" w:cs="Calibri"/>
                <w:color w:val="000000"/>
                <w:sz w:val="2"/>
                <w:szCs w:val="2"/>
                <w:lang w:val="en-GB" w:eastAsia="en-GB"/>
              </w:rPr>
            </w:pPr>
            <w:r w:rsidRPr="003D06C5">
              <w:rPr>
                <w:rFonts w:ascii="Calibri" w:eastAsia="Times New Roman" w:hAnsi="Calibri" w:cs="Calibri"/>
                <w:color w:val="000000"/>
                <w:sz w:val="2"/>
                <w:szCs w:val="2"/>
                <w:lang w:val="en-GB" w:eastAsia="en-GB"/>
              </w:rPr>
              <w:t> </w:t>
            </w:r>
          </w:p>
        </w:tc>
        <w:tc>
          <w:tcPr>
            <w:tcW w:w="1081" w:type="pct"/>
            <w:tcBorders>
              <w:top w:val="nil"/>
              <w:left w:val="nil"/>
              <w:bottom w:val="nil"/>
              <w:right w:val="nil"/>
            </w:tcBorders>
            <w:shd w:val="clear" w:color="000000" w:fill="FFFFFF"/>
            <w:noWrap/>
            <w:vAlign w:val="bottom"/>
            <w:hideMark/>
          </w:tcPr>
          <w:p w14:paraId="4ADB6E83" w14:textId="77777777" w:rsidR="0065570A" w:rsidRPr="003D06C5" w:rsidRDefault="0065570A" w:rsidP="0065570A">
            <w:pPr>
              <w:rPr>
                <w:rFonts w:ascii="Calibri" w:eastAsia="Times New Roman" w:hAnsi="Calibri" w:cs="Calibri"/>
                <w:color w:val="000000"/>
                <w:sz w:val="2"/>
                <w:szCs w:val="2"/>
                <w:lang w:val="en-GB" w:eastAsia="en-GB"/>
              </w:rPr>
            </w:pPr>
            <w:r w:rsidRPr="003D06C5">
              <w:rPr>
                <w:rFonts w:ascii="Calibri" w:eastAsia="Times New Roman" w:hAnsi="Calibri" w:cs="Calibri"/>
                <w:color w:val="000000"/>
                <w:sz w:val="2"/>
                <w:szCs w:val="2"/>
                <w:lang w:val="en-GB" w:eastAsia="en-GB"/>
              </w:rPr>
              <w:t> </w:t>
            </w:r>
          </w:p>
        </w:tc>
        <w:tc>
          <w:tcPr>
            <w:tcW w:w="486" w:type="pct"/>
            <w:tcBorders>
              <w:top w:val="nil"/>
              <w:left w:val="nil"/>
              <w:bottom w:val="nil"/>
              <w:right w:val="nil"/>
            </w:tcBorders>
            <w:shd w:val="clear" w:color="000000" w:fill="FFFFFF"/>
            <w:noWrap/>
            <w:vAlign w:val="bottom"/>
            <w:hideMark/>
          </w:tcPr>
          <w:p w14:paraId="5F2B82E3" w14:textId="77777777" w:rsidR="0065570A" w:rsidRPr="003D06C5" w:rsidRDefault="0065570A" w:rsidP="0065570A">
            <w:pPr>
              <w:rPr>
                <w:rFonts w:ascii="Calibri" w:eastAsia="Times New Roman" w:hAnsi="Calibri" w:cs="Calibri"/>
                <w:color w:val="000000"/>
                <w:sz w:val="2"/>
                <w:szCs w:val="2"/>
                <w:lang w:val="en-GB" w:eastAsia="en-GB"/>
              </w:rPr>
            </w:pPr>
            <w:r w:rsidRPr="003D06C5">
              <w:rPr>
                <w:rFonts w:ascii="Calibri" w:eastAsia="Times New Roman" w:hAnsi="Calibri" w:cs="Calibri"/>
                <w:color w:val="000000"/>
                <w:sz w:val="2"/>
                <w:szCs w:val="2"/>
                <w:lang w:val="en-GB" w:eastAsia="en-GB"/>
              </w:rPr>
              <w:t> </w:t>
            </w:r>
          </w:p>
        </w:tc>
        <w:tc>
          <w:tcPr>
            <w:tcW w:w="447" w:type="pct"/>
            <w:tcBorders>
              <w:top w:val="nil"/>
              <w:left w:val="nil"/>
              <w:bottom w:val="nil"/>
              <w:right w:val="nil"/>
            </w:tcBorders>
            <w:shd w:val="clear" w:color="000000" w:fill="FFFFFF"/>
            <w:noWrap/>
            <w:vAlign w:val="bottom"/>
            <w:hideMark/>
          </w:tcPr>
          <w:p w14:paraId="23492AE3" w14:textId="77777777" w:rsidR="0065570A" w:rsidRPr="003D06C5" w:rsidRDefault="0065570A" w:rsidP="0065570A">
            <w:pPr>
              <w:rPr>
                <w:rFonts w:ascii="Calibri" w:eastAsia="Times New Roman" w:hAnsi="Calibri" w:cs="Calibri"/>
                <w:color w:val="000000"/>
                <w:sz w:val="2"/>
                <w:szCs w:val="2"/>
                <w:lang w:val="en-GB" w:eastAsia="en-GB"/>
              </w:rPr>
            </w:pPr>
            <w:r w:rsidRPr="003D06C5">
              <w:rPr>
                <w:rFonts w:ascii="Calibri" w:eastAsia="Times New Roman" w:hAnsi="Calibri" w:cs="Calibri"/>
                <w:color w:val="000000"/>
                <w:sz w:val="2"/>
                <w:szCs w:val="2"/>
                <w:lang w:val="en-GB" w:eastAsia="en-GB"/>
              </w:rPr>
              <w:t> </w:t>
            </w:r>
          </w:p>
        </w:tc>
        <w:tc>
          <w:tcPr>
            <w:tcW w:w="614" w:type="pct"/>
            <w:tcBorders>
              <w:top w:val="nil"/>
              <w:left w:val="nil"/>
              <w:bottom w:val="nil"/>
              <w:right w:val="nil"/>
            </w:tcBorders>
            <w:shd w:val="clear" w:color="000000" w:fill="FFFFFF"/>
            <w:noWrap/>
            <w:vAlign w:val="bottom"/>
            <w:hideMark/>
          </w:tcPr>
          <w:p w14:paraId="48FF19EF" w14:textId="77777777" w:rsidR="0065570A" w:rsidRPr="003D06C5" w:rsidRDefault="0065570A" w:rsidP="0065570A">
            <w:pPr>
              <w:rPr>
                <w:rFonts w:ascii="Calibri" w:eastAsia="Times New Roman" w:hAnsi="Calibri" w:cs="Calibri"/>
                <w:color w:val="000000"/>
                <w:sz w:val="2"/>
                <w:szCs w:val="2"/>
                <w:lang w:val="en-GB" w:eastAsia="en-GB"/>
              </w:rPr>
            </w:pPr>
            <w:r w:rsidRPr="003D06C5">
              <w:rPr>
                <w:rFonts w:ascii="Calibri" w:eastAsia="Times New Roman" w:hAnsi="Calibri" w:cs="Calibri"/>
                <w:color w:val="000000"/>
                <w:sz w:val="2"/>
                <w:szCs w:val="2"/>
                <w:lang w:val="en-GB" w:eastAsia="en-GB"/>
              </w:rPr>
              <w:t> </w:t>
            </w:r>
          </w:p>
        </w:tc>
        <w:tc>
          <w:tcPr>
            <w:tcW w:w="538" w:type="pct"/>
            <w:tcBorders>
              <w:top w:val="nil"/>
              <w:left w:val="nil"/>
              <w:bottom w:val="nil"/>
              <w:right w:val="nil"/>
            </w:tcBorders>
            <w:shd w:val="clear" w:color="000000" w:fill="FFFFFF"/>
            <w:noWrap/>
            <w:vAlign w:val="bottom"/>
            <w:hideMark/>
          </w:tcPr>
          <w:p w14:paraId="7D92CCFF" w14:textId="77777777" w:rsidR="0065570A" w:rsidRPr="003D06C5" w:rsidRDefault="0065570A" w:rsidP="0065570A">
            <w:pPr>
              <w:rPr>
                <w:rFonts w:ascii="Calibri" w:eastAsia="Times New Roman" w:hAnsi="Calibri" w:cs="Calibri"/>
                <w:color w:val="000000"/>
                <w:sz w:val="2"/>
                <w:szCs w:val="2"/>
                <w:lang w:val="en-GB" w:eastAsia="en-GB"/>
              </w:rPr>
            </w:pPr>
            <w:r w:rsidRPr="003D06C5">
              <w:rPr>
                <w:rFonts w:ascii="Calibri" w:eastAsia="Times New Roman" w:hAnsi="Calibri" w:cs="Calibri"/>
                <w:color w:val="000000"/>
                <w:sz w:val="2"/>
                <w:szCs w:val="2"/>
                <w:lang w:val="en-GB" w:eastAsia="en-GB"/>
              </w:rPr>
              <w:t> </w:t>
            </w:r>
          </w:p>
        </w:tc>
      </w:tr>
      <w:tr w:rsidR="0065570A" w:rsidRPr="0065570A" w14:paraId="70328F64" w14:textId="77777777" w:rsidTr="0041394A">
        <w:trPr>
          <w:trHeight w:val="64"/>
        </w:trPr>
        <w:tc>
          <w:tcPr>
            <w:tcW w:w="374" w:type="pct"/>
            <w:tcBorders>
              <w:top w:val="single" w:sz="4" w:space="0" w:color="auto"/>
              <w:left w:val="nil"/>
              <w:bottom w:val="single" w:sz="8" w:space="0" w:color="auto"/>
              <w:right w:val="nil"/>
            </w:tcBorders>
            <w:shd w:val="clear" w:color="000000" w:fill="FFFFFF"/>
            <w:noWrap/>
            <w:vAlign w:val="center"/>
            <w:hideMark/>
          </w:tcPr>
          <w:p w14:paraId="44592BE3"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72</w:t>
            </w:r>
          </w:p>
        </w:tc>
        <w:tc>
          <w:tcPr>
            <w:tcW w:w="447" w:type="pct"/>
            <w:tcBorders>
              <w:top w:val="single" w:sz="4" w:space="0" w:color="auto"/>
              <w:left w:val="nil"/>
              <w:bottom w:val="single" w:sz="8" w:space="0" w:color="auto"/>
              <w:right w:val="nil"/>
            </w:tcBorders>
            <w:shd w:val="clear" w:color="000000" w:fill="FFFFFF"/>
            <w:noWrap/>
            <w:vAlign w:val="center"/>
            <w:hideMark/>
          </w:tcPr>
          <w:p w14:paraId="2BF58E04"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(27,177)</w:t>
            </w:r>
          </w:p>
        </w:tc>
        <w:tc>
          <w:tcPr>
            <w:tcW w:w="506" w:type="pct"/>
            <w:tcBorders>
              <w:top w:val="single" w:sz="4" w:space="0" w:color="auto"/>
              <w:left w:val="nil"/>
              <w:bottom w:val="single" w:sz="8" w:space="0" w:color="auto"/>
              <w:right w:val="nil"/>
            </w:tcBorders>
            <w:shd w:val="clear" w:color="000000" w:fill="FFFFFF"/>
            <w:noWrap/>
            <w:vAlign w:val="center"/>
            <w:hideMark/>
          </w:tcPr>
          <w:p w14:paraId="0655EE2C"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(51,490)</w:t>
            </w:r>
          </w:p>
        </w:tc>
        <w:tc>
          <w:tcPr>
            <w:tcW w:w="506" w:type="pct"/>
            <w:tcBorders>
              <w:top w:val="single" w:sz="4" w:space="0" w:color="auto"/>
              <w:left w:val="nil"/>
              <w:bottom w:val="single" w:sz="8" w:space="0" w:color="auto"/>
              <w:right w:val="nil"/>
            </w:tcBorders>
            <w:shd w:val="clear" w:color="000000" w:fill="FFFFFF"/>
            <w:noWrap/>
            <w:vAlign w:val="center"/>
            <w:hideMark/>
          </w:tcPr>
          <w:p w14:paraId="299EC2BC"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(78,595)</w:t>
            </w:r>
          </w:p>
        </w:tc>
        <w:tc>
          <w:tcPr>
            <w:tcW w:w="1081" w:type="pct"/>
            <w:tcBorders>
              <w:top w:val="single" w:sz="4" w:space="0" w:color="auto"/>
              <w:left w:val="nil"/>
              <w:bottom w:val="single" w:sz="8" w:space="0" w:color="auto"/>
              <w:right w:val="nil"/>
            </w:tcBorders>
            <w:shd w:val="clear" w:color="000000" w:fill="FFFFFF"/>
            <w:vAlign w:val="center"/>
            <w:hideMark/>
          </w:tcPr>
          <w:p w14:paraId="4AA17B57" w14:textId="07C80EAE" w:rsidR="0065570A" w:rsidRPr="0065570A" w:rsidRDefault="0065570A" w:rsidP="003D06C5">
            <w:pPr>
              <w:ind w:firstLineChars="100" w:firstLine="161"/>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Total charged to the </w:t>
            </w:r>
            <w:r w:rsidR="003D06C5">
              <w:rPr>
                <w:rFonts w:eastAsia="Times New Roman" w:cs="Calibri"/>
                <w:b/>
                <w:bCs/>
                <w:color w:val="000000"/>
                <w:sz w:val="16"/>
                <w:szCs w:val="16"/>
                <w:lang w:val="en-GB" w:eastAsia="en-GB"/>
              </w:rPr>
              <w:t>CIES</w:t>
            </w:r>
          </w:p>
        </w:tc>
        <w:tc>
          <w:tcPr>
            <w:tcW w:w="486" w:type="pct"/>
            <w:tcBorders>
              <w:top w:val="single" w:sz="4" w:space="0" w:color="auto"/>
              <w:left w:val="nil"/>
              <w:bottom w:val="single" w:sz="8" w:space="0" w:color="auto"/>
              <w:right w:val="nil"/>
            </w:tcBorders>
            <w:shd w:val="clear" w:color="000000" w:fill="FFFFFF"/>
            <w:noWrap/>
            <w:vAlign w:val="center"/>
            <w:hideMark/>
          </w:tcPr>
          <w:p w14:paraId="300598AA" w14:textId="224AF599" w:rsidR="0065570A" w:rsidRPr="0065570A" w:rsidRDefault="00817C80" w:rsidP="0065570A">
            <w:pPr>
              <w:ind w:firstLineChars="100" w:firstLine="161"/>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1,171</w:t>
            </w:r>
          </w:p>
        </w:tc>
        <w:tc>
          <w:tcPr>
            <w:tcW w:w="447" w:type="pct"/>
            <w:tcBorders>
              <w:top w:val="single" w:sz="4" w:space="0" w:color="auto"/>
              <w:left w:val="nil"/>
              <w:bottom w:val="single" w:sz="8" w:space="0" w:color="auto"/>
              <w:right w:val="nil"/>
            </w:tcBorders>
            <w:shd w:val="clear" w:color="000000" w:fill="FFFFFF"/>
            <w:noWrap/>
            <w:vAlign w:val="center"/>
            <w:hideMark/>
          </w:tcPr>
          <w:p w14:paraId="61BE865A"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97,583</w:t>
            </w:r>
          </w:p>
        </w:tc>
        <w:tc>
          <w:tcPr>
            <w:tcW w:w="614" w:type="pct"/>
            <w:tcBorders>
              <w:top w:val="single" w:sz="4" w:space="0" w:color="auto"/>
              <w:left w:val="nil"/>
              <w:bottom w:val="single" w:sz="8" w:space="0" w:color="auto"/>
              <w:right w:val="nil"/>
            </w:tcBorders>
            <w:shd w:val="clear" w:color="000000" w:fill="FFFFFF"/>
            <w:noWrap/>
            <w:vAlign w:val="center"/>
            <w:hideMark/>
          </w:tcPr>
          <w:p w14:paraId="6535074E"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99,210</w:t>
            </w:r>
          </w:p>
        </w:tc>
        <w:tc>
          <w:tcPr>
            <w:tcW w:w="538" w:type="pct"/>
            <w:tcBorders>
              <w:top w:val="single" w:sz="4" w:space="0" w:color="auto"/>
              <w:left w:val="nil"/>
              <w:bottom w:val="single" w:sz="8" w:space="0" w:color="auto"/>
              <w:right w:val="nil"/>
            </w:tcBorders>
            <w:shd w:val="clear" w:color="000000" w:fill="FFFFFF"/>
            <w:noWrap/>
            <w:vAlign w:val="center"/>
            <w:hideMark/>
          </w:tcPr>
          <w:p w14:paraId="3E6628A8" w14:textId="5314636B" w:rsidR="0065570A" w:rsidRPr="0065570A" w:rsidRDefault="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19</w:t>
            </w:r>
            <w:r w:rsidR="004F071D">
              <w:rPr>
                <w:rFonts w:eastAsia="Times New Roman" w:cs="Calibri"/>
                <w:b/>
                <w:bCs/>
                <w:color w:val="000000"/>
                <w:sz w:val="16"/>
                <w:szCs w:val="16"/>
                <w:lang w:val="en-GB" w:eastAsia="en-GB"/>
              </w:rPr>
              <w:t>7</w:t>
            </w:r>
            <w:r w:rsidRPr="0065570A">
              <w:rPr>
                <w:rFonts w:eastAsia="Times New Roman" w:cs="Calibri"/>
                <w:b/>
                <w:bCs/>
                <w:color w:val="000000"/>
                <w:sz w:val="16"/>
                <w:szCs w:val="16"/>
                <w:lang w:val="en-GB" w:eastAsia="en-GB"/>
              </w:rPr>
              <w:t>,</w:t>
            </w:r>
            <w:r w:rsidR="004F071D">
              <w:rPr>
                <w:rFonts w:eastAsia="Times New Roman" w:cs="Calibri"/>
                <w:b/>
                <w:bCs/>
                <w:color w:val="000000"/>
                <w:sz w:val="16"/>
                <w:szCs w:val="16"/>
                <w:lang w:val="en-GB" w:eastAsia="en-GB"/>
              </w:rPr>
              <w:t>964</w:t>
            </w:r>
          </w:p>
        </w:tc>
      </w:tr>
      <w:tr w:rsidR="0065570A" w:rsidRPr="0065570A" w14:paraId="4729E64B" w14:textId="77777777" w:rsidTr="0041394A">
        <w:trPr>
          <w:trHeight w:val="288"/>
        </w:trPr>
        <w:tc>
          <w:tcPr>
            <w:tcW w:w="374" w:type="pct"/>
            <w:tcBorders>
              <w:top w:val="nil"/>
              <w:left w:val="nil"/>
              <w:bottom w:val="nil"/>
              <w:right w:val="nil"/>
            </w:tcBorders>
            <w:shd w:val="clear" w:color="000000" w:fill="FFFFFF"/>
            <w:noWrap/>
            <w:vAlign w:val="bottom"/>
            <w:hideMark/>
          </w:tcPr>
          <w:p w14:paraId="5EB3F1C7"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447" w:type="pct"/>
            <w:tcBorders>
              <w:top w:val="nil"/>
              <w:left w:val="nil"/>
              <w:bottom w:val="nil"/>
              <w:right w:val="nil"/>
            </w:tcBorders>
            <w:shd w:val="clear" w:color="000000" w:fill="FFFFFF"/>
            <w:noWrap/>
            <w:vAlign w:val="bottom"/>
            <w:hideMark/>
          </w:tcPr>
          <w:p w14:paraId="384F4246"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506" w:type="pct"/>
            <w:tcBorders>
              <w:top w:val="nil"/>
              <w:left w:val="nil"/>
              <w:bottom w:val="nil"/>
              <w:right w:val="nil"/>
            </w:tcBorders>
            <w:shd w:val="clear" w:color="000000" w:fill="FFFFFF"/>
            <w:noWrap/>
            <w:vAlign w:val="bottom"/>
            <w:hideMark/>
          </w:tcPr>
          <w:p w14:paraId="53AE4F3F"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506" w:type="pct"/>
            <w:tcBorders>
              <w:top w:val="nil"/>
              <w:left w:val="nil"/>
              <w:bottom w:val="nil"/>
              <w:right w:val="nil"/>
            </w:tcBorders>
            <w:shd w:val="clear" w:color="000000" w:fill="FFFFFF"/>
            <w:noWrap/>
            <w:vAlign w:val="bottom"/>
            <w:hideMark/>
          </w:tcPr>
          <w:p w14:paraId="6122F93A"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1081" w:type="pct"/>
            <w:tcBorders>
              <w:top w:val="nil"/>
              <w:left w:val="nil"/>
              <w:bottom w:val="nil"/>
              <w:right w:val="nil"/>
            </w:tcBorders>
            <w:shd w:val="clear" w:color="000000" w:fill="FFFFFF"/>
            <w:noWrap/>
            <w:vAlign w:val="bottom"/>
            <w:hideMark/>
          </w:tcPr>
          <w:p w14:paraId="15C02201"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486" w:type="pct"/>
            <w:tcBorders>
              <w:top w:val="nil"/>
              <w:left w:val="nil"/>
              <w:bottom w:val="nil"/>
              <w:right w:val="nil"/>
            </w:tcBorders>
            <w:shd w:val="clear" w:color="000000" w:fill="FFFFFF"/>
            <w:noWrap/>
            <w:vAlign w:val="bottom"/>
            <w:hideMark/>
          </w:tcPr>
          <w:p w14:paraId="06E5447A"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447" w:type="pct"/>
            <w:tcBorders>
              <w:top w:val="nil"/>
              <w:left w:val="nil"/>
              <w:bottom w:val="nil"/>
              <w:right w:val="nil"/>
            </w:tcBorders>
            <w:shd w:val="clear" w:color="000000" w:fill="FFFFFF"/>
            <w:noWrap/>
            <w:vAlign w:val="bottom"/>
            <w:hideMark/>
          </w:tcPr>
          <w:p w14:paraId="2480B412"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614" w:type="pct"/>
            <w:tcBorders>
              <w:top w:val="nil"/>
              <w:left w:val="nil"/>
              <w:bottom w:val="nil"/>
              <w:right w:val="nil"/>
            </w:tcBorders>
            <w:shd w:val="clear" w:color="000000" w:fill="FFFFFF"/>
            <w:noWrap/>
            <w:vAlign w:val="bottom"/>
            <w:hideMark/>
          </w:tcPr>
          <w:p w14:paraId="7888CF68"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538" w:type="pct"/>
            <w:tcBorders>
              <w:top w:val="nil"/>
              <w:left w:val="nil"/>
              <w:bottom w:val="nil"/>
              <w:right w:val="nil"/>
            </w:tcBorders>
            <w:shd w:val="clear" w:color="000000" w:fill="FFFFFF"/>
            <w:noWrap/>
            <w:vAlign w:val="bottom"/>
            <w:hideMark/>
          </w:tcPr>
          <w:p w14:paraId="3389C3D1"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r>
      <w:tr w:rsidR="0065570A" w:rsidRPr="0065570A" w14:paraId="647DBC7E" w14:textId="77777777" w:rsidTr="0041394A">
        <w:trPr>
          <w:trHeight w:val="204"/>
        </w:trPr>
        <w:tc>
          <w:tcPr>
            <w:tcW w:w="1833" w:type="pct"/>
            <w:gridSpan w:val="4"/>
            <w:tcBorders>
              <w:top w:val="nil"/>
              <w:left w:val="nil"/>
              <w:bottom w:val="nil"/>
              <w:right w:val="nil"/>
            </w:tcBorders>
            <w:shd w:val="clear" w:color="000000" w:fill="FFFFFF"/>
            <w:noWrap/>
            <w:vAlign w:val="center"/>
            <w:hideMark/>
          </w:tcPr>
          <w:p w14:paraId="2D749C05"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2019/20</w:t>
            </w:r>
          </w:p>
        </w:tc>
        <w:tc>
          <w:tcPr>
            <w:tcW w:w="1081" w:type="pct"/>
            <w:tcBorders>
              <w:top w:val="nil"/>
              <w:left w:val="nil"/>
              <w:bottom w:val="nil"/>
              <w:right w:val="nil"/>
            </w:tcBorders>
            <w:shd w:val="clear" w:color="000000" w:fill="FFFFFF"/>
            <w:noWrap/>
            <w:vAlign w:val="center"/>
            <w:hideMark/>
          </w:tcPr>
          <w:p w14:paraId="6D923E4F" w14:textId="77777777" w:rsidR="0065570A" w:rsidRPr="0065570A" w:rsidRDefault="0065570A" w:rsidP="0065570A">
            <w:pP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2086" w:type="pct"/>
            <w:gridSpan w:val="4"/>
            <w:tcBorders>
              <w:top w:val="nil"/>
              <w:left w:val="nil"/>
              <w:bottom w:val="nil"/>
              <w:right w:val="nil"/>
            </w:tcBorders>
            <w:shd w:val="clear" w:color="000000" w:fill="FFFFFF"/>
            <w:noWrap/>
            <w:vAlign w:val="center"/>
            <w:hideMark/>
          </w:tcPr>
          <w:p w14:paraId="1E6D5C61"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2020/21</w:t>
            </w:r>
          </w:p>
        </w:tc>
      </w:tr>
      <w:tr w:rsidR="0065570A" w:rsidRPr="0065570A" w14:paraId="271A8C90" w14:textId="77777777" w:rsidTr="0041394A">
        <w:trPr>
          <w:trHeight w:val="204"/>
        </w:trPr>
        <w:tc>
          <w:tcPr>
            <w:tcW w:w="374" w:type="pct"/>
            <w:tcBorders>
              <w:top w:val="nil"/>
              <w:left w:val="nil"/>
              <w:bottom w:val="nil"/>
              <w:right w:val="nil"/>
            </w:tcBorders>
            <w:shd w:val="clear" w:color="000000" w:fill="FFFFFF"/>
            <w:noWrap/>
            <w:vAlign w:val="center"/>
            <w:hideMark/>
          </w:tcPr>
          <w:p w14:paraId="46B52403"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PCC LGPS </w:t>
            </w:r>
          </w:p>
        </w:tc>
        <w:tc>
          <w:tcPr>
            <w:tcW w:w="447" w:type="pct"/>
            <w:tcBorders>
              <w:top w:val="nil"/>
              <w:left w:val="nil"/>
              <w:bottom w:val="nil"/>
              <w:right w:val="nil"/>
            </w:tcBorders>
            <w:shd w:val="clear" w:color="000000" w:fill="FFFFFF"/>
            <w:noWrap/>
            <w:vAlign w:val="center"/>
            <w:hideMark/>
          </w:tcPr>
          <w:p w14:paraId="2E3352B2"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CC LGPS </w:t>
            </w:r>
          </w:p>
        </w:tc>
        <w:tc>
          <w:tcPr>
            <w:tcW w:w="506" w:type="pct"/>
            <w:tcBorders>
              <w:top w:val="nil"/>
              <w:left w:val="nil"/>
              <w:bottom w:val="nil"/>
              <w:right w:val="nil"/>
            </w:tcBorders>
            <w:shd w:val="clear" w:color="000000" w:fill="FFFFFF"/>
            <w:vAlign w:val="center"/>
            <w:hideMark/>
          </w:tcPr>
          <w:p w14:paraId="01F834B5"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Police Officers</w:t>
            </w:r>
          </w:p>
        </w:tc>
        <w:tc>
          <w:tcPr>
            <w:tcW w:w="506" w:type="pct"/>
            <w:tcBorders>
              <w:top w:val="nil"/>
              <w:left w:val="nil"/>
              <w:bottom w:val="nil"/>
              <w:right w:val="nil"/>
            </w:tcBorders>
            <w:shd w:val="clear" w:color="000000" w:fill="FFFFFF"/>
            <w:vAlign w:val="center"/>
            <w:hideMark/>
          </w:tcPr>
          <w:p w14:paraId="2A0AC684"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Total</w:t>
            </w:r>
          </w:p>
        </w:tc>
        <w:tc>
          <w:tcPr>
            <w:tcW w:w="1081" w:type="pct"/>
            <w:tcBorders>
              <w:top w:val="nil"/>
              <w:left w:val="nil"/>
              <w:bottom w:val="nil"/>
              <w:right w:val="nil"/>
            </w:tcBorders>
            <w:shd w:val="clear" w:color="000000" w:fill="FFFFFF"/>
            <w:noWrap/>
            <w:vAlign w:val="center"/>
            <w:hideMark/>
          </w:tcPr>
          <w:p w14:paraId="7A6E89B9" w14:textId="77777777" w:rsidR="0065570A" w:rsidRPr="0065570A" w:rsidRDefault="0065570A" w:rsidP="0065570A">
            <w:pP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7DA671E5"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PCC LGPS </w:t>
            </w:r>
          </w:p>
        </w:tc>
        <w:tc>
          <w:tcPr>
            <w:tcW w:w="447" w:type="pct"/>
            <w:tcBorders>
              <w:top w:val="nil"/>
              <w:left w:val="nil"/>
              <w:bottom w:val="nil"/>
              <w:right w:val="nil"/>
            </w:tcBorders>
            <w:shd w:val="clear" w:color="000000" w:fill="FFFFFF"/>
            <w:noWrap/>
            <w:vAlign w:val="center"/>
            <w:hideMark/>
          </w:tcPr>
          <w:p w14:paraId="756C4969"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CC LGPS </w:t>
            </w:r>
          </w:p>
        </w:tc>
        <w:tc>
          <w:tcPr>
            <w:tcW w:w="614" w:type="pct"/>
            <w:tcBorders>
              <w:top w:val="nil"/>
              <w:left w:val="nil"/>
              <w:bottom w:val="nil"/>
              <w:right w:val="nil"/>
            </w:tcBorders>
            <w:shd w:val="clear" w:color="000000" w:fill="FFFFFF"/>
            <w:vAlign w:val="center"/>
            <w:hideMark/>
          </w:tcPr>
          <w:p w14:paraId="56493EA6"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Police Officers</w:t>
            </w:r>
          </w:p>
        </w:tc>
        <w:tc>
          <w:tcPr>
            <w:tcW w:w="538" w:type="pct"/>
            <w:tcBorders>
              <w:top w:val="nil"/>
              <w:left w:val="nil"/>
              <w:bottom w:val="nil"/>
              <w:right w:val="nil"/>
            </w:tcBorders>
            <w:shd w:val="clear" w:color="000000" w:fill="FFFFFF"/>
            <w:vAlign w:val="center"/>
            <w:hideMark/>
          </w:tcPr>
          <w:p w14:paraId="52F549BC"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Total</w:t>
            </w:r>
          </w:p>
        </w:tc>
      </w:tr>
      <w:tr w:rsidR="0065570A" w:rsidRPr="0065570A" w14:paraId="4478457C" w14:textId="77777777" w:rsidTr="0041394A">
        <w:trPr>
          <w:trHeight w:val="204"/>
        </w:trPr>
        <w:tc>
          <w:tcPr>
            <w:tcW w:w="1327" w:type="pct"/>
            <w:gridSpan w:val="3"/>
            <w:tcBorders>
              <w:top w:val="nil"/>
              <w:left w:val="nil"/>
              <w:bottom w:val="nil"/>
              <w:right w:val="nil"/>
            </w:tcBorders>
            <w:shd w:val="clear" w:color="000000" w:fill="FFFFFF"/>
            <w:noWrap/>
            <w:vAlign w:val="bottom"/>
            <w:hideMark/>
          </w:tcPr>
          <w:p w14:paraId="408F2CEE" w14:textId="77777777" w:rsidR="0065570A" w:rsidRPr="0065570A" w:rsidRDefault="0065570A" w:rsidP="0065570A">
            <w:pP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Movement in Reserves Statement</w:t>
            </w:r>
          </w:p>
        </w:tc>
        <w:tc>
          <w:tcPr>
            <w:tcW w:w="506" w:type="pct"/>
            <w:tcBorders>
              <w:top w:val="nil"/>
              <w:left w:val="nil"/>
              <w:bottom w:val="nil"/>
              <w:right w:val="nil"/>
            </w:tcBorders>
            <w:shd w:val="clear" w:color="000000" w:fill="FFFFFF"/>
            <w:noWrap/>
            <w:vAlign w:val="bottom"/>
            <w:hideMark/>
          </w:tcPr>
          <w:p w14:paraId="4FBB7E47"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bottom"/>
            <w:hideMark/>
          </w:tcPr>
          <w:p w14:paraId="66E83F22" w14:textId="77777777" w:rsidR="0065570A" w:rsidRPr="0065570A" w:rsidRDefault="0065570A" w:rsidP="0065570A">
            <w:pP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nil"/>
              <w:left w:val="nil"/>
              <w:bottom w:val="nil"/>
              <w:right w:val="nil"/>
            </w:tcBorders>
            <w:shd w:val="clear" w:color="000000" w:fill="FFFFFF"/>
            <w:noWrap/>
            <w:vAlign w:val="bottom"/>
            <w:hideMark/>
          </w:tcPr>
          <w:p w14:paraId="76CAF748"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bottom"/>
            <w:hideMark/>
          </w:tcPr>
          <w:p w14:paraId="637D6FA1"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bottom"/>
            <w:hideMark/>
          </w:tcPr>
          <w:p w14:paraId="5E3051AC"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bottom"/>
            <w:hideMark/>
          </w:tcPr>
          <w:p w14:paraId="7EBA19AF"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52E72F3F" w14:textId="77777777" w:rsidTr="0041394A">
        <w:trPr>
          <w:trHeight w:val="204"/>
        </w:trPr>
        <w:tc>
          <w:tcPr>
            <w:tcW w:w="374" w:type="pct"/>
            <w:tcBorders>
              <w:top w:val="nil"/>
              <w:left w:val="nil"/>
              <w:bottom w:val="nil"/>
              <w:right w:val="nil"/>
            </w:tcBorders>
            <w:shd w:val="clear" w:color="000000" w:fill="FFFFFF"/>
            <w:noWrap/>
            <w:vAlign w:val="bottom"/>
            <w:hideMark/>
          </w:tcPr>
          <w:p w14:paraId="550E8A13"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bottom"/>
            <w:hideMark/>
          </w:tcPr>
          <w:p w14:paraId="29D3E78D"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bottom"/>
            <w:hideMark/>
          </w:tcPr>
          <w:p w14:paraId="4166CE3C"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bottom"/>
            <w:hideMark/>
          </w:tcPr>
          <w:p w14:paraId="2002AE9D"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bottom"/>
            <w:hideMark/>
          </w:tcPr>
          <w:p w14:paraId="21F17635" w14:textId="77777777" w:rsidR="0065570A" w:rsidRPr="0065570A" w:rsidRDefault="0065570A" w:rsidP="0065570A">
            <w:pP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nil"/>
              <w:left w:val="nil"/>
              <w:bottom w:val="nil"/>
              <w:right w:val="nil"/>
            </w:tcBorders>
            <w:shd w:val="clear" w:color="000000" w:fill="FFFFFF"/>
            <w:noWrap/>
            <w:vAlign w:val="bottom"/>
            <w:hideMark/>
          </w:tcPr>
          <w:p w14:paraId="4750996F"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bottom"/>
            <w:hideMark/>
          </w:tcPr>
          <w:p w14:paraId="7A1B0A6B"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bottom"/>
            <w:hideMark/>
          </w:tcPr>
          <w:p w14:paraId="7A6B9591"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bottom"/>
            <w:hideMark/>
          </w:tcPr>
          <w:p w14:paraId="0C55CEB2"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20C8AF0A" w14:textId="77777777" w:rsidTr="0041394A">
        <w:trPr>
          <w:trHeight w:val="74"/>
        </w:trPr>
        <w:tc>
          <w:tcPr>
            <w:tcW w:w="374" w:type="pct"/>
            <w:tcBorders>
              <w:top w:val="nil"/>
              <w:left w:val="nil"/>
              <w:bottom w:val="single" w:sz="4" w:space="0" w:color="auto"/>
              <w:right w:val="nil"/>
            </w:tcBorders>
            <w:shd w:val="clear" w:color="000000" w:fill="FFFFFF"/>
            <w:noWrap/>
            <w:vAlign w:val="center"/>
            <w:hideMark/>
          </w:tcPr>
          <w:p w14:paraId="0A0C60A7"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447" w:type="pct"/>
            <w:tcBorders>
              <w:top w:val="nil"/>
              <w:left w:val="nil"/>
              <w:bottom w:val="single" w:sz="4" w:space="0" w:color="auto"/>
              <w:right w:val="nil"/>
            </w:tcBorders>
            <w:shd w:val="clear" w:color="000000" w:fill="FFFFFF"/>
            <w:noWrap/>
            <w:vAlign w:val="center"/>
            <w:hideMark/>
          </w:tcPr>
          <w:p w14:paraId="17E49534"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06" w:type="pct"/>
            <w:tcBorders>
              <w:top w:val="nil"/>
              <w:left w:val="nil"/>
              <w:bottom w:val="single" w:sz="4" w:space="0" w:color="auto"/>
              <w:right w:val="nil"/>
            </w:tcBorders>
            <w:shd w:val="clear" w:color="000000" w:fill="FFFFFF"/>
            <w:noWrap/>
            <w:vAlign w:val="center"/>
            <w:hideMark/>
          </w:tcPr>
          <w:p w14:paraId="373C97A6"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06" w:type="pct"/>
            <w:tcBorders>
              <w:top w:val="nil"/>
              <w:left w:val="nil"/>
              <w:bottom w:val="single" w:sz="4" w:space="0" w:color="auto"/>
              <w:right w:val="nil"/>
            </w:tcBorders>
            <w:shd w:val="clear" w:color="000000" w:fill="FFFFFF"/>
            <w:noWrap/>
            <w:vAlign w:val="center"/>
            <w:hideMark/>
          </w:tcPr>
          <w:p w14:paraId="2A929824"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1081" w:type="pct"/>
            <w:tcBorders>
              <w:top w:val="nil"/>
              <w:left w:val="nil"/>
              <w:bottom w:val="single" w:sz="4" w:space="0" w:color="auto"/>
              <w:right w:val="nil"/>
            </w:tcBorders>
            <w:shd w:val="clear" w:color="000000" w:fill="FFFFFF"/>
            <w:noWrap/>
            <w:vAlign w:val="center"/>
            <w:hideMark/>
          </w:tcPr>
          <w:p w14:paraId="54E378F0"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nil"/>
              <w:left w:val="nil"/>
              <w:bottom w:val="single" w:sz="4" w:space="0" w:color="auto"/>
              <w:right w:val="nil"/>
            </w:tcBorders>
            <w:shd w:val="clear" w:color="000000" w:fill="FFFFFF"/>
            <w:noWrap/>
            <w:vAlign w:val="center"/>
            <w:hideMark/>
          </w:tcPr>
          <w:p w14:paraId="35A3838D"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447" w:type="pct"/>
            <w:tcBorders>
              <w:top w:val="nil"/>
              <w:left w:val="nil"/>
              <w:bottom w:val="single" w:sz="4" w:space="0" w:color="auto"/>
              <w:right w:val="nil"/>
            </w:tcBorders>
            <w:shd w:val="clear" w:color="000000" w:fill="FFFFFF"/>
            <w:noWrap/>
            <w:vAlign w:val="center"/>
            <w:hideMark/>
          </w:tcPr>
          <w:p w14:paraId="5CFA956F"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614" w:type="pct"/>
            <w:tcBorders>
              <w:top w:val="nil"/>
              <w:left w:val="nil"/>
              <w:bottom w:val="single" w:sz="4" w:space="0" w:color="auto"/>
              <w:right w:val="nil"/>
            </w:tcBorders>
            <w:shd w:val="clear" w:color="000000" w:fill="FFFFFF"/>
            <w:noWrap/>
            <w:vAlign w:val="center"/>
            <w:hideMark/>
          </w:tcPr>
          <w:p w14:paraId="14439BAB"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38" w:type="pct"/>
            <w:tcBorders>
              <w:top w:val="nil"/>
              <w:left w:val="nil"/>
              <w:bottom w:val="single" w:sz="4" w:space="0" w:color="auto"/>
              <w:right w:val="nil"/>
            </w:tcBorders>
            <w:shd w:val="clear" w:color="000000" w:fill="FFFFFF"/>
            <w:noWrap/>
            <w:vAlign w:val="center"/>
            <w:hideMark/>
          </w:tcPr>
          <w:p w14:paraId="00B7A885"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r>
      <w:tr w:rsidR="0065570A" w:rsidRPr="0065570A" w14:paraId="6EEA96F4" w14:textId="77777777" w:rsidTr="0041394A">
        <w:trPr>
          <w:trHeight w:val="612"/>
        </w:trPr>
        <w:tc>
          <w:tcPr>
            <w:tcW w:w="374" w:type="pct"/>
            <w:tcBorders>
              <w:top w:val="nil"/>
              <w:left w:val="nil"/>
              <w:bottom w:val="nil"/>
              <w:right w:val="nil"/>
            </w:tcBorders>
            <w:shd w:val="clear" w:color="000000" w:fill="FFFFFF"/>
            <w:noWrap/>
            <w:vAlign w:val="center"/>
            <w:hideMark/>
          </w:tcPr>
          <w:p w14:paraId="4DEFD95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(224)</w:t>
            </w:r>
          </w:p>
        </w:tc>
        <w:tc>
          <w:tcPr>
            <w:tcW w:w="447" w:type="pct"/>
            <w:tcBorders>
              <w:top w:val="nil"/>
              <w:left w:val="nil"/>
              <w:bottom w:val="nil"/>
              <w:right w:val="nil"/>
            </w:tcBorders>
            <w:shd w:val="clear" w:color="000000" w:fill="FFFFFF"/>
            <w:noWrap/>
            <w:vAlign w:val="center"/>
            <w:hideMark/>
          </w:tcPr>
          <w:p w14:paraId="0572BC1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(23,510)</w:t>
            </w:r>
          </w:p>
        </w:tc>
        <w:tc>
          <w:tcPr>
            <w:tcW w:w="506" w:type="pct"/>
            <w:tcBorders>
              <w:top w:val="nil"/>
              <w:left w:val="nil"/>
              <w:bottom w:val="nil"/>
              <w:right w:val="nil"/>
            </w:tcBorders>
            <w:shd w:val="clear" w:color="000000" w:fill="FFFFFF"/>
            <w:noWrap/>
            <w:vAlign w:val="center"/>
            <w:hideMark/>
          </w:tcPr>
          <w:p w14:paraId="1DA74EF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(89,670)</w:t>
            </w:r>
          </w:p>
        </w:tc>
        <w:tc>
          <w:tcPr>
            <w:tcW w:w="506" w:type="pct"/>
            <w:tcBorders>
              <w:top w:val="nil"/>
              <w:left w:val="nil"/>
              <w:bottom w:val="nil"/>
              <w:right w:val="nil"/>
            </w:tcBorders>
            <w:shd w:val="clear" w:color="000000" w:fill="FFFFFF"/>
            <w:noWrap/>
            <w:vAlign w:val="center"/>
            <w:hideMark/>
          </w:tcPr>
          <w:p w14:paraId="368C6C6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(113,404)</w:t>
            </w:r>
          </w:p>
        </w:tc>
        <w:tc>
          <w:tcPr>
            <w:tcW w:w="1081" w:type="pct"/>
            <w:tcBorders>
              <w:top w:val="nil"/>
              <w:left w:val="nil"/>
              <w:bottom w:val="nil"/>
              <w:right w:val="nil"/>
            </w:tcBorders>
            <w:shd w:val="clear" w:color="000000" w:fill="FFFFFF"/>
            <w:vAlign w:val="center"/>
            <w:hideMark/>
          </w:tcPr>
          <w:p w14:paraId="4427D176"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Reversal of net charges made to the Surplus or Deficit on the Provision of Services</w:t>
            </w:r>
          </w:p>
        </w:tc>
        <w:tc>
          <w:tcPr>
            <w:tcW w:w="486" w:type="pct"/>
            <w:tcBorders>
              <w:top w:val="nil"/>
              <w:left w:val="nil"/>
              <w:bottom w:val="nil"/>
              <w:right w:val="nil"/>
            </w:tcBorders>
            <w:shd w:val="clear" w:color="000000" w:fill="FFFFFF"/>
            <w:noWrap/>
            <w:vAlign w:val="center"/>
            <w:hideMark/>
          </w:tcPr>
          <w:p w14:paraId="469B632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(247)</w:t>
            </w:r>
          </w:p>
        </w:tc>
        <w:tc>
          <w:tcPr>
            <w:tcW w:w="447" w:type="pct"/>
            <w:tcBorders>
              <w:top w:val="nil"/>
              <w:left w:val="nil"/>
              <w:bottom w:val="nil"/>
              <w:right w:val="nil"/>
            </w:tcBorders>
            <w:shd w:val="clear" w:color="000000" w:fill="FFFFFF"/>
            <w:noWrap/>
            <w:vAlign w:val="center"/>
            <w:hideMark/>
          </w:tcPr>
          <w:p w14:paraId="5236927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(20,863)</w:t>
            </w:r>
          </w:p>
        </w:tc>
        <w:tc>
          <w:tcPr>
            <w:tcW w:w="614" w:type="pct"/>
            <w:tcBorders>
              <w:top w:val="nil"/>
              <w:left w:val="nil"/>
              <w:bottom w:val="nil"/>
              <w:right w:val="nil"/>
            </w:tcBorders>
            <w:shd w:val="clear" w:color="000000" w:fill="FFFFFF"/>
            <w:noWrap/>
            <w:vAlign w:val="center"/>
            <w:hideMark/>
          </w:tcPr>
          <w:p w14:paraId="129F041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(96,070)</w:t>
            </w:r>
          </w:p>
        </w:tc>
        <w:tc>
          <w:tcPr>
            <w:tcW w:w="538" w:type="pct"/>
            <w:tcBorders>
              <w:top w:val="nil"/>
              <w:left w:val="nil"/>
              <w:bottom w:val="nil"/>
              <w:right w:val="nil"/>
            </w:tcBorders>
            <w:shd w:val="clear" w:color="000000" w:fill="FFFFFF"/>
            <w:noWrap/>
            <w:vAlign w:val="center"/>
            <w:hideMark/>
          </w:tcPr>
          <w:p w14:paraId="796D3DD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(117,180)</w:t>
            </w:r>
          </w:p>
        </w:tc>
      </w:tr>
      <w:tr w:rsidR="0065570A" w:rsidRPr="0065570A" w14:paraId="516DA7B1" w14:textId="77777777" w:rsidTr="0041394A">
        <w:trPr>
          <w:trHeight w:val="74"/>
        </w:trPr>
        <w:tc>
          <w:tcPr>
            <w:tcW w:w="374" w:type="pct"/>
            <w:tcBorders>
              <w:top w:val="nil"/>
              <w:left w:val="nil"/>
              <w:bottom w:val="nil"/>
              <w:right w:val="nil"/>
            </w:tcBorders>
            <w:shd w:val="clear" w:color="000000" w:fill="FFFFFF"/>
            <w:noWrap/>
            <w:vAlign w:val="center"/>
            <w:hideMark/>
          </w:tcPr>
          <w:p w14:paraId="38AE08D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0796509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2C9D751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2FA19F7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667057B9"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7EE241D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490431E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40FAC39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6F2DF71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675E3BF9" w14:textId="77777777" w:rsidTr="0041394A">
        <w:trPr>
          <w:trHeight w:val="612"/>
        </w:trPr>
        <w:tc>
          <w:tcPr>
            <w:tcW w:w="374" w:type="pct"/>
            <w:tcBorders>
              <w:top w:val="nil"/>
              <w:left w:val="nil"/>
              <w:bottom w:val="nil"/>
              <w:right w:val="nil"/>
            </w:tcBorders>
            <w:shd w:val="clear" w:color="000000" w:fill="FFFFFF"/>
            <w:noWrap/>
            <w:vAlign w:val="center"/>
            <w:hideMark/>
          </w:tcPr>
          <w:p w14:paraId="76C705E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4C39FEC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67F0EBC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2092A51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vAlign w:val="center"/>
            <w:hideMark/>
          </w:tcPr>
          <w:p w14:paraId="34D4FF42"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Actual amount charged against the general fund balance for pensions in the year:</w:t>
            </w:r>
          </w:p>
        </w:tc>
        <w:tc>
          <w:tcPr>
            <w:tcW w:w="486" w:type="pct"/>
            <w:tcBorders>
              <w:top w:val="nil"/>
              <w:left w:val="nil"/>
              <w:bottom w:val="nil"/>
              <w:right w:val="nil"/>
            </w:tcBorders>
            <w:shd w:val="clear" w:color="000000" w:fill="FFFFFF"/>
            <w:noWrap/>
            <w:vAlign w:val="center"/>
            <w:hideMark/>
          </w:tcPr>
          <w:p w14:paraId="6A5169E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5057D3F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546AEAB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24BC503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1C5353FE" w14:textId="77777777" w:rsidTr="0041394A">
        <w:trPr>
          <w:trHeight w:val="204"/>
        </w:trPr>
        <w:tc>
          <w:tcPr>
            <w:tcW w:w="374" w:type="pct"/>
            <w:tcBorders>
              <w:top w:val="nil"/>
              <w:left w:val="nil"/>
              <w:bottom w:val="nil"/>
              <w:right w:val="nil"/>
            </w:tcBorders>
            <w:shd w:val="clear" w:color="000000" w:fill="FFFFFF"/>
            <w:noWrap/>
            <w:vAlign w:val="center"/>
            <w:hideMark/>
          </w:tcPr>
          <w:p w14:paraId="252FB22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31D31F5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0B66594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707A9D6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2AF55841"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2147756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4D6ED3D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2FC0E10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1584A24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7DB941DF" w14:textId="77777777" w:rsidTr="0041394A">
        <w:trPr>
          <w:trHeight w:val="408"/>
        </w:trPr>
        <w:tc>
          <w:tcPr>
            <w:tcW w:w="374" w:type="pct"/>
            <w:tcBorders>
              <w:top w:val="nil"/>
              <w:left w:val="nil"/>
              <w:bottom w:val="nil"/>
              <w:right w:val="nil"/>
            </w:tcBorders>
            <w:shd w:val="clear" w:color="000000" w:fill="FFFFFF"/>
            <w:noWrap/>
            <w:vAlign w:val="center"/>
            <w:hideMark/>
          </w:tcPr>
          <w:p w14:paraId="43C9FFF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83</w:t>
            </w:r>
          </w:p>
        </w:tc>
        <w:tc>
          <w:tcPr>
            <w:tcW w:w="447" w:type="pct"/>
            <w:tcBorders>
              <w:top w:val="nil"/>
              <w:left w:val="nil"/>
              <w:bottom w:val="nil"/>
              <w:right w:val="nil"/>
            </w:tcBorders>
            <w:shd w:val="clear" w:color="000000" w:fill="FFFFFF"/>
            <w:noWrap/>
            <w:vAlign w:val="center"/>
            <w:hideMark/>
          </w:tcPr>
          <w:p w14:paraId="376D14D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9,724</w:t>
            </w:r>
          </w:p>
        </w:tc>
        <w:tc>
          <w:tcPr>
            <w:tcW w:w="506" w:type="pct"/>
            <w:tcBorders>
              <w:top w:val="nil"/>
              <w:left w:val="nil"/>
              <w:bottom w:val="nil"/>
              <w:right w:val="nil"/>
            </w:tcBorders>
            <w:shd w:val="clear" w:color="000000" w:fill="FFFFFF"/>
            <w:noWrap/>
            <w:vAlign w:val="center"/>
            <w:hideMark/>
          </w:tcPr>
          <w:p w14:paraId="6EC4ACA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40,570</w:t>
            </w:r>
          </w:p>
        </w:tc>
        <w:tc>
          <w:tcPr>
            <w:tcW w:w="506" w:type="pct"/>
            <w:tcBorders>
              <w:top w:val="nil"/>
              <w:left w:val="nil"/>
              <w:bottom w:val="nil"/>
              <w:right w:val="nil"/>
            </w:tcBorders>
            <w:shd w:val="clear" w:color="000000" w:fill="FFFFFF"/>
            <w:noWrap/>
            <w:vAlign w:val="center"/>
            <w:hideMark/>
          </w:tcPr>
          <w:p w14:paraId="0A217AB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50,377</w:t>
            </w:r>
          </w:p>
        </w:tc>
        <w:tc>
          <w:tcPr>
            <w:tcW w:w="1081" w:type="pct"/>
            <w:tcBorders>
              <w:top w:val="nil"/>
              <w:left w:val="nil"/>
              <w:bottom w:val="nil"/>
              <w:right w:val="nil"/>
            </w:tcBorders>
            <w:shd w:val="clear" w:color="000000" w:fill="FFFFFF"/>
            <w:vAlign w:val="center"/>
            <w:hideMark/>
          </w:tcPr>
          <w:p w14:paraId="416E4AF3"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Employers' contributions payable to scheme</w:t>
            </w:r>
          </w:p>
        </w:tc>
        <w:tc>
          <w:tcPr>
            <w:tcW w:w="486" w:type="pct"/>
            <w:tcBorders>
              <w:top w:val="nil"/>
              <w:left w:val="nil"/>
              <w:bottom w:val="nil"/>
              <w:right w:val="nil"/>
            </w:tcBorders>
            <w:shd w:val="clear" w:color="000000" w:fill="FFFFFF"/>
            <w:noWrap/>
            <w:vAlign w:val="center"/>
            <w:hideMark/>
          </w:tcPr>
          <w:p w14:paraId="3F3E1F2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113</w:t>
            </w:r>
          </w:p>
        </w:tc>
        <w:tc>
          <w:tcPr>
            <w:tcW w:w="447" w:type="pct"/>
            <w:tcBorders>
              <w:top w:val="nil"/>
              <w:left w:val="nil"/>
              <w:bottom w:val="nil"/>
              <w:right w:val="nil"/>
            </w:tcBorders>
            <w:shd w:val="clear" w:color="000000" w:fill="FFFFFF"/>
            <w:noWrap/>
            <w:vAlign w:val="center"/>
            <w:hideMark/>
          </w:tcPr>
          <w:p w14:paraId="4D3DCA99" w14:textId="5036DA16" w:rsidR="0065570A" w:rsidRPr="0065570A" w:rsidRDefault="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10,</w:t>
            </w:r>
            <w:r w:rsidR="007A3087">
              <w:rPr>
                <w:rFonts w:eastAsia="Times New Roman" w:cs="Calibri"/>
                <w:color w:val="000000"/>
                <w:sz w:val="16"/>
                <w:szCs w:val="16"/>
                <w:lang w:val="en-GB" w:eastAsia="en-GB"/>
              </w:rPr>
              <w:t>942</w:t>
            </w:r>
          </w:p>
        </w:tc>
        <w:tc>
          <w:tcPr>
            <w:tcW w:w="614" w:type="pct"/>
            <w:tcBorders>
              <w:top w:val="nil"/>
              <w:left w:val="nil"/>
              <w:bottom w:val="nil"/>
              <w:right w:val="nil"/>
            </w:tcBorders>
            <w:shd w:val="clear" w:color="000000" w:fill="FFFFFF"/>
            <w:noWrap/>
            <w:vAlign w:val="center"/>
            <w:hideMark/>
          </w:tcPr>
          <w:p w14:paraId="56922899" w14:textId="63594C24" w:rsidR="0065570A" w:rsidRPr="0065570A" w:rsidRDefault="007A3087" w:rsidP="0065570A">
            <w:pPr>
              <w:ind w:firstLineChars="100" w:firstLine="160"/>
              <w:jc w:val="right"/>
              <w:rPr>
                <w:rFonts w:eastAsia="Times New Roman" w:cs="Calibri"/>
                <w:color w:val="000000"/>
                <w:sz w:val="16"/>
                <w:szCs w:val="16"/>
                <w:lang w:val="en-GB" w:eastAsia="en-GB"/>
              </w:rPr>
            </w:pPr>
            <w:r>
              <w:rPr>
                <w:rFonts w:eastAsia="Times New Roman" w:cs="Calibri"/>
                <w:color w:val="000000"/>
                <w:sz w:val="16"/>
                <w:szCs w:val="16"/>
                <w:lang w:val="en-GB" w:eastAsia="en-GB"/>
              </w:rPr>
              <w:t>38,360</w:t>
            </w:r>
          </w:p>
        </w:tc>
        <w:tc>
          <w:tcPr>
            <w:tcW w:w="538" w:type="pct"/>
            <w:tcBorders>
              <w:top w:val="nil"/>
              <w:left w:val="nil"/>
              <w:bottom w:val="nil"/>
              <w:right w:val="nil"/>
            </w:tcBorders>
            <w:shd w:val="clear" w:color="000000" w:fill="FFFFFF"/>
            <w:noWrap/>
            <w:vAlign w:val="center"/>
            <w:hideMark/>
          </w:tcPr>
          <w:p w14:paraId="402C4754" w14:textId="73CAEC39" w:rsidR="0065570A" w:rsidRPr="0065570A" w:rsidRDefault="007A3087" w:rsidP="0065570A">
            <w:pPr>
              <w:ind w:firstLineChars="100" w:firstLine="160"/>
              <w:jc w:val="right"/>
              <w:rPr>
                <w:rFonts w:eastAsia="Times New Roman" w:cs="Calibri"/>
                <w:color w:val="000000"/>
                <w:sz w:val="16"/>
                <w:szCs w:val="16"/>
                <w:lang w:val="en-GB" w:eastAsia="en-GB"/>
              </w:rPr>
            </w:pPr>
            <w:r>
              <w:rPr>
                <w:rFonts w:eastAsia="Times New Roman" w:cs="Calibri"/>
                <w:color w:val="000000"/>
                <w:sz w:val="16"/>
                <w:szCs w:val="16"/>
                <w:lang w:val="en-GB" w:eastAsia="en-GB"/>
              </w:rPr>
              <w:t>49,415</w:t>
            </w:r>
          </w:p>
        </w:tc>
      </w:tr>
      <w:tr w:rsidR="0065570A" w:rsidRPr="0065570A" w14:paraId="76CC297D" w14:textId="77777777" w:rsidTr="0041394A">
        <w:trPr>
          <w:trHeight w:val="204"/>
        </w:trPr>
        <w:tc>
          <w:tcPr>
            <w:tcW w:w="374" w:type="pct"/>
            <w:tcBorders>
              <w:top w:val="nil"/>
              <w:left w:val="nil"/>
              <w:bottom w:val="nil"/>
              <w:right w:val="nil"/>
            </w:tcBorders>
            <w:shd w:val="clear" w:color="000000" w:fill="FFFFFF"/>
            <w:noWrap/>
            <w:vAlign w:val="center"/>
            <w:hideMark/>
          </w:tcPr>
          <w:p w14:paraId="4720F87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56E952E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501D9DE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1B3EFBF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5A55C950"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2818E8F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5EAD281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33E7B93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5BB9826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6202418C" w14:textId="77777777" w:rsidTr="0041394A">
        <w:trPr>
          <w:trHeight w:val="216"/>
        </w:trPr>
        <w:tc>
          <w:tcPr>
            <w:tcW w:w="374" w:type="pct"/>
            <w:tcBorders>
              <w:top w:val="single" w:sz="4" w:space="0" w:color="auto"/>
              <w:left w:val="nil"/>
              <w:bottom w:val="single" w:sz="8" w:space="0" w:color="auto"/>
              <w:right w:val="nil"/>
            </w:tcBorders>
            <w:shd w:val="clear" w:color="000000" w:fill="FFFFFF"/>
            <w:noWrap/>
            <w:vAlign w:val="center"/>
            <w:hideMark/>
          </w:tcPr>
          <w:p w14:paraId="1160A795"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(141)</w:t>
            </w:r>
          </w:p>
        </w:tc>
        <w:tc>
          <w:tcPr>
            <w:tcW w:w="447" w:type="pct"/>
            <w:tcBorders>
              <w:top w:val="single" w:sz="4" w:space="0" w:color="auto"/>
              <w:left w:val="nil"/>
              <w:bottom w:val="single" w:sz="8" w:space="0" w:color="auto"/>
              <w:right w:val="nil"/>
            </w:tcBorders>
            <w:shd w:val="clear" w:color="000000" w:fill="FFFFFF"/>
            <w:noWrap/>
            <w:vAlign w:val="center"/>
            <w:hideMark/>
          </w:tcPr>
          <w:p w14:paraId="4409CCAE"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(13,786)</w:t>
            </w:r>
          </w:p>
        </w:tc>
        <w:tc>
          <w:tcPr>
            <w:tcW w:w="506" w:type="pct"/>
            <w:tcBorders>
              <w:top w:val="single" w:sz="4" w:space="0" w:color="auto"/>
              <w:left w:val="nil"/>
              <w:bottom w:val="single" w:sz="8" w:space="0" w:color="auto"/>
              <w:right w:val="nil"/>
            </w:tcBorders>
            <w:shd w:val="clear" w:color="000000" w:fill="FFFFFF"/>
            <w:noWrap/>
            <w:vAlign w:val="center"/>
            <w:hideMark/>
          </w:tcPr>
          <w:p w14:paraId="46FE08FA"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(49,100)</w:t>
            </w:r>
          </w:p>
        </w:tc>
        <w:tc>
          <w:tcPr>
            <w:tcW w:w="506" w:type="pct"/>
            <w:tcBorders>
              <w:top w:val="single" w:sz="4" w:space="0" w:color="auto"/>
              <w:left w:val="nil"/>
              <w:bottom w:val="single" w:sz="8" w:space="0" w:color="auto"/>
              <w:right w:val="nil"/>
            </w:tcBorders>
            <w:shd w:val="clear" w:color="000000" w:fill="FFFFFF"/>
            <w:noWrap/>
            <w:vAlign w:val="center"/>
            <w:hideMark/>
          </w:tcPr>
          <w:p w14:paraId="1AAB2987"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(63,027)</w:t>
            </w:r>
          </w:p>
        </w:tc>
        <w:tc>
          <w:tcPr>
            <w:tcW w:w="1081" w:type="pct"/>
            <w:tcBorders>
              <w:top w:val="single" w:sz="4" w:space="0" w:color="auto"/>
              <w:left w:val="nil"/>
              <w:bottom w:val="single" w:sz="8" w:space="0" w:color="auto"/>
              <w:right w:val="nil"/>
            </w:tcBorders>
            <w:shd w:val="clear" w:color="000000" w:fill="FFFFFF"/>
            <w:vAlign w:val="center"/>
            <w:hideMark/>
          </w:tcPr>
          <w:p w14:paraId="3364D731" w14:textId="77777777" w:rsidR="0065570A" w:rsidRPr="0065570A" w:rsidRDefault="0065570A" w:rsidP="0065570A">
            <w:pPr>
              <w:ind w:firstLineChars="100" w:firstLine="161"/>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single" w:sz="4" w:space="0" w:color="auto"/>
              <w:left w:val="nil"/>
              <w:bottom w:val="single" w:sz="8" w:space="0" w:color="auto"/>
              <w:right w:val="nil"/>
            </w:tcBorders>
            <w:shd w:val="clear" w:color="000000" w:fill="FFFFFF"/>
            <w:noWrap/>
            <w:vAlign w:val="center"/>
            <w:hideMark/>
          </w:tcPr>
          <w:p w14:paraId="3EA040A7"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(134)</w:t>
            </w:r>
          </w:p>
        </w:tc>
        <w:tc>
          <w:tcPr>
            <w:tcW w:w="447" w:type="pct"/>
            <w:tcBorders>
              <w:top w:val="single" w:sz="4" w:space="0" w:color="auto"/>
              <w:left w:val="nil"/>
              <w:bottom w:val="single" w:sz="8" w:space="0" w:color="auto"/>
              <w:right w:val="nil"/>
            </w:tcBorders>
            <w:shd w:val="clear" w:color="000000" w:fill="FFFFFF"/>
            <w:noWrap/>
            <w:vAlign w:val="center"/>
            <w:hideMark/>
          </w:tcPr>
          <w:p w14:paraId="24DD15F2" w14:textId="4AD53D2B"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(9,9</w:t>
            </w:r>
            <w:r w:rsidR="007A3087">
              <w:rPr>
                <w:rFonts w:eastAsia="Times New Roman" w:cs="Calibri"/>
                <w:b/>
                <w:bCs/>
                <w:color w:val="000000"/>
                <w:sz w:val="16"/>
                <w:szCs w:val="16"/>
                <w:lang w:val="en-GB" w:eastAsia="en-GB"/>
              </w:rPr>
              <w:t>21</w:t>
            </w:r>
            <w:r w:rsidRPr="0065570A">
              <w:rPr>
                <w:rFonts w:eastAsia="Times New Roman" w:cs="Calibri"/>
                <w:b/>
                <w:bCs/>
                <w:color w:val="000000"/>
                <w:sz w:val="16"/>
                <w:szCs w:val="16"/>
                <w:lang w:val="en-GB" w:eastAsia="en-GB"/>
              </w:rPr>
              <w:t>)</w:t>
            </w:r>
          </w:p>
        </w:tc>
        <w:tc>
          <w:tcPr>
            <w:tcW w:w="614" w:type="pct"/>
            <w:tcBorders>
              <w:top w:val="single" w:sz="4" w:space="0" w:color="auto"/>
              <w:left w:val="nil"/>
              <w:bottom w:val="single" w:sz="8" w:space="0" w:color="auto"/>
              <w:right w:val="nil"/>
            </w:tcBorders>
            <w:shd w:val="clear" w:color="000000" w:fill="FFFFFF"/>
            <w:noWrap/>
            <w:vAlign w:val="center"/>
            <w:hideMark/>
          </w:tcPr>
          <w:p w14:paraId="509F9F22" w14:textId="71987B33"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(5</w:t>
            </w:r>
            <w:r w:rsidR="007A3087">
              <w:rPr>
                <w:rFonts w:eastAsia="Times New Roman" w:cs="Calibri"/>
                <w:b/>
                <w:bCs/>
                <w:color w:val="000000"/>
                <w:sz w:val="16"/>
                <w:szCs w:val="16"/>
                <w:lang w:val="en-GB" w:eastAsia="en-GB"/>
              </w:rPr>
              <w:t>7,710</w:t>
            </w:r>
            <w:r w:rsidRPr="0065570A">
              <w:rPr>
                <w:rFonts w:eastAsia="Times New Roman" w:cs="Calibri"/>
                <w:b/>
                <w:bCs/>
                <w:color w:val="000000"/>
                <w:sz w:val="16"/>
                <w:szCs w:val="16"/>
                <w:lang w:val="en-GB" w:eastAsia="en-GB"/>
              </w:rPr>
              <w:t>)</w:t>
            </w:r>
          </w:p>
        </w:tc>
        <w:tc>
          <w:tcPr>
            <w:tcW w:w="538" w:type="pct"/>
            <w:tcBorders>
              <w:top w:val="single" w:sz="4" w:space="0" w:color="auto"/>
              <w:left w:val="nil"/>
              <w:bottom w:val="single" w:sz="8" w:space="0" w:color="auto"/>
              <w:right w:val="nil"/>
            </w:tcBorders>
            <w:shd w:val="clear" w:color="000000" w:fill="FFFFFF"/>
            <w:noWrap/>
            <w:vAlign w:val="center"/>
            <w:hideMark/>
          </w:tcPr>
          <w:p w14:paraId="16A8BA5D" w14:textId="01BB58E7" w:rsidR="0065570A" w:rsidRPr="0065570A" w:rsidRDefault="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w:t>
            </w:r>
            <w:r w:rsidR="007A3087">
              <w:rPr>
                <w:rFonts w:eastAsia="Times New Roman" w:cs="Calibri"/>
                <w:b/>
                <w:bCs/>
                <w:color w:val="000000"/>
                <w:sz w:val="16"/>
                <w:szCs w:val="16"/>
                <w:lang w:val="en-GB" w:eastAsia="en-GB"/>
              </w:rPr>
              <w:t>67,765</w:t>
            </w:r>
            <w:r w:rsidRPr="0065570A">
              <w:rPr>
                <w:rFonts w:eastAsia="Times New Roman" w:cs="Calibri"/>
                <w:b/>
                <w:bCs/>
                <w:color w:val="000000"/>
                <w:sz w:val="16"/>
                <w:szCs w:val="16"/>
                <w:lang w:val="en-GB" w:eastAsia="en-GB"/>
              </w:rPr>
              <w:t>)</w:t>
            </w:r>
          </w:p>
        </w:tc>
      </w:tr>
      <w:tr w:rsidR="0065570A" w:rsidRPr="0065570A" w14:paraId="49C6C153" w14:textId="77777777" w:rsidTr="0041394A">
        <w:trPr>
          <w:trHeight w:val="288"/>
        </w:trPr>
        <w:tc>
          <w:tcPr>
            <w:tcW w:w="374" w:type="pct"/>
            <w:tcBorders>
              <w:top w:val="nil"/>
              <w:left w:val="nil"/>
              <w:bottom w:val="nil"/>
              <w:right w:val="nil"/>
            </w:tcBorders>
            <w:shd w:val="clear" w:color="000000" w:fill="FFFFFF"/>
            <w:noWrap/>
            <w:vAlign w:val="bottom"/>
            <w:hideMark/>
          </w:tcPr>
          <w:p w14:paraId="0B9987CE"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447" w:type="pct"/>
            <w:tcBorders>
              <w:top w:val="nil"/>
              <w:left w:val="nil"/>
              <w:bottom w:val="nil"/>
              <w:right w:val="nil"/>
            </w:tcBorders>
            <w:shd w:val="clear" w:color="000000" w:fill="FFFFFF"/>
            <w:noWrap/>
            <w:vAlign w:val="bottom"/>
            <w:hideMark/>
          </w:tcPr>
          <w:p w14:paraId="1BFBAB8D"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506" w:type="pct"/>
            <w:tcBorders>
              <w:top w:val="nil"/>
              <w:left w:val="nil"/>
              <w:bottom w:val="nil"/>
              <w:right w:val="nil"/>
            </w:tcBorders>
            <w:shd w:val="clear" w:color="000000" w:fill="FFFFFF"/>
            <w:noWrap/>
            <w:vAlign w:val="bottom"/>
            <w:hideMark/>
          </w:tcPr>
          <w:p w14:paraId="20F0FF2A"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506" w:type="pct"/>
            <w:tcBorders>
              <w:top w:val="nil"/>
              <w:left w:val="nil"/>
              <w:bottom w:val="nil"/>
              <w:right w:val="nil"/>
            </w:tcBorders>
            <w:shd w:val="clear" w:color="000000" w:fill="FFFFFF"/>
            <w:noWrap/>
            <w:vAlign w:val="bottom"/>
            <w:hideMark/>
          </w:tcPr>
          <w:p w14:paraId="5879B7E9"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1081" w:type="pct"/>
            <w:tcBorders>
              <w:top w:val="nil"/>
              <w:left w:val="nil"/>
              <w:bottom w:val="nil"/>
              <w:right w:val="nil"/>
            </w:tcBorders>
            <w:shd w:val="clear" w:color="000000" w:fill="FFFFFF"/>
            <w:noWrap/>
            <w:vAlign w:val="bottom"/>
            <w:hideMark/>
          </w:tcPr>
          <w:p w14:paraId="509154B0"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486" w:type="pct"/>
            <w:tcBorders>
              <w:top w:val="nil"/>
              <w:left w:val="nil"/>
              <w:bottom w:val="nil"/>
              <w:right w:val="nil"/>
            </w:tcBorders>
            <w:shd w:val="clear" w:color="000000" w:fill="FFFFFF"/>
            <w:noWrap/>
            <w:vAlign w:val="bottom"/>
            <w:hideMark/>
          </w:tcPr>
          <w:p w14:paraId="726AC51E"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447" w:type="pct"/>
            <w:tcBorders>
              <w:top w:val="nil"/>
              <w:left w:val="nil"/>
              <w:bottom w:val="nil"/>
              <w:right w:val="nil"/>
            </w:tcBorders>
            <w:shd w:val="clear" w:color="000000" w:fill="FFFFFF"/>
            <w:noWrap/>
            <w:vAlign w:val="bottom"/>
            <w:hideMark/>
          </w:tcPr>
          <w:p w14:paraId="0519004B"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614" w:type="pct"/>
            <w:tcBorders>
              <w:top w:val="nil"/>
              <w:left w:val="nil"/>
              <w:bottom w:val="nil"/>
              <w:right w:val="nil"/>
            </w:tcBorders>
            <w:shd w:val="clear" w:color="000000" w:fill="FFFFFF"/>
            <w:noWrap/>
            <w:vAlign w:val="bottom"/>
            <w:hideMark/>
          </w:tcPr>
          <w:p w14:paraId="2B2D0268"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538" w:type="pct"/>
            <w:tcBorders>
              <w:top w:val="nil"/>
              <w:left w:val="nil"/>
              <w:bottom w:val="nil"/>
              <w:right w:val="nil"/>
            </w:tcBorders>
            <w:shd w:val="clear" w:color="000000" w:fill="FFFFFF"/>
            <w:noWrap/>
            <w:vAlign w:val="bottom"/>
            <w:hideMark/>
          </w:tcPr>
          <w:p w14:paraId="78C21C5B"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r>
      <w:tr w:rsidR="0065570A" w:rsidRPr="0065570A" w14:paraId="5D574EF7" w14:textId="77777777" w:rsidTr="0041394A">
        <w:trPr>
          <w:trHeight w:val="612"/>
        </w:trPr>
        <w:tc>
          <w:tcPr>
            <w:tcW w:w="1833" w:type="pct"/>
            <w:gridSpan w:val="4"/>
            <w:tcBorders>
              <w:top w:val="nil"/>
              <w:left w:val="nil"/>
              <w:bottom w:val="nil"/>
              <w:right w:val="nil"/>
            </w:tcBorders>
            <w:shd w:val="clear" w:color="000000" w:fill="FFFFFF"/>
            <w:noWrap/>
            <w:vAlign w:val="center"/>
            <w:hideMark/>
          </w:tcPr>
          <w:p w14:paraId="68F36724"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2019/20</w:t>
            </w:r>
          </w:p>
        </w:tc>
        <w:tc>
          <w:tcPr>
            <w:tcW w:w="1081" w:type="pct"/>
            <w:tcBorders>
              <w:top w:val="nil"/>
              <w:left w:val="nil"/>
              <w:bottom w:val="nil"/>
              <w:right w:val="nil"/>
            </w:tcBorders>
            <w:shd w:val="clear" w:color="000000" w:fill="FFFFFF"/>
            <w:vAlign w:val="center"/>
            <w:hideMark/>
          </w:tcPr>
          <w:p w14:paraId="5CC8AFAF" w14:textId="77777777" w:rsidR="0065570A" w:rsidRPr="0065570A" w:rsidRDefault="0065570A" w:rsidP="0065570A">
            <w:pPr>
              <w:ind w:firstLineChars="100" w:firstLine="161"/>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Pensions Assets and Liabilities Recognised in the Balance Sheet</w:t>
            </w:r>
          </w:p>
        </w:tc>
        <w:tc>
          <w:tcPr>
            <w:tcW w:w="2086" w:type="pct"/>
            <w:gridSpan w:val="4"/>
            <w:tcBorders>
              <w:top w:val="nil"/>
              <w:left w:val="nil"/>
              <w:bottom w:val="nil"/>
              <w:right w:val="nil"/>
            </w:tcBorders>
            <w:shd w:val="clear" w:color="000000" w:fill="FFFFFF"/>
            <w:noWrap/>
            <w:vAlign w:val="center"/>
            <w:hideMark/>
          </w:tcPr>
          <w:p w14:paraId="1A08C416"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2020/21</w:t>
            </w:r>
          </w:p>
        </w:tc>
      </w:tr>
      <w:tr w:rsidR="0065570A" w:rsidRPr="0065570A" w14:paraId="63683212" w14:textId="77777777" w:rsidTr="0041394A">
        <w:trPr>
          <w:trHeight w:val="204"/>
        </w:trPr>
        <w:tc>
          <w:tcPr>
            <w:tcW w:w="374" w:type="pct"/>
            <w:tcBorders>
              <w:top w:val="nil"/>
              <w:left w:val="nil"/>
              <w:bottom w:val="nil"/>
              <w:right w:val="nil"/>
            </w:tcBorders>
            <w:shd w:val="clear" w:color="000000" w:fill="FFFFFF"/>
            <w:noWrap/>
            <w:vAlign w:val="center"/>
            <w:hideMark/>
          </w:tcPr>
          <w:p w14:paraId="797D44CD"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LGPS </w:t>
            </w:r>
          </w:p>
        </w:tc>
        <w:tc>
          <w:tcPr>
            <w:tcW w:w="447" w:type="pct"/>
            <w:tcBorders>
              <w:top w:val="nil"/>
              <w:left w:val="nil"/>
              <w:bottom w:val="nil"/>
              <w:right w:val="nil"/>
            </w:tcBorders>
            <w:shd w:val="clear" w:color="000000" w:fill="FFFFFF"/>
            <w:noWrap/>
            <w:vAlign w:val="center"/>
            <w:hideMark/>
          </w:tcPr>
          <w:p w14:paraId="55C55BF7"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LGPS </w:t>
            </w:r>
          </w:p>
        </w:tc>
        <w:tc>
          <w:tcPr>
            <w:tcW w:w="506" w:type="pct"/>
            <w:tcBorders>
              <w:top w:val="nil"/>
              <w:left w:val="nil"/>
              <w:bottom w:val="nil"/>
              <w:right w:val="nil"/>
            </w:tcBorders>
            <w:shd w:val="clear" w:color="000000" w:fill="FFFFFF"/>
            <w:vAlign w:val="center"/>
            <w:hideMark/>
          </w:tcPr>
          <w:p w14:paraId="0F65F75D"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Police Officers</w:t>
            </w:r>
          </w:p>
        </w:tc>
        <w:tc>
          <w:tcPr>
            <w:tcW w:w="506" w:type="pct"/>
            <w:tcBorders>
              <w:top w:val="nil"/>
              <w:left w:val="nil"/>
              <w:bottom w:val="nil"/>
              <w:right w:val="nil"/>
            </w:tcBorders>
            <w:shd w:val="clear" w:color="000000" w:fill="FFFFFF"/>
            <w:vAlign w:val="center"/>
            <w:hideMark/>
          </w:tcPr>
          <w:p w14:paraId="55CF5C16"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Total</w:t>
            </w:r>
          </w:p>
        </w:tc>
        <w:tc>
          <w:tcPr>
            <w:tcW w:w="1081" w:type="pct"/>
            <w:tcBorders>
              <w:top w:val="nil"/>
              <w:left w:val="nil"/>
              <w:bottom w:val="nil"/>
              <w:right w:val="nil"/>
            </w:tcBorders>
            <w:shd w:val="clear" w:color="000000" w:fill="FFFFFF"/>
            <w:noWrap/>
            <w:vAlign w:val="center"/>
            <w:hideMark/>
          </w:tcPr>
          <w:p w14:paraId="0F0CA5C4" w14:textId="77777777" w:rsidR="0065570A" w:rsidRPr="0065570A" w:rsidRDefault="0065570A" w:rsidP="0065570A">
            <w:pP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734007A6"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LGPS </w:t>
            </w:r>
          </w:p>
        </w:tc>
        <w:tc>
          <w:tcPr>
            <w:tcW w:w="447" w:type="pct"/>
            <w:tcBorders>
              <w:top w:val="nil"/>
              <w:left w:val="nil"/>
              <w:bottom w:val="nil"/>
              <w:right w:val="nil"/>
            </w:tcBorders>
            <w:shd w:val="clear" w:color="000000" w:fill="FFFFFF"/>
            <w:noWrap/>
            <w:vAlign w:val="center"/>
            <w:hideMark/>
          </w:tcPr>
          <w:p w14:paraId="7A725506"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LGPS </w:t>
            </w:r>
          </w:p>
        </w:tc>
        <w:tc>
          <w:tcPr>
            <w:tcW w:w="614" w:type="pct"/>
            <w:tcBorders>
              <w:top w:val="nil"/>
              <w:left w:val="nil"/>
              <w:bottom w:val="nil"/>
              <w:right w:val="nil"/>
            </w:tcBorders>
            <w:shd w:val="clear" w:color="000000" w:fill="FFFFFF"/>
            <w:vAlign w:val="center"/>
            <w:hideMark/>
          </w:tcPr>
          <w:p w14:paraId="0F34D2C6"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Police Officers</w:t>
            </w:r>
          </w:p>
        </w:tc>
        <w:tc>
          <w:tcPr>
            <w:tcW w:w="538" w:type="pct"/>
            <w:tcBorders>
              <w:top w:val="nil"/>
              <w:left w:val="nil"/>
              <w:bottom w:val="nil"/>
              <w:right w:val="nil"/>
            </w:tcBorders>
            <w:shd w:val="clear" w:color="000000" w:fill="FFFFFF"/>
            <w:vAlign w:val="center"/>
            <w:hideMark/>
          </w:tcPr>
          <w:p w14:paraId="7886B8B0"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Total</w:t>
            </w:r>
          </w:p>
        </w:tc>
      </w:tr>
      <w:tr w:rsidR="0065570A" w:rsidRPr="0065570A" w14:paraId="0184ED0F" w14:textId="77777777" w:rsidTr="0041394A">
        <w:trPr>
          <w:trHeight w:val="204"/>
        </w:trPr>
        <w:tc>
          <w:tcPr>
            <w:tcW w:w="374" w:type="pct"/>
            <w:tcBorders>
              <w:top w:val="nil"/>
              <w:left w:val="nil"/>
              <w:bottom w:val="nil"/>
              <w:right w:val="nil"/>
            </w:tcBorders>
            <w:shd w:val="clear" w:color="000000" w:fill="FFFFFF"/>
            <w:noWrap/>
            <w:vAlign w:val="bottom"/>
            <w:hideMark/>
          </w:tcPr>
          <w:p w14:paraId="2F55B960"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bottom"/>
            <w:hideMark/>
          </w:tcPr>
          <w:p w14:paraId="06B573BE"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bottom"/>
            <w:hideMark/>
          </w:tcPr>
          <w:p w14:paraId="7A25E7A8"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bottom"/>
            <w:hideMark/>
          </w:tcPr>
          <w:p w14:paraId="1B351B9C"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bottom"/>
            <w:hideMark/>
          </w:tcPr>
          <w:p w14:paraId="5F70E1A6" w14:textId="77777777" w:rsidR="0065570A" w:rsidRPr="0065570A" w:rsidRDefault="0065570A" w:rsidP="0065570A">
            <w:pP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nil"/>
              <w:left w:val="nil"/>
              <w:bottom w:val="nil"/>
              <w:right w:val="nil"/>
            </w:tcBorders>
            <w:shd w:val="clear" w:color="000000" w:fill="FFFFFF"/>
            <w:noWrap/>
            <w:vAlign w:val="bottom"/>
            <w:hideMark/>
          </w:tcPr>
          <w:p w14:paraId="088D7D11"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bottom"/>
            <w:hideMark/>
          </w:tcPr>
          <w:p w14:paraId="3703ADE6"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bottom"/>
            <w:hideMark/>
          </w:tcPr>
          <w:p w14:paraId="2333174A"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bottom"/>
            <w:hideMark/>
          </w:tcPr>
          <w:p w14:paraId="7A113757"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09B84FC3" w14:textId="77777777" w:rsidTr="0041394A">
        <w:trPr>
          <w:trHeight w:val="204"/>
        </w:trPr>
        <w:tc>
          <w:tcPr>
            <w:tcW w:w="374" w:type="pct"/>
            <w:tcBorders>
              <w:top w:val="nil"/>
              <w:left w:val="nil"/>
              <w:bottom w:val="single" w:sz="4" w:space="0" w:color="auto"/>
              <w:right w:val="nil"/>
            </w:tcBorders>
            <w:shd w:val="clear" w:color="000000" w:fill="FFFFFF"/>
            <w:noWrap/>
            <w:vAlign w:val="center"/>
            <w:hideMark/>
          </w:tcPr>
          <w:p w14:paraId="63871404"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447" w:type="pct"/>
            <w:tcBorders>
              <w:top w:val="nil"/>
              <w:left w:val="nil"/>
              <w:bottom w:val="single" w:sz="4" w:space="0" w:color="auto"/>
              <w:right w:val="nil"/>
            </w:tcBorders>
            <w:shd w:val="clear" w:color="000000" w:fill="FFFFFF"/>
            <w:noWrap/>
            <w:vAlign w:val="center"/>
            <w:hideMark/>
          </w:tcPr>
          <w:p w14:paraId="5017C6CE"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06" w:type="pct"/>
            <w:tcBorders>
              <w:top w:val="nil"/>
              <w:left w:val="nil"/>
              <w:bottom w:val="single" w:sz="4" w:space="0" w:color="auto"/>
              <w:right w:val="nil"/>
            </w:tcBorders>
            <w:shd w:val="clear" w:color="000000" w:fill="FFFFFF"/>
            <w:noWrap/>
            <w:vAlign w:val="center"/>
            <w:hideMark/>
          </w:tcPr>
          <w:p w14:paraId="3B329A9D"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06" w:type="pct"/>
            <w:tcBorders>
              <w:top w:val="nil"/>
              <w:left w:val="nil"/>
              <w:bottom w:val="single" w:sz="4" w:space="0" w:color="auto"/>
              <w:right w:val="nil"/>
            </w:tcBorders>
            <w:shd w:val="clear" w:color="000000" w:fill="FFFFFF"/>
            <w:noWrap/>
            <w:vAlign w:val="center"/>
            <w:hideMark/>
          </w:tcPr>
          <w:p w14:paraId="1F624158"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1081" w:type="pct"/>
            <w:tcBorders>
              <w:top w:val="nil"/>
              <w:left w:val="nil"/>
              <w:bottom w:val="single" w:sz="4" w:space="0" w:color="auto"/>
              <w:right w:val="nil"/>
            </w:tcBorders>
            <w:shd w:val="clear" w:color="000000" w:fill="FFFFFF"/>
            <w:noWrap/>
            <w:vAlign w:val="center"/>
            <w:hideMark/>
          </w:tcPr>
          <w:p w14:paraId="17718B50"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nil"/>
              <w:left w:val="nil"/>
              <w:bottom w:val="single" w:sz="4" w:space="0" w:color="auto"/>
              <w:right w:val="nil"/>
            </w:tcBorders>
            <w:shd w:val="clear" w:color="000000" w:fill="FFFFFF"/>
            <w:noWrap/>
            <w:vAlign w:val="center"/>
            <w:hideMark/>
          </w:tcPr>
          <w:p w14:paraId="79FA3455"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447" w:type="pct"/>
            <w:tcBorders>
              <w:top w:val="nil"/>
              <w:left w:val="nil"/>
              <w:bottom w:val="single" w:sz="4" w:space="0" w:color="auto"/>
              <w:right w:val="nil"/>
            </w:tcBorders>
            <w:shd w:val="clear" w:color="000000" w:fill="FFFFFF"/>
            <w:noWrap/>
            <w:vAlign w:val="center"/>
            <w:hideMark/>
          </w:tcPr>
          <w:p w14:paraId="0EB68A88"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614" w:type="pct"/>
            <w:tcBorders>
              <w:top w:val="nil"/>
              <w:left w:val="nil"/>
              <w:bottom w:val="single" w:sz="4" w:space="0" w:color="auto"/>
              <w:right w:val="nil"/>
            </w:tcBorders>
            <w:shd w:val="clear" w:color="000000" w:fill="FFFFFF"/>
            <w:noWrap/>
            <w:vAlign w:val="center"/>
            <w:hideMark/>
          </w:tcPr>
          <w:p w14:paraId="0BED3B62"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38" w:type="pct"/>
            <w:tcBorders>
              <w:top w:val="nil"/>
              <w:left w:val="nil"/>
              <w:bottom w:val="single" w:sz="4" w:space="0" w:color="auto"/>
              <w:right w:val="nil"/>
            </w:tcBorders>
            <w:shd w:val="clear" w:color="000000" w:fill="FFFFFF"/>
            <w:noWrap/>
            <w:vAlign w:val="center"/>
            <w:hideMark/>
          </w:tcPr>
          <w:p w14:paraId="270BC604"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r>
      <w:tr w:rsidR="0065570A" w:rsidRPr="0065570A" w14:paraId="3545B516" w14:textId="77777777" w:rsidTr="0041394A">
        <w:trPr>
          <w:trHeight w:val="408"/>
        </w:trPr>
        <w:tc>
          <w:tcPr>
            <w:tcW w:w="374" w:type="pct"/>
            <w:tcBorders>
              <w:top w:val="nil"/>
              <w:left w:val="nil"/>
              <w:bottom w:val="nil"/>
              <w:right w:val="nil"/>
            </w:tcBorders>
            <w:shd w:val="clear" w:color="000000" w:fill="FFFFFF"/>
            <w:noWrap/>
            <w:vAlign w:val="center"/>
            <w:hideMark/>
          </w:tcPr>
          <w:p w14:paraId="7ED8AA2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(3,972)</w:t>
            </w:r>
          </w:p>
        </w:tc>
        <w:tc>
          <w:tcPr>
            <w:tcW w:w="447" w:type="pct"/>
            <w:tcBorders>
              <w:top w:val="nil"/>
              <w:left w:val="nil"/>
              <w:bottom w:val="nil"/>
              <w:right w:val="nil"/>
            </w:tcBorders>
            <w:shd w:val="clear" w:color="000000" w:fill="FFFFFF"/>
            <w:noWrap/>
            <w:vAlign w:val="center"/>
            <w:hideMark/>
          </w:tcPr>
          <w:p w14:paraId="5905855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(403,072)</w:t>
            </w:r>
          </w:p>
        </w:tc>
        <w:tc>
          <w:tcPr>
            <w:tcW w:w="506" w:type="pct"/>
            <w:tcBorders>
              <w:top w:val="nil"/>
              <w:left w:val="nil"/>
              <w:bottom w:val="nil"/>
              <w:right w:val="nil"/>
            </w:tcBorders>
            <w:shd w:val="clear" w:color="000000" w:fill="FFFFFF"/>
            <w:noWrap/>
            <w:vAlign w:val="center"/>
            <w:hideMark/>
          </w:tcPr>
          <w:p w14:paraId="43D96AB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(1,896,060)</w:t>
            </w:r>
          </w:p>
        </w:tc>
        <w:tc>
          <w:tcPr>
            <w:tcW w:w="506" w:type="pct"/>
            <w:tcBorders>
              <w:top w:val="nil"/>
              <w:left w:val="nil"/>
              <w:bottom w:val="nil"/>
              <w:right w:val="nil"/>
            </w:tcBorders>
            <w:shd w:val="clear" w:color="000000" w:fill="FFFFFF"/>
            <w:noWrap/>
            <w:vAlign w:val="center"/>
            <w:hideMark/>
          </w:tcPr>
          <w:p w14:paraId="06DEED7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(2,303,104)</w:t>
            </w:r>
          </w:p>
        </w:tc>
        <w:tc>
          <w:tcPr>
            <w:tcW w:w="1081" w:type="pct"/>
            <w:tcBorders>
              <w:top w:val="nil"/>
              <w:left w:val="nil"/>
              <w:bottom w:val="nil"/>
              <w:right w:val="nil"/>
            </w:tcBorders>
            <w:shd w:val="clear" w:color="000000" w:fill="FFFFFF"/>
            <w:vAlign w:val="center"/>
            <w:hideMark/>
          </w:tcPr>
          <w:p w14:paraId="31485D39" w14:textId="44611D9D" w:rsidR="0065570A" w:rsidRPr="0065570A" w:rsidRDefault="0065570A" w:rsidP="003D06C5">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Present value of the defin</w:t>
            </w:r>
            <w:r w:rsidR="003D06C5">
              <w:rPr>
                <w:rFonts w:eastAsia="Times New Roman" w:cs="Calibri"/>
                <w:color w:val="000000"/>
                <w:sz w:val="16"/>
                <w:szCs w:val="16"/>
                <w:lang w:val="en-GB" w:eastAsia="en-GB"/>
              </w:rPr>
              <w:t>e</w:t>
            </w:r>
            <w:r w:rsidRPr="0065570A">
              <w:rPr>
                <w:rFonts w:eastAsia="Times New Roman" w:cs="Calibri"/>
                <w:color w:val="000000"/>
                <w:sz w:val="16"/>
                <w:szCs w:val="16"/>
                <w:lang w:val="en-GB" w:eastAsia="en-GB"/>
              </w:rPr>
              <w:t>d obligation</w:t>
            </w:r>
          </w:p>
        </w:tc>
        <w:tc>
          <w:tcPr>
            <w:tcW w:w="486" w:type="pct"/>
            <w:tcBorders>
              <w:top w:val="nil"/>
              <w:left w:val="nil"/>
              <w:bottom w:val="nil"/>
              <w:right w:val="nil"/>
            </w:tcBorders>
            <w:shd w:val="clear" w:color="000000" w:fill="FFFFFF"/>
            <w:noWrap/>
            <w:vAlign w:val="center"/>
            <w:hideMark/>
          </w:tcPr>
          <w:p w14:paraId="402D24A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(5,903)</w:t>
            </w:r>
          </w:p>
        </w:tc>
        <w:tc>
          <w:tcPr>
            <w:tcW w:w="447" w:type="pct"/>
            <w:tcBorders>
              <w:top w:val="nil"/>
              <w:left w:val="nil"/>
              <w:bottom w:val="nil"/>
              <w:right w:val="nil"/>
            </w:tcBorders>
            <w:shd w:val="clear" w:color="000000" w:fill="FFFFFF"/>
            <w:noWrap/>
            <w:vAlign w:val="center"/>
            <w:hideMark/>
          </w:tcPr>
          <w:p w14:paraId="1EE314E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(575,908)</w:t>
            </w:r>
          </w:p>
        </w:tc>
        <w:tc>
          <w:tcPr>
            <w:tcW w:w="614" w:type="pct"/>
            <w:tcBorders>
              <w:top w:val="nil"/>
              <w:left w:val="nil"/>
              <w:bottom w:val="nil"/>
              <w:right w:val="nil"/>
            </w:tcBorders>
            <w:shd w:val="clear" w:color="000000" w:fill="FFFFFF"/>
            <w:noWrap/>
            <w:vAlign w:val="center"/>
            <w:hideMark/>
          </w:tcPr>
          <w:p w14:paraId="08A672CF" w14:textId="0B4E55AF" w:rsidR="0065570A" w:rsidRPr="0065570A" w:rsidRDefault="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w:t>
            </w:r>
            <w:r w:rsidR="007A3087">
              <w:rPr>
                <w:rFonts w:eastAsia="Times New Roman" w:cs="Calibri"/>
                <w:color w:val="000000"/>
                <w:sz w:val="16"/>
                <w:szCs w:val="16"/>
                <w:lang w:val="en-GB" w:eastAsia="en-GB"/>
              </w:rPr>
              <w:t>1,956,910</w:t>
            </w:r>
            <w:r w:rsidRPr="0065570A">
              <w:rPr>
                <w:rFonts w:eastAsia="Times New Roman" w:cs="Calibri"/>
                <w:color w:val="000000"/>
                <w:sz w:val="16"/>
                <w:szCs w:val="16"/>
                <w:lang w:val="en-GB" w:eastAsia="en-GB"/>
              </w:rPr>
              <w:t>)</w:t>
            </w:r>
          </w:p>
        </w:tc>
        <w:tc>
          <w:tcPr>
            <w:tcW w:w="538" w:type="pct"/>
            <w:tcBorders>
              <w:top w:val="nil"/>
              <w:left w:val="nil"/>
              <w:bottom w:val="nil"/>
              <w:right w:val="nil"/>
            </w:tcBorders>
            <w:shd w:val="clear" w:color="000000" w:fill="FFFFFF"/>
            <w:noWrap/>
            <w:vAlign w:val="center"/>
            <w:hideMark/>
          </w:tcPr>
          <w:p w14:paraId="748F3734" w14:textId="5739E428" w:rsidR="0065570A" w:rsidRPr="0065570A" w:rsidRDefault="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w:t>
            </w:r>
            <w:r w:rsidR="007A3087">
              <w:rPr>
                <w:rFonts w:eastAsia="Times New Roman" w:cs="Calibri"/>
                <w:color w:val="000000"/>
                <w:sz w:val="16"/>
                <w:szCs w:val="16"/>
                <w:lang w:val="en-GB" w:eastAsia="en-GB"/>
              </w:rPr>
              <w:t>538,721</w:t>
            </w:r>
            <w:r w:rsidRPr="0065570A">
              <w:rPr>
                <w:rFonts w:eastAsia="Times New Roman" w:cs="Calibri"/>
                <w:color w:val="000000"/>
                <w:sz w:val="16"/>
                <w:szCs w:val="16"/>
                <w:lang w:val="en-GB" w:eastAsia="en-GB"/>
              </w:rPr>
              <w:t>)</w:t>
            </w:r>
          </w:p>
        </w:tc>
      </w:tr>
      <w:tr w:rsidR="0065570A" w:rsidRPr="0065570A" w14:paraId="69E170BB" w14:textId="77777777" w:rsidTr="0041394A">
        <w:trPr>
          <w:trHeight w:val="204"/>
        </w:trPr>
        <w:tc>
          <w:tcPr>
            <w:tcW w:w="374" w:type="pct"/>
            <w:tcBorders>
              <w:top w:val="nil"/>
              <w:left w:val="nil"/>
              <w:bottom w:val="nil"/>
              <w:right w:val="nil"/>
            </w:tcBorders>
            <w:shd w:val="clear" w:color="000000" w:fill="FFFFFF"/>
            <w:noWrap/>
            <w:vAlign w:val="center"/>
            <w:hideMark/>
          </w:tcPr>
          <w:p w14:paraId="4E40D5B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2854E88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5C69BC0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5F5FB78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7610A575"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77A87D8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15E47FF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7A0E953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1C7FB22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6531365F" w14:textId="77777777" w:rsidTr="0041394A">
        <w:trPr>
          <w:trHeight w:val="204"/>
        </w:trPr>
        <w:tc>
          <w:tcPr>
            <w:tcW w:w="374" w:type="pct"/>
            <w:tcBorders>
              <w:top w:val="nil"/>
              <w:left w:val="nil"/>
              <w:bottom w:val="nil"/>
              <w:right w:val="nil"/>
            </w:tcBorders>
            <w:shd w:val="clear" w:color="000000" w:fill="FFFFFF"/>
            <w:noWrap/>
            <w:vAlign w:val="center"/>
            <w:hideMark/>
          </w:tcPr>
          <w:p w14:paraId="08AEA07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2,569</w:t>
            </w:r>
          </w:p>
        </w:tc>
        <w:tc>
          <w:tcPr>
            <w:tcW w:w="447" w:type="pct"/>
            <w:tcBorders>
              <w:top w:val="nil"/>
              <w:left w:val="nil"/>
              <w:bottom w:val="nil"/>
              <w:right w:val="nil"/>
            </w:tcBorders>
            <w:shd w:val="clear" w:color="000000" w:fill="FFFFFF"/>
            <w:noWrap/>
            <w:vAlign w:val="center"/>
            <w:hideMark/>
          </w:tcPr>
          <w:p w14:paraId="2E4F73C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272,577</w:t>
            </w:r>
          </w:p>
        </w:tc>
        <w:tc>
          <w:tcPr>
            <w:tcW w:w="506" w:type="pct"/>
            <w:tcBorders>
              <w:top w:val="nil"/>
              <w:left w:val="nil"/>
              <w:bottom w:val="nil"/>
              <w:right w:val="nil"/>
            </w:tcBorders>
            <w:shd w:val="clear" w:color="000000" w:fill="FFFFFF"/>
            <w:noWrap/>
            <w:vAlign w:val="center"/>
            <w:hideMark/>
          </w:tcPr>
          <w:p w14:paraId="3918DAF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06" w:type="pct"/>
            <w:tcBorders>
              <w:top w:val="nil"/>
              <w:left w:val="nil"/>
              <w:bottom w:val="nil"/>
              <w:right w:val="nil"/>
            </w:tcBorders>
            <w:shd w:val="clear" w:color="000000" w:fill="FFFFFF"/>
            <w:noWrap/>
            <w:vAlign w:val="center"/>
            <w:hideMark/>
          </w:tcPr>
          <w:p w14:paraId="099497B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275,146</w:t>
            </w:r>
          </w:p>
        </w:tc>
        <w:tc>
          <w:tcPr>
            <w:tcW w:w="1081" w:type="pct"/>
            <w:tcBorders>
              <w:top w:val="nil"/>
              <w:left w:val="nil"/>
              <w:bottom w:val="nil"/>
              <w:right w:val="nil"/>
            </w:tcBorders>
            <w:shd w:val="clear" w:color="000000" w:fill="FFFFFF"/>
            <w:noWrap/>
            <w:vAlign w:val="center"/>
            <w:hideMark/>
          </w:tcPr>
          <w:p w14:paraId="248BF4A2"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Fair value of plan assets</w:t>
            </w:r>
          </w:p>
        </w:tc>
        <w:tc>
          <w:tcPr>
            <w:tcW w:w="486" w:type="pct"/>
            <w:tcBorders>
              <w:top w:val="nil"/>
              <w:left w:val="nil"/>
              <w:bottom w:val="nil"/>
              <w:right w:val="nil"/>
            </w:tcBorders>
            <w:shd w:val="clear" w:color="000000" w:fill="FFFFFF"/>
            <w:noWrap/>
            <w:vAlign w:val="center"/>
            <w:hideMark/>
          </w:tcPr>
          <w:p w14:paraId="2834BF7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3,442</w:t>
            </w:r>
          </w:p>
        </w:tc>
        <w:tc>
          <w:tcPr>
            <w:tcW w:w="447" w:type="pct"/>
            <w:tcBorders>
              <w:top w:val="nil"/>
              <w:left w:val="nil"/>
              <w:bottom w:val="nil"/>
              <w:right w:val="nil"/>
            </w:tcBorders>
            <w:shd w:val="clear" w:color="000000" w:fill="FFFFFF"/>
            <w:noWrap/>
            <w:vAlign w:val="center"/>
            <w:hideMark/>
          </w:tcPr>
          <w:p w14:paraId="0AA1550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358,772</w:t>
            </w:r>
          </w:p>
        </w:tc>
        <w:tc>
          <w:tcPr>
            <w:tcW w:w="614" w:type="pct"/>
            <w:tcBorders>
              <w:top w:val="nil"/>
              <w:left w:val="nil"/>
              <w:bottom w:val="nil"/>
              <w:right w:val="nil"/>
            </w:tcBorders>
            <w:shd w:val="clear" w:color="000000" w:fill="FFFFFF"/>
            <w:noWrap/>
            <w:vAlign w:val="center"/>
            <w:hideMark/>
          </w:tcPr>
          <w:p w14:paraId="6A47B47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38" w:type="pct"/>
            <w:tcBorders>
              <w:top w:val="nil"/>
              <w:left w:val="nil"/>
              <w:bottom w:val="nil"/>
              <w:right w:val="nil"/>
            </w:tcBorders>
            <w:shd w:val="clear" w:color="000000" w:fill="FFFFFF"/>
            <w:noWrap/>
            <w:vAlign w:val="center"/>
            <w:hideMark/>
          </w:tcPr>
          <w:p w14:paraId="5BE46CD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362,214</w:t>
            </w:r>
          </w:p>
        </w:tc>
      </w:tr>
      <w:tr w:rsidR="0065570A" w:rsidRPr="0065570A" w14:paraId="7D507A24" w14:textId="77777777" w:rsidTr="0041394A">
        <w:trPr>
          <w:trHeight w:val="204"/>
        </w:trPr>
        <w:tc>
          <w:tcPr>
            <w:tcW w:w="374" w:type="pct"/>
            <w:tcBorders>
              <w:top w:val="nil"/>
              <w:left w:val="nil"/>
              <w:bottom w:val="nil"/>
              <w:right w:val="nil"/>
            </w:tcBorders>
            <w:shd w:val="clear" w:color="000000" w:fill="FFFFFF"/>
            <w:noWrap/>
            <w:vAlign w:val="center"/>
            <w:hideMark/>
          </w:tcPr>
          <w:p w14:paraId="2BFFBD6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0D1282B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1A2DA65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6451F9E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37EC8DD3"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0909A40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51E597B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6FFA7A7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7739BE8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3CD1BD2C" w14:textId="77777777" w:rsidTr="0041394A">
        <w:trPr>
          <w:trHeight w:val="624"/>
        </w:trPr>
        <w:tc>
          <w:tcPr>
            <w:tcW w:w="374" w:type="pct"/>
            <w:tcBorders>
              <w:top w:val="single" w:sz="4" w:space="0" w:color="auto"/>
              <w:left w:val="nil"/>
              <w:bottom w:val="single" w:sz="8" w:space="0" w:color="auto"/>
              <w:right w:val="nil"/>
            </w:tcBorders>
            <w:shd w:val="clear" w:color="000000" w:fill="FFFFFF"/>
            <w:noWrap/>
            <w:vAlign w:val="center"/>
            <w:hideMark/>
          </w:tcPr>
          <w:p w14:paraId="136AC392"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(1,403)</w:t>
            </w:r>
          </w:p>
        </w:tc>
        <w:tc>
          <w:tcPr>
            <w:tcW w:w="447" w:type="pct"/>
            <w:tcBorders>
              <w:top w:val="single" w:sz="4" w:space="0" w:color="auto"/>
              <w:left w:val="nil"/>
              <w:bottom w:val="single" w:sz="8" w:space="0" w:color="auto"/>
              <w:right w:val="nil"/>
            </w:tcBorders>
            <w:shd w:val="clear" w:color="000000" w:fill="FFFFFF"/>
            <w:noWrap/>
            <w:vAlign w:val="center"/>
            <w:hideMark/>
          </w:tcPr>
          <w:p w14:paraId="01DD81B3"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(130,495)</w:t>
            </w:r>
          </w:p>
        </w:tc>
        <w:tc>
          <w:tcPr>
            <w:tcW w:w="506" w:type="pct"/>
            <w:tcBorders>
              <w:top w:val="single" w:sz="4" w:space="0" w:color="auto"/>
              <w:left w:val="nil"/>
              <w:bottom w:val="single" w:sz="8" w:space="0" w:color="auto"/>
              <w:right w:val="nil"/>
            </w:tcBorders>
            <w:shd w:val="clear" w:color="000000" w:fill="FFFFFF"/>
            <w:noWrap/>
            <w:vAlign w:val="center"/>
            <w:hideMark/>
          </w:tcPr>
          <w:p w14:paraId="29C55259"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(1,896,060)</w:t>
            </w:r>
          </w:p>
        </w:tc>
        <w:tc>
          <w:tcPr>
            <w:tcW w:w="506" w:type="pct"/>
            <w:tcBorders>
              <w:top w:val="single" w:sz="4" w:space="0" w:color="auto"/>
              <w:left w:val="nil"/>
              <w:bottom w:val="single" w:sz="8" w:space="0" w:color="auto"/>
              <w:right w:val="nil"/>
            </w:tcBorders>
            <w:shd w:val="clear" w:color="000000" w:fill="FFFFFF"/>
            <w:noWrap/>
            <w:vAlign w:val="center"/>
            <w:hideMark/>
          </w:tcPr>
          <w:p w14:paraId="11F4DB28"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(2,027,958)</w:t>
            </w:r>
          </w:p>
        </w:tc>
        <w:tc>
          <w:tcPr>
            <w:tcW w:w="1081" w:type="pct"/>
            <w:tcBorders>
              <w:top w:val="single" w:sz="4" w:space="0" w:color="auto"/>
              <w:left w:val="nil"/>
              <w:bottom w:val="single" w:sz="8" w:space="0" w:color="auto"/>
              <w:right w:val="nil"/>
            </w:tcBorders>
            <w:shd w:val="clear" w:color="000000" w:fill="FFFFFF"/>
            <w:vAlign w:val="center"/>
            <w:hideMark/>
          </w:tcPr>
          <w:p w14:paraId="79884832" w14:textId="77777777" w:rsidR="0065570A" w:rsidRPr="0065570A" w:rsidRDefault="0065570A" w:rsidP="0065570A">
            <w:pPr>
              <w:ind w:firstLineChars="100" w:firstLine="161"/>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Net (liability) / asset arising from the defined benefit obligation</w:t>
            </w:r>
          </w:p>
        </w:tc>
        <w:tc>
          <w:tcPr>
            <w:tcW w:w="486" w:type="pct"/>
            <w:tcBorders>
              <w:top w:val="single" w:sz="4" w:space="0" w:color="auto"/>
              <w:left w:val="nil"/>
              <w:bottom w:val="single" w:sz="8" w:space="0" w:color="auto"/>
              <w:right w:val="nil"/>
            </w:tcBorders>
            <w:shd w:val="clear" w:color="000000" w:fill="FFFFFF"/>
            <w:noWrap/>
            <w:vAlign w:val="center"/>
            <w:hideMark/>
          </w:tcPr>
          <w:p w14:paraId="7C46AEFB"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(2,461)</w:t>
            </w:r>
          </w:p>
        </w:tc>
        <w:tc>
          <w:tcPr>
            <w:tcW w:w="447" w:type="pct"/>
            <w:tcBorders>
              <w:top w:val="single" w:sz="4" w:space="0" w:color="auto"/>
              <w:left w:val="nil"/>
              <w:bottom w:val="single" w:sz="8" w:space="0" w:color="auto"/>
              <w:right w:val="nil"/>
            </w:tcBorders>
            <w:shd w:val="clear" w:color="000000" w:fill="FFFFFF"/>
            <w:noWrap/>
            <w:vAlign w:val="center"/>
            <w:hideMark/>
          </w:tcPr>
          <w:p w14:paraId="3EB3C719"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(217,136)</w:t>
            </w:r>
          </w:p>
        </w:tc>
        <w:tc>
          <w:tcPr>
            <w:tcW w:w="614" w:type="pct"/>
            <w:tcBorders>
              <w:top w:val="single" w:sz="4" w:space="0" w:color="auto"/>
              <w:left w:val="nil"/>
              <w:bottom w:val="single" w:sz="8" w:space="0" w:color="auto"/>
              <w:right w:val="nil"/>
            </w:tcBorders>
            <w:shd w:val="clear" w:color="000000" w:fill="FFFFFF"/>
            <w:noWrap/>
            <w:vAlign w:val="center"/>
            <w:hideMark/>
          </w:tcPr>
          <w:p w14:paraId="11E9E3ED" w14:textId="62F2AB3C"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w:t>
            </w:r>
            <w:r w:rsidR="007A3087">
              <w:rPr>
                <w:rFonts w:eastAsia="Times New Roman" w:cs="Calibri"/>
                <w:b/>
                <w:bCs/>
                <w:color w:val="000000"/>
                <w:sz w:val="16"/>
                <w:szCs w:val="16"/>
                <w:lang w:val="en-GB" w:eastAsia="en-GB"/>
              </w:rPr>
              <w:t>956,910</w:t>
            </w:r>
            <w:r w:rsidRPr="0065570A">
              <w:rPr>
                <w:rFonts w:eastAsia="Times New Roman" w:cs="Calibri"/>
                <w:b/>
                <w:bCs/>
                <w:color w:val="000000"/>
                <w:sz w:val="16"/>
                <w:szCs w:val="16"/>
                <w:lang w:val="en-GB" w:eastAsia="en-GB"/>
              </w:rPr>
              <w:t>)</w:t>
            </w:r>
          </w:p>
        </w:tc>
        <w:tc>
          <w:tcPr>
            <w:tcW w:w="538" w:type="pct"/>
            <w:tcBorders>
              <w:top w:val="single" w:sz="4" w:space="0" w:color="auto"/>
              <w:left w:val="nil"/>
              <w:bottom w:val="single" w:sz="8" w:space="0" w:color="auto"/>
              <w:right w:val="nil"/>
            </w:tcBorders>
            <w:shd w:val="clear" w:color="000000" w:fill="FFFFFF"/>
            <w:noWrap/>
            <w:vAlign w:val="center"/>
            <w:hideMark/>
          </w:tcPr>
          <w:p w14:paraId="54D9A668" w14:textId="12A0101D" w:rsidR="0065570A" w:rsidRPr="0065570A" w:rsidRDefault="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(2,1</w:t>
            </w:r>
            <w:r w:rsidR="007A3087">
              <w:rPr>
                <w:rFonts w:eastAsia="Times New Roman" w:cs="Calibri"/>
                <w:b/>
                <w:bCs/>
                <w:color w:val="000000"/>
                <w:sz w:val="16"/>
                <w:szCs w:val="16"/>
                <w:lang w:val="en-GB" w:eastAsia="en-GB"/>
              </w:rPr>
              <w:t>76,507)</w:t>
            </w:r>
          </w:p>
        </w:tc>
      </w:tr>
      <w:tr w:rsidR="0065570A" w:rsidRPr="0065570A" w14:paraId="3D471710" w14:textId="77777777" w:rsidTr="0041394A">
        <w:trPr>
          <w:trHeight w:val="288"/>
        </w:trPr>
        <w:tc>
          <w:tcPr>
            <w:tcW w:w="374" w:type="pct"/>
            <w:tcBorders>
              <w:top w:val="nil"/>
              <w:left w:val="nil"/>
              <w:bottom w:val="nil"/>
              <w:right w:val="nil"/>
            </w:tcBorders>
            <w:shd w:val="clear" w:color="000000" w:fill="FFFFFF"/>
            <w:noWrap/>
            <w:vAlign w:val="bottom"/>
            <w:hideMark/>
          </w:tcPr>
          <w:p w14:paraId="55530F35"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447" w:type="pct"/>
            <w:tcBorders>
              <w:top w:val="nil"/>
              <w:left w:val="nil"/>
              <w:bottom w:val="nil"/>
              <w:right w:val="nil"/>
            </w:tcBorders>
            <w:shd w:val="clear" w:color="000000" w:fill="FFFFFF"/>
            <w:noWrap/>
            <w:vAlign w:val="bottom"/>
            <w:hideMark/>
          </w:tcPr>
          <w:p w14:paraId="5C856CDB" w14:textId="77777777" w:rsid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p w14:paraId="6E7B565E" w14:textId="77777777" w:rsidR="00AC13BE" w:rsidRPr="0065570A" w:rsidRDefault="00AC13BE" w:rsidP="0065570A">
            <w:pPr>
              <w:rPr>
                <w:rFonts w:ascii="Calibri" w:eastAsia="Times New Roman" w:hAnsi="Calibri" w:cs="Calibri"/>
                <w:color w:val="000000"/>
                <w:lang w:val="en-GB" w:eastAsia="en-GB"/>
              </w:rPr>
            </w:pPr>
          </w:p>
        </w:tc>
        <w:tc>
          <w:tcPr>
            <w:tcW w:w="506" w:type="pct"/>
            <w:tcBorders>
              <w:top w:val="nil"/>
              <w:left w:val="nil"/>
              <w:bottom w:val="nil"/>
              <w:right w:val="nil"/>
            </w:tcBorders>
            <w:shd w:val="clear" w:color="000000" w:fill="FFFFFF"/>
            <w:noWrap/>
            <w:vAlign w:val="bottom"/>
            <w:hideMark/>
          </w:tcPr>
          <w:p w14:paraId="5B666CAB" w14:textId="77777777" w:rsid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p w14:paraId="0363D103" w14:textId="77777777" w:rsidR="003D06C5" w:rsidRDefault="003D06C5" w:rsidP="0065570A">
            <w:pPr>
              <w:rPr>
                <w:rFonts w:ascii="Calibri" w:eastAsia="Times New Roman" w:hAnsi="Calibri" w:cs="Calibri"/>
                <w:color w:val="000000"/>
                <w:lang w:val="en-GB" w:eastAsia="en-GB"/>
              </w:rPr>
            </w:pPr>
          </w:p>
          <w:p w14:paraId="2756215B" w14:textId="77777777" w:rsidR="003D06C5" w:rsidRDefault="003D06C5" w:rsidP="0065570A">
            <w:pPr>
              <w:rPr>
                <w:rFonts w:ascii="Calibri" w:eastAsia="Times New Roman" w:hAnsi="Calibri" w:cs="Calibri"/>
                <w:color w:val="000000"/>
                <w:lang w:val="en-GB" w:eastAsia="en-GB"/>
              </w:rPr>
            </w:pPr>
          </w:p>
          <w:p w14:paraId="2E4A5B8E" w14:textId="77777777" w:rsidR="003D06C5" w:rsidRDefault="003D06C5" w:rsidP="0065570A">
            <w:pPr>
              <w:rPr>
                <w:rFonts w:ascii="Calibri" w:eastAsia="Times New Roman" w:hAnsi="Calibri" w:cs="Calibri"/>
                <w:color w:val="000000"/>
                <w:lang w:val="en-GB" w:eastAsia="en-GB"/>
              </w:rPr>
            </w:pPr>
          </w:p>
          <w:p w14:paraId="0CAD467E" w14:textId="77777777" w:rsidR="003D06C5" w:rsidRPr="0065570A" w:rsidRDefault="003D06C5" w:rsidP="0065570A">
            <w:pPr>
              <w:rPr>
                <w:rFonts w:ascii="Calibri" w:eastAsia="Times New Roman" w:hAnsi="Calibri" w:cs="Calibri"/>
                <w:color w:val="000000"/>
                <w:lang w:val="en-GB" w:eastAsia="en-GB"/>
              </w:rPr>
            </w:pPr>
          </w:p>
        </w:tc>
        <w:tc>
          <w:tcPr>
            <w:tcW w:w="506" w:type="pct"/>
            <w:tcBorders>
              <w:top w:val="nil"/>
              <w:left w:val="nil"/>
              <w:bottom w:val="nil"/>
              <w:right w:val="nil"/>
            </w:tcBorders>
            <w:shd w:val="clear" w:color="000000" w:fill="FFFFFF"/>
            <w:noWrap/>
            <w:vAlign w:val="bottom"/>
            <w:hideMark/>
          </w:tcPr>
          <w:p w14:paraId="6E760A71"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1081" w:type="pct"/>
            <w:tcBorders>
              <w:top w:val="nil"/>
              <w:left w:val="nil"/>
              <w:bottom w:val="nil"/>
              <w:right w:val="nil"/>
            </w:tcBorders>
            <w:shd w:val="clear" w:color="000000" w:fill="FFFFFF"/>
            <w:noWrap/>
            <w:vAlign w:val="bottom"/>
            <w:hideMark/>
          </w:tcPr>
          <w:p w14:paraId="417B7382"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486" w:type="pct"/>
            <w:tcBorders>
              <w:top w:val="nil"/>
              <w:left w:val="nil"/>
              <w:bottom w:val="nil"/>
              <w:right w:val="nil"/>
            </w:tcBorders>
            <w:shd w:val="clear" w:color="000000" w:fill="FFFFFF"/>
            <w:noWrap/>
            <w:vAlign w:val="bottom"/>
            <w:hideMark/>
          </w:tcPr>
          <w:p w14:paraId="5C2041B4" w14:textId="77777777" w:rsid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p w14:paraId="380B0FC7" w14:textId="77777777" w:rsidR="00AC13BE" w:rsidRPr="0065570A" w:rsidRDefault="00AC13BE" w:rsidP="0065570A">
            <w:pPr>
              <w:rPr>
                <w:rFonts w:ascii="Calibri" w:eastAsia="Times New Roman" w:hAnsi="Calibri" w:cs="Calibri"/>
                <w:color w:val="000000"/>
                <w:lang w:val="en-GB" w:eastAsia="en-GB"/>
              </w:rPr>
            </w:pPr>
          </w:p>
        </w:tc>
        <w:tc>
          <w:tcPr>
            <w:tcW w:w="447" w:type="pct"/>
            <w:tcBorders>
              <w:top w:val="nil"/>
              <w:left w:val="nil"/>
              <w:bottom w:val="nil"/>
              <w:right w:val="nil"/>
            </w:tcBorders>
            <w:shd w:val="clear" w:color="000000" w:fill="FFFFFF"/>
            <w:noWrap/>
            <w:vAlign w:val="bottom"/>
            <w:hideMark/>
          </w:tcPr>
          <w:p w14:paraId="1B691F0F"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614" w:type="pct"/>
            <w:tcBorders>
              <w:top w:val="nil"/>
              <w:left w:val="nil"/>
              <w:bottom w:val="nil"/>
              <w:right w:val="nil"/>
            </w:tcBorders>
            <w:shd w:val="clear" w:color="000000" w:fill="FFFFFF"/>
            <w:noWrap/>
            <w:vAlign w:val="bottom"/>
            <w:hideMark/>
          </w:tcPr>
          <w:p w14:paraId="2AD94D28"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538" w:type="pct"/>
            <w:tcBorders>
              <w:top w:val="nil"/>
              <w:left w:val="nil"/>
              <w:bottom w:val="nil"/>
              <w:right w:val="nil"/>
            </w:tcBorders>
            <w:shd w:val="clear" w:color="000000" w:fill="FFFFFF"/>
            <w:noWrap/>
            <w:vAlign w:val="bottom"/>
            <w:hideMark/>
          </w:tcPr>
          <w:p w14:paraId="6D71AEAD"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r>
      <w:tr w:rsidR="0065570A" w:rsidRPr="0065570A" w14:paraId="456D9C4A" w14:textId="77777777" w:rsidTr="0041394A">
        <w:trPr>
          <w:trHeight w:val="408"/>
        </w:trPr>
        <w:tc>
          <w:tcPr>
            <w:tcW w:w="1833" w:type="pct"/>
            <w:gridSpan w:val="4"/>
            <w:tcBorders>
              <w:top w:val="nil"/>
              <w:left w:val="nil"/>
              <w:bottom w:val="nil"/>
              <w:right w:val="nil"/>
            </w:tcBorders>
            <w:shd w:val="clear" w:color="000000" w:fill="FFFFFF"/>
            <w:noWrap/>
            <w:vAlign w:val="center"/>
            <w:hideMark/>
          </w:tcPr>
          <w:p w14:paraId="14AD6BA2" w14:textId="77777777" w:rsidR="00AC13BE" w:rsidRDefault="00AC13BE" w:rsidP="0065570A">
            <w:pPr>
              <w:jc w:val="center"/>
              <w:rPr>
                <w:rFonts w:eastAsia="Times New Roman" w:cs="Calibri"/>
                <w:b/>
                <w:bCs/>
                <w:color w:val="000000"/>
                <w:sz w:val="16"/>
                <w:szCs w:val="16"/>
                <w:lang w:val="en-GB" w:eastAsia="en-GB"/>
              </w:rPr>
            </w:pPr>
          </w:p>
          <w:p w14:paraId="5C06D056" w14:textId="77777777" w:rsidR="00AC13BE" w:rsidRDefault="00AC13BE" w:rsidP="0065570A">
            <w:pPr>
              <w:jc w:val="center"/>
              <w:rPr>
                <w:rFonts w:eastAsia="Times New Roman" w:cs="Calibri"/>
                <w:b/>
                <w:bCs/>
                <w:color w:val="000000"/>
                <w:sz w:val="16"/>
                <w:szCs w:val="16"/>
                <w:lang w:val="en-GB" w:eastAsia="en-GB"/>
              </w:rPr>
            </w:pPr>
          </w:p>
          <w:p w14:paraId="0C734CB6" w14:textId="77777777" w:rsidR="00AC13BE" w:rsidRDefault="00AC13BE" w:rsidP="0065570A">
            <w:pPr>
              <w:jc w:val="center"/>
              <w:rPr>
                <w:rFonts w:eastAsia="Times New Roman" w:cs="Calibri"/>
                <w:b/>
                <w:bCs/>
                <w:color w:val="000000"/>
                <w:sz w:val="16"/>
                <w:szCs w:val="16"/>
                <w:lang w:val="en-GB" w:eastAsia="en-GB"/>
              </w:rPr>
            </w:pPr>
          </w:p>
          <w:p w14:paraId="3E5290F3" w14:textId="77777777" w:rsidR="00AC13BE" w:rsidRDefault="00AC13BE" w:rsidP="0065570A">
            <w:pPr>
              <w:jc w:val="center"/>
              <w:rPr>
                <w:rFonts w:eastAsia="Times New Roman" w:cs="Calibri"/>
                <w:b/>
                <w:bCs/>
                <w:color w:val="000000"/>
                <w:sz w:val="16"/>
                <w:szCs w:val="16"/>
                <w:lang w:val="en-GB" w:eastAsia="en-GB"/>
              </w:rPr>
            </w:pPr>
          </w:p>
          <w:p w14:paraId="6B4C9029"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2019/20</w:t>
            </w:r>
          </w:p>
        </w:tc>
        <w:tc>
          <w:tcPr>
            <w:tcW w:w="1081" w:type="pct"/>
            <w:tcBorders>
              <w:top w:val="nil"/>
              <w:left w:val="nil"/>
              <w:bottom w:val="nil"/>
              <w:right w:val="nil"/>
            </w:tcBorders>
            <w:shd w:val="clear" w:color="000000" w:fill="FFFFFF"/>
            <w:vAlign w:val="center"/>
            <w:hideMark/>
          </w:tcPr>
          <w:p w14:paraId="05ADFEEE" w14:textId="77777777" w:rsidR="00AC13BE" w:rsidRDefault="00AC13BE" w:rsidP="0065570A">
            <w:pPr>
              <w:ind w:firstLineChars="100" w:firstLine="161"/>
              <w:rPr>
                <w:rFonts w:eastAsia="Times New Roman" w:cs="Calibri"/>
                <w:b/>
                <w:bCs/>
                <w:color w:val="000000"/>
                <w:sz w:val="16"/>
                <w:szCs w:val="16"/>
                <w:lang w:val="en-GB" w:eastAsia="en-GB"/>
              </w:rPr>
            </w:pPr>
          </w:p>
          <w:p w14:paraId="7F199D1D" w14:textId="77777777" w:rsidR="00AC13BE" w:rsidRDefault="00AC13BE" w:rsidP="0065570A">
            <w:pPr>
              <w:ind w:firstLineChars="100" w:firstLine="161"/>
              <w:rPr>
                <w:rFonts w:eastAsia="Times New Roman" w:cs="Calibri"/>
                <w:b/>
                <w:bCs/>
                <w:color w:val="000000"/>
                <w:sz w:val="16"/>
                <w:szCs w:val="16"/>
                <w:lang w:val="en-GB" w:eastAsia="en-GB"/>
              </w:rPr>
            </w:pPr>
          </w:p>
          <w:p w14:paraId="73435C71" w14:textId="77777777" w:rsidR="0065570A" w:rsidRPr="0065570A" w:rsidRDefault="0065570A" w:rsidP="0065570A">
            <w:pPr>
              <w:ind w:firstLineChars="100" w:firstLine="161"/>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Movements in the Value of Scheme Assets</w:t>
            </w:r>
          </w:p>
        </w:tc>
        <w:tc>
          <w:tcPr>
            <w:tcW w:w="2086" w:type="pct"/>
            <w:gridSpan w:val="4"/>
            <w:tcBorders>
              <w:top w:val="nil"/>
              <w:left w:val="nil"/>
              <w:bottom w:val="nil"/>
              <w:right w:val="nil"/>
            </w:tcBorders>
            <w:shd w:val="clear" w:color="000000" w:fill="FFFFFF"/>
            <w:noWrap/>
            <w:vAlign w:val="center"/>
            <w:hideMark/>
          </w:tcPr>
          <w:p w14:paraId="008F81EA" w14:textId="77777777" w:rsidR="00AC13BE" w:rsidRDefault="00AC13BE" w:rsidP="0065570A">
            <w:pPr>
              <w:jc w:val="center"/>
              <w:rPr>
                <w:rFonts w:eastAsia="Times New Roman" w:cs="Calibri"/>
                <w:b/>
                <w:bCs/>
                <w:color w:val="000000"/>
                <w:sz w:val="16"/>
                <w:szCs w:val="16"/>
                <w:lang w:val="en-GB" w:eastAsia="en-GB"/>
              </w:rPr>
            </w:pPr>
          </w:p>
          <w:p w14:paraId="1C779400" w14:textId="77777777" w:rsidR="00AC13BE" w:rsidRDefault="00AC13BE" w:rsidP="0065570A">
            <w:pPr>
              <w:jc w:val="center"/>
              <w:rPr>
                <w:rFonts w:eastAsia="Times New Roman" w:cs="Calibri"/>
                <w:b/>
                <w:bCs/>
                <w:color w:val="000000"/>
                <w:sz w:val="16"/>
                <w:szCs w:val="16"/>
                <w:lang w:val="en-GB" w:eastAsia="en-GB"/>
              </w:rPr>
            </w:pPr>
          </w:p>
          <w:p w14:paraId="32757B00" w14:textId="77777777" w:rsidR="00AC13BE" w:rsidRDefault="00AC13BE" w:rsidP="0065570A">
            <w:pPr>
              <w:jc w:val="center"/>
              <w:rPr>
                <w:rFonts w:eastAsia="Times New Roman" w:cs="Calibri"/>
                <w:b/>
                <w:bCs/>
                <w:color w:val="000000"/>
                <w:sz w:val="16"/>
                <w:szCs w:val="16"/>
                <w:lang w:val="en-GB" w:eastAsia="en-GB"/>
              </w:rPr>
            </w:pPr>
          </w:p>
          <w:p w14:paraId="5FFC7A6A" w14:textId="77777777" w:rsidR="00AC13BE" w:rsidRDefault="00AC13BE" w:rsidP="0065570A">
            <w:pPr>
              <w:jc w:val="center"/>
              <w:rPr>
                <w:rFonts w:eastAsia="Times New Roman" w:cs="Calibri"/>
                <w:b/>
                <w:bCs/>
                <w:color w:val="000000"/>
                <w:sz w:val="16"/>
                <w:szCs w:val="16"/>
                <w:lang w:val="en-GB" w:eastAsia="en-GB"/>
              </w:rPr>
            </w:pPr>
          </w:p>
          <w:p w14:paraId="7A3E5C73"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2020/21</w:t>
            </w:r>
          </w:p>
        </w:tc>
      </w:tr>
      <w:tr w:rsidR="0065570A" w:rsidRPr="0065570A" w14:paraId="5A38AFCC" w14:textId="77777777" w:rsidTr="0041394A">
        <w:trPr>
          <w:trHeight w:val="204"/>
        </w:trPr>
        <w:tc>
          <w:tcPr>
            <w:tcW w:w="374" w:type="pct"/>
            <w:tcBorders>
              <w:top w:val="nil"/>
              <w:left w:val="nil"/>
              <w:bottom w:val="nil"/>
              <w:right w:val="nil"/>
            </w:tcBorders>
            <w:shd w:val="clear" w:color="000000" w:fill="FFFFFF"/>
            <w:noWrap/>
            <w:vAlign w:val="center"/>
            <w:hideMark/>
          </w:tcPr>
          <w:p w14:paraId="1911AE1C"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PCC LGPS </w:t>
            </w:r>
          </w:p>
        </w:tc>
        <w:tc>
          <w:tcPr>
            <w:tcW w:w="447" w:type="pct"/>
            <w:tcBorders>
              <w:top w:val="nil"/>
              <w:left w:val="nil"/>
              <w:bottom w:val="nil"/>
              <w:right w:val="nil"/>
            </w:tcBorders>
            <w:shd w:val="clear" w:color="000000" w:fill="FFFFFF"/>
            <w:noWrap/>
            <w:vAlign w:val="center"/>
            <w:hideMark/>
          </w:tcPr>
          <w:p w14:paraId="565118E0"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CC LGPS </w:t>
            </w:r>
          </w:p>
        </w:tc>
        <w:tc>
          <w:tcPr>
            <w:tcW w:w="506" w:type="pct"/>
            <w:tcBorders>
              <w:top w:val="nil"/>
              <w:left w:val="nil"/>
              <w:bottom w:val="nil"/>
              <w:right w:val="nil"/>
            </w:tcBorders>
            <w:shd w:val="clear" w:color="000000" w:fill="FFFFFF"/>
            <w:vAlign w:val="center"/>
            <w:hideMark/>
          </w:tcPr>
          <w:p w14:paraId="003425C4"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Police Officers</w:t>
            </w:r>
          </w:p>
        </w:tc>
        <w:tc>
          <w:tcPr>
            <w:tcW w:w="506" w:type="pct"/>
            <w:tcBorders>
              <w:top w:val="nil"/>
              <w:left w:val="nil"/>
              <w:bottom w:val="nil"/>
              <w:right w:val="nil"/>
            </w:tcBorders>
            <w:shd w:val="clear" w:color="000000" w:fill="FFFFFF"/>
            <w:vAlign w:val="center"/>
            <w:hideMark/>
          </w:tcPr>
          <w:p w14:paraId="6B998241"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Total</w:t>
            </w:r>
          </w:p>
        </w:tc>
        <w:tc>
          <w:tcPr>
            <w:tcW w:w="1081" w:type="pct"/>
            <w:tcBorders>
              <w:top w:val="nil"/>
              <w:left w:val="nil"/>
              <w:bottom w:val="nil"/>
              <w:right w:val="nil"/>
            </w:tcBorders>
            <w:shd w:val="clear" w:color="000000" w:fill="FFFFFF"/>
            <w:noWrap/>
            <w:vAlign w:val="center"/>
            <w:hideMark/>
          </w:tcPr>
          <w:p w14:paraId="7B26DE57" w14:textId="77777777" w:rsidR="0065570A" w:rsidRPr="0065570A" w:rsidRDefault="0065570A" w:rsidP="0065570A">
            <w:pP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1D2C9908"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PCC LGPS </w:t>
            </w:r>
          </w:p>
        </w:tc>
        <w:tc>
          <w:tcPr>
            <w:tcW w:w="447" w:type="pct"/>
            <w:tcBorders>
              <w:top w:val="nil"/>
              <w:left w:val="nil"/>
              <w:bottom w:val="nil"/>
              <w:right w:val="nil"/>
            </w:tcBorders>
            <w:shd w:val="clear" w:color="000000" w:fill="FFFFFF"/>
            <w:noWrap/>
            <w:vAlign w:val="center"/>
            <w:hideMark/>
          </w:tcPr>
          <w:p w14:paraId="52F79143"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CC LGPS </w:t>
            </w:r>
          </w:p>
        </w:tc>
        <w:tc>
          <w:tcPr>
            <w:tcW w:w="614" w:type="pct"/>
            <w:tcBorders>
              <w:top w:val="nil"/>
              <w:left w:val="nil"/>
              <w:bottom w:val="nil"/>
              <w:right w:val="nil"/>
            </w:tcBorders>
            <w:shd w:val="clear" w:color="000000" w:fill="FFFFFF"/>
            <w:vAlign w:val="center"/>
            <w:hideMark/>
          </w:tcPr>
          <w:p w14:paraId="7E8C8A82"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Police Officers</w:t>
            </w:r>
          </w:p>
        </w:tc>
        <w:tc>
          <w:tcPr>
            <w:tcW w:w="538" w:type="pct"/>
            <w:tcBorders>
              <w:top w:val="nil"/>
              <w:left w:val="nil"/>
              <w:bottom w:val="nil"/>
              <w:right w:val="nil"/>
            </w:tcBorders>
            <w:shd w:val="clear" w:color="000000" w:fill="FFFFFF"/>
            <w:vAlign w:val="center"/>
            <w:hideMark/>
          </w:tcPr>
          <w:p w14:paraId="70AA8EE4"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Total</w:t>
            </w:r>
          </w:p>
        </w:tc>
      </w:tr>
      <w:tr w:rsidR="0065570A" w:rsidRPr="0065570A" w14:paraId="6BE54E12" w14:textId="77777777" w:rsidTr="0041394A">
        <w:trPr>
          <w:trHeight w:val="204"/>
        </w:trPr>
        <w:tc>
          <w:tcPr>
            <w:tcW w:w="374" w:type="pct"/>
            <w:tcBorders>
              <w:top w:val="nil"/>
              <w:left w:val="nil"/>
              <w:bottom w:val="nil"/>
              <w:right w:val="nil"/>
            </w:tcBorders>
            <w:shd w:val="clear" w:color="000000" w:fill="FFFFFF"/>
            <w:noWrap/>
            <w:vAlign w:val="bottom"/>
            <w:hideMark/>
          </w:tcPr>
          <w:p w14:paraId="4BBCFF66"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bottom"/>
            <w:hideMark/>
          </w:tcPr>
          <w:p w14:paraId="2C9EC12D"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bottom"/>
            <w:hideMark/>
          </w:tcPr>
          <w:p w14:paraId="61659C02"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bottom"/>
            <w:hideMark/>
          </w:tcPr>
          <w:p w14:paraId="121EEF91"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bottom"/>
            <w:hideMark/>
          </w:tcPr>
          <w:p w14:paraId="47D9444C" w14:textId="77777777" w:rsidR="0065570A" w:rsidRPr="0065570A" w:rsidRDefault="0065570A" w:rsidP="0065570A">
            <w:pP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nil"/>
              <w:left w:val="nil"/>
              <w:bottom w:val="nil"/>
              <w:right w:val="nil"/>
            </w:tcBorders>
            <w:shd w:val="clear" w:color="000000" w:fill="FFFFFF"/>
            <w:noWrap/>
            <w:vAlign w:val="bottom"/>
            <w:hideMark/>
          </w:tcPr>
          <w:p w14:paraId="751E0168"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bottom"/>
            <w:hideMark/>
          </w:tcPr>
          <w:p w14:paraId="1B28DEE8"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bottom"/>
            <w:hideMark/>
          </w:tcPr>
          <w:p w14:paraId="09FC21F5"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bottom"/>
            <w:hideMark/>
          </w:tcPr>
          <w:p w14:paraId="28AF65E8"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265C504C" w14:textId="77777777" w:rsidTr="0041394A">
        <w:trPr>
          <w:trHeight w:val="204"/>
        </w:trPr>
        <w:tc>
          <w:tcPr>
            <w:tcW w:w="374" w:type="pct"/>
            <w:tcBorders>
              <w:top w:val="nil"/>
              <w:left w:val="nil"/>
              <w:bottom w:val="single" w:sz="4" w:space="0" w:color="auto"/>
              <w:right w:val="nil"/>
            </w:tcBorders>
            <w:shd w:val="clear" w:color="000000" w:fill="FFFFFF"/>
            <w:noWrap/>
            <w:vAlign w:val="center"/>
            <w:hideMark/>
          </w:tcPr>
          <w:p w14:paraId="56F0EBBE"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447" w:type="pct"/>
            <w:tcBorders>
              <w:top w:val="nil"/>
              <w:left w:val="nil"/>
              <w:bottom w:val="single" w:sz="4" w:space="0" w:color="auto"/>
              <w:right w:val="nil"/>
            </w:tcBorders>
            <w:shd w:val="clear" w:color="000000" w:fill="FFFFFF"/>
            <w:noWrap/>
            <w:vAlign w:val="center"/>
            <w:hideMark/>
          </w:tcPr>
          <w:p w14:paraId="7390C4BE"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06" w:type="pct"/>
            <w:tcBorders>
              <w:top w:val="nil"/>
              <w:left w:val="nil"/>
              <w:bottom w:val="single" w:sz="4" w:space="0" w:color="auto"/>
              <w:right w:val="nil"/>
            </w:tcBorders>
            <w:shd w:val="clear" w:color="000000" w:fill="FFFFFF"/>
            <w:noWrap/>
            <w:vAlign w:val="center"/>
            <w:hideMark/>
          </w:tcPr>
          <w:p w14:paraId="13D89C5F"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06" w:type="pct"/>
            <w:tcBorders>
              <w:top w:val="nil"/>
              <w:left w:val="nil"/>
              <w:bottom w:val="single" w:sz="4" w:space="0" w:color="auto"/>
              <w:right w:val="nil"/>
            </w:tcBorders>
            <w:shd w:val="clear" w:color="000000" w:fill="FFFFFF"/>
            <w:noWrap/>
            <w:vAlign w:val="center"/>
            <w:hideMark/>
          </w:tcPr>
          <w:p w14:paraId="77F398FD"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1081" w:type="pct"/>
            <w:tcBorders>
              <w:top w:val="nil"/>
              <w:left w:val="nil"/>
              <w:bottom w:val="single" w:sz="4" w:space="0" w:color="auto"/>
              <w:right w:val="nil"/>
            </w:tcBorders>
            <w:shd w:val="clear" w:color="000000" w:fill="FFFFFF"/>
            <w:noWrap/>
            <w:vAlign w:val="center"/>
            <w:hideMark/>
          </w:tcPr>
          <w:p w14:paraId="57410FC1"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nil"/>
              <w:left w:val="nil"/>
              <w:bottom w:val="single" w:sz="4" w:space="0" w:color="auto"/>
              <w:right w:val="nil"/>
            </w:tcBorders>
            <w:shd w:val="clear" w:color="000000" w:fill="FFFFFF"/>
            <w:noWrap/>
            <w:vAlign w:val="center"/>
            <w:hideMark/>
          </w:tcPr>
          <w:p w14:paraId="7606440A"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447" w:type="pct"/>
            <w:tcBorders>
              <w:top w:val="nil"/>
              <w:left w:val="nil"/>
              <w:bottom w:val="single" w:sz="4" w:space="0" w:color="auto"/>
              <w:right w:val="nil"/>
            </w:tcBorders>
            <w:shd w:val="clear" w:color="000000" w:fill="FFFFFF"/>
            <w:noWrap/>
            <w:vAlign w:val="center"/>
            <w:hideMark/>
          </w:tcPr>
          <w:p w14:paraId="696D272C"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614" w:type="pct"/>
            <w:tcBorders>
              <w:top w:val="nil"/>
              <w:left w:val="nil"/>
              <w:bottom w:val="single" w:sz="4" w:space="0" w:color="auto"/>
              <w:right w:val="nil"/>
            </w:tcBorders>
            <w:shd w:val="clear" w:color="000000" w:fill="FFFFFF"/>
            <w:noWrap/>
            <w:vAlign w:val="center"/>
            <w:hideMark/>
          </w:tcPr>
          <w:p w14:paraId="1B84A06C"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38" w:type="pct"/>
            <w:tcBorders>
              <w:top w:val="nil"/>
              <w:left w:val="nil"/>
              <w:bottom w:val="single" w:sz="4" w:space="0" w:color="auto"/>
              <w:right w:val="nil"/>
            </w:tcBorders>
            <w:shd w:val="clear" w:color="000000" w:fill="FFFFFF"/>
            <w:noWrap/>
            <w:vAlign w:val="center"/>
            <w:hideMark/>
          </w:tcPr>
          <w:p w14:paraId="4A0B161E"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r>
      <w:tr w:rsidR="0065570A" w:rsidRPr="0065570A" w14:paraId="6D60220A" w14:textId="77777777" w:rsidTr="0041394A">
        <w:trPr>
          <w:trHeight w:val="408"/>
        </w:trPr>
        <w:tc>
          <w:tcPr>
            <w:tcW w:w="374" w:type="pct"/>
            <w:tcBorders>
              <w:top w:val="nil"/>
              <w:left w:val="nil"/>
              <w:bottom w:val="nil"/>
              <w:right w:val="nil"/>
            </w:tcBorders>
            <w:shd w:val="clear" w:color="000000" w:fill="FFFFFF"/>
            <w:noWrap/>
            <w:vAlign w:val="center"/>
            <w:hideMark/>
          </w:tcPr>
          <w:p w14:paraId="3E812D74"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w:t>
            </w:r>
          </w:p>
        </w:tc>
        <w:tc>
          <w:tcPr>
            <w:tcW w:w="447" w:type="pct"/>
            <w:tcBorders>
              <w:top w:val="nil"/>
              <w:left w:val="nil"/>
              <w:bottom w:val="nil"/>
              <w:right w:val="nil"/>
            </w:tcBorders>
            <w:shd w:val="clear" w:color="000000" w:fill="FFFFFF"/>
            <w:noWrap/>
            <w:vAlign w:val="center"/>
            <w:hideMark/>
          </w:tcPr>
          <w:p w14:paraId="7CB99DAB"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304,175</w:t>
            </w:r>
          </w:p>
        </w:tc>
        <w:tc>
          <w:tcPr>
            <w:tcW w:w="506" w:type="pct"/>
            <w:tcBorders>
              <w:top w:val="nil"/>
              <w:left w:val="nil"/>
              <w:bottom w:val="nil"/>
              <w:right w:val="nil"/>
            </w:tcBorders>
            <w:shd w:val="clear" w:color="000000" w:fill="FFFFFF"/>
            <w:noWrap/>
            <w:vAlign w:val="center"/>
            <w:hideMark/>
          </w:tcPr>
          <w:p w14:paraId="77E2A3DA"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w:t>
            </w:r>
          </w:p>
        </w:tc>
        <w:tc>
          <w:tcPr>
            <w:tcW w:w="506" w:type="pct"/>
            <w:tcBorders>
              <w:top w:val="nil"/>
              <w:left w:val="nil"/>
              <w:bottom w:val="nil"/>
              <w:right w:val="nil"/>
            </w:tcBorders>
            <w:shd w:val="clear" w:color="000000" w:fill="FFFFFF"/>
            <w:noWrap/>
            <w:vAlign w:val="center"/>
            <w:hideMark/>
          </w:tcPr>
          <w:p w14:paraId="4CB4D06A"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304,175</w:t>
            </w:r>
          </w:p>
        </w:tc>
        <w:tc>
          <w:tcPr>
            <w:tcW w:w="1081" w:type="pct"/>
            <w:tcBorders>
              <w:top w:val="nil"/>
              <w:left w:val="nil"/>
              <w:bottom w:val="nil"/>
              <w:right w:val="nil"/>
            </w:tcBorders>
            <w:shd w:val="clear" w:color="000000" w:fill="FFFFFF"/>
            <w:vAlign w:val="center"/>
            <w:hideMark/>
          </w:tcPr>
          <w:p w14:paraId="4FAC53D7" w14:textId="77777777" w:rsidR="0065570A" w:rsidRPr="0065570A" w:rsidRDefault="0065570A" w:rsidP="0065570A">
            <w:pPr>
              <w:ind w:firstLineChars="100" w:firstLine="161"/>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Opening fair value of scheme assets</w:t>
            </w:r>
          </w:p>
        </w:tc>
        <w:tc>
          <w:tcPr>
            <w:tcW w:w="486" w:type="pct"/>
            <w:tcBorders>
              <w:top w:val="nil"/>
              <w:left w:val="nil"/>
              <w:bottom w:val="nil"/>
              <w:right w:val="nil"/>
            </w:tcBorders>
            <w:shd w:val="clear" w:color="000000" w:fill="FFFFFF"/>
            <w:noWrap/>
            <w:vAlign w:val="center"/>
            <w:hideMark/>
          </w:tcPr>
          <w:p w14:paraId="21193713"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2,569</w:t>
            </w:r>
          </w:p>
        </w:tc>
        <w:tc>
          <w:tcPr>
            <w:tcW w:w="447" w:type="pct"/>
            <w:tcBorders>
              <w:top w:val="nil"/>
              <w:left w:val="nil"/>
              <w:bottom w:val="nil"/>
              <w:right w:val="nil"/>
            </w:tcBorders>
            <w:shd w:val="clear" w:color="000000" w:fill="FFFFFF"/>
            <w:noWrap/>
            <w:vAlign w:val="center"/>
            <w:hideMark/>
          </w:tcPr>
          <w:p w14:paraId="5F6290D1"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272,577</w:t>
            </w:r>
          </w:p>
        </w:tc>
        <w:tc>
          <w:tcPr>
            <w:tcW w:w="614" w:type="pct"/>
            <w:tcBorders>
              <w:top w:val="nil"/>
              <w:left w:val="nil"/>
              <w:bottom w:val="nil"/>
              <w:right w:val="nil"/>
            </w:tcBorders>
            <w:shd w:val="clear" w:color="000000" w:fill="FFFFFF"/>
            <w:noWrap/>
            <w:vAlign w:val="center"/>
            <w:hideMark/>
          </w:tcPr>
          <w:p w14:paraId="635A959D"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w:t>
            </w:r>
          </w:p>
        </w:tc>
        <w:tc>
          <w:tcPr>
            <w:tcW w:w="538" w:type="pct"/>
            <w:tcBorders>
              <w:top w:val="nil"/>
              <w:left w:val="nil"/>
              <w:bottom w:val="nil"/>
              <w:right w:val="nil"/>
            </w:tcBorders>
            <w:shd w:val="clear" w:color="000000" w:fill="FFFFFF"/>
            <w:noWrap/>
            <w:vAlign w:val="center"/>
            <w:hideMark/>
          </w:tcPr>
          <w:p w14:paraId="252A9342"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275,146</w:t>
            </w:r>
          </w:p>
        </w:tc>
      </w:tr>
      <w:tr w:rsidR="0065570A" w:rsidRPr="0065570A" w14:paraId="2D0DD022" w14:textId="77777777" w:rsidTr="0041394A">
        <w:trPr>
          <w:trHeight w:val="204"/>
        </w:trPr>
        <w:tc>
          <w:tcPr>
            <w:tcW w:w="374" w:type="pct"/>
            <w:tcBorders>
              <w:top w:val="nil"/>
              <w:left w:val="nil"/>
              <w:bottom w:val="nil"/>
              <w:right w:val="nil"/>
            </w:tcBorders>
            <w:shd w:val="clear" w:color="000000" w:fill="FFFFFF"/>
            <w:noWrap/>
            <w:vAlign w:val="center"/>
            <w:hideMark/>
          </w:tcPr>
          <w:p w14:paraId="1C06DC6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4E41741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400F840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2E49BD9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5DFA2B28"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6156824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4ED1F64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67E2CD8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02F2861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5CBE4ABC" w14:textId="77777777" w:rsidTr="0041394A">
        <w:trPr>
          <w:trHeight w:val="288"/>
        </w:trPr>
        <w:tc>
          <w:tcPr>
            <w:tcW w:w="374" w:type="pct"/>
            <w:tcBorders>
              <w:top w:val="nil"/>
              <w:left w:val="nil"/>
              <w:bottom w:val="nil"/>
              <w:right w:val="nil"/>
            </w:tcBorders>
            <w:shd w:val="clear" w:color="000000" w:fill="FFFFFF"/>
            <w:noWrap/>
            <w:vAlign w:val="center"/>
            <w:hideMark/>
          </w:tcPr>
          <w:p w14:paraId="05F6644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2,867</w:t>
            </w:r>
          </w:p>
        </w:tc>
        <w:tc>
          <w:tcPr>
            <w:tcW w:w="447" w:type="pct"/>
            <w:tcBorders>
              <w:top w:val="nil"/>
              <w:left w:val="nil"/>
              <w:bottom w:val="nil"/>
              <w:right w:val="nil"/>
            </w:tcBorders>
            <w:shd w:val="clear" w:color="000000" w:fill="FFFFFF"/>
            <w:noWrap/>
            <w:vAlign w:val="center"/>
            <w:hideMark/>
          </w:tcPr>
          <w:p w14:paraId="58728E1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(2,867)</w:t>
            </w:r>
          </w:p>
        </w:tc>
        <w:tc>
          <w:tcPr>
            <w:tcW w:w="506" w:type="pct"/>
            <w:tcBorders>
              <w:top w:val="nil"/>
              <w:left w:val="nil"/>
              <w:bottom w:val="nil"/>
              <w:right w:val="nil"/>
            </w:tcBorders>
            <w:shd w:val="clear" w:color="000000" w:fill="FFFFFF"/>
            <w:noWrap/>
            <w:vAlign w:val="center"/>
            <w:hideMark/>
          </w:tcPr>
          <w:p w14:paraId="3DC1604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06" w:type="pct"/>
            <w:tcBorders>
              <w:top w:val="nil"/>
              <w:left w:val="nil"/>
              <w:bottom w:val="nil"/>
              <w:right w:val="nil"/>
            </w:tcBorders>
            <w:shd w:val="clear" w:color="000000" w:fill="FFFFFF"/>
            <w:noWrap/>
            <w:vAlign w:val="center"/>
            <w:hideMark/>
          </w:tcPr>
          <w:p w14:paraId="3E970A1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1081" w:type="pct"/>
            <w:tcBorders>
              <w:top w:val="nil"/>
              <w:left w:val="nil"/>
              <w:bottom w:val="nil"/>
              <w:right w:val="nil"/>
            </w:tcBorders>
            <w:shd w:val="clear" w:color="000000" w:fill="FFFFFF"/>
            <w:noWrap/>
            <w:vAlign w:val="center"/>
            <w:hideMark/>
          </w:tcPr>
          <w:p w14:paraId="436AD1B9"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Transfer to PCC</w:t>
            </w:r>
          </w:p>
        </w:tc>
        <w:tc>
          <w:tcPr>
            <w:tcW w:w="486" w:type="pct"/>
            <w:tcBorders>
              <w:top w:val="nil"/>
              <w:left w:val="nil"/>
              <w:bottom w:val="nil"/>
              <w:right w:val="nil"/>
            </w:tcBorders>
            <w:shd w:val="clear" w:color="000000" w:fill="FFFFFF"/>
            <w:noWrap/>
            <w:vAlign w:val="center"/>
            <w:hideMark/>
          </w:tcPr>
          <w:p w14:paraId="73FC76F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447" w:type="pct"/>
            <w:tcBorders>
              <w:top w:val="nil"/>
              <w:left w:val="nil"/>
              <w:bottom w:val="nil"/>
              <w:right w:val="nil"/>
            </w:tcBorders>
            <w:shd w:val="clear" w:color="000000" w:fill="FFFFFF"/>
            <w:noWrap/>
            <w:vAlign w:val="center"/>
            <w:hideMark/>
          </w:tcPr>
          <w:p w14:paraId="376D4DA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614" w:type="pct"/>
            <w:tcBorders>
              <w:top w:val="nil"/>
              <w:left w:val="nil"/>
              <w:bottom w:val="nil"/>
              <w:right w:val="nil"/>
            </w:tcBorders>
            <w:shd w:val="clear" w:color="000000" w:fill="FFFFFF"/>
            <w:noWrap/>
            <w:vAlign w:val="center"/>
            <w:hideMark/>
          </w:tcPr>
          <w:p w14:paraId="7749E59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38" w:type="pct"/>
            <w:tcBorders>
              <w:top w:val="nil"/>
              <w:left w:val="nil"/>
              <w:bottom w:val="nil"/>
              <w:right w:val="nil"/>
            </w:tcBorders>
            <w:shd w:val="clear" w:color="000000" w:fill="FFFFFF"/>
            <w:noWrap/>
            <w:vAlign w:val="center"/>
            <w:hideMark/>
          </w:tcPr>
          <w:p w14:paraId="68FA132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r>
      <w:tr w:rsidR="0065570A" w:rsidRPr="0065570A" w14:paraId="5D98A539" w14:textId="77777777" w:rsidTr="0041394A">
        <w:trPr>
          <w:trHeight w:val="204"/>
        </w:trPr>
        <w:tc>
          <w:tcPr>
            <w:tcW w:w="374" w:type="pct"/>
            <w:tcBorders>
              <w:top w:val="nil"/>
              <w:left w:val="nil"/>
              <w:bottom w:val="single" w:sz="4" w:space="0" w:color="auto"/>
              <w:right w:val="nil"/>
            </w:tcBorders>
            <w:shd w:val="clear" w:color="000000" w:fill="FFFFFF"/>
            <w:noWrap/>
            <w:vAlign w:val="center"/>
            <w:hideMark/>
          </w:tcPr>
          <w:p w14:paraId="0B4600A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single" w:sz="4" w:space="0" w:color="auto"/>
              <w:right w:val="nil"/>
            </w:tcBorders>
            <w:shd w:val="clear" w:color="000000" w:fill="FFFFFF"/>
            <w:noWrap/>
            <w:vAlign w:val="center"/>
            <w:hideMark/>
          </w:tcPr>
          <w:p w14:paraId="17934E1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single" w:sz="4" w:space="0" w:color="auto"/>
              <w:right w:val="nil"/>
            </w:tcBorders>
            <w:shd w:val="clear" w:color="000000" w:fill="FFFFFF"/>
            <w:noWrap/>
            <w:vAlign w:val="center"/>
            <w:hideMark/>
          </w:tcPr>
          <w:p w14:paraId="0927E99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single" w:sz="4" w:space="0" w:color="auto"/>
              <w:right w:val="nil"/>
            </w:tcBorders>
            <w:shd w:val="clear" w:color="000000" w:fill="FFFFFF"/>
            <w:noWrap/>
            <w:vAlign w:val="center"/>
            <w:hideMark/>
          </w:tcPr>
          <w:p w14:paraId="5B398E9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single" w:sz="4" w:space="0" w:color="auto"/>
              <w:right w:val="nil"/>
            </w:tcBorders>
            <w:shd w:val="clear" w:color="000000" w:fill="FFFFFF"/>
            <w:noWrap/>
            <w:vAlign w:val="center"/>
            <w:hideMark/>
          </w:tcPr>
          <w:p w14:paraId="4A2001EF"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single" w:sz="4" w:space="0" w:color="auto"/>
              <w:right w:val="nil"/>
            </w:tcBorders>
            <w:shd w:val="clear" w:color="000000" w:fill="FFFFFF"/>
            <w:noWrap/>
            <w:vAlign w:val="center"/>
            <w:hideMark/>
          </w:tcPr>
          <w:p w14:paraId="48F707D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single" w:sz="4" w:space="0" w:color="auto"/>
              <w:right w:val="nil"/>
            </w:tcBorders>
            <w:shd w:val="clear" w:color="000000" w:fill="FFFFFF"/>
            <w:noWrap/>
            <w:vAlign w:val="center"/>
            <w:hideMark/>
          </w:tcPr>
          <w:p w14:paraId="47F3962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single" w:sz="4" w:space="0" w:color="auto"/>
              <w:right w:val="nil"/>
            </w:tcBorders>
            <w:shd w:val="clear" w:color="000000" w:fill="FFFFFF"/>
            <w:noWrap/>
            <w:vAlign w:val="center"/>
            <w:hideMark/>
          </w:tcPr>
          <w:p w14:paraId="66D4E72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single" w:sz="4" w:space="0" w:color="auto"/>
              <w:right w:val="nil"/>
            </w:tcBorders>
            <w:shd w:val="clear" w:color="000000" w:fill="FFFFFF"/>
            <w:noWrap/>
            <w:vAlign w:val="center"/>
            <w:hideMark/>
          </w:tcPr>
          <w:p w14:paraId="10B3D25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33CD8FBD" w14:textId="77777777" w:rsidTr="0041394A">
        <w:trPr>
          <w:trHeight w:val="288"/>
        </w:trPr>
        <w:tc>
          <w:tcPr>
            <w:tcW w:w="374" w:type="pct"/>
            <w:tcBorders>
              <w:top w:val="nil"/>
              <w:left w:val="nil"/>
              <w:bottom w:val="single" w:sz="4" w:space="0" w:color="auto"/>
              <w:right w:val="nil"/>
            </w:tcBorders>
            <w:shd w:val="clear" w:color="000000" w:fill="FFFFFF"/>
            <w:noWrap/>
            <w:vAlign w:val="center"/>
            <w:hideMark/>
          </w:tcPr>
          <w:p w14:paraId="44076B33"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2,867</w:t>
            </w:r>
          </w:p>
        </w:tc>
        <w:tc>
          <w:tcPr>
            <w:tcW w:w="447" w:type="pct"/>
            <w:tcBorders>
              <w:top w:val="nil"/>
              <w:left w:val="nil"/>
              <w:bottom w:val="single" w:sz="4" w:space="0" w:color="auto"/>
              <w:right w:val="nil"/>
            </w:tcBorders>
            <w:shd w:val="clear" w:color="000000" w:fill="FFFFFF"/>
            <w:noWrap/>
            <w:vAlign w:val="center"/>
            <w:hideMark/>
          </w:tcPr>
          <w:p w14:paraId="6BA86827"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301,308</w:t>
            </w:r>
          </w:p>
        </w:tc>
        <w:tc>
          <w:tcPr>
            <w:tcW w:w="506" w:type="pct"/>
            <w:tcBorders>
              <w:top w:val="nil"/>
              <w:left w:val="nil"/>
              <w:bottom w:val="single" w:sz="4" w:space="0" w:color="auto"/>
              <w:right w:val="nil"/>
            </w:tcBorders>
            <w:shd w:val="clear" w:color="000000" w:fill="FFFFFF"/>
            <w:noWrap/>
            <w:vAlign w:val="center"/>
            <w:hideMark/>
          </w:tcPr>
          <w:p w14:paraId="36B09E33"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w:t>
            </w:r>
          </w:p>
        </w:tc>
        <w:tc>
          <w:tcPr>
            <w:tcW w:w="506" w:type="pct"/>
            <w:tcBorders>
              <w:top w:val="nil"/>
              <w:left w:val="nil"/>
              <w:bottom w:val="single" w:sz="4" w:space="0" w:color="auto"/>
              <w:right w:val="nil"/>
            </w:tcBorders>
            <w:shd w:val="clear" w:color="000000" w:fill="FFFFFF"/>
            <w:noWrap/>
            <w:vAlign w:val="center"/>
            <w:hideMark/>
          </w:tcPr>
          <w:p w14:paraId="30B1D216"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304,175</w:t>
            </w:r>
          </w:p>
        </w:tc>
        <w:tc>
          <w:tcPr>
            <w:tcW w:w="1081" w:type="pct"/>
            <w:tcBorders>
              <w:top w:val="nil"/>
              <w:left w:val="nil"/>
              <w:bottom w:val="single" w:sz="4" w:space="0" w:color="auto"/>
              <w:right w:val="nil"/>
            </w:tcBorders>
            <w:shd w:val="clear" w:color="000000" w:fill="FFFFFF"/>
            <w:vAlign w:val="center"/>
            <w:hideMark/>
          </w:tcPr>
          <w:p w14:paraId="30D55B61" w14:textId="77777777" w:rsidR="0065570A" w:rsidRPr="0065570A" w:rsidRDefault="0065570A" w:rsidP="0065570A">
            <w:pPr>
              <w:ind w:firstLineChars="100" w:firstLine="161"/>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Revised Opening Balance</w:t>
            </w:r>
          </w:p>
        </w:tc>
        <w:tc>
          <w:tcPr>
            <w:tcW w:w="486" w:type="pct"/>
            <w:tcBorders>
              <w:top w:val="nil"/>
              <w:left w:val="nil"/>
              <w:bottom w:val="single" w:sz="4" w:space="0" w:color="auto"/>
              <w:right w:val="nil"/>
            </w:tcBorders>
            <w:shd w:val="clear" w:color="000000" w:fill="FFFFFF"/>
            <w:noWrap/>
            <w:vAlign w:val="center"/>
            <w:hideMark/>
          </w:tcPr>
          <w:p w14:paraId="041F535C"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2,569</w:t>
            </w:r>
          </w:p>
        </w:tc>
        <w:tc>
          <w:tcPr>
            <w:tcW w:w="447" w:type="pct"/>
            <w:tcBorders>
              <w:top w:val="nil"/>
              <w:left w:val="nil"/>
              <w:bottom w:val="single" w:sz="4" w:space="0" w:color="auto"/>
              <w:right w:val="nil"/>
            </w:tcBorders>
            <w:shd w:val="clear" w:color="000000" w:fill="FFFFFF"/>
            <w:noWrap/>
            <w:vAlign w:val="center"/>
            <w:hideMark/>
          </w:tcPr>
          <w:p w14:paraId="40CDAFF6"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272,577</w:t>
            </w:r>
          </w:p>
        </w:tc>
        <w:tc>
          <w:tcPr>
            <w:tcW w:w="614" w:type="pct"/>
            <w:tcBorders>
              <w:top w:val="nil"/>
              <w:left w:val="nil"/>
              <w:bottom w:val="single" w:sz="4" w:space="0" w:color="auto"/>
              <w:right w:val="nil"/>
            </w:tcBorders>
            <w:shd w:val="clear" w:color="000000" w:fill="FFFFFF"/>
            <w:noWrap/>
            <w:vAlign w:val="center"/>
            <w:hideMark/>
          </w:tcPr>
          <w:p w14:paraId="2DE44B68"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w:t>
            </w:r>
          </w:p>
        </w:tc>
        <w:tc>
          <w:tcPr>
            <w:tcW w:w="538" w:type="pct"/>
            <w:tcBorders>
              <w:top w:val="nil"/>
              <w:left w:val="nil"/>
              <w:bottom w:val="single" w:sz="4" w:space="0" w:color="auto"/>
              <w:right w:val="nil"/>
            </w:tcBorders>
            <w:shd w:val="clear" w:color="000000" w:fill="FFFFFF"/>
            <w:noWrap/>
            <w:vAlign w:val="center"/>
            <w:hideMark/>
          </w:tcPr>
          <w:p w14:paraId="2A2DA2DC"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275,146</w:t>
            </w:r>
          </w:p>
        </w:tc>
      </w:tr>
      <w:tr w:rsidR="0065570A" w:rsidRPr="0065570A" w14:paraId="4DA90141" w14:textId="77777777" w:rsidTr="0041394A">
        <w:trPr>
          <w:trHeight w:val="288"/>
        </w:trPr>
        <w:tc>
          <w:tcPr>
            <w:tcW w:w="374" w:type="pct"/>
            <w:tcBorders>
              <w:top w:val="nil"/>
              <w:left w:val="nil"/>
              <w:bottom w:val="nil"/>
              <w:right w:val="nil"/>
            </w:tcBorders>
            <w:shd w:val="clear" w:color="000000" w:fill="FFFFFF"/>
            <w:noWrap/>
            <w:vAlign w:val="center"/>
            <w:hideMark/>
          </w:tcPr>
          <w:p w14:paraId="701019E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69</w:t>
            </w:r>
          </w:p>
        </w:tc>
        <w:tc>
          <w:tcPr>
            <w:tcW w:w="447" w:type="pct"/>
            <w:tcBorders>
              <w:top w:val="nil"/>
              <w:left w:val="nil"/>
              <w:bottom w:val="nil"/>
              <w:right w:val="nil"/>
            </w:tcBorders>
            <w:shd w:val="clear" w:color="000000" w:fill="FFFFFF"/>
            <w:noWrap/>
            <w:vAlign w:val="center"/>
            <w:hideMark/>
          </w:tcPr>
          <w:p w14:paraId="34BDACD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7,312</w:t>
            </w:r>
          </w:p>
        </w:tc>
        <w:tc>
          <w:tcPr>
            <w:tcW w:w="506" w:type="pct"/>
            <w:tcBorders>
              <w:top w:val="nil"/>
              <w:left w:val="nil"/>
              <w:bottom w:val="nil"/>
              <w:right w:val="nil"/>
            </w:tcBorders>
            <w:shd w:val="clear" w:color="000000" w:fill="FFFFFF"/>
            <w:noWrap/>
            <w:vAlign w:val="center"/>
            <w:hideMark/>
          </w:tcPr>
          <w:p w14:paraId="6B9DC2A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06" w:type="pct"/>
            <w:tcBorders>
              <w:top w:val="nil"/>
              <w:left w:val="nil"/>
              <w:bottom w:val="nil"/>
              <w:right w:val="nil"/>
            </w:tcBorders>
            <w:shd w:val="clear" w:color="000000" w:fill="FFFFFF"/>
            <w:noWrap/>
            <w:vAlign w:val="center"/>
            <w:hideMark/>
          </w:tcPr>
          <w:p w14:paraId="1E4139C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7,381</w:t>
            </w:r>
          </w:p>
        </w:tc>
        <w:tc>
          <w:tcPr>
            <w:tcW w:w="1081" w:type="pct"/>
            <w:tcBorders>
              <w:top w:val="nil"/>
              <w:left w:val="nil"/>
              <w:bottom w:val="nil"/>
              <w:right w:val="nil"/>
            </w:tcBorders>
            <w:shd w:val="clear" w:color="000000" w:fill="FFFFFF"/>
            <w:noWrap/>
            <w:vAlign w:val="center"/>
            <w:hideMark/>
          </w:tcPr>
          <w:p w14:paraId="4751D790"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Interest income</w:t>
            </w:r>
          </w:p>
        </w:tc>
        <w:tc>
          <w:tcPr>
            <w:tcW w:w="486" w:type="pct"/>
            <w:tcBorders>
              <w:top w:val="nil"/>
              <w:left w:val="nil"/>
              <w:bottom w:val="nil"/>
              <w:right w:val="nil"/>
            </w:tcBorders>
            <w:shd w:val="clear" w:color="000000" w:fill="FFFFFF"/>
            <w:noWrap/>
            <w:vAlign w:val="center"/>
            <w:hideMark/>
          </w:tcPr>
          <w:p w14:paraId="29C7947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60</w:t>
            </w:r>
          </w:p>
        </w:tc>
        <w:tc>
          <w:tcPr>
            <w:tcW w:w="447" w:type="pct"/>
            <w:tcBorders>
              <w:top w:val="nil"/>
              <w:left w:val="nil"/>
              <w:bottom w:val="nil"/>
              <w:right w:val="nil"/>
            </w:tcBorders>
            <w:shd w:val="clear" w:color="000000" w:fill="FFFFFF"/>
            <w:noWrap/>
            <w:vAlign w:val="center"/>
            <w:hideMark/>
          </w:tcPr>
          <w:p w14:paraId="68977B4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6,352</w:t>
            </w:r>
          </w:p>
        </w:tc>
        <w:tc>
          <w:tcPr>
            <w:tcW w:w="614" w:type="pct"/>
            <w:tcBorders>
              <w:top w:val="nil"/>
              <w:left w:val="nil"/>
              <w:bottom w:val="nil"/>
              <w:right w:val="nil"/>
            </w:tcBorders>
            <w:shd w:val="clear" w:color="000000" w:fill="FFFFFF"/>
            <w:noWrap/>
            <w:vAlign w:val="center"/>
            <w:hideMark/>
          </w:tcPr>
          <w:p w14:paraId="16627CF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38" w:type="pct"/>
            <w:tcBorders>
              <w:top w:val="nil"/>
              <w:left w:val="nil"/>
              <w:bottom w:val="nil"/>
              <w:right w:val="nil"/>
            </w:tcBorders>
            <w:shd w:val="clear" w:color="000000" w:fill="FFFFFF"/>
            <w:noWrap/>
            <w:vAlign w:val="center"/>
            <w:hideMark/>
          </w:tcPr>
          <w:p w14:paraId="5B61AFF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6,412</w:t>
            </w:r>
          </w:p>
        </w:tc>
      </w:tr>
      <w:tr w:rsidR="0065570A" w:rsidRPr="0065570A" w14:paraId="0F60F165" w14:textId="77777777" w:rsidTr="0041394A">
        <w:trPr>
          <w:trHeight w:val="204"/>
        </w:trPr>
        <w:tc>
          <w:tcPr>
            <w:tcW w:w="374" w:type="pct"/>
            <w:tcBorders>
              <w:top w:val="nil"/>
              <w:left w:val="nil"/>
              <w:bottom w:val="nil"/>
              <w:right w:val="nil"/>
            </w:tcBorders>
            <w:shd w:val="clear" w:color="000000" w:fill="FFFFFF"/>
            <w:noWrap/>
            <w:vAlign w:val="center"/>
            <w:hideMark/>
          </w:tcPr>
          <w:p w14:paraId="67A208F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4E3F746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736075F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569B796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258E10A8"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5621D08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6A48A5A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0008BC4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6A2B04B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661B6F58" w14:textId="77777777" w:rsidTr="0041394A">
        <w:trPr>
          <w:trHeight w:val="288"/>
        </w:trPr>
        <w:tc>
          <w:tcPr>
            <w:tcW w:w="374" w:type="pct"/>
            <w:tcBorders>
              <w:top w:val="nil"/>
              <w:left w:val="nil"/>
              <w:bottom w:val="nil"/>
              <w:right w:val="nil"/>
            </w:tcBorders>
            <w:shd w:val="clear" w:color="000000" w:fill="FFFFFF"/>
            <w:noWrap/>
            <w:vAlign w:val="center"/>
            <w:hideMark/>
          </w:tcPr>
          <w:p w14:paraId="15197C0C"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447" w:type="pct"/>
            <w:tcBorders>
              <w:top w:val="nil"/>
              <w:left w:val="nil"/>
              <w:bottom w:val="nil"/>
              <w:right w:val="nil"/>
            </w:tcBorders>
            <w:shd w:val="clear" w:color="000000" w:fill="FFFFFF"/>
            <w:noWrap/>
            <w:vAlign w:val="center"/>
            <w:hideMark/>
          </w:tcPr>
          <w:p w14:paraId="0DB88F5C"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506" w:type="pct"/>
            <w:tcBorders>
              <w:top w:val="nil"/>
              <w:left w:val="nil"/>
              <w:bottom w:val="nil"/>
              <w:right w:val="nil"/>
            </w:tcBorders>
            <w:shd w:val="clear" w:color="000000" w:fill="FFFFFF"/>
            <w:noWrap/>
            <w:vAlign w:val="center"/>
            <w:hideMark/>
          </w:tcPr>
          <w:p w14:paraId="7C607C55"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506" w:type="pct"/>
            <w:tcBorders>
              <w:top w:val="nil"/>
              <w:left w:val="nil"/>
              <w:bottom w:val="nil"/>
              <w:right w:val="nil"/>
            </w:tcBorders>
            <w:shd w:val="clear" w:color="000000" w:fill="FFFFFF"/>
            <w:noWrap/>
            <w:vAlign w:val="center"/>
            <w:hideMark/>
          </w:tcPr>
          <w:p w14:paraId="1C8EC6C3"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1567" w:type="pct"/>
            <w:gridSpan w:val="2"/>
            <w:tcBorders>
              <w:top w:val="nil"/>
              <w:left w:val="nil"/>
              <w:bottom w:val="nil"/>
              <w:right w:val="nil"/>
            </w:tcBorders>
            <w:shd w:val="clear" w:color="000000" w:fill="FFFFFF"/>
            <w:noWrap/>
            <w:vAlign w:val="center"/>
            <w:hideMark/>
          </w:tcPr>
          <w:p w14:paraId="2C6BE050" w14:textId="77777777" w:rsidR="0065570A" w:rsidRPr="003D06C5" w:rsidRDefault="0065570A" w:rsidP="0065570A">
            <w:pPr>
              <w:ind w:firstLineChars="100" w:firstLine="160"/>
              <w:rPr>
                <w:rFonts w:eastAsia="Times New Roman" w:cs="Calibri"/>
                <w:color w:val="000000"/>
                <w:sz w:val="16"/>
                <w:szCs w:val="16"/>
                <w:lang w:val="en-GB" w:eastAsia="en-GB"/>
              </w:rPr>
            </w:pPr>
            <w:r w:rsidRPr="003D06C5">
              <w:rPr>
                <w:rFonts w:eastAsia="Times New Roman" w:cs="Calibri"/>
                <w:color w:val="000000"/>
                <w:sz w:val="16"/>
                <w:szCs w:val="16"/>
                <w:lang w:val="en-GB" w:eastAsia="en-GB"/>
              </w:rPr>
              <w:t>Re-measurement gain / (loss):</w:t>
            </w:r>
          </w:p>
        </w:tc>
        <w:tc>
          <w:tcPr>
            <w:tcW w:w="447" w:type="pct"/>
            <w:tcBorders>
              <w:top w:val="nil"/>
              <w:left w:val="nil"/>
              <w:bottom w:val="nil"/>
              <w:right w:val="nil"/>
            </w:tcBorders>
            <w:shd w:val="clear" w:color="000000" w:fill="FFFFFF"/>
            <w:noWrap/>
            <w:vAlign w:val="center"/>
            <w:hideMark/>
          </w:tcPr>
          <w:p w14:paraId="41891CC0"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614" w:type="pct"/>
            <w:tcBorders>
              <w:top w:val="nil"/>
              <w:left w:val="nil"/>
              <w:bottom w:val="nil"/>
              <w:right w:val="nil"/>
            </w:tcBorders>
            <w:shd w:val="clear" w:color="000000" w:fill="FFFFFF"/>
            <w:noWrap/>
            <w:vAlign w:val="center"/>
            <w:hideMark/>
          </w:tcPr>
          <w:p w14:paraId="4420DAB9"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538" w:type="pct"/>
            <w:tcBorders>
              <w:top w:val="nil"/>
              <w:left w:val="nil"/>
              <w:bottom w:val="nil"/>
              <w:right w:val="nil"/>
            </w:tcBorders>
            <w:shd w:val="clear" w:color="000000" w:fill="FFFFFF"/>
            <w:noWrap/>
            <w:vAlign w:val="center"/>
            <w:hideMark/>
          </w:tcPr>
          <w:p w14:paraId="3B73D767"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r>
      <w:tr w:rsidR="0065570A" w:rsidRPr="0065570A" w14:paraId="1CE984D1" w14:textId="77777777" w:rsidTr="0041394A">
        <w:trPr>
          <w:trHeight w:val="612"/>
        </w:trPr>
        <w:tc>
          <w:tcPr>
            <w:tcW w:w="374" w:type="pct"/>
            <w:tcBorders>
              <w:top w:val="nil"/>
              <w:left w:val="nil"/>
              <w:bottom w:val="nil"/>
              <w:right w:val="nil"/>
            </w:tcBorders>
            <w:shd w:val="clear" w:color="000000" w:fill="FFFFFF"/>
            <w:noWrap/>
            <w:vAlign w:val="center"/>
            <w:hideMark/>
          </w:tcPr>
          <w:p w14:paraId="458B768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(387)</w:t>
            </w:r>
          </w:p>
        </w:tc>
        <w:tc>
          <w:tcPr>
            <w:tcW w:w="447" w:type="pct"/>
            <w:tcBorders>
              <w:top w:val="nil"/>
              <w:left w:val="nil"/>
              <w:bottom w:val="nil"/>
              <w:right w:val="nil"/>
            </w:tcBorders>
            <w:shd w:val="clear" w:color="000000" w:fill="FFFFFF"/>
            <w:noWrap/>
            <w:vAlign w:val="center"/>
            <w:hideMark/>
          </w:tcPr>
          <w:p w14:paraId="124E368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(41,563)</w:t>
            </w:r>
          </w:p>
        </w:tc>
        <w:tc>
          <w:tcPr>
            <w:tcW w:w="506" w:type="pct"/>
            <w:tcBorders>
              <w:top w:val="nil"/>
              <w:left w:val="nil"/>
              <w:bottom w:val="nil"/>
              <w:right w:val="nil"/>
            </w:tcBorders>
            <w:shd w:val="clear" w:color="000000" w:fill="FFFFFF"/>
            <w:noWrap/>
            <w:vAlign w:val="center"/>
            <w:hideMark/>
          </w:tcPr>
          <w:p w14:paraId="5D8E1EE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06" w:type="pct"/>
            <w:tcBorders>
              <w:top w:val="nil"/>
              <w:left w:val="nil"/>
              <w:bottom w:val="nil"/>
              <w:right w:val="nil"/>
            </w:tcBorders>
            <w:shd w:val="clear" w:color="000000" w:fill="FFFFFF"/>
            <w:noWrap/>
            <w:vAlign w:val="center"/>
            <w:hideMark/>
          </w:tcPr>
          <w:p w14:paraId="3044393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(41,950)</w:t>
            </w:r>
          </w:p>
        </w:tc>
        <w:tc>
          <w:tcPr>
            <w:tcW w:w="1081" w:type="pct"/>
            <w:tcBorders>
              <w:top w:val="nil"/>
              <w:left w:val="nil"/>
              <w:bottom w:val="nil"/>
              <w:right w:val="nil"/>
            </w:tcBorders>
            <w:shd w:val="clear" w:color="000000" w:fill="FFFFFF"/>
            <w:vAlign w:val="center"/>
            <w:hideMark/>
          </w:tcPr>
          <w:p w14:paraId="4452EC42" w14:textId="77777777" w:rsidR="0065570A" w:rsidRPr="003D06C5" w:rsidRDefault="0065570A" w:rsidP="0065570A">
            <w:pPr>
              <w:ind w:firstLineChars="100" w:firstLine="160"/>
              <w:rPr>
                <w:rFonts w:eastAsia="Times New Roman" w:cs="Calibri"/>
                <w:color w:val="000000"/>
                <w:sz w:val="16"/>
                <w:szCs w:val="16"/>
                <w:lang w:val="en-GB" w:eastAsia="en-GB"/>
              </w:rPr>
            </w:pPr>
            <w:r w:rsidRPr="003D06C5">
              <w:rPr>
                <w:rFonts w:eastAsia="Times New Roman" w:cs="Calibri"/>
                <w:color w:val="000000"/>
                <w:sz w:val="16"/>
                <w:szCs w:val="16"/>
                <w:lang w:val="en-GB" w:eastAsia="en-GB"/>
              </w:rPr>
              <w:t>- The return on plan assets, excluding the amount included in the net interest expense</w:t>
            </w:r>
          </w:p>
        </w:tc>
        <w:tc>
          <w:tcPr>
            <w:tcW w:w="486" w:type="pct"/>
            <w:tcBorders>
              <w:top w:val="nil"/>
              <w:left w:val="nil"/>
              <w:bottom w:val="nil"/>
              <w:right w:val="nil"/>
            </w:tcBorders>
            <w:shd w:val="clear" w:color="000000" w:fill="FFFFFF"/>
            <w:noWrap/>
            <w:vAlign w:val="center"/>
            <w:hideMark/>
          </w:tcPr>
          <w:p w14:paraId="3C3E898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688</w:t>
            </w:r>
          </w:p>
        </w:tc>
        <w:tc>
          <w:tcPr>
            <w:tcW w:w="447" w:type="pct"/>
            <w:tcBorders>
              <w:top w:val="nil"/>
              <w:left w:val="nil"/>
              <w:bottom w:val="nil"/>
              <w:right w:val="nil"/>
            </w:tcBorders>
            <w:shd w:val="clear" w:color="000000" w:fill="FFFFFF"/>
            <w:noWrap/>
            <w:vAlign w:val="center"/>
            <w:hideMark/>
          </w:tcPr>
          <w:p w14:paraId="462FBD7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72,255</w:t>
            </w:r>
          </w:p>
        </w:tc>
        <w:tc>
          <w:tcPr>
            <w:tcW w:w="614" w:type="pct"/>
            <w:tcBorders>
              <w:top w:val="nil"/>
              <w:left w:val="nil"/>
              <w:bottom w:val="nil"/>
              <w:right w:val="nil"/>
            </w:tcBorders>
            <w:shd w:val="clear" w:color="000000" w:fill="FFFFFF"/>
            <w:noWrap/>
            <w:vAlign w:val="center"/>
            <w:hideMark/>
          </w:tcPr>
          <w:p w14:paraId="30835C0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38" w:type="pct"/>
            <w:tcBorders>
              <w:top w:val="nil"/>
              <w:left w:val="nil"/>
              <w:bottom w:val="nil"/>
              <w:right w:val="nil"/>
            </w:tcBorders>
            <w:shd w:val="clear" w:color="000000" w:fill="FFFFFF"/>
            <w:noWrap/>
            <w:vAlign w:val="center"/>
            <w:hideMark/>
          </w:tcPr>
          <w:p w14:paraId="3A6DAF4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72,943</w:t>
            </w:r>
          </w:p>
        </w:tc>
      </w:tr>
      <w:tr w:rsidR="0065570A" w:rsidRPr="0065570A" w14:paraId="58571DD2" w14:textId="77777777" w:rsidTr="0041394A">
        <w:trPr>
          <w:trHeight w:val="204"/>
        </w:trPr>
        <w:tc>
          <w:tcPr>
            <w:tcW w:w="374" w:type="pct"/>
            <w:tcBorders>
              <w:top w:val="nil"/>
              <w:left w:val="nil"/>
              <w:bottom w:val="nil"/>
              <w:right w:val="nil"/>
            </w:tcBorders>
            <w:shd w:val="clear" w:color="000000" w:fill="FFFFFF"/>
            <w:noWrap/>
            <w:vAlign w:val="center"/>
            <w:hideMark/>
          </w:tcPr>
          <w:p w14:paraId="459919D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1D815E1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0703846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2CFB3A6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3CFCA390"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431BA7D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1703163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6C76E78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289E34A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170A995A" w14:textId="77777777" w:rsidTr="0041394A">
        <w:trPr>
          <w:trHeight w:val="288"/>
        </w:trPr>
        <w:tc>
          <w:tcPr>
            <w:tcW w:w="374" w:type="pct"/>
            <w:tcBorders>
              <w:top w:val="nil"/>
              <w:left w:val="nil"/>
              <w:bottom w:val="nil"/>
              <w:right w:val="nil"/>
            </w:tcBorders>
            <w:shd w:val="clear" w:color="000000" w:fill="FFFFFF"/>
            <w:noWrap/>
            <w:vAlign w:val="center"/>
            <w:hideMark/>
          </w:tcPr>
          <w:p w14:paraId="211FE6B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83</w:t>
            </w:r>
          </w:p>
        </w:tc>
        <w:tc>
          <w:tcPr>
            <w:tcW w:w="447" w:type="pct"/>
            <w:tcBorders>
              <w:top w:val="nil"/>
              <w:left w:val="nil"/>
              <w:bottom w:val="nil"/>
              <w:right w:val="nil"/>
            </w:tcBorders>
            <w:shd w:val="clear" w:color="000000" w:fill="FFFFFF"/>
            <w:noWrap/>
            <w:vAlign w:val="center"/>
            <w:hideMark/>
          </w:tcPr>
          <w:p w14:paraId="5FE3DE9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9,724</w:t>
            </w:r>
          </w:p>
        </w:tc>
        <w:tc>
          <w:tcPr>
            <w:tcW w:w="506" w:type="pct"/>
            <w:tcBorders>
              <w:top w:val="nil"/>
              <w:left w:val="nil"/>
              <w:bottom w:val="nil"/>
              <w:right w:val="nil"/>
            </w:tcBorders>
            <w:shd w:val="clear" w:color="000000" w:fill="FFFFFF"/>
            <w:noWrap/>
            <w:vAlign w:val="center"/>
            <w:hideMark/>
          </w:tcPr>
          <w:p w14:paraId="43E013D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40,570</w:t>
            </w:r>
          </w:p>
        </w:tc>
        <w:tc>
          <w:tcPr>
            <w:tcW w:w="506" w:type="pct"/>
            <w:tcBorders>
              <w:top w:val="nil"/>
              <w:left w:val="nil"/>
              <w:bottom w:val="nil"/>
              <w:right w:val="nil"/>
            </w:tcBorders>
            <w:shd w:val="clear" w:color="000000" w:fill="FFFFFF"/>
            <w:noWrap/>
            <w:vAlign w:val="center"/>
            <w:hideMark/>
          </w:tcPr>
          <w:p w14:paraId="0665DAA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50,377</w:t>
            </w:r>
          </w:p>
        </w:tc>
        <w:tc>
          <w:tcPr>
            <w:tcW w:w="1081" w:type="pct"/>
            <w:tcBorders>
              <w:top w:val="nil"/>
              <w:left w:val="nil"/>
              <w:bottom w:val="nil"/>
              <w:right w:val="nil"/>
            </w:tcBorders>
            <w:shd w:val="clear" w:color="000000" w:fill="FFFFFF"/>
            <w:vAlign w:val="center"/>
            <w:hideMark/>
          </w:tcPr>
          <w:p w14:paraId="0C82E1D6"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Contributions from employer</w:t>
            </w:r>
          </w:p>
        </w:tc>
        <w:tc>
          <w:tcPr>
            <w:tcW w:w="486" w:type="pct"/>
            <w:tcBorders>
              <w:top w:val="nil"/>
              <w:left w:val="nil"/>
              <w:bottom w:val="nil"/>
              <w:right w:val="nil"/>
            </w:tcBorders>
            <w:shd w:val="clear" w:color="000000" w:fill="FFFFFF"/>
            <w:noWrap/>
            <w:vAlign w:val="center"/>
            <w:hideMark/>
          </w:tcPr>
          <w:p w14:paraId="141E910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113</w:t>
            </w:r>
          </w:p>
        </w:tc>
        <w:tc>
          <w:tcPr>
            <w:tcW w:w="447" w:type="pct"/>
            <w:tcBorders>
              <w:top w:val="nil"/>
              <w:left w:val="nil"/>
              <w:bottom w:val="nil"/>
              <w:right w:val="nil"/>
            </w:tcBorders>
            <w:shd w:val="clear" w:color="000000" w:fill="FFFFFF"/>
            <w:noWrap/>
            <w:vAlign w:val="center"/>
            <w:hideMark/>
          </w:tcPr>
          <w:p w14:paraId="73AF9668" w14:textId="2196F0EB" w:rsidR="0065570A" w:rsidRPr="0065570A" w:rsidRDefault="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10,</w:t>
            </w:r>
            <w:r w:rsidR="00ED58B2">
              <w:rPr>
                <w:rFonts w:eastAsia="Times New Roman" w:cs="Calibri"/>
                <w:color w:val="000000"/>
                <w:sz w:val="16"/>
                <w:szCs w:val="16"/>
                <w:lang w:val="en-GB" w:eastAsia="en-GB"/>
              </w:rPr>
              <w:t>942</w:t>
            </w:r>
          </w:p>
        </w:tc>
        <w:tc>
          <w:tcPr>
            <w:tcW w:w="614" w:type="pct"/>
            <w:tcBorders>
              <w:top w:val="nil"/>
              <w:left w:val="nil"/>
              <w:bottom w:val="nil"/>
              <w:right w:val="nil"/>
            </w:tcBorders>
            <w:shd w:val="clear" w:color="000000" w:fill="FFFFFF"/>
            <w:noWrap/>
            <w:vAlign w:val="center"/>
            <w:hideMark/>
          </w:tcPr>
          <w:p w14:paraId="322A0932" w14:textId="36A52CAE"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w:t>
            </w:r>
            <w:r w:rsidR="00ED58B2">
              <w:rPr>
                <w:rFonts w:eastAsia="Times New Roman" w:cs="Calibri"/>
                <w:color w:val="000000"/>
                <w:sz w:val="16"/>
                <w:szCs w:val="16"/>
                <w:lang w:val="en-GB" w:eastAsia="en-GB"/>
              </w:rPr>
              <w:t>8,360</w:t>
            </w:r>
          </w:p>
        </w:tc>
        <w:tc>
          <w:tcPr>
            <w:tcW w:w="538" w:type="pct"/>
            <w:tcBorders>
              <w:top w:val="nil"/>
              <w:left w:val="nil"/>
              <w:bottom w:val="nil"/>
              <w:right w:val="nil"/>
            </w:tcBorders>
            <w:shd w:val="clear" w:color="000000" w:fill="FFFFFF"/>
            <w:noWrap/>
            <w:vAlign w:val="center"/>
            <w:hideMark/>
          </w:tcPr>
          <w:p w14:paraId="11AF8EEB" w14:textId="79AFE9B9" w:rsidR="0065570A" w:rsidRPr="0065570A" w:rsidRDefault="00ED58B2">
            <w:pPr>
              <w:ind w:firstLineChars="100" w:firstLine="160"/>
              <w:jc w:val="right"/>
              <w:rPr>
                <w:rFonts w:eastAsia="Times New Roman" w:cs="Calibri"/>
                <w:color w:val="000000"/>
                <w:sz w:val="16"/>
                <w:szCs w:val="16"/>
                <w:lang w:val="en-GB" w:eastAsia="en-GB"/>
              </w:rPr>
            </w:pPr>
            <w:r>
              <w:rPr>
                <w:rFonts w:eastAsia="Times New Roman" w:cs="Calibri"/>
                <w:color w:val="000000"/>
                <w:sz w:val="16"/>
                <w:szCs w:val="16"/>
                <w:lang w:val="en-GB" w:eastAsia="en-GB"/>
              </w:rPr>
              <w:t>49,415</w:t>
            </w:r>
          </w:p>
        </w:tc>
      </w:tr>
      <w:tr w:rsidR="0065570A" w:rsidRPr="0065570A" w14:paraId="34F0E716" w14:textId="77777777" w:rsidTr="0041394A">
        <w:trPr>
          <w:trHeight w:val="204"/>
        </w:trPr>
        <w:tc>
          <w:tcPr>
            <w:tcW w:w="374" w:type="pct"/>
            <w:tcBorders>
              <w:top w:val="nil"/>
              <w:left w:val="nil"/>
              <w:bottom w:val="nil"/>
              <w:right w:val="nil"/>
            </w:tcBorders>
            <w:shd w:val="clear" w:color="000000" w:fill="FFFFFF"/>
            <w:noWrap/>
            <w:vAlign w:val="center"/>
            <w:hideMark/>
          </w:tcPr>
          <w:p w14:paraId="0CA9CC3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690C2E7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1360BA2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00D1E88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0FD2104F"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08C85FF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0A15A39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7B30A8E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14CDC45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4921D7A6" w14:textId="77777777" w:rsidTr="0041394A">
        <w:trPr>
          <w:trHeight w:val="408"/>
        </w:trPr>
        <w:tc>
          <w:tcPr>
            <w:tcW w:w="374" w:type="pct"/>
            <w:tcBorders>
              <w:top w:val="nil"/>
              <w:left w:val="nil"/>
              <w:bottom w:val="nil"/>
              <w:right w:val="nil"/>
            </w:tcBorders>
            <w:shd w:val="clear" w:color="000000" w:fill="FFFFFF"/>
            <w:noWrap/>
            <w:vAlign w:val="center"/>
            <w:hideMark/>
          </w:tcPr>
          <w:p w14:paraId="18DE0F6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47</w:t>
            </w:r>
          </w:p>
        </w:tc>
        <w:tc>
          <w:tcPr>
            <w:tcW w:w="447" w:type="pct"/>
            <w:tcBorders>
              <w:top w:val="nil"/>
              <w:left w:val="nil"/>
              <w:bottom w:val="nil"/>
              <w:right w:val="nil"/>
            </w:tcBorders>
            <w:shd w:val="clear" w:color="000000" w:fill="FFFFFF"/>
            <w:noWrap/>
            <w:vAlign w:val="center"/>
            <w:hideMark/>
          </w:tcPr>
          <w:p w14:paraId="1A01EF8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3,172</w:t>
            </w:r>
          </w:p>
        </w:tc>
        <w:tc>
          <w:tcPr>
            <w:tcW w:w="506" w:type="pct"/>
            <w:tcBorders>
              <w:top w:val="nil"/>
              <w:left w:val="nil"/>
              <w:bottom w:val="nil"/>
              <w:right w:val="nil"/>
            </w:tcBorders>
            <w:shd w:val="clear" w:color="000000" w:fill="FFFFFF"/>
            <w:noWrap/>
            <w:vAlign w:val="center"/>
            <w:hideMark/>
          </w:tcPr>
          <w:p w14:paraId="574E293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9,050</w:t>
            </w:r>
          </w:p>
        </w:tc>
        <w:tc>
          <w:tcPr>
            <w:tcW w:w="506" w:type="pct"/>
            <w:tcBorders>
              <w:top w:val="nil"/>
              <w:left w:val="nil"/>
              <w:bottom w:val="nil"/>
              <w:right w:val="nil"/>
            </w:tcBorders>
            <w:shd w:val="clear" w:color="000000" w:fill="FFFFFF"/>
            <w:noWrap/>
            <w:vAlign w:val="center"/>
            <w:hideMark/>
          </w:tcPr>
          <w:p w14:paraId="6C8F03E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12,269</w:t>
            </w:r>
          </w:p>
        </w:tc>
        <w:tc>
          <w:tcPr>
            <w:tcW w:w="1081" w:type="pct"/>
            <w:tcBorders>
              <w:top w:val="nil"/>
              <w:left w:val="nil"/>
              <w:bottom w:val="nil"/>
              <w:right w:val="nil"/>
            </w:tcBorders>
            <w:shd w:val="clear" w:color="000000" w:fill="FFFFFF"/>
            <w:vAlign w:val="center"/>
            <w:hideMark/>
          </w:tcPr>
          <w:p w14:paraId="4595C395"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Contributions from employees into the scheme</w:t>
            </w:r>
          </w:p>
        </w:tc>
        <w:tc>
          <w:tcPr>
            <w:tcW w:w="486" w:type="pct"/>
            <w:tcBorders>
              <w:top w:val="nil"/>
              <w:left w:val="nil"/>
              <w:bottom w:val="nil"/>
              <w:right w:val="nil"/>
            </w:tcBorders>
            <w:shd w:val="clear" w:color="000000" w:fill="FFFFFF"/>
            <w:noWrap/>
            <w:vAlign w:val="center"/>
            <w:hideMark/>
          </w:tcPr>
          <w:p w14:paraId="1D7CFEF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56</w:t>
            </w:r>
          </w:p>
        </w:tc>
        <w:tc>
          <w:tcPr>
            <w:tcW w:w="447" w:type="pct"/>
            <w:tcBorders>
              <w:top w:val="nil"/>
              <w:left w:val="nil"/>
              <w:bottom w:val="nil"/>
              <w:right w:val="nil"/>
            </w:tcBorders>
            <w:shd w:val="clear" w:color="000000" w:fill="FFFFFF"/>
            <w:noWrap/>
            <w:vAlign w:val="center"/>
            <w:hideMark/>
          </w:tcPr>
          <w:p w14:paraId="5F4E7A1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3,614</w:t>
            </w:r>
          </w:p>
        </w:tc>
        <w:tc>
          <w:tcPr>
            <w:tcW w:w="614" w:type="pct"/>
            <w:tcBorders>
              <w:top w:val="nil"/>
              <w:left w:val="nil"/>
              <w:bottom w:val="nil"/>
              <w:right w:val="nil"/>
            </w:tcBorders>
            <w:shd w:val="clear" w:color="000000" w:fill="FFFFFF"/>
            <w:noWrap/>
            <w:vAlign w:val="center"/>
            <w:hideMark/>
          </w:tcPr>
          <w:p w14:paraId="60AF745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9,760</w:t>
            </w:r>
          </w:p>
        </w:tc>
        <w:tc>
          <w:tcPr>
            <w:tcW w:w="538" w:type="pct"/>
            <w:tcBorders>
              <w:top w:val="nil"/>
              <w:left w:val="nil"/>
              <w:bottom w:val="nil"/>
              <w:right w:val="nil"/>
            </w:tcBorders>
            <w:shd w:val="clear" w:color="000000" w:fill="FFFFFF"/>
            <w:noWrap/>
            <w:vAlign w:val="center"/>
            <w:hideMark/>
          </w:tcPr>
          <w:p w14:paraId="460F043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13,430</w:t>
            </w:r>
          </w:p>
        </w:tc>
      </w:tr>
      <w:tr w:rsidR="0065570A" w:rsidRPr="0065570A" w14:paraId="4CCCB40E" w14:textId="77777777" w:rsidTr="0041394A">
        <w:trPr>
          <w:trHeight w:val="204"/>
        </w:trPr>
        <w:tc>
          <w:tcPr>
            <w:tcW w:w="374" w:type="pct"/>
            <w:tcBorders>
              <w:top w:val="nil"/>
              <w:left w:val="nil"/>
              <w:bottom w:val="nil"/>
              <w:right w:val="nil"/>
            </w:tcBorders>
            <w:shd w:val="clear" w:color="000000" w:fill="FFFFFF"/>
            <w:noWrap/>
            <w:vAlign w:val="center"/>
            <w:hideMark/>
          </w:tcPr>
          <w:p w14:paraId="325AC61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5F6DF81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18D413E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1B0C549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43151BBD"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1BD5EC1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78CE09C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135B4EE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30EE9B6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63F4CB13" w14:textId="77777777" w:rsidTr="0041394A">
        <w:trPr>
          <w:trHeight w:val="288"/>
        </w:trPr>
        <w:tc>
          <w:tcPr>
            <w:tcW w:w="374" w:type="pct"/>
            <w:tcBorders>
              <w:top w:val="nil"/>
              <w:left w:val="nil"/>
              <w:bottom w:val="nil"/>
              <w:right w:val="nil"/>
            </w:tcBorders>
            <w:shd w:val="clear" w:color="000000" w:fill="FFFFFF"/>
            <w:noWrap/>
            <w:vAlign w:val="bottom"/>
            <w:hideMark/>
          </w:tcPr>
          <w:p w14:paraId="64245DAB"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447" w:type="pct"/>
            <w:tcBorders>
              <w:top w:val="nil"/>
              <w:left w:val="nil"/>
              <w:bottom w:val="nil"/>
              <w:right w:val="nil"/>
            </w:tcBorders>
            <w:shd w:val="clear" w:color="000000" w:fill="FFFFFF"/>
            <w:noWrap/>
            <w:vAlign w:val="bottom"/>
            <w:hideMark/>
          </w:tcPr>
          <w:p w14:paraId="622A4821"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06" w:type="pct"/>
            <w:tcBorders>
              <w:top w:val="nil"/>
              <w:left w:val="nil"/>
              <w:bottom w:val="nil"/>
              <w:right w:val="nil"/>
            </w:tcBorders>
            <w:shd w:val="clear" w:color="000000" w:fill="FFFFFF"/>
            <w:noWrap/>
            <w:vAlign w:val="center"/>
            <w:hideMark/>
          </w:tcPr>
          <w:p w14:paraId="0B1E001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460</w:t>
            </w:r>
          </w:p>
        </w:tc>
        <w:tc>
          <w:tcPr>
            <w:tcW w:w="506" w:type="pct"/>
            <w:tcBorders>
              <w:top w:val="nil"/>
              <w:left w:val="nil"/>
              <w:bottom w:val="nil"/>
              <w:right w:val="nil"/>
            </w:tcBorders>
            <w:shd w:val="clear" w:color="000000" w:fill="FFFFFF"/>
            <w:noWrap/>
            <w:vAlign w:val="center"/>
            <w:hideMark/>
          </w:tcPr>
          <w:p w14:paraId="18F7487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460</w:t>
            </w:r>
          </w:p>
        </w:tc>
        <w:tc>
          <w:tcPr>
            <w:tcW w:w="1081" w:type="pct"/>
            <w:tcBorders>
              <w:top w:val="nil"/>
              <w:left w:val="nil"/>
              <w:bottom w:val="nil"/>
              <w:right w:val="nil"/>
            </w:tcBorders>
            <w:shd w:val="clear" w:color="000000" w:fill="FFFFFF"/>
            <w:vAlign w:val="bottom"/>
            <w:hideMark/>
          </w:tcPr>
          <w:p w14:paraId="61A45865"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Transfers in</w:t>
            </w:r>
          </w:p>
        </w:tc>
        <w:tc>
          <w:tcPr>
            <w:tcW w:w="486" w:type="pct"/>
            <w:tcBorders>
              <w:top w:val="nil"/>
              <w:left w:val="nil"/>
              <w:bottom w:val="nil"/>
              <w:right w:val="nil"/>
            </w:tcBorders>
            <w:shd w:val="clear" w:color="000000" w:fill="FFFFFF"/>
            <w:noWrap/>
            <w:vAlign w:val="bottom"/>
            <w:hideMark/>
          </w:tcPr>
          <w:p w14:paraId="78DFFFFE"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447" w:type="pct"/>
            <w:tcBorders>
              <w:top w:val="nil"/>
              <w:left w:val="nil"/>
              <w:bottom w:val="nil"/>
              <w:right w:val="nil"/>
            </w:tcBorders>
            <w:shd w:val="clear" w:color="000000" w:fill="FFFFFF"/>
            <w:noWrap/>
            <w:vAlign w:val="bottom"/>
            <w:hideMark/>
          </w:tcPr>
          <w:p w14:paraId="446CA34B"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614" w:type="pct"/>
            <w:tcBorders>
              <w:top w:val="nil"/>
              <w:left w:val="nil"/>
              <w:bottom w:val="nil"/>
              <w:right w:val="nil"/>
            </w:tcBorders>
            <w:shd w:val="clear" w:color="000000" w:fill="FFFFFF"/>
            <w:noWrap/>
            <w:vAlign w:val="center"/>
            <w:hideMark/>
          </w:tcPr>
          <w:p w14:paraId="16C13D01" w14:textId="6CA6483A" w:rsidR="0065570A" w:rsidRPr="0065570A" w:rsidRDefault="00ED58B2" w:rsidP="0065570A">
            <w:pPr>
              <w:ind w:firstLineChars="100" w:firstLine="160"/>
              <w:jc w:val="right"/>
              <w:rPr>
                <w:rFonts w:eastAsia="Times New Roman" w:cs="Calibri"/>
                <w:color w:val="000000"/>
                <w:sz w:val="16"/>
                <w:szCs w:val="16"/>
                <w:lang w:val="en-GB" w:eastAsia="en-GB"/>
              </w:rPr>
            </w:pPr>
            <w:r>
              <w:rPr>
                <w:rFonts w:eastAsia="Times New Roman" w:cs="Calibri"/>
                <w:color w:val="000000"/>
                <w:sz w:val="16"/>
                <w:szCs w:val="16"/>
                <w:lang w:val="en-GB" w:eastAsia="en-GB"/>
              </w:rPr>
              <w:t>280</w:t>
            </w:r>
          </w:p>
        </w:tc>
        <w:tc>
          <w:tcPr>
            <w:tcW w:w="538" w:type="pct"/>
            <w:tcBorders>
              <w:top w:val="nil"/>
              <w:left w:val="nil"/>
              <w:bottom w:val="nil"/>
              <w:right w:val="nil"/>
            </w:tcBorders>
            <w:shd w:val="clear" w:color="000000" w:fill="FFFFFF"/>
            <w:noWrap/>
            <w:vAlign w:val="center"/>
            <w:hideMark/>
          </w:tcPr>
          <w:p w14:paraId="0E4E1127" w14:textId="422DDA2C" w:rsidR="0065570A" w:rsidRPr="0065570A" w:rsidRDefault="00ED58B2" w:rsidP="0065570A">
            <w:pPr>
              <w:ind w:firstLineChars="100" w:firstLine="160"/>
              <w:jc w:val="right"/>
              <w:rPr>
                <w:rFonts w:eastAsia="Times New Roman" w:cs="Calibri"/>
                <w:color w:val="000000"/>
                <w:sz w:val="16"/>
                <w:szCs w:val="16"/>
                <w:lang w:val="en-GB" w:eastAsia="en-GB"/>
              </w:rPr>
            </w:pPr>
            <w:r>
              <w:rPr>
                <w:rFonts w:eastAsia="Times New Roman" w:cs="Calibri"/>
                <w:color w:val="000000"/>
                <w:sz w:val="16"/>
                <w:szCs w:val="16"/>
                <w:lang w:val="en-GB" w:eastAsia="en-GB"/>
              </w:rPr>
              <w:t>280</w:t>
            </w:r>
          </w:p>
        </w:tc>
      </w:tr>
      <w:tr w:rsidR="0065570A" w:rsidRPr="0065570A" w14:paraId="6B053BF0" w14:textId="77777777" w:rsidTr="0041394A">
        <w:trPr>
          <w:trHeight w:val="204"/>
        </w:trPr>
        <w:tc>
          <w:tcPr>
            <w:tcW w:w="374" w:type="pct"/>
            <w:tcBorders>
              <w:top w:val="nil"/>
              <w:left w:val="nil"/>
              <w:bottom w:val="nil"/>
              <w:right w:val="nil"/>
            </w:tcBorders>
            <w:shd w:val="clear" w:color="000000" w:fill="FFFFFF"/>
            <w:noWrap/>
            <w:vAlign w:val="center"/>
            <w:hideMark/>
          </w:tcPr>
          <w:p w14:paraId="411F83C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7110188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1189D0B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6F18655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15F41C7D"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50F59A4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792CC92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462E70F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7EB1187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212B4F78" w14:textId="77777777" w:rsidTr="0041394A">
        <w:trPr>
          <w:trHeight w:val="204"/>
        </w:trPr>
        <w:tc>
          <w:tcPr>
            <w:tcW w:w="374" w:type="pct"/>
            <w:tcBorders>
              <w:top w:val="nil"/>
              <w:left w:val="nil"/>
              <w:bottom w:val="nil"/>
              <w:right w:val="nil"/>
            </w:tcBorders>
            <w:shd w:val="clear" w:color="000000" w:fill="FFFFFF"/>
            <w:noWrap/>
            <w:vAlign w:val="center"/>
            <w:hideMark/>
          </w:tcPr>
          <w:p w14:paraId="42D95FC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(110)</w:t>
            </w:r>
          </w:p>
        </w:tc>
        <w:tc>
          <w:tcPr>
            <w:tcW w:w="447" w:type="pct"/>
            <w:tcBorders>
              <w:top w:val="nil"/>
              <w:left w:val="nil"/>
              <w:bottom w:val="nil"/>
              <w:right w:val="nil"/>
            </w:tcBorders>
            <w:shd w:val="clear" w:color="000000" w:fill="FFFFFF"/>
            <w:noWrap/>
            <w:vAlign w:val="center"/>
            <w:hideMark/>
          </w:tcPr>
          <w:p w14:paraId="283CE77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(7,376)</w:t>
            </w:r>
          </w:p>
        </w:tc>
        <w:tc>
          <w:tcPr>
            <w:tcW w:w="506" w:type="pct"/>
            <w:tcBorders>
              <w:top w:val="nil"/>
              <w:left w:val="nil"/>
              <w:bottom w:val="nil"/>
              <w:right w:val="nil"/>
            </w:tcBorders>
            <w:shd w:val="clear" w:color="000000" w:fill="FFFFFF"/>
            <w:noWrap/>
            <w:vAlign w:val="center"/>
            <w:hideMark/>
          </w:tcPr>
          <w:p w14:paraId="43883EE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(50,080)</w:t>
            </w:r>
          </w:p>
        </w:tc>
        <w:tc>
          <w:tcPr>
            <w:tcW w:w="506" w:type="pct"/>
            <w:tcBorders>
              <w:top w:val="nil"/>
              <w:left w:val="nil"/>
              <w:bottom w:val="nil"/>
              <w:right w:val="nil"/>
            </w:tcBorders>
            <w:shd w:val="clear" w:color="000000" w:fill="FFFFFF"/>
            <w:noWrap/>
            <w:vAlign w:val="center"/>
            <w:hideMark/>
          </w:tcPr>
          <w:p w14:paraId="5CE1339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(57,566)</w:t>
            </w:r>
          </w:p>
        </w:tc>
        <w:tc>
          <w:tcPr>
            <w:tcW w:w="1081" w:type="pct"/>
            <w:tcBorders>
              <w:top w:val="nil"/>
              <w:left w:val="nil"/>
              <w:bottom w:val="nil"/>
              <w:right w:val="nil"/>
            </w:tcBorders>
            <w:shd w:val="clear" w:color="000000" w:fill="FFFFFF"/>
            <w:noWrap/>
            <w:vAlign w:val="center"/>
            <w:hideMark/>
          </w:tcPr>
          <w:p w14:paraId="46856A12"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Fair value of plan assets</w:t>
            </w:r>
          </w:p>
        </w:tc>
        <w:tc>
          <w:tcPr>
            <w:tcW w:w="486" w:type="pct"/>
            <w:tcBorders>
              <w:top w:val="nil"/>
              <w:left w:val="nil"/>
              <w:bottom w:val="nil"/>
              <w:right w:val="nil"/>
            </w:tcBorders>
            <w:shd w:val="clear" w:color="000000" w:fill="FFFFFF"/>
            <w:noWrap/>
            <w:vAlign w:val="center"/>
            <w:hideMark/>
          </w:tcPr>
          <w:p w14:paraId="0743073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(44)</w:t>
            </w:r>
          </w:p>
        </w:tc>
        <w:tc>
          <w:tcPr>
            <w:tcW w:w="447" w:type="pct"/>
            <w:tcBorders>
              <w:top w:val="nil"/>
              <w:left w:val="nil"/>
              <w:bottom w:val="nil"/>
              <w:right w:val="nil"/>
            </w:tcBorders>
            <w:shd w:val="clear" w:color="000000" w:fill="FFFFFF"/>
            <w:noWrap/>
            <w:vAlign w:val="center"/>
            <w:hideMark/>
          </w:tcPr>
          <w:p w14:paraId="31777D54" w14:textId="7417A29F"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(6,9</w:t>
            </w:r>
            <w:r w:rsidR="00ED58B2">
              <w:rPr>
                <w:rFonts w:eastAsia="Times New Roman" w:cs="Calibri"/>
                <w:color w:val="000000"/>
                <w:sz w:val="16"/>
                <w:szCs w:val="16"/>
                <w:lang w:val="en-GB" w:eastAsia="en-GB"/>
              </w:rPr>
              <w:t>68</w:t>
            </w:r>
            <w:r w:rsidRPr="0065570A">
              <w:rPr>
                <w:rFonts w:eastAsia="Times New Roman" w:cs="Calibri"/>
                <w:color w:val="000000"/>
                <w:sz w:val="16"/>
                <w:szCs w:val="16"/>
                <w:lang w:val="en-GB" w:eastAsia="en-GB"/>
              </w:rPr>
              <w:t>)</w:t>
            </w:r>
          </w:p>
        </w:tc>
        <w:tc>
          <w:tcPr>
            <w:tcW w:w="614" w:type="pct"/>
            <w:tcBorders>
              <w:top w:val="nil"/>
              <w:left w:val="nil"/>
              <w:bottom w:val="nil"/>
              <w:right w:val="nil"/>
            </w:tcBorders>
            <w:shd w:val="clear" w:color="000000" w:fill="FFFFFF"/>
            <w:noWrap/>
            <w:vAlign w:val="center"/>
            <w:hideMark/>
          </w:tcPr>
          <w:p w14:paraId="500FBE88" w14:textId="49C6A965"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w:t>
            </w:r>
            <w:r w:rsidR="00ED58B2">
              <w:rPr>
                <w:rFonts w:eastAsia="Times New Roman" w:cs="Calibri"/>
                <w:color w:val="000000"/>
                <w:sz w:val="16"/>
                <w:szCs w:val="16"/>
                <w:lang w:val="en-GB" w:eastAsia="en-GB"/>
              </w:rPr>
              <w:t>48,400</w:t>
            </w:r>
            <w:r w:rsidRPr="0065570A">
              <w:rPr>
                <w:rFonts w:eastAsia="Times New Roman" w:cs="Calibri"/>
                <w:color w:val="000000"/>
                <w:sz w:val="16"/>
                <w:szCs w:val="16"/>
                <w:lang w:val="en-GB" w:eastAsia="en-GB"/>
              </w:rPr>
              <w:t>)</w:t>
            </w:r>
          </w:p>
        </w:tc>
        <w:tc>
          <w:tcPr>
            <w:tcW w:w="538" w:type="pct"/>
            <w:tcBorders>
              <w:top w:val="nil"/>
              <w:left w:val="nil"/>
              <w:bottom w:val="nil"/>
              <w:right w:val="nil"/>
            </w:tcBorders>
            <w:shd w:val="clear" w:color="000000" w:fill="FFFFFF"/>
            <w:noWrap/>
            <w:vAlign w:val="center"/>
            <w:hideMark/>
          </w:tcPr>
          <w:p w14:paraId="070D3808" w14:textId="655D5670"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w:t>
            </w:r>
            <w:r w:rsidR="00ED58B2">
              <w:rPr>
                <w:rFonts w:eastAsia="Times New Roman" w:cs="Calibri"/>
                <w:color w:val="000000"/>
                <w:sz w:val="16"/>
                <w:szCs w:val="16"/>
                <w:lang w:val="en-GB" w:eastAsia="en-GB"/>
              </w:rPr>
              <w:t>5,412</w:t>
            </w:r>
            <w:r w:rsidRPr="0065570A">
              <w:rPr>
                <w:rFonts w:eastAsia="Times New Roman" w:cs="Calibri"/>
                <w:color w:val="000000"/>
                <w:sz w:val="16"/>
                <w:szCs w:val="16"/>
                <w:lang w:val="en-GB" w:eastAsia="en-GB"/>
              </w:rPr>
              <w:t>)</w:t>
            </w:r>
          </w:p>
        </w:tc>
      </w:tr>
      <w:tr w:rsidR="0065570A" w:rsidRPr="0065570A" w14:paraId="05822C70" w14:textId="77777777" w:rsidTr="0041394A">
        <w:trPr>
          <w:trHeight w:val="204"/>
        </w:trPr>
        <w:tc>
          <w:tcPr>
            <w:tcW w:w="374" w:type="pct"/>
            <w:tcBorders>
              <w:top w:val="nil"/>
              <w:left w:val="nil"/>
              <w:bottom w:val="nil"/>
              <w:right w:val="nil"/>
            </w:tcBorders>
            <w:shd w:val="clear" w:color="000000" w:fill="FFFFFF"/>
            <w:noWrap/>
            <w:vAlign w:val="center"/>
            <w:hideMark/>
          </w:tcPr>
          <w:p w14:paraId="159469C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79AB30E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377F71B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2F3B7AD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17E44467"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2B20E30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27B28BE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07AE59F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46BE16E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38C50F4E" w14:textId="77777777" w:rsidTr="0041394A">
        <w:trPr>
          <w:trHeight w:val="64"/>
        </w:trPr>
        <w:tc>
          <w:tcPr>
            <w:tcW w:w="374" w:type="pct"/>
            <w:tcBorders>
              <w:top w:val="single" w:sz="4" w:space="0" w:color="auto"/>
              <w:left w:val="nil"/>
              <w:bottom w:val="single" w:sz="8" w:space="0" w:color="auto"/>
              <w:right w:val="nil"/>
            </w:tcBorders>
            <w:shd w:val="clear" w:color="000000" w:fill="FFFFFF"/>
            <w:noWrap/>
            <w:vAlign w:val="center"/>
            <w:hideMark/>
          </w:tcPr>
          <w:p w14:paraId="6DEF69D9"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2,569</w:t>
            </w:r>
          </w:p>
        </w:tc>
        <w:tc>
          <w:tcPr>
            <w:tcW w:w="447" w:type="pct"/>
            <w:tcBorders>
              <w:top w:val="single" w:sz="4" w:space="0" w:color="auto"/>
              <w:left w:val="nil"/>
              <w:bottom w:val="single" w:sz="8" w:space="0" w:color="auto"/>
              <w:right w:val="nil"/>
            </w:tcBorders>
            <w:shd w:val="clear" w:color="000000" w:fill="FFFFFF"/>
            <w:noWrap/>
            <w:vAlign w:val="center"/>
            <w:hideMark/>
          </w:tcPr>
          <w:p w14:paraId="14BCADA2"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272,577</w:t>
            </w:r>
          </w:p>
        </w:tc>
        <w:tc>
          <w:tcPr>
            <w:tcW w:w="506" w:type="pct"/>
            <w:tcBorders>
              <w:top w:val="single" w:sz="4" w:space="0" w:color="auto"/>
              <w:left w:val="nil"/>
              <w:bottom w:val="single" w:sz="8" w:space="0" w:color="auto"/>
              <w:right w:val="nil"/>
            </w:tcBorders>
            <w:shd w:val="clear" w:color="000000" w:fill="FFFFFF"/>
            <w:noWrap/>
            <w:vAlign w:val="center"/>
            <w:hideMark/>
          </w:tcPr>
          <w:p w14:paraId="255DE6D0"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w:t>
            </w:r>
          </w:p>
        </w:tc>
        <w:tc>
          <w:tcPr>
            <w:tcW w:w="506" w:type="pct"/>
            <w:tcBorders>
              <w:top w:val="single" w:sz="4" w:space="0" w:color="auto"/>
              <w:left w:val="nil"/>
              <w:bottom w:val="single" w:sz="8" w:space="0" w:color="auto"/>
              <w:right w:val="nil"/>
            </w:tcBorders>
            <w:shd w:val="clear" w:color="000000" w:fill="FFFFFF"/>
            <w:noWrap/>
            <w:vAlign w:val="center"/>
            <w:hideMark/>
          </w:tcPr>
          <w:p w14:paraId="1E6C6D91"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275,146</w:t>
            </w:r>
          </w:p>
        </w:tc>
        <w:tc>
          <w:tcPr>
            <w:tcW w:w="1081" w:type="pct"/>
            <w:tcBorders>
              <w:top w:val="single" w:sz="4" w:space="0" w:color="auto"/>
              <w:left w:val="nil"/>
              <w:bottom w:val="single" w:sz="8" w:space="0" w:color="auto"/>
              <w:right w:val="nil"/>
            </w:tcBorders>
            <w:shd w:val="clear" w:color="000000" w:fill="FFFFFF"/>
            <w:vAlign w:val="center"/>
            <w:hideMark/>
          </w:tcPr>
          <w:p w14:paraId="40B40966" w14:textId="77777777" w:rsidR="0065570A" w:rsidRPr="0065570A" w:rsidRDefault="0065570A" w:rsidP="0065570A">
            <w:pPr>
              <w:ind w:firstLineChars="100" w:firstLine="161"/>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Net (liability) / asset arising from the defined benefit obligation</w:t>
            </w:r>
          </w:p>
        </w:tc>
        <w:tc>
          <w:tcPr>
            <w:tcW w:w="486" w:type="pct"/>
            <w:tcBorders>
              <w:top w:val="single" w:sz="4" w:space="0" w:color="auto"/>
              <w:left w:val="nil"/>
              <w:bottom w:val="single" w:sz="8" w:space="0" w:color="auto"/>
              <w:right w:val="nil"/>
            </w:tcBorders>
            <w:shd w:val="clear" w:color="000000" w:fill="FFFFFF"/>
            <w:noWrap/>
            <w:vAlign w:val="center"/>
            <w:hideMark/>
          </w:tcPr>
          <w:p w14:paraId="55D970F6"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3,442</w:t>
            </w:r>
          </w:p>
        </w:tc>
        <w:tc>
          <w:tcPr>
            <w:tcW w:w="447" w:type="pct"/>
            <w:tcBorders>
              <w:top w:val="single" w:sz="4" w:space="0" w:color="auto"/>
              <w:left w:val="nil"/>
              <w:bottom w:val="single" w:sz="8" w:space="0" w:color="auto"/>
              <w:right w:val="nil"/>
            </w:tcBorders>
            <w:shd w:val="clear" w:color="000000" w:fill="FFFFFF"/>
            <w:noWrap/>
            <w:vAlign w:val="center"/>
            <w:hideMark/>
          </w:tcPr>
          <w:p w14:paraId="11CF5E38"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358,772</w:t>
            </w:r>
          </w:p>
        </w:tc>
        <w:tc>
          <w:tcPr>
            <w:tcW w:w="614" w:type="pct"/>
            <w:tcBorders>
              <w:top w:val="single" w:sz="4" w:space="0" w:color="auto"/>
              <w:left w:val="nil"/>
              <w:bottom w:val="single" w:sz="8" w:space="0" w:color="auto"/>
              <w:right w:val="nil"/>
            </w:tcBorders>
            <w:shd w:val="clear" w:color="000000" w:fill="FFFFFF"/>
            <w:noWrap/>
            <w:vAlign w:val="center"/>
            <w:hideMark/>
          </w:tcPr>
          <w:p w14:paraId="5B5E3D72"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w:t>
            </w:r>
          </w:p>
        </w:tc>
        <w:tc>
          <w:tcPr>
            <w:tcW w:w="538" w:type="pct"/>
            <w:tcBorders>
              <w:top w:val="single" w:sz="4" w:space="0" w:color="auto"/>
              <w:left w:val="nil"/>
              <w:bottom w:val="single" w:sz="8" w:space="0" w:color="auto"/>
              <w:right w:val="nil"/>
            </w:tcBorders>
            <w:shd w:val="clear" w:color="000000" w:fill="FFFFFF"/>
            <w:noWrap/>
            <w:vAlign w:val="center"/>
            <w:hideMark/>
          </w:tcPr>
          <w:p w14:paraId="4968139B"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362,214</w:t>
            </w:r>
          </w:p>
        </w:tc>
      </w:tr>
      <w:tr w:rsidR="0065570A" w:rsidRPr="0065570A" w14:paraId="2F773FEC" w14:textId="77777777" w:rsidTr="0041394A">
        <w:trPr>
          <w:trHeight w:val="288"/>
        </w:trPr>
        <w:tc>
          <w:tcPr>
            <w:tcW w:w="374" w:type="pct"/>
            <w:tcBorders>
              <w:top w:val="nil"/>
              <w:left w:val="nil"/>
              <w:bottom w:val="nil"/>
              <w:right w:val="nil"/>
            </w:tcBorders>
            <w:shd w:val="clear" w:color="000000" w:fill="FFFFFF"/>
            <w:noWrap/>
            <w:vAlign w:val="bottom"/>
            <w:hideMark/>
          </w:tcPr>
          <w:p w14:paraId="7AE8EFAF"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447" w:type="pct"/>
            <w:tcBorders>
              <w:top w:val="nil"/>
              <w:left w:val="nil"/>
              <w:bottom w:val="nil"/>
              <w:right w:val="nil"/>
            </w:tcBorders>
            <w:shd w:val="clear" w:color="000000" w:fill="FFFFFF"/>
            <w:noWrap/>
            <w:vAlign w:val="bottom"/>
            <w:hideMark/>
          </w:tcPr>
          <w:p w14:paraId="5540104C"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506" w:type="pct"/>
            <w:tcBorders>
              <w:top w:val="nil"/>
              <w:left w:val="nil"/>
              <w:bottom w:val="nil"/>
              <w:right w:val="nil"/>
            </w:tcBorders>
            <w:shd w:val="clear" w:color="000000" w:fill="FFFFFF"/>
            <w:noWrap/>
            <w:vAlign w:val="bottom"/>
            <w:hideMark/>
          </w:tcPr>
          <w:p w14:paraId="15BE1A0A"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506" w:type="pct"/>
            <w:tcBorders>
              <w:top w:val="nil"/>
              <w:left w:val="nil"/>
              <w:bottom w:val="nil"/>
              <w:right w:val="nil"/>
            </w:tcBorders>
            <w:shd w:val="clear" w:color="000000" w:fill="FFFFFF"/>
            <w:noWrap/>
            <w:vAlign w:val="bottom"/>
            <w:hideMark/>
          </w:tcPr>
          <w:p w14:paraId="38F9B0B9"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1081" w:type="pct"/>
            <w:tcBorders>
              <w:top w:val="nil"/>
              <w:left w:val="nil"/>
              <w:bottom w:val="nil"/>
              <w:right w:val="nil"/>
            </w:tcBorders>
            <w:shd w:val="clear" w:color="000000" w:fill="FFFFFF"/>
            <w:noWrap/>
            <w:vAlign w:val="bottom"/>
            <w:hideMark/>
          </w:tcPr>
          <w:p w14:paraId="076A6934" w14:textId="77777777" w:rsid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p w14:paraId="1852925C" w14:textId="77777777" w:rsidR="003D06C5" w:rsidRDefault="003D06C5" w:rsidP="0065570A">
            <w:pPr>
              <w:rPr>
                <w:rFonts w:ascii="Calibri" w:eastAsia="Times New Roman" w:hAnsi="Calibri" w:cs="Calibri"/>
                <w:color w:val="000000"/>
                <w:lang w:val="en-GB" w:eastAsia="en-GB"/>
              </w:rPr>
            </w:pPr>
          </w:p>
          <w:p w14:paraId="32C59C2E" w14:textId="77777777" w:rsidR="003D06C5" w:rsidRDefault="003D06C5" w:rsidP="0065570A">
            <w:pPr>
              <w:rPr>
                <w:rFonts w:ascii="Calibri" w:eastAsia="Times New Roman" w:hAnsi="Calibri" w:cs="Calibri"/>
                <w:color w:val="000000"/>
                <w:lang w:val="en-GB" w:eastAsia="en-GB"/>
              </w:rPr>
            </w:pPr>
          </w:p>
          <w:p w14:paraId="6205527F" w14:textId="77777777" w:rsidR="003D06C5" w:rsidRDefault="003D06C5" w:rsidP="0065570A">
            <w:pPr>
              <w:rPr>
                <w:rFonts w:ascii="Calibri" w:eastAsia="Times New Roman" w:hAnsi="Calibri" w:cs="Calibri"/>
                <w:color w:val="000000"/>
                <w:lang w:val="en-GB" w:eastAsia="en-GB"/>
              </w:rPr>
            </w:pPr>
          </w:p>
          <w:p w14:paraId="013ABE6A" w14:textId="77777777" w:rsidR="003D06C5" w:rsidRDefault="003D06C5" w:rsidP="0065570A">
            <w:pPr>
              <w:rPr>
                <w:rFonts w:ascii="Calibri" w:eastAsia="Times New Roman" w:hAnsi="Calibri" w:cs="Calibri"/>
                <w:color w:val="000000"/>
                <w:lang w:val="en-GB" w:eastAsia="en-GB"/>
              </w:rPr>
            </w:pPr>
          </w:p>
          <w:p w14:paraId="45A787AE" w14:textId="77777777" w:rsidR="003D06C5" w:rsidRDefault="003D06C5" w:rsidP="0065570A">
            <w:pPr>
              <w:rPr>
                <w:rFonts w:ascii="Calibri" w:eastAsia="Times New Roman" w:hAnsi="Calibri" w:cs="Calibri"/>
                <w:color w:val="000000"/>
                <w:lang w:val="en-GB" w:eastAsia="en-GB"/>
              </w:rPr>
            </w:pPr>
          </w:p>
          <w:p w14:paraId="5DFD80CC" w14:textId="77777777" w:rsidR="003D06C5" w:rsidRPr="0065570A" w:rsidRDefault="003D06C5" w:rsidP="0065570A">
            <w:pPr>
              <w:rPr>
                <w:rFonts w:ascii="Calibri" w:eastAsia="Times New Roman" w:hAnsi="Calibri" w:cs="Calibri"/>
                <w:color w:val="000000"/>
                <w:lang w:val="en-GB" w:eastAsia="en-GB"/>
              </w:rPr>
            </w:pPr>
          </w:p>
        </w:tc>
        <w:tc>
          <w:tcPr>
            <w:tcW w:w="486" w:type="pct"/>
            <w:tcBorders>
              <w:top w:val="nil"/>
              <w:left w:val="nil"/>
              <w:bottom w:val="nil"/>
              <w:right w:val="nil"/>
            </w:tcBorders>
            <w:shd w:val="clear" w:color="000000" w:fill="FFFFFF"/>
            <w:noWrap/>
            <w:vAlign w:val="bottom"/>
            <w:hideMark/>
          </w:tcPr>
          <w:p w14:paraId="6142F8E9"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447" w:type="pct"/>
            <w:tcBorders>
              <w:top w:val="nil"/>
              <w:left w:val="nil"/>
              <w:bottom w:val="nil"/>
              <w:right w:val="nil"/>
            </w:tcBorders>
            <w:shd w:val="clear" w:color="000000" w:fill="FFFFFF"/>
            <w:noWrap/>
            <w:vAlign w:val="bottom"/>
            <w:hideMark/>
          </w:tcPr>
          <w:p w14:paraId="6153E493"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614" w:type="pct"/>
            <w:tcBorders>
              <w:top w:val="nil"/>
              <w:left w:val="nil"/>
              <w:bottom w:val="nil"/>
              <w:right w:val="nil"/>
            </w:tcBorders>
            <w:shd w:val="clear" w:color="000000" w:fill="FFFFFF"/>
            <w:noWrap/>
            <w:vAlign w:val="bottom"/>
            <w:hideMark/>
          </w:tcPr>
          <w:p w14:paraId="6A74C4C0"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c>
          <w:tcPr>
            <w:tcW w:w="538" w:type="pct"/>
            <w:tcBorders>
              <w:top w:val="nil"/>
              <w:left w:val="nil"/>
              <w:bottom w:val="nil"/>
              <w:right w:val="nil"/>
            </w:tcBorders>
            <w:shd w:val="clear" w:color="000000" w:fill="FFFFFF"/>
            <w:noWrap/>
            <w:vAlign w:val="bottom"/>
            <w:hideMark/>
          </w:tcPr>
          <w:p w14:paraId="1CACE26D" w14:textId="77777777" w:rsidR="0065570A" w:rsidRPr="0065570A" w:rsidRDefault="0065570A" w:rsidP="0065570A">
            <w:pPr>
              <w:rPr>
                <w:rFonts w:ascii="Calibri" w:eastAsia="Times New Roman" w:hAnsi="Calibri" w:cs="Calibri"/>
                <w:color w:val="000000"/>
                <w:lang w:val="en-GB" w:eastAsia="en-GB"/>
              </w:rPr>
            </w:pPr>
            <w:r w:rsidRPr="0065570A">
              <w:rPr>
                <w:rFonts w:ascii="Calibri" w:eastAsia="Times New Roman" w:hAnsi="Calibri" w:cs="Calibri"/>
                <w:color w:val="000000"/>
                <w:lang w:val="en-GB" w:eastAsia="en-GB"/>
              </w:rPr>
              <w:t> </w:t>
            </w:r>
          </w:p>
        </w:tc>
      </w:tr>
      <w:tr w:rsidR="0065570A" w:rsidRPr="0065570A" w14:paraId="7B787B58" w14:textId="77777777" w:rsidTr="0041394A">
        <w:trPr>
          <w:trHeight w:val="408"/>
        </w:trPr>
        <w:tc>
          <w:tcPr>
            <w:tcW w:w="1833" w:type="pct"/>
            <w:gridSpan w:val="4"/>
            <w:tcBorders>
              <w:top w:val="nil"/>
              <w:left w:val="nil"/>
              <w:bottom w:val="nil"/>
              <w:right w:val="nil"/>
            </w:tcBorders>
            <w:shd w:val="clear" w:color="000000" w:fill="FFFFFF"/>
            <w:noWrap/>
            <w:vAlign w:val="center"/>
            <w:hideMark/>
          </w:tcPr>
          <w:p w14:paraId="0CDC0FCA"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2019/20</w:t>
            </w:r>
          </w:p>
        </w:tc>
        <w:tc>
          <w:tcPr>
            <w:tcW w:w="1081" w:type="pct"/>
            <w:tcBorders>
              <w:top w:val="nil"/>
              <w:left w:val="nil"/>
              <w:bottom w:val="nil"/>
              <w:right w:val="nil"/>
            </w:tcBorders>
            <w:shd w:val="clear" w:color="000000" w:fill="FFFFFF"/>
            <w:vAlign w:val="center"/>
            <w:hideMark/>
          </w:tcPr>
          <w:p w14:paraId="71565DB2" w14:textId="77777777" w:rsidR="0065570A" w:rsidRPr="0065570A" w:rsidRDefault="0065570A" w:rsidP="0065570A">
            <w:pPr>
              <w:ind w:firstLineChars="100" w:firstLine="161"/>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Movements in the Value of Scheme Liabilities</w:t>
            </w:r>
          </w:p>
        </w:tc>
        <w:tc>
          <w:tcPr>
            <w:tcW w:w="2086" w:type="pct"/>
            <w:gridSpan w:val="4"/>
            <w:tcBorders>
              <w:top w:val="nil"/>
              <w:left w:val="nil"/>
              <w:bottom w:val="nil"/>
              <w:right w:val="nil"/>
            </w:tcBorders>
            <w:shd w:val="clear" w:color="000000" w:fill="FFFFFF"/>
            <w:noWrap/>
            <w:vAlign w:val="center"/>
            <w:hideMark/>
          </w:tcPr>
          <w:p w14:paraId="1955610A"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2020/21</w:t>
            </w:r>
          </w:p>
        </w:tc>
      </w:tr>
      <w:tr w:rsidR="0065570A" w:rsidRPr="0065570A" w14:paraId="7BE3498D" w14:textId="77777777" w:rsidTr="0041394A">
        <w:trPr>
          <w:trHeight w:val="204"/>
        </w:trPr>
        <w:tc>
          <w:tcPr>
            <w:tcW w:w="374" w:type="pct"/>
            <w:tcBorders>
              <w:top w:val="nil"/>
              <w:left w:val="nil"/>
              <w:bottom w:val="nil"/>
              <w:right w:val="nil"/>
            </w:tcBorders>
            <w:shd w:val="clear" w:color="000000" w:fill="FFFFFF"/>
            <w:noWrap/>
            <w:vAlign w:val="center"/>
            <w:hideMark/>
          </w:tcPr>
          <w:p w14:paraId="5820E072"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PCC LGPS </w:t>
            </w:r>
          </w:p>
        </w:tc>
        <w:tc>
          <w:tcPr>
            <w:tcW w:w="447" w:type="pct"/>
            <w:tcBorders>
              <w:top w:val="nil"/>
              <w:left w:val="nil"/>
              <w:bottom w:val="nil"/>
              <w:right w:val="nil"/>
            </w:tcBorders>
            <w:shd w:val="clear" w:color="000000" w:fill="FFFFFF"/>
            <w:noWrap/>
            <w:vAlign w:val="center"/>
            <w:hideMark/>
          </w:tcPr>
          <w:p w14:paraId="004F4A76"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CC LGPS </w:t>
            </w:r>
          </w:p>
        </w:tc>
        <w:tc>
          <w:tcPr>
            <w:tcW w:w="506" w:type="pct"/>
            <w:tcBorders>
              <w:top w:val="nil"/>
              <w:left w:val="nil"/>
              <w:bottom w:val="nil"/>
              <w:right w:val="nil"/>
            </w:tcBorders>
            <w:shd w:val="clear" w:color="000000" w:fill="FFFFFF"/>
            <w:vAlign w:val="center"/>
            <w:hideMark/>
          </w:tcPr>
          <w:p w14:paraId="7CE84A8F"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Police Officers</w:t>
            </w:r>
          </w:p>
        </w:tc>
        <w:tc>
          <w:tcPr>
            <w:tcW w:w="506" w:type="pct"/>
            <w:tcBorders>
              <w:top w:val="nil"/>
              <w:left w:val="nil"/>
              <w:bottom w:val="nil"/>
              <w:right w:val="nil"/>
            </w:tcBorders>
            <w:shd w:val="clear" w:color="000000" w:fill="FFFFFF"/>
            <w:vAlign w:val="center"/>
            <w:hideMark/>
          </w:tcPr>
          <w:p w14:paraId="76814AE8"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Total</w:t>
            </w:r>
          </w:p>
        </w:tc>
        <w:tc>
          <w:tcPr>
            <w:tcW w:w="1081" w:type="pct"/>
            <w:tcBorders>
              <w:top w:val="nil"/>
              <w:left w:val="nil"/>
              <w:bottom w:val="nil"/>
              <w:right w:val="nil"/>
            </w:tcBorders>
            <w:shd w:val="clear" w:color="000000" w:fill="FFFFFF"/>
            <w:noWrap/>
            <w:vAlign w:val="center"/>
            <w:hideMark/>
          </w:tcPr>
          <w:p w14:paraId="5923915A" w14:textId="77777777" w:rsidR="0065570A" w:rsidRPr="0065570A" w:rsidRDefault="0065570A" w:rsidP="0065570A">
            <w:pP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448C1943"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PCC LGPS </w:t>
            </w:r>
          </w:p>
        </w:tc>
        <w:tc>
          <w:tcPr>
            <w:tcW w:w="447" w:type="pct"/>
            <w:tcBorders>
              <w:top w:val="nil"/>
              <w:left w:val="nil"/>
              <w:bottom w:val="nil"/>
              <w:right w:val="nil"/>
            </w:tcBorders>
            <w:shd w:val="clear" w:color="000000" w:fill="FFFFFF"/>
            <w:noWrap/>
            <w:vAlign w:val="center"/>
            <w:hideMark/>
          </w:tcPr>
          <w:p w14:paraId="4DB20AF0"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xml:space="preserve">CC LGPS </w:t>
            </w:r>
          </w:p>
        </w:tc>
        <w:tc>
          <w:tcPr>
            <w:tcW w:w="614" w:type="pct"/>
            <w:tcBorders>
              <w:top w:val="nil"/>
              <w:left w:val="nil"/>
              <w:bottom w:val="nil"/>
              <w:right w:val="nil"/>
            </w:tcBorders>
            <w:shd w:val="clear" w:color="000000" w:fill="FFFFFF"/>
            <w:vAlign w:val="center"/>
            <w:hideMark/>
          </w:tcPr>
          <w:p w14:paraId="425A6CBC"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Police Officers</w:t>
            </w:r>
          </w:p>
        </w:tc>
        <w:tc>
          <w:tcPr>
            <w:tcW w:w="538" w:type="pct"/>
            <w:tcBorders>
              <w:top w:val="nil"/>
              <w:left w:val="nil"/>
              <w:bottom w:val="nil"/>
              <w:right w:val="nil"/>
            </w:tcBorders>
            <w:shd w:val="clear" w:color="000000" w:fill="FFFFFF"/>
            <w:vAlign w:val="center"/>
            <w:hideMark/>
          </w:tcPr>
          <w:p w14:paraId="220A3015"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Total</w:t>
            </w:r>
          </w:p>
        </w:tc>
      </w:tr>
      <w:tr w:rsidR="0065570A" w:rsidRPr="0065570A" w14:paraId="53E340DA" w14:textId="77777777" w:rsidTr="0041394A">
        <w:trPr>
          <w:trHeight w:val="204"/>
        </w:trPr>
        <w:tc>
          <w:tcPr>
            <w:tcW w:w="374" w:type="pct"/>
            <w:tcBorders>
              <w:top w:val="nil"/>
              <w:left w:val="nil"/>
              <w:bottom w:val="nil"/>
              <w:right w:val="nil"/>
            </w:tcBorders>
            <w:shd w:val="clear" w:color="000000" w:fill="FFFFFF"/>
            <w:noWrap/>
            <w:vAlign w:val="bottom"/>
            <w:hideMark/>
          </w:tcPr>
          <w:p w14:paraId="5989A1B4"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bottom"/>
            <w:hideMark/>
          </w:tcPr>
          <w:p w14:paraId="100D5D6C"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bottom"/>
            <w:hideMark/>
          </w:tcPr>
          <w:p w14:paraId="6BC5A257"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bottom"/>
            <w:hideMark/>
          </w:tcPr>
          <w:p w14:paraId="17F1E6F5"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bottom"/>
            <w:hideMark/>
          </w:tcPr>
          <w:p w14:paraId="36360884" w14:textId="77777777" w:rsidR="0065570A" w:rsidRPr="0065570A" w:rsidRDefault="0065570A" w:rsidP="0065570A">
            <w:pP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nil"/>
              <w:left w:val="nil"/>
              <w:bottom w:val="nil"/>
              <w:right w:val="nil"/>
            </w:tcBorders>
            <w:shd w:val="clear" w:color="000000" w:fill="FFFFFF"/>
            <w:noWrap/>
            <w:vAlign w:val="bottom"/>
            <w:hideMark/>
          </w:tcPr>
          <w:p w14:paraId="51F17CAE"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bottom"/>
            <w:hideMark/>
          </w:tcPr>
          <w:p w14:paraId="3848F90D"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bottom"/>
            <w:hideMark/>
          </w:tcPr>
          <w:p w14:paraId="62873965"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bottom"/>
            <w:hideMark/>
          </w:tcPr>
          <w:p w14:paraId="78B1B114" w14:textId="77777777" w:rsidR="0065570A" w:rsidRPr="0065570A" w:rsidRDefault="0065570A" w:rsidP="0065570A">
            <w:pPr>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799CAC1A" w14:textId="77777777" w:rsidTr="0041394A">
        <w:trPr>
          <w:trHeight w:val="204"/>
        </w:trPr>
        <w:tc>
          <w:tcPr>
            <w:tcW w:w="374" w:type="pct"/>
            <w:tcBorders>
              <w:top w:val="nil"/>
              <w:left w:val="nil"/>
              <w:bottom w:val="single" w:sz="4" w:space="0" w:color="auto"/>
              <w:right w:val="nil"/>
            </w:tcBorders>
            <w:shd w:val="clear" w:color="000000" w:fill="FFFFFF"/>
            <w:noWrap/>
            <w:vAlign w:val="center"/>
            <w:hideMark/>
          </w:tcPr>
          <w:p w14:paraId="503BDD4F"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447" w:type="pct"/>
            <w:tcBorders>
              <w:top w:val="nil"/>
              <w:left w:val="nil"/>
              <w:bottom w:val="single" w:sz="4" w:space="0" w:color="auto"/>
              <w:right w:val="nil"/>
            </w:tcBorders>
            <w:shd w:val="clear" w:color="000000" w:fill="FFFFFF"/>
            <w:noWrap/>
            <w:vAlign w:val="center"/>
            <w:hideMark/>
          </w:tcPr>
          <w:p w14:paraId="23A6120B"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06" w:type="pct"/>
            <w:tcBorders>
              <w:top w:val="nil"/>
              <w:left w:val="nil"/>
              <w:bottom w:val="single" w:sz="4" w:space="0" w:color="auto"/>
              <w:right w:val="nil"/>
            </w:tcBorders>
            <w:shd w:val="clear" w:color="000000" w:fill="FFFFFF"/>
            <w:noWrap/>
            <w:vAlign w:val="center"/>
            <w:hideMark/>
          </w:tcPr>
          <w:p w14:paraId="350EEA84"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06" w:type="pct"/>
            <w:tcBorders>
              <w:top w:val="nil"/>
              <w:left w:val="nil"/>
              <w:bottom w:val="single" w:sz="4" w:space="0" w:color="auto"/>
              <w:right w:val="nil"/>
            </w:tcBorders>
            <w:shd w:val="clear" w:color="000000" w:fill="FFFFFF"/>
            <w:noWrap/>
            <w:vAlign w:val="center"/>
            <w:hideMark/>
          </w:tcPr>
          <w:p w14:paraId="18479E7A"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1081" w:type="pct"/>
            <w:tcBorders>
              <w:top w:val="nil"/>
              <w:left w:val="nil"/>
              <w:bottom w:val="single" w:sz="4" w:space="0" w:color="auto"/>
              <w:right w:val="nil"/>
            </w:tcBorders>
            <w:shd w:val="clear" w:color="000000" w:fill="FFFFFF"/>
            <w:noWrap/>
            <w:vAlign w:val="center"/>
            <w:hideMark/>
          </w:tcPr>
          <w:p w14:paraId="0E975D9A"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 </w:t>
            </w:r>
          </w:p>
        </w:tc>
        <w:tc>
          <w:tcPr>
            <w:tcW w:w="486" w:type="pct"/>
            <w:tcBorders>
              <w:top w:val="nil"/>
              <w:left w:val="nil"/>
              <w:bottom w:val="single" w:sz="4" w:space="0" w:color="auto"/>
              <w:right w:val="nil"/>
            </w:tcBorders>
            <w:shd w:val="clear" w:color="000000" w:fill="FFFFFF"/>
            <w:noWrap/>
            <w:vAlign w:val="center"/>
            <w:hideMark/>
          </w:tcPr>
          <w:p w14:paraId="5FEEA806"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447" w:type="pct"/>
            <w:tcBorders>
              <w:top w:val="nil"/>
              <w:left w:val="nil"/>
              <w:bottom w:val="single" w:sz="4" w:space="0" w:color="auto"/>
              <w:right w:val="nil"/>
            </w:tcBorders>
            <w:shd w:val="clear" w:color="000000" w:fill="FFFFFF"/>
            <w:noWrap/>
            <w:vAlign w:val="center"/>
            <w:hideMark/>
          </w:tcPr>
          <w:p w14:paraId="61B0C82B"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614" w:type="pct"/>
            <w:tcBorders>
              <w:top w:val="nil"/>
              <w:left w:val="nil"/>
              <w:bottom w:val="single" w:sz="4" w:space="0" w:color="auto"/>
              <w:right w:val="nil"/>
            </w:tcBorders>
            <w:shd w:val="clear" w:color="000000" w:fill="FFFFFF"/>
            <w:noWrap/>
            <w:vAlign w:val="center"/>
            <w:hideMark/>
          </w:tcPr>
          <w:p w14:paraId="55FBF93B"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c>
          <w:tcPr>
            <w:tcW w:w="538" w:type="pct"/>
            <w:tcBorders>
              <w:top w:val="nil"/>
              <w:left w:val="nil"/>
              <w:bottom w:val="single" w:sz="4" w:space="0" w:color="auto"/>
              <w:right w:val="nil"/>
            </w:tcBorders>
            <w:shd w:val="clear" w:color="000000" w:fill="FFFFFF"/>
            <w:noWrap/>
            <w:vAlign w:val="center"/>
            <w:hideMark/>
          </w:tcPr>
          <w:p w14:paraId="3E951D95" w14:textId="77777777" w:rsidR="0065570A" w:rsidRPr="0065570A" w:rsidRDefault="0065570A" w:rsidP="0065570A">
            <w:pPr>
              <w:jc w:val="center"/>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£000</w:t>
            </w:r>
          </w:p>
        </w:tc>
      </w:tr>
      <w:tr w:rsidR="0065570A" w:rsidRPr="0065570A" w14:paraId="4F1F3A9D" w14:textId="77777777" w:rsidTr="0041394A">
        <w:trPr>
          <w:trHeight w:val="204"/>
        </w:trPr>
        <w:tc>
          <w:tcPr>
            <w:tcW w:w="374" w:type="pct"/>
            <w:tcBorders>
              <w:top w:val="nil"/>
              <w:left w:val="nil"/>
              <w:bottom w:val="nil"/>
              <w:right w:val="nil"/>
            </w:tcBorders>
            <w:shd w:val="clear" w:color="000000" w:fill="FFFFFF"/>
            <w:noWrap/>
            <w:vAlign w:val="center"/>
            <w:hideMark/>
          </w:tcPr>
          <w:p w14:paraId="0A834C85"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0</w:t>
            </w:r>
          </w:p>
        </w:tc>
        <w:tc>
          <w:tcPr>
            <w:tcW w:w="447" w:type="pct"/>
            <w:tcBorders>
              <w:top w:val="nil"/>
              <w:left w:val="nil"/>
              <w:bottom w:val="nil"/>
              <w:right w:val="nil"/>
            </w:tcBorders>
            <w:shd w:val="clear" w:color="000000" w:fill="FFFFFF"/>
            <w:noWrap/>
            <w:vAlign w:val="center"/>
            <w:hideMark/>
          </w:tcPr>
          <w:p w14:paraId="6A1B5385"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(472,985)</w:t>
            </w:r>
          </w:p>
        </w:tc>
        <w:tc>
          <w:tcPr>
            <w:tcW w:w="506" w:type="pct"/>
            <w:tcBorders>
              <w:top w:val="nil"/>
              <w:left w:val="nil"/>
              <w:bottom w:val="nil"/>
              <w:right w:val="nil"/>
            </w:tcBorders>
            <w:shd w:val="clear" w:color="000000" w:fill="FFFFFF"/>
            <w:noWrap/>
            <w:vAlign w:val="center"/>
            <w:hideMark/>
          </w:tcPr>
          <w:p w14:paraId="356000EA"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(1,988,120)</w:t>
            </w:r>
          </w:p>
        </w:tc>
        <w:tc>
          <w:tcPr>
            <w:tcW w:w="506" w:type="pct"/>
            <w:tcBorders>
              <w:top w:val="nil"/>
              <w:left w:val="nil"/>
              <w:bottom w:val="nil"/>
              <w:right w:val="nil"/>
            </w:tcBorders>
            <w:shd w:val="clear" w:color="000000" w:fill="FFFFFF"/>
            <w:noWrap/>
            <w:vAlign w:val="center"/>
            <w:hideMark/>
          </w:tcPr>
          <w:p w14:paraId="3F0FE48E"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(2,461,105)</w:t>
            </w:r>
          </w:p>
        </w:tc>
        <w:tc>
          <w:tcPr>
            <w:tcW w:w="1081" w:type="pct"/>
            <w:tcBorders>
              <w:top w:val="nil"/>
              <w:left w:val="nil"/>
              <w:bottom w:val="nil"/>
              <w:right w:val="nil"/>
            </w:tcBorders>
            <w:shd w:val="clear" w:color="000000" w:fill="FFFFFF"/>
            <w:vAlign w:val="center"/>
            <w:hideMark/>
          </w:tcPr>
          <w:p w14:paraId="5FBFE35E" w14:textId="77777777" w:rsidR="0065570A" w:rsidRPr="0065570A" w:rsidRDefault="0065570A" w:rsidP="0065570A">
            <w:pPr>
              <w:ind w:firstLineChars="100" w:firstLine="161"/>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Opening balance at 1 April</w:t>
            </w:r>
          </w:p>
        </w:tc>
        <w:tc>
          <w:tcPr>
            <w:tcW w:w="486" w:type="pct"/>
            <w:tcBorders>
              <w:top w:val="nil"/>
              <w:left w:val="nil"/>
              <w:bottom w:val="nil"/>
              <w:right w:val="nil"/>
            </w:tcBorders>
            <w:shd w:val="clear" w:color="000000" w:fill="FFFFFF"/>
            <w:noWrap/>
            <w:vAlign w:val="center"/>
            <w:hideMark/>
          </w:tcPr>
          <w:p w14:paraId="5F82676F"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(3,972)</w:t>
            </w:r>
          </w:p>
        </w:tc>
        <w:tc>
          <w:tcPr>
            <w:tcW w:w="447" w:type="pct"/>
            <w:tcBorders>
              <w:top w:val="nil"/>
              <w:left w:val="nil"/>
              <w:bottom w:val="nil"/>
              <w:right w:val="nil"/>
            </w:tcBorders>
            <w:shd w:val="clear" w:color="000000" w:fill="FFFFFF"/>
            <w:noWrap/>
            <w:vAlign w:val="center"/>
            <w:hideMark/>
          </w:tcPr>
          <w:p w14:paraId="28C708CF"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(403,072)</w:t>
            </w:r>
          </w:p>
        </w:tc>
        <w:tc>
          <w:tcPr>
            <w:tcW w:w="614" w:type="pct"/>
            <w:tcBorders>
              <w:top w:val="nil"/>
              <w:left w:val="nil"/>
              <w:bottom w:val="nil"/>
              <w:right w:val="nil"/>
            </w:tcBorders>
            <w:shd w:val="clear" w:color="000000" w:fill="FFFFFF"/>
            <w:noWrap/>
            <w:vAlign w:val="center"/>
            <w:hideMark/>
          </w:tcPr>
          <w:p w14:paraId="76A9ADDC"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(1,896,060)</w:t>
            </w:r>
          </w:p>
        </w:tc>
        <w:tc>
          <w:tcPr>
            <w:tcW w:w="538" w:type="pct"/>
            <w:tcBorders>
              <w:top w:val="nil"/>
              <w:left w:val="nil"/>
              <w:bottom w:val="nil"/>
              <w:right w:val="nil"/>
            </w:tcBorders>
            <w:shd w:val="clear" w:color="000000" w:fill="FFFFFF"/>
            <w:noWrap/>
            <w:vAlign w:val="center"/>
            <w:hideMark/>
          </w:tcPr>
          <w:p w14:paraId="667FC7C2"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(2,303,104)</w:t>
            </w:r>
          </w:p>
        </w:tc>
      </w:tr>
      <w:tr w:rsidR="0065570A" w:rsidRPr="0065570A" w14:paraId="38EDD741" w14:textId="77777777" w:rsidTr="0041394A">
        <w:trPr>
          <w:trHeight w:val="204"/>
        </w:trPr>
        <w:tc>
          <w:tcPr>
            <w:tcW w:w="374" w:type="pct"/>
            <w:tcBorders>
              <w:top w:val="nil"/>
              <w:left w:val="nil"/>
              <w:bottom w:val="nil"/>
              <w:right w:val="nil"/>
            </w:tcBorders>
            <w:shd w:val="clear" w:color="000000" w:fill="FFFFFF"/>
            <w:noWrap/>
            <w:vAlign w:val="center"/>
            <w:hideMark/>
          </w:tcPr>
          <w:p w14:paraId="7C186A6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4FB6FBA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39E1612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1659F2F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13C990C5"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36C3962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0864460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09DFA86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644B544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0DC467B0" w14:textId="77777777" w:rsidTr="0041394A">
        <w:trPr>
          <w:trHeight w:val="288"/>
        </w:trPr>
        <w:tc>
          <w:tcPr>
            <w:tcW w:w="374" w:type="pct"/>
            <w:tcBorders>
              <w:top w:val="nil"/>
              <w:left w:val="nil"/>
              <w:bottom w:val="nil"/>
              <w:right w:val="nil"/>
            </w:tcBorders>
            <w:shd w:val="clear" w:color="000000" w:fill="FFFFFF"/>
            <w:noWrap/>
            <w:vAlign w:val="center"/>
            <w:hideMark/>
          </w:tcPr>
          <w:p w14:paraId="1767A4D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(4,281)</w:t>
            </w:r>
          </w:p>
        </w:tc>
        <w:tc>
          <w:tcPr>
            <w:tcW w:w="447" w:type="pct"/>
            <w:tcBorders>
              <w:top w:val="nil"/>
              <w:left w:val="nil"/>
              <w:bottom w:val="nil"/>
              <w:right w:val="nil"/>
            </w:tcBorders>
            <w:shd w:val="clear" w:color="000000" w:fill="FFFFFF"/>
            <w:noWrap/>
            <w:vAlign w:val="center"/>
            <w:hideMark/>
          </w:tcPr>
          <w:p w14:paraId="7E2AB55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4,281</w:t>
            </w:r>
          </w:p>
        </w:tc>
        <w:tc>
          <w:tcPr>
            <w:tcW w:w="506" w:type="pct"/>
            <w:tcBorders>
              <w:top w:val="nil"/>
              <w:left w:val="nil"/>
              <w:bottom w:val="nil"/>
              <w:right w:val="nil"/>
            </w:tcBorders>
            <w:shd w:val="clear" w:color="000000" w:fill="FFFFFF"/>
            <w:noWrap/>
            <w:vAlign w:val="center"/>
            <w:hideMark/>
          </w:tcPr>
          <w:p w14:paraId="477C05D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06" w:type="pct"/>
            <w:tcBorders>
              <w:top w:val="nil"/>
              <w:left w:val="nil"/>
              <w:bottom w:val="nil"/>
              <w:right w:val="nil"/>
            </w:tcBorders>
            <w:shd w:val="clear" w:color="000000" w:fill="FFFFFF"/>
            <w:noWrap/>
            <w:vAlign w:val="center"/>
            <w:hideMark/>
          </w:tcPr>
          <w:p w14:paraId="7BF9530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1081" w:type="pct"/>
            <w:tcBorders>
              <w:top w:val="nil"/>
              <w:left w:val="nil"/>
              <w:bottom w:val="nil"/>
              <w:right w:val="nil"/>
            </w:tcBorders>
            <w:shd w:val="clear" w:color="000000" w:fill="FFFFFF"/>
            <w:noWrap/>
            <w:vAlign w:val="center"/>
            <w:hideMark/>
          </w:tcPr>
          <w:p w14:paraId="26F36E1E"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Transfer to PCC</w:t>
            </w:r>
          </w:p>
        </w:tc>
        <w:tc>
          <w:tcPr>
            <w:tcW w:w="486" w:type="pct"/>
            <w:tcBorders>
              <w:top w:val="nil"/>
              <w:left w:val="nil"/>
              <w:bottom w:val="nil"/>
              <w:right w:val="nil"/>
            </w:tcBorders>
            <w:shd w:val="clear" w:color="000000" w:fill="FFFFFF"/>
            <w:noWrap/>
            <w:vAlign w:val="center"/>
            <w:hideMark/>
          </w:tcPr>
          <w:p w14:paraId="63D4337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447" w:type="pct"/>
            <w:tcBorders>
              <w:top w:val="nil"/>
              <w:left w:val="nil"/>
              <w:bottom w:val="nil"/>
              <w:right w:val="nil"/>
            </w:tcBorders>
            <w:shd w:val="clear" w:color="000000" w:fill="FFFFFF"/>
            <w:noWrap/>
            <w:vAlign w:val="center"/>
            <w:hideMark/>
          </w:tcPr>
          <w:p w14:paraId="5EC7296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614" w:type="pct"/>
            <w:tcBorders>
              <w:top w:val="nil"/>
              <w:left w:val="nil"/>
              <w:bottom w:val="nil"/>
              <w:right w:val="nil"/>
            </w:tcBorders>
            <w:shd w:val="clear" w:color="000000" w:fill="FFFFFF"/>
            <w:noWrap/>
            <w:vAlign w:val="center"/>
            <w:hideMark/>
          </w:tcPr>
          <w:p w14:paraId="198C581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38" w:type="pct"/>
            <w:tcBorders>
              <w:top w:val="nil"/>
              <w:left w:val="nil"/>
              <w:bottom w:val="nil"/>
              <w:right w:val="nil"/>
            </w:tcBorders>
            <w:shd w:val="clear" w:color="000000" w:fill="FFFFFF"/>
            <w:noWrap/>
            <w:vAlign w:val="center"/>
            <w:hideMark/>
          </w:tcPr>
          <w:p w14:paraId="381B637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r>
      <w:tr w:rsidR="0065570A" w:rsidRPr="0065570A" w14:paraId="0B13D44D" w14:textId="77777777" w:rsidTr="0041394A">
        <w:trPr>
          <w:trHeight w:val="204"/>
        </w:trPr>
        <w:tc>
          <w:tcPr>
            <w:tcW w:w="374" w:type="pct"/>
            <w:tcBorders>
              <w:top w:val="nil"/>
              <w:left w:val="nil"/>
              <w:bottom w:val="single" w:sz="4" w:space="0" w:color="auto"/>
              <w:right w:val="nil"/>
            </w:tcBorders>
            <w:shd w:val="clear" w:color="000000" w:fill="FFFFFF"/>
            <w:noWrap/>
            <w:vAlign w:val="center"/>
            <w:hideMark/>
          </w:tcPr>
          <w:p w14:paraId="42CA840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single" w:sz="4" w:space="0" w:color="auto"/>
              <w:right w:val="nil"/>
            </w:tcBorders>
            <w:shd w:val="clear" w:color="000000" w:fill="FFFFFF"/>
            <w:noWrap/>
            <w:vAlign w:val="center"/>
            <w:hideMark/>
          </w:tcPr>
          <w:p w14:paraId="6E38107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single" w:sz="4" w:space="0" w:color="auto"/>
              <w:right w:val="nil"/>
            </w:tcBorders>
            <w:shd w:val="clear" w:color="000000" w:fill="FFFFFF"/>
            <w:noWrap/>
            <w:vAlign w:val="center"/>
            <w:hideMark/>
          </w:tcPr>
          <w:p w14:paraId="77DD15E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single" w:sz="4" w:space="0" w:color="auto"/>
              <w:right w:val="nil"/>
            </w:tcBorders>
            <w:shd w:val="clear" w:color="000000" w:fill="FFFFFF"/>
            <w:noWrap/>
            <w:vAlign w:val="center"/>
            <w:hideMark/>
          </w:tcPr>
          <w:p w14:paraId="779E02E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single" w:sz="4" w:space="0" w:color="auto"/>
              <w:right w:val="nil"/>
            </w:tcBorders>
            <w:shd w:val="clear" w:color="000000" w:fill="FFFFFF"/>
            <w:noWrap/>
            <w:vAlign w:val="center"/>
            <w:hideMark/>
          </w:tcPr>
          <w:p w14:paraId="03E141FE"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single" w:sz="4" w:space="0" w:color="auto"/>
              <w:right w:val="nil"/>
            </w:tcBorders>
            <w:shd w:val="clear" w:color="000000" w:fill="FFFFFF"/>
            <w:noWrap/>
            <w:vAlign w:val="center"/>
            <w:hideMark/>
          </w:tcPr>
          <w:p w14:paraId="73AD4F1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single" w:sz="4" w:space="0" w:color="auto"/>
              <w:right w:val="nil"/>
            </w:tcBorders>
            <w:shd w:val="clear" w:color="000000" w:fill="FFFFFF"/>
            <w:noWrap/>
            <w:vAlign w:val="center"/>
            <w:hideMark/>
          </w:tcPr>
          <w:p w14:paraId="5ABF15F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single" w:sz="4" w:space="0" w:color="auto"/>
              <w:right w:val="nil"/>
            </w:tcBorders>
            <w:shd w:val="clear" w:color="000000" w:fill="FFFFFF"/>
            <w:noWrap/>
            <w:vAlign w:val="center"/>
            <w:hideMark/>
          </w:tcPr>
          <w:p w14:paraId="6FB9A59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single" w:sz="4" w:space="0" w:color="auto"/>
              <w:right w:val="nil"/>
            </w:tcBorders>
            <w:shd w:val="clear" w:color="000000" w:fill="FFFFFF"/>
            <w:noWrap/>
            <w:vAlign w:val="center"/>
            <w:hideMark/>
          </w:tcPr>
          <w:p w14:paraId="4011EF3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0BFA5043" w14:textId="77777777" w:rsidTr="0041394A">
        <w:trPr>
          <w:trHeight w:val="288"/>
        </w:trPr>
        <w:tc>
          <w:tcPr>
            <w:tcW w:w="374" w:type="pct"/>
            <w:tcBorders>
              <w:top w:val="nil"/>
              <w:left w:val="nil"/>
              <w:bottom w:val="single" w:sz="4" w:space="0" w:color="auto"/>
              <w:right w:val="nil"/>
            </w:tcBorders>
            <w:shd w:val="clear" w:color="000000" w:fill="FFFFFF"/>
            <w:noWrap/>
            <w:vAlign w:val="center"/>
            <w:hideMark/>
          </w:tcPr>
          <w:p w14:paraId="12C438FC"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(4,281)</w:t>
            </w:r>
          </w:p>
        </w:tc>
        <w:tc>
          <w:tcPr>
            <w:tcW w:w="447" w:type="pct"/>
            <w:tcBorders>
              <w:top w:val="nil"/>
              <w:left w:val="nil"/>
              <w:bottom w:val="single" w:sz="4" w:space="0" w:color="auto"/>
              <w:right w:val="nil"/>
            </w:tcBorders>
            <w:shd w:val="clear" w:color="000000" w:fill="FFFFFF"/>
            <w:noWrap/>
            <w:vAlign w:val="center"/>
            <w:hideMark/>
          </w:tcPr>
          <w:p w14:paraId="0CCAD911"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(468,704)</w:t>
            </w:r>
          </w:p>
        </w:tc>
        <w:tc>
          <w:tcPr>
            <w:tcW w:w="506" w:type="pct"/>
            <w:tcBorders>
              <w:top w:val="nil"/>
              <w:left w:val="nil"/>
              <w:bottom w:val="single" w:sz="4" w:space="0" w:color="auto"/>
              <w:right w:val="nil"/>
            </w:tcBorders>
            <w:shd w:val="clear" w:color="000000" w:fill="FFFFFF"/>
            <w:noWrap/>
            <w:vAlign w:val="center"/>
            <w:hideMark/>
          </w:tcPr>
          <w:p w14:paraId="5CF61985"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(1,988,120)</w:t>
            </w:r>
          </w:p>
        </w:tc>
        <w:tc>
          <w:tcPr>
            <w:tcW w:w="506" w:type="pct"/>
            <w:tcBorders>
              <w:top w:val="nil"/>
              <w:left w:val="nil"/>
              <w:bottom w:val="single" w:sz="4" w:space="0" w:color="auto"/>
              <w:right w:val="nil"/>
            </w:tcBorders>
            <w:shd w:val="clear" w:color="000000" w:fill="FFFFFF"/>
            <w:noWrap/>
            <w:vAlign w:val="center"/>
            <w:hideMark/>
          </w:tcPr>
          <w:p w14:paraId="683DF3EE"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(2,461,105)</w:t>
            </w:r>
          </w:p>
        </w:tc>
        <w:tc>
          <w:tcPr>
            <w:tcW w:w="1081" w:type="pct"/>
            <w:tcBorders>
              <w:top w:val="nil"/>
              <w:left w:val="nil"/>
              <w:bottom w:val="single" w:sz="4" w:space="0" w:color="auto"/>
              <w:right w:val="nil"/>
            </w:tcBorders>
            <w:shd w:val="clear" w:color="000000" w:fill="FFFFFF"/>
            <w:vAlign w:val="center"/>
            <w:hideMark/>
          </w:tcPr>
          <w:p w14:paraId="2BC3F1E4" w14:textId="77777777" w:rsidR="0065570A" w:rsidRPr="0065570A" w:rsidRDefault="0065570A" w:rsidP="0065570A">
            <w:pPr>
              <w:ind w:firstLineChars="100" w:firstLine="161"/>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Revised Opening Balance</w:t>
            </w:r>
          </w:p>
        </w:tc>
        <w:tc>
          <w:tcPr>
            <w:tcW w:w="486" w:type="pct"/>
            <w:tcBorders>
              <w:top w:val="nil"/>
              <w:left w:val="nil"/>
              <w:bottom w:val="single" w:sz="4" w:space="0" w:color="auto"/>
              <w:right w:val="nil"/>
            </w:tcBorders>
            <w:shd w:val="clear" w:color="000000" w:fill="FFFFFF"/>
            <w:noWrap/>
            <w:vAlign w:val="center"/>
            <w:hideMark/>
          </w:tcPr>
          <w:p w14:paraId="1723780B"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(3,972)</w:t>
            </w:r>
          </w:p>
        </w:tc>
        <w:tc>
          <w:tcPr>
            <w:tcW w:w="447" w:type="pct"/>
            <w:tcBorders>
              <w:top w:val="nil"/>
              <w:left w:val="nil"/>
              <w:bottom w:val="single" w:sz="4" w:space="0" w:color="auto"/>
              <w:right w:val="nil"/>
            </w:tcBorders>
            <w:shd w:val="clear" w:color="000000" w:fill="FFFFFF"/>
            <w:noWrap/>
            <w:vAlign w:val="center"/>
            <w:hideMark/>
          </w:tcPr>
          <w:p w14:paraId="46C10B06"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(403,072)</w:t>
            </w:r>
          </w:p>
        </w:tc>
        <w:tc>
          <w:tcPr>
            <w:tcW w:w="614" w:type="pct"/>
            <w:tcBorders>
              <w:top w:val="nil"/>
              <w:left w:val="nil"/>
              <w:bottom w:val="single" w:sz="4" w:space="0" w:color="auto"/>
              <w:right w:val="nil"/>
            </w:tcBorders>
            <w:shd w:val="clear" w:color="000000" w:fill="FFFFFF"/>
            <w:noWrap/>
            <w:vAlign w:val="center"/>
            <w:hideMark/>
          </w:tcPr>
          <w:p w14:paraId="76D0B487"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(1,896,060)</w:t>
            </w:r>
          </w:p>
        </w:tc>
        <w:tc>
          <w:tcPr>
            <w:tcW w:w="538" w:type="pct"/>
            <w:tcBorders>
              <w:top w:val="nil"/>
              <w:left w:val="nil"/>
              <w:bottom w:val="single" w:sz="4" w:space="0" w:color="auto"/>
              <w:right w:val="nil"/>
            </w:tcBorders>
            <w:shd w:val="clear" w:color="000000" w:fill="FFFFFF"/>
            <w:noWrap/>
            <w:vAlign w:val="center"/>
            <w:hideMark/>
          </w:tcPr>
          <w:p w14:paraId="3FAA8698"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(2,303,104)</w:t>
            </w:r>
          </w:p>
        </w:tc>
      </w:tr>
      <w:tr w:rsidR="0065570A" w:rsidRPr="0065570A" w14:paraId="7C76853C" w14:textId="77777777" w:rsidTr="0041394A">
        <w:trPr>
          <w:trHeight w:val="288"/>
        </w:trPr>
        <w:tc>
          <w:tcPr>
            <w:tcW w:w="374" w:type="pct"/>
            <w:tcBorders>
              <w:top w:val="nil"/>
              <w:left w:val="nil"/>
              <w:bottom w:val="nil"/>
              <w:right w:val="nil"/>
            </w:tcBorders>
            <w:shd w:val="clear" w:color="000000" w:fill="FFFFFF"/>
            <w:noWrap/>
            <w:vAlign w:val="center"/>
            <w:hideMark/>
          </w:tcPr>
          <w:p w14:paraId="1CE5C20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(207)</w:t>
            </w:r>
          </w:p>
        </w:tc>
        <w:tc>
          <w:tcPr>
            <w:tcW w:w="447" w:type="pct"/>
            <w:tcBorders>
              <w:top w:val="nil"/>
              <w:left w:val="nil"/>
              <w:bottom w:val="nil"/>
              <w:right w:val="nil"/>
            </w:tcBorders>
            <w:shd w:val="clear" w:color="000000" w:fill="FFFFFF"/>
            <w:noWrap/>
            <w:vAlign w:val="center"/>
            <w:hideMark/>
          </w:tcPr>
          <w:p w14:paraId="355250E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(20,410)</w:t>
            </w:r>
          </w:p>
        </w:tc>
        <w:tc>
          <w:tcPr>
            <w:tcW w:w="506" w:type="pct"/>
            <w:tcBorders>
              <w:top w:val="nil"/>
              <w:left w:val="nil"/>
              <w:bottom w:val="nil"/>
              <w:right w:val="nil"/>
            </w:tcBorders>
            <w:shd w:val="clear" w:color="000000" w:fill="FFFFFF"/>
            <w:noWrap/>
            <w:vAlign w:val="center"/>
            <w:hideMark/>
          </w:tcPr>
          <w:p w14:paraId="31F6822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(54,660)</w:t>
            </w:r>
          </w:p>
        </w:tc>
        <w:tc>
          <w:tcPr>
            <w:tcW w:w="506" w:type="pct"/>
            <w:tcBorders>
              <w:top w:val="nil"/>
              <w:left w:val="nil"/>
              <w:bottom w:val="nil"/>
              <w:right w:val="nil"/>
            </w:tcBorders>
            <w:shd w:val="clear" w:color="000000" w:fill="FFFFFF"/>
            <w:noWrap/>
            <w:vAlign w:val="center"/>
            <w:hideMark/>
          </w:tcPr>
          <w:p w14:paraId="58EB58D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(75,277)</w:t>
            </w:r>
          </w:p>
        </w:tc>
        <w:tc>
          <w:tcPr>
            <w:tcW w:w="1081" w:type="pct"/>
            <w:tcBorders>
              <w:top w:val="nil"/>
              <w:left w:val="nil"/>
              <w:bottom w:val="nil"/>
              <w:right w:val="nil"/>
            </w:tcBorders>
            <w:shd w:val="clear" w:color="000000" w:fill="FFFFFF"/>
            <w:noWrap/>
            <w:vAlign w:val="center"/>
            <w:hideMark/>
          </w:tcPr>
          <w:p w14:paraId="57BC5865"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Current service cost</w:t>
            </w:r>
          </w:p>
        </w:tc>
        <w:tc>
          <w:tcPr>
            <w:tcW w:w="486" w:type="pct"/>
            <w:tcBorders>
              <w:top w:val="nil"/>
              <w:left w:val="nil"/>
              <w:bottom w:val="nil"/>
              <w:right w:val="nil"/>
            </w:tcBorders>
            <w:shd w:val="clear" w:color="000000" w:fill="FFFFFF"/>
            <w:noWrap/>
            <w:vAlign w:val="center"/>
            <w:hideMark/>
          </w:tcPr>
          <w:p w14:paraId="6F97F32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(213)</w:t>
            </w:r>
          </w:p>
        </w:tc>
        <w:tc>
          <w:tcPr>
            <w:tcW w:w="447" w:type="pct"/>
            <w:tcBorders>
              <w:top w:val="nil"/>
              <w:left w:val="nil"/>
              <w:bottom w:val="nil"/>
              <w:right w:val="nil"/>
            </w:tcBorders>
            <w:shd w:val="clear" w:color="000000" w:fill="FFFFFF"/>
            <w:noWrap/>
            <w:vAlign w:val="center"/>
            <w:hideMark/>
          </w:tcPr>
          <w:p w14:paraId="3359196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(17,786)</w:t>
            </w:r>
          </w:p>
        </w:tc>
        <w:tc>
          <w:tcPr>
            <w:tcW w:w="614" w:type="pct"/>
            <w:tcBorders>
              <w:top w:val="nil"/>
              <w:left w:val="nil"/>
              <w:bottom w:val="nil"/>
              <w:right w:val="nil"/>
            </w:tcBorders>
            <w:shd w:val="clear" w:color="000000" w:fill="FFFFFF"/>
            <w:noWrap/>
            <w:vAlign w:val="center"/>
            <w:hideMark/>
          </w:tcPr>
          <w:p w14:paraId="7C30819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(53,250)</w:t>
            </w:r>
          </w:p>
        </w:tc>
        <w:tc>
          <w:tcPr>
            <w:tcW w:w="538" w:type="pct"/>
            <w:tcBorders>
              <w:top w:val="nil"/>
              <w:left w:val="nil"/>
              <w:bottom w:val="nil"/>
              <w:right w:val="nil"/>
            </w:tcBorders>
            <w:shd w:val="clear" w:color="000000" w:fill="FFFFFF"/>
            <w:noWrap/>
            <w:vAlign w:val="center"/>
            <w:hideMark/>
          </w:tcPr>
          <w:p w14:paraId="6BE99E9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(71,249)</w:t>
            </w:r>
          </w:p>
        </w:tc>
      </w:tr>
      <w:tr w:rsidR="0065570A" w:rsidRPr="0065570A" w14:paraId="75A87D79" w14:textId="77777777" w:rsidTr="0041394A">
        <w:trPr>
          <w:trHeight w:val="204"/>
        </w:trPr>
        <w:tc>
          <w:tcPr>
            <w:tcW w:w="374" w:type="pct"/>
            <w:tcBorders>
              <w:top w:val="nil"/>
              <w:left w:val="nil"/>
              <w:bottom w:val="nil"/>
              <w:right w:val="nil"/>
            </w:tcBorders>
            <w:shd w:val="clear" w:color="000000" w:fill="FFFFFF"/>
            <w:noWrap/>
            <w:vAlign w:val="center"/>
            <w:hideMark/>
          </w:tcPr>
          <w:p w14:paraId="69E2426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281A9A7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1FA4F61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16828E6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299EC7E9"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4B68071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70E4E83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18ACED7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3D1F526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0048BC14" w14:textId="77777777" w:rsidTr="0041394A">
        <w:trPr>
          <w:trHeight w:val="288"/>
        </w:trPr>
        <w:tc>
          <w:tcPr>
            <w:tcW w:w="374" w:type="pct"/>
            <w:tcBorders>
              <w:top w:val="nil"/>
              <w:left w:val="nil"/>
              <w:bottom w:val="nil"/>
              <w:right w:val="nil"/>
            </w:tcBorders>
            <w:shd w:val="clear" w:color="000000" w:fill="FFFFFF"/>
            <w:noWrap/>
            <w:vAlign w:val="center"/>
            <w:hideMark/>
          </w:tcPr>
          <w:p w14:paraId="5BE27F2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(104)</w:t>
            </w:r>
          </w:p>
        </w:tc>
        <w:tc>
          <w:tcPr>
            <w:tcW w:w="447" w:type="pct"/>
            <w:tcBorders>
              <w:top w:val="nil"/>
              <w:left w:val="nil"/>
              <w:bottom w:val="nil"/>
              <w:right w:val="nil"/>
            </w:tcBorders>
            <w:shd w:val="clear" w:color="000000" w:fill="FFFFFF"/>
            <w:noWrap/>
            <w:vAlign w:val="center"/>
            <w:hideMark/>
          </w:tcPr>
          <w:p w14:paraId="1B358A5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(11,466)</w:t>
            </w:r>
          </w:p>
        </w:tc>
        <w:tc>
          <w:tcPr>
            <w:tcW w:w="506" w:type="pct"/>
            <w:tcBorders>
              <w:top w:val="nil"/>
              <w:left w:val="nil"/>
              <w:bottom w:val="nil"/>
              <w:right w:val="nil"/>
            </w:tcBorders>
            <w:shd w:val="clear" w:color="000000" w:fill="FFFFFF"/>
            <w:noWrap/>
            <w:vAlign w:val="center"/>
            <w:hideMark/>
          </w:tcPr>
          <w:p w14:paraId="7008C66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(48,960)</w:t>
            </w:r>
          </w:p>
        </w:tc>
        <w:tc>
          <w:tcPr>
            <w:tcW w:w="506" w:type="pct"/>
            <w:tcBorders>
              <w:top w:val="nil"/>
              <w:left w:val="nil"/>
              <w:bottom w:val="nil"/>
              <w:right w:val="nil"/>
            </w:tcBorders>
            <w:shd w:val="clear" w:color="000000" w:fill="FFFFFF"/>
            <w:noWrap/>
            <w:vAlign w:val="center"/>
            <w:hideMark/>
          </w:tcPr>
          <w:p w14:paraId="1BB144D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(60,530)</w:t>
            </w:r>
          </w:p>
        </w:tc>
        <w:tc>
          <w:tcPr>
            <w:tcW w:w="1081" w:type="pct"/>
            <w:tcBorders>
              <w:top w:val="nil"/>
              <w:left w:val="nil"/>
              <w:bottom w:val="nil"/>
              <w:right w:val="nil"/>
            </w:tcBorders>
            <w:shd w:val="clear" w:color="000000" w:fill="FFFFFF"/>
            <w:vAlign w:val="center"/>
            <w:hideMark/>
          </w:tcPr>
          <w:p w14:paraId="7AAB1F68"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Interest cost</w:t>
            </w:r>
          </w:p>
        </w:tc>
        <w:tc>
          <w:tcPr>
            <w:tcW w:w="486" w:type="pct"/>
            <w:tcBorders>
              <w:top w:val="nil"/>
              <w:left w:val="nil"/>
              <w:bottom w:val="nil"/>
              <w:right w:val="nil"/>
            </w:tcBorders>
            <w:shd w:val="clear" w:color="000000" w:fill="FFFFFF"/>
            <w:noWrap/>
            <w:vAlign w:val="center"/>
            <w:hideMark/>
          </w:tcPr>
          <w:p w14:paraId="11E0CC2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(94)</w:t>
            </w:r>
          </w:p>
        </w:tc>
        <w:tc>
          <w:tcPr>
            <w:tcW w:w="447" w:type="pct"/>
            <w:tcBorders>
              <w:top w:val="nil"/>
              <w:left w:val="nil"/>
              <w:bottom w:val="nil"/>
              <w:right w:val="nil"/>
            </w:tcBorders>
            <w:shd w:val="clear" w:color="000000" w:fill="FFFFFF"/>
            <w:noWrap/>
            <w:vAlign w:val="center"/>
            <w:hideMark/>
          </w:tcPr>
          <w:p w14:paraId="7805835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(9,429)</w:t>
            </w:r>
          </w:p>
        </w:tc>
        <w:tc>
          <w:tcPr>
            <w:tcW w:w="614" w:type="pct"/>
            <w:tcBorders>
              <w:top w:val="nil"/>
              <w:left w:val="nil"/>
              <w:bottom w:val="nil"/>
              <w:right w:val="nil"/>
            </w:tcBorders>
            <w:shd w:val="clear" w:color="000000" w:fill="FFFFFF"/>
            <w:noWrap/>
            <w:vAlign w:val="center"/>
            <w:hideMark/>
          </w:tcPr>
          <w:p w14:paraId="068C3B6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(42,820)</w:t>
            </w:r>
          </w:p>
        </w:tc>
        <w:tc>
          <w:tcPr>
            <w:tcW w:w="538" w:type="pct"/>
            <w:tcBorders>
              <w:top w:val="nil"/>
              <w:left w:val="nil"/>
              <w:bottom w:val="nil"/>
              <w:right w:val="nil"/>
            </w:tcBorders>
            <w:shd w:val="clear" w:color="000000" w:fill="FFFFFF"/>
            <w:noWrap/>
            <w:vAlign w:val="center"/>
            <w:hideMark/>
          </w:tcPr>
          <w:p w14:paraId="4CD0C60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(52,343)</w:t>
            </w:r>
          </w:p>
        </w:tc>
      </w:tr>
      <w:tr w:rsidR="0065570A" w:rsidRPr="0065570A" w14:paraId="5CC270A1" w14:textId="77777777" w:rsidTr="0041394A">
        <w:trPr>
          <w:trHeight w:val="204"/>
        </w:trPr>
        <w:tc>
          <w:tcPr>
            <w:tcW w:w="374" w:type="pct"/>
            <w:tcBorders>
              <w:top w:val="nil"/>
              <w:left w:val="nil"/>
              <w:bottom w:val="nil"/>
              <w:right w:val="nil"/>
            </w:tcBorders>
            <w:shd w:val="clear" w:color="000000" w:fill="FFFFFF"/>
            <w:noWrap/>
            <w:vAlign w:val="center"/>
            <w:hideMark/>
          </w:tcPr>
          <w:p w14:paraId="0164091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75BD3ED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7820F95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240A4A0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39C7F7FE"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47819D3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527A48C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38472B2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1D4E37E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28352A24" w14:textId="77777777" w:rsidTr="0041394A">
        <w:trPr>
          <w:trHeight w:val="408"/>
        </w:trPr>
        <w:tc>
          <w:tcPr>
            <w:tcW w:w="374" w:type="pct"/>
            <w:tcBorders>
              <w:top w:val="nil"/>
              <w:left w:val="nil"/>
              <w:bottom w:val="nil"/>
              <w:right w:val="nil"/>
            </w:tcBorders>
            <w:shd w:val="clear" w:color="000000" w:fill="FFFFFF"/>
            <w:noWrap/>
            <w:vAlign w:val="center"/>
            <w:hideMark/>
          </w:tcPr>
          <w:p w14:paraId="2A67ABA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(47)</w:t>
            </w:r>
          </w:p>
        </w:tc>
        <w:tc>
          <w:tcPr>
            <w:tcW w:w="447" w:type="pct"/>
            <w:tcBorders>
              <w:top w:val="nil"/>
              <w:left w:val="nil"/>
              <w:bottom w:val="nil"/>
              <w:right w:val="nil"/>
            </w:tcBorders>
            <w:shd w:val="clear" w:color="000000" w:fill="FFFFFF"/>
            <w:noWrap/>
            <w:vAlign w:val="center"/>
            <w:hideMark/>
          </w:tcPr>
          <w:p w14:paraId="6631E7D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(3,172)</w:t>
            </w:r>
          </w:p>
        </w:tc>
        <w:tc>
          <w:tcPr>
            <w:tcW w:w="506" w:type="pct"/>
            <w:tcBorders>
              <w:top w:val="nil"/>
              <w:left w:val="nil"/>
              <w:bottom w:val="nil"/>
              <w:right w:val="nil"/>
            </w:tcBorders>
            <w:shd w:val="clear" w:color="000000" w:fill="FFFFFF"/>
            <w:noWrap/>
            <w:vAlign w:val="center"/>
            <w:hideMark/>
          </w:tcPr>
          <w:p w14:paraId="2398BED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(9,050)</w:t>
            </w:r>
          </w:p>
        </w:tc>
        <w:tc>
          <w:tcPr>
            <w:tcW w:w="506" w:type="pct"/>
            <w:tcBorders>
              <w:top w:val="nil"/>
              <w:left w:val="nil"/>
              <w:bottom w:val="nil"/>
              <w:right w:val="nil"/>
            </w:tcBorders>
            <w:shd w:val="clear" w:color="000000" w:fill="FFFFFF"/>
            <w:noWrap/>
            <w:vAlign w:val="center"/>
            <w:hideMark/>
          </w:tcPr>
          <w:p w14:paraId="35DED2E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(12,269)</w:t>
            </w:r>
          </w:p>
        </w:tc>
        <w:tc>
          <w:tcPr>
            <w:tcW w:w="1081" w:type="pct"/>
            <w:tcBorders>
              <w:top w:val="nil"/>
              <w:left w:val="nil"/>
              <w:bottom w:val="nil"/>
              <w:right w:val="nil"/>
            </w:tcBorders>
            <w:shd w:val="clear" w:color="000000" w:fill="FFFFFF"/>
            <w:vAlign w:val="center"/>
            <w:hideMark/>
          </w:tcPr>
          <w:p w14:paraId="404D4DEB"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Contributions from scheme participants</w:t>
            </w:r>
          </w:p>
        </w:tc>
        <w:tc>
          <w:tcPr>
            <w:tcW w:w="486" w:type="pct"/>
            <w:tcBorders>
              <w:top w:val="nil"/>
              <w:left w:val="nil"/>
              <w:bottom w:val="nil"/>
              <w:right w:val="nil"/>
            </w:tcBorders>
            <w:shd w:val="clear" w:color="000000" w:fill="FFFFFF"/>
            <w:noWrap/>
            <w:vAlign w:val="center"/>
            <w:hideMark/>
          </w:tcPr>
          <w:p w14:paraId="70B3091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(56)</w:t>
            </w:r>
          </w:p>
        </w:tc>
        <w:tc>
          <w:tcPr>
            <w:tcW w:w="447" w:type="pct"/>
            <w:tcBorders>
              <w:top w:val="nil"/>
              <w:left w:val="nil"/>
              <w:bottom w:val="nil"/>
              <w:right w:val="nil"/>
            </w:tcBorders>
            <w:shd w:val="clear" w:color="000000" w:fill="FFFFFF"/>
            <w:noWrap/>
            <w:vAlign w:val="center"/>
            <w:hideMark/>
          </w:tcPr>
          <w:p w14:paraId="1F706D3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(3,614)</w:t>
            </w:r>
          </w:p>
        </w:tc>
        <w:tc>
          <w:tcPr>
            <w:tcW w:w="614" w:type="pct"/>
            <w:tcBorders>
              <w:top w:val="nil"/>
              <w:left w:val="nil"/>
              <w:bottom w:val="nil"/>
              <w:right w:val="nil"/>
            </w:tcBorders>
            <w:shd w:val="clear" w:color="000000" w:fill="FFFFFF"/>
            <w:noWrap/>
            <w:vAlign w:val="center"/>
            <w:hideMark/>
          </w:tcPr>
          <w:p w14:paraId="371B3AF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(9,760)</w:t>
            </w:r>
          </w:p>
        </w:tc>
        <w:tc>
          <w:tcPr>
            <w:tcW w:w="538" w:type="pct"/>
            <w:tcBorders>
              <w:top w:val="nil"/>
              <w:left w:val="nil"/>
              <w:bottom w:val="nil"/>
              <w:right w:val="nil"/>
            </w:tcBorders>
            <w:shd w:val="clear" w:color="000000" w:fill="FFFFFF"/>
            <w:noWrap/>
            <w:vAlign w:val="center"/>
            <w:hideMark/>
          </w:tcPr>
          <w:p w14:paraId="2AB2CB7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(13,430)</w:t>
            </w:r>
          </w:p>
        </w:tc>
      </w:tr>
      <w:tr w:rsidR="0065570A" w:rsidRPr="0065570A" w14:paraId="676EE06E" w14:textId="77777777" w:rsidTr="0041394A">
        <w:trPr>
          <w:trHeight w:val="204"/>
        </w:trPr>
        <w:tc>
          <w:tcPr>
            <w:tcW w:w="374" w:type="pct"/>
            <w:tcBorders>
              <w:top w:val="nil"/>
              <w:left w:val="nil"/>
              <w:bottom w:val="nil"/>
              <w:right w:val="nil"/>
            </w:tcBorders>
            <w:shd w:val="clear" w:color="000000" w:fill="FFFFFF"/>
            <w:noWrap/>
            <w:vAlign w:val="center"/>
            <w:hideMark/>
          </w:tcPr>
          <w:p w14:paraId="1A9E759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4C127C9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7C41CEE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03AB099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539B12E9"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7F314B8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212CA1C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4846969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570B4BF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3150B1AE" w14:textId="77777777" w:rsidTr="0041394A">
        <w:trPr>
          <w:trHeight w:val="408"/>
        </w:trPr>
        <w:tc>
          <w:tcPr>
            <w:tcW w:w="374" w:type="pct"/>
            <w:tcBorders>
              <w:top w:val="nil"/>
              <w:left w:val="nil"/>
              <w:bottom w:val="nil"/>
              <w:right w:val="nil"/>
            </w:tcBorders>
            <w:shd w:val="clear" w:color="000000" w:fill="FFFFFF"/>
            <w:noWrap/>
            <w:vAlign w:val="center"/>
            <w:hideMark/>
          </w:tcPr>
          <w:p w14:paraId="23A4CCA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044C03B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7336CC7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184F7E7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vAlign w:val="center"/>
            <w:hideMark/>
          </w:tcPr>
          <w:p w14:paraId="3CB2CDAE" w14:textId="7358AB99"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Re</w:t>
            </w:r>
            <w:r w:rsidR="003D06C5">
              <w:rPr>
                <w:rFonts w:eastAsia="Times New Roman" w:cs="Calibri"/>
                <w:color w:val="000000"/>
                <w:sz w:val="16"/>
                <w:szCs w:val="16"/>
                <w:lang w:val="en-GB" w:eastAsia="en-GB"/>
              </w:rPr>
              <w:t>-</w:t>
            </w:r>
            <w:r w:rsidRPr="0065570A">
              <w:rPr>
                <w:rFonts w:eastAsia="Times New Roman" w:cs="Calibri"/>
                <w:color w:val="000000"/>
                <w:sz w:val="16"/>
                <w:szCs w:val="16"/>
                <w:lang w:val="en-GB" w:eastAsia="en-GB"/>
              </w:rPr>
              <w:t>measurement gains and losses:</w:t>
            </w:r>
          </w:p>
        </w:tc>
        <w:tc>
          <w:tcPr>
            <w:tcW w:w="486" w:type="pct"/>
            <w:tcBorders>
              <w:top w:val="nil"/>
              <w:left w:val="nil"/>
              <w:bottom w:val="nil"/>
              <w:right w:val="nil"/>
            </w:tcBorders>
            <w:shd w:val="clear" w:color="000000" w:fill="FFFFFF"/>
            <w:noWrap/>
            <w:vAlign w:val="center"/>
            <w:hideMark/>
          </w:tcPr>
          <w:p w14:paraId="3289662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5C1FB24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4706AFF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6699B20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34150755" w14:textId="77777777" w:rsidTr="0041394A">
        <w:trPr>
          <w:trHeight w:val="408"/>
        </w:trPr>
        <w:tc>
          <w:tcPr>
            <w:tcW w:w="374" w:type="pct"/>
            <w:tcBorders>
              <w:top w:val="nil"/>
              <w:left w:val="nil"/>
              <w:bottom w:val="nil"/>
              <w:right w:val="nil"/>
            </w:tcBorders>
            <w:shd w:val="clear" w:color="000000" w:fill="FFFFFF"/>
            <w:noWrap/>
            <w:vAlign w:val="center"/>
            <w:hideMark/>
          </w:tcPr>
          <w:p w14:paraId="7FBD3DF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20</w:t>
            </w:r>
          </w:p>
        </w:tc>
        <w:tc>
          <w:tcPr>
            <w:tcW w:w="447" w:type="pct"/>
            <w:tcBorders>
              <w:top w:val="nil"/>
              <w:left w:val="nil"/>
              <w:bottom w:val="nil"/>
              <w:right w:val="nil"/>
            </w:tcBorders>
            <w:shd w:val="clear" w:color="000000" w:fill="FFFFFF"/>
            <w:noWrap/>
            <w:vAlign w:val="center"/>
            <w:hideMark/>
          </w:tcPr>
          <w:p w14:paraId="19FE4FA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26,633</w:t>
            </w:r>
          </w:p>
        </w:tc>
        <w:tc>
          <w:tcPr>
            <w:tcW w:w="506" w:type="pct"/>
            <w:tcBorders>
              <w:top w:val="nil"/>
              <w:left w:val="nil"/>
              <w:bottom w:val="nil"/>
              <w:right w:val="nil"/>
            </w:tcBorders>
            <w:shd w:val="clear" w:color="000000" w:fill="FFFFFF"/>
            <w:noWrap/>
            <w:vAlign w:val="center"/>
            <w:hideMark/>
          </w:tcPr>
          <w:p w14:paraId="4C433C8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33,160</w:t>
            </w:r>
          </w:p>
        </w:tc>
        <w:tc>
          <w:tcPr>
            <w:tcW w:w="506" w:type="pct"/>
            <w:tcBorders>
              <w:top w:val="nil"/>
              <w:left w:val="nil"/>
              <w:bottom w:val="nil"/>
              <w:right w:val="nil"/>
            </w:tcBorders>
            <w:shd w:val="clear" w:color="000000" w:fill="FFFFFF"/>
            <w:noWrap/>
            <w:vAlign w:val="center"/>
            <w:hideMark/>
          </w:tcPr>
          <w:p w14:paraId="4A76902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59,813</w:t>
            </w:r>
          </w:p>
        </w:tc>
        <w:tc>
          <w:tcPr>
            <w:tcW w:w="1081" w:type="pct"/>
            <w:tcBorders>
              <w:top w:val="nil"/>
              <w:left w:val="nil"/>
              <w:bottom w:val="nil"/>
              <w:right w:val="nil"/>
            </w:tcBorders>
            <w:shd w:val="clear" w:color="000000" w:fill="FFFFFF"/>
            <w:vAlign w:val="center"/>
            <w:hideMark/>
          </w:tcPr>
          <w:p w14:paraId="41848148"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Actuarial gains / (losses) experience:</w:t>
            </w:r>
          </w:p>
        </w:tc>
        <w:tc>
          <w:tcPr>
            <w:tcW w:w="486" w:type="pct"/>
            <w:tcBorders>
              <w:top w:val="nil"/>
              <w:left w:val="nil"/>
              <w:bottom w:val="nil"/>
              <w:right w:val="nil"/>
            </w:tcBorders>
            <w:shd w:val="clear" w:color="000000" w:fill="FFFFFF"/>
            <w:noWrap/>
            <w:vAlign w:val="center"/>
            <w:hideMark/>
          </w:tcPr>
          <w:p w14:paraId="1360769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32</w:t>
            </w:r>
          </w:p>
        </w:tc>
        <w:tc>
          <w:tcPr>
            <w:tcW w:w="447" w:type="pct"/>
            <w:tcBorders>
              <w:top w:val="nil"/>
              <w:left w:val="nil"/>
              <w:bottom w:val="nil"/>
              <w:right w:val="nil"/>
            </w:tcBorders>
            <w:shd w:val="clear" w:color="000000" w:fill="FFFFFF"/>
            <w:noWrap/>
            <w:vAlign w:val="center"/>
            <w:hideMark/>
          </w:tcPr>
          <w:p w14:paraId="76B1FA4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4,322</w:t>
            </w:r>
          </w:p>
        </w:tc>
        <w:tc>
          <w:tcPr>
            <w:tcW w:w="614" w:type="pct"/>
            <w:tcBorders>
              <w:top w:val="nil"/>
              <w:left w:val="nil"/>
              <w:bottom w:val="nil"/>
              <w:right w:val="nil"/>
            </w:tcBorders>
            <w:shd w:val="clear" w:color="000000" w:fill="FFFFFF"/>
            <w:noWrap/>
            <w:vAlign w:val="center"/>
            <w:hideMark/>
          </w:tcPr>
          <w:p w14:paraId="24DB994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219,050</w:t>
            </w:r>
          </w:p>
        </w:tc>
        <w:tc>
          <w:tcPr>
            <w:tcW w:w="538" w:type="pct"/>
            <w:tcBorders>
              <w:top w:val="nil"/>
              <w:left w:val="nil"/>
              <w:bottom w:val="nil"/>
              <w:right w:val="nil"/>
            </w:tcBorders>
            <w:shd w:val="clear" w:color="000000" w:fill="FFFFFF"/>
            <w:noWrap/>
            <w:vAlign w:val="center"/>
            <w:hideMark/>
          </w:tcPr>
          <w:p w14:paraId="17946C8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223,404</w:t>
            </w:r>
          </w:p>
        </w:tc>
      </w:tr>
      <w:tr w:rsidR="0065570A" w:rsidRPr="0065570A" w14:paraId="735C573A" w14:textId="77777777" w:rsidTr="0041394A">
        <w:trPr>
          <w:trHeight w:val="204"/>
        </w:trPr>
        <w:tc>
          <w:tcPr>
            <w:tcW w:w="374" w:type="pct"/>
            <w:tcBorders>
              <w:top w:val="nil"/>
              <w:left w:val="nil"/>
              <w:bottom w:val="nil"/>
              <w:right w:val="nil"/>
            </w:tcBorders>
            <w:shd w:val="clear" w:color="000000" w:fill="FFFFFF"/>
            <w:noWrap/>
            <w:vAlign w:val="center"/>
            <w:hideMark/>
          </w:tcPr>
          <w:p w14:paraId="25C724D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63DE1C1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5AE83DC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1A95CCB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7FDB3369"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1750466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7DAA59B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0B40184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34EFECC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4C937F0C" w14:textId="77777777" w:rsidTr="0041394A">
        <w:trPr>
          <w:trHeight w:val="612"/>
        </w:trPr>
        <w:tc>
          <w:tcPr>
            <w:tcW w:w="374" w:type="pct"/>
            <w:tcBorders>
              <w:top w:val="nil"/>
              <w:left w:val="nil"/>
              <w:bottom w:val="nil"/>
              <w:right w:val="nil"/>
            </w:tcBorders>
            <w:shd w:val="clear" w:color="000000" w:fill="FFFFFF"/>
            <w:noWrap/>
            <w:vAlign w:val="center"/>
            <w:hideMark/>
          </w:tcPr>
          <w:p w14:paraId="388B355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519</w:t>
            </w:r>
          </w:p>
        </w:tc>
        <w:tc>
          <w:tcPr>
            <w:tcW w:w="447" w:type="pct"/>
            <w:tcBorders>
              <w:top w:val="nil"/>
              <w:left w:val="nil"/>
              <w:bottom w:val="nil"/>
              <w:right w:val="nil"/>
            </w:tcBorders>
            <w:shd w:val="clear" w:color="000000" w:fill="FFFFFF"/>
            <w:noWrap/>
            <w:vAlign w:val="center"/>
            <w:hideMark/>
          </w:tcPr>
          <w:p w14:paraId="4F8A52C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54,522</w:t>
            </w:r>
          </w:p>
        </w:tc>
        <w:tc>
          <w:tcPr>
            <w:tcW w:w="506" w:type="pct"/>
            <w:tcBorders>
              <w:top w:val="nil"/>
              <w:left w:val="nil"/>
              <w:bottom w:val="nil"/>
              <w:right w:val="nil"/>
            </w:tcBorders>
            <w:shd w:val="clear" w:color="000000" w:fill="FFFFFF"/>
            <w:noWrap/>
            <w:vAlign w:val="center"/>
            <w:hideMark/>
          </w:tcPr>
          <w:p w14:paraId="08956B2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61,100</w:t>
            </w:r>
          </w:p>
        </w:tc>
        <w:tc>
          <w:tcPr>
            <w:tcW w:w="506" w:type="pct"/>
            <w:tcBorders>
              <w:top w:val="nil"/>
              <w:left w:val="nil"/>
              <w:bottom w:val="nil"/>
              <w:right w:val="nil"/>
            </w:tcBorders>
            <w:shd w:val="clear" w:color="000000" w:fill="FFFFFF"/>
            <w:noWrap/>
            <w:vAlign w:val="center"/>
            <w:hideMark/>
          </w:tcPr>
          <w:p w14:paraId="673CF4C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116,141</w:t>
            </w:r>
          </w:p>
        </w:tc>
        <w:tc>
          <w:tcPr>
            <w:tcW w:w="1081" w:type="pct"/>
            <w:tcBorders>
              <w:top w:val="nil"/>
              <w:left w:val="nil"/>
              <w:bottom w:val="nil"/>
              <w:right w:val="nil"/>
            </w:tcBorders>
            <w:shd w:val="clear" w:color="000000" w:fill="FFFFFF"/>
            <w:vAlign w:val="center"/>
            <w:hideMark/>
          </w:tcPr>
          <w:p w14:paraId="28889F23" w14:textId="21A595AF" w:rsidR="0065570A" w:rsidRPr="0065570A" w:rsidRDefault="0065570A" w:rsidP="003D06C5">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xml:space="preserve">- Actuarial gains / (losses) from changes in demographic </w:t>
            </w:r>
            <w:r w:rsidR="003D06C5">
              <w:rPr>
                <w:rFonts w:eastAsia="Times New Roman" w:cs="Calibri"/>
                <w:color w:val="000000"/>
                <w:sz w:val="16"/>
                <w:szCs w:val="16"/>
                <w:lang w:val="en-GB" w:eastAsia="en-GB"/>
              </w:rPr>
              <w:t>a</w:t>
            </w:r>
            <w:r w:rsidRPr="0065570A">
              <w:rPr>
                <w:rFonts w:eastAsia="Times New Roman" w:cs="Calibri"/>
                <w:color w:val="000000"/>
                <w:sz w:val="16"/>
                <w:szCs w:val="16"/>
                <w:lang w:val="en-GB" w:eastAsia="en-GB"/>
              </w:rPr>
              <w:t>ssum</w:t>
            </w:r>
            <w:r w:rsidR="003D06C5">
              <w:rPr>
                <w:rFonts w:eastAsia="Times New Roman" w:cs="Calibri"/>
                <w:color w:val="000000"/>
                <w:sz w:val="16"/>
                <w:szCs w:val="16"/>
                <w:lang w:val="en-GB" w:eastAsia="en-GB"/>
              </w:rPr>
              <w:t>pt</w:t>
            </w:r>
            <w:r w:rsidRPr="0065570A">
              <w:rPr>
                <w:rFonts w:eastAsia="Times New Roman" w:cs="Calibri"/>
                <w:color w:val="000000"/>
                <w:sz w:val="16"/>
                <w:szCs w:val="16"/>
                <w:lang w:val="en-GB" w:eastAsia="en-GB"/>
              </w:rPr>
              <w:t>ions</w:t>
            </w:r>
          </w:p>
        </w:tc>
        <w:tc>
          <w:tcPr>
            <w:tcW w:w="486" w:type="pct"/>
            <w:tcBorders>
              <w:top w:val="nil"/>
              <w:left w:val="nil"/>
              <w:bottom w:val="nil"/>
              <w:right w:val="nil"/>
            </w:tcBorders>
            <w:shd w:val="clear" w:color="000000" w:fill="FFFFFF"/>
            <w:noWrap/>
            <w:vAlign w:val="center"/>
            <w:hideMark/>
          </w:tcPr>
          <w:p w14:paraId="1C4DD7C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(73)</w:t>
            </w:r>
          </w:p>
        </w:tc>
        <w:tc>
          <w:tcPr>
            <w:tcW w:w="447" w:type="pct"/>
            <w:tcBorders>
              <w:top w:val="nil"/>
              <w:left w:val="nil"/>
              <w:bottom w:val="nil"/>
              <w:right w:val="nil"/>
            </w:tcBorders>
            <w:shd w:val="clear" w:color="000000" w:fill="FFFFFF"/>
            <w:noWrap/>
            <w:vAlign w:val="center"/>
            <w:hideMark/>
          </w:tcPr>
          <w:p w14:paraId="715CEEB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(7,087)</w:t>
            </w:r>
          </w:p>
        </w:tc>
        <w:tc>
          <w:tcPr>
            <w:tcW w:w="614" w:type="pct"/>
            <w:tcBorders>
              <w:top w:val="nil"/>
              <w:left w:val="nil"/>
              <w:bottom w:val="nil"/>
              <w:right w:val="nil"/>
            </w:tcBorders>
            <w:shd w:val="clear" w:color="000000" w:fill="FFFFFF"/>
            <w:noWrap/>
            <w:vAlign w:val="center"/>
            <w:hideMark/>
          </w:tcPr>
          <w:p w14:paraId="153F16D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38" w:type="pct"/>
            <w:tcBorders>
              <w:top w:val="nil"/>
              <w:left w:val="nil"/>
              <w:bottom w:val="nil"/>
              <w:right w:val="nil"/>
            </w:tcBorders>
            <w:shd w:val="clear" w:color="000000" w:fill="FFFFFF"/>
            <w:noWrap/>
            <w:vAlign w:val="center"/>
            <w:hideMark/>
          </w:tcPr>
          <w:p w14:paraId="305BCB5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(7,160)</w:t>
            </w:r>
          </w:p>
        </w:tc>
      </w:tr>
      <w:tr w:rsidR="0065570A" w:rsidRPr="0065570A" w14:paraId="545E2848" w14:textId="77777777" w:rsidTr="0041394A">
        <w:trPr>
          <w:trHeight w:val="204"/>
        </w:trPr>
        <w:tc>
          <w:tcPr>
            <w:tcW w:w="374" w:type="pct"/>
            <w:tcBorders>
              <w:top w:val="nil"/>
              <w:left w:val="nil"/>
              <w:bottom w:val="nil"/>
              <w:right w:val="nil"/>
            </w:tcBorders>
            <w:shd w:val="clear" w:color="000000" w:fill="FFFFFF"/>
            <w:noWrap/>
            <w:vAlign w:val="center"/>
            <w:hideMark/>
          </w:tcPr>
          <w:p w14:paraId="517DD80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63D5A19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15A5134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78E109B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6C3FA965"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61526CC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32239CC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1B41742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3910CB9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183E3B70" w14:textId="77777777" w:rsidTr="0041394A">
        <w:trPr>
          <w:trHeight w:val="612"/>
        </w:trPr>
        <w:tc>
          <w:tcPr>
            <w:tcW w:w="374" w:type="pct"/>
            <w:tcBorders>
              <w:top w:val="nil"/>
              <w:left w:val="nil"/>
              <w:bottom w:val="nil"/>
              <w:right w:val="nil"/>
            </w:tcBorders>
            <w:shd w:val="clear" w:color="000000" w:fill="FFFFFF"/>
            <w:noWrap/>
            <w:vAlign w:val="center"/>
            <w:hideMark/>
          </w:tcPr>
          <w:p w14:paraId="3B3C2B3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447" w:type="pct"/>
            <w:tcBorders>
              <w:top w:val="nil"/>
              <w:left w:val="nil"/>
              <w:bottom w:val="nil"/>
              <w:right w:val="nil"/>
            </w:tcBorders>
            <w:shd w:val="clear" w:color="000000" w:fill="FFFFFF"/>
            <w:noWrap/>
            <w:vAlign w:val="center"/>
            <w:hideMark/>
          </w:tcPr>
          <w:p w14:paraId="0E53E89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11,095</w:t>
            </w:r>
          </w:p>
        </w:tc>
        <w:tc>
          <w:tcPr>
            <w:tcW w:w="506" w:type="pct"/>
            <w:tcBorders>
              <w:top w:val="nil"/>
              <w:left w:val="nil"/>
              <w:bottom w:val="nil"/>
              <w:right w:val="nil"/>
            </w:tcBorders>
            <w:shd w:val="clear" w:color="000000" w:fill="FFFFFF"/>
            <w:noWrap/>
            <w:vAlign w:val="center"/>
            <w:hideMark/>
          </w:tcPr>
          <w:p w14:paraId="440F382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46,900</w:t>
            </w:r>
          </w:p>
        </w:tc>
        <w:tc>
          <w:tcPr>
            <w:tcW w:w="506" w:type="pct"/>
            <w:tcBorders>
              <w:top w:val="nil"/>
              <w:left w:val="nil"/>
              <w:bottom w:val="nil"/>
              <w:right w:val="nil"/>
            </w:tcBorders>
            <w:shd w:val="clear" w:color="000000" w:fill="FFFFFF"/>
            <w:noWrap/>
            <w:vAlign w:val="center"/>
            <w:hideMark/>
          </w:tcPr>
          <w:p w14:paraId="16EB2D8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57,995</w:t>
            </w:r>
          </w:p>
        </w:tc>
        <w:tc>
          <w:tcPr>
            <w:tcW w:w="1081" w:type="pct"/>
            <w:tcBorders>
              <w:top w:val="nil"/>
              <w:left w:val="nil"/>
              <w:bottom w:val="nil"/>
              <w:right w:val="nil"/>
            </w:tcBorders>
            <w:shd w:val="clear" w:color="000000" w:fill="FFFFFF"/>
            <w:vAlign w:val="center"/>
            <w:hideMark/>
          </w:tcPr>
          <w:p w14:paraId="573F6931" w14:textId="72D71C6B"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Actuarial gains / (losses) f</w:t>
            </w:r>
            <w:r w:rsidR="003D06C5">
              <w:rPr>
                <w:rFonts w:eastAsia="Times New Roman" w:cs="Calibri"/>
                <w:color w:val="000000"/>
                <w:sz w:val="16"/>
                <w:szCs w:val="16"/>
                <w:lang w:val="en-GB" w:eastAsia="en-GB"/>
              </w:rPr>
              <w:t>rom changes in financial assumpt</w:t>
            </w:r>
            <w:r w:rsidRPr="0065570A">
              <w:rPr>
                <w:rFonts w:eastAsia="Times New Roman" w:cs="Calibri"/>
                <w:color w:val="000000"/>
                <w:sz w:val="16"/>
                <w:szCs w:val="16"/>
                <w:lang w:val="en-GB" w:eastAsia="en-GB"/>
              </w:rPr>
              <w:t>ions</w:t>
            </w:r>
          </w:p>
        </w:tc>
        <w:tc>
          <w:tcPr>
            <w:tcW w:w="486" w:type="pct"/>
            <w:tcBorders>
              <w:top w:val="nil"/>
              <w:left w:val="nil"/>
              <w:bottom w:val="nil"/>
              <w:right w:val="nil"/>
            </w:tcBorders>
            <w:shd w:val="clear" w:color="000000" w:fill="FFFFFF"/>
            <w:noWrap/>
            <w:vAlign w:val="center"/>
            <w:hideMark/>
          </w:tcPr>
          <w:p w14:paraId="36B3570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(1,571)</w:t>
            </w:r>
          </w:p>
        </w:tc>
        <w:tc>
          <w:tcPr>
            <w:tcW w:w="447" w:type="pct"/>
            <w:tcBorders>
              <w:top w:val="nil"/>
              <w:left w:val="nil"/>
              <w:bottom w:val="nil"/>
              <w:right w:val="nil"/>
            </w:tcBorders>
            <w:shd w:val="clear" w:color="000000" w:fill="FFFFFF"/>
            <w:noWrap/>
            <w:vAlign w:val="center"/>
            <w:hideMark/>
          </w:tcPr>
          <w:p w14:paraId="191E029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(146,210)</w:t>
            </w:r>
          </w:p>
        </w:tc>
        <w:tc>
          <w:tcPr>
            <w:tcW w:w="614" w:type="pct"/>
            <w:tcBorders>
              <w:top w:val="nil"/>
              <w:left w:val="nil"/>
              <w:bottom w:val="nil"/>
              <w:right w:val="nil"/>
            </w:tcBorders>
            <w:shd w:val="clear" w:color="000000" w:fill="FFFFFF"/>
            <w:noWrap/>
            <w:vAlign w:val="center"/>
            <w:hideMark/>
          </w:tcPr>
          <w:p w14:paraId="2F56B91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(222,190)</w:t>
            </w:r>
          </w:p>
        </w:tc>
        <w:tc>
          <w:tcPr>
            <w:tcW w:w="538" w:type="pct"/>
            <w:tcBorders>
              <w:top w:val="nil"/>
              <w:left w:val="nil"/>
              <w:bottom w:val="nil"/>
              <w:right w:val="nil"/>
            </w:tcBorders>
            <w:shd w:val="clear" w:color="000000" w:fill="FFFFFF"/>
            <w:noWrap/>
            <w:vAlign w:val="center"/>
            <w:hideMark/>
          </w:tcPr>
          <w:p w14:paraId="2D079DD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(369,971)</w:t>
            </w:r>
          </w:p>
        </w:tc>
      </w:tr>
      <w:tr w:rsidR="0065570A" w:rsidRPr="0065570A" w14:paraId="59BD56AA" w14:textId="77777777" w:rsidTr="0041394A">
        <w:trPr>
          <w:trHeight w:val="204"/>
        </w:trPr>
        <w:tc>
          <w:tcPr>
            <w:tcW w:w="374" w:type="pct"/>
            <w:tcBorders>
              <w:top w:val="nil"/>
              <w:left w:val="nil"/>
              <w:bottom w:val="nil"/>
              <w:right w:val="nil"/>
            </w:tcBorders>
            <w:shd w:val="clear" w:color="000000" w:fill="FFFFFF"/>
            <w:noWrap/>
            <w:vAlign w:val="center"/>
            <w:hideMark/>
          </w:tcPr>
          <w:p w14:paraId="267AE95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54577F0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3BB1457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1AC31E8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4A780121"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78D03D2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67C61BA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361F37C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66AB6E8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396FCEBA" w14:textId="77777777" w:rsidTr="0041394A">
        <w:trPr>
          <w:trHeight w:val="204"/>
        </w:trPr>
        <w:tc>
          <w:tcPr>
            <w:tcW w:w="374" w:type="pct"/>
            <w:tcBorders>
              <w:top w:val="nil"/>
              <w:left w:val="nil"/>
              <w:bottom w:val="nil"/>
              <w:right w:val="nil"/>
            </w:tcBorders>
            <w:shd w:val="clear" w:color="000000" w:fill="FFFFFF"/>
            <w:noWrap/>
            <w:vAlign w:val="center"/>
            <w:hideMark/>
          </w:tcPr>
          <w:p w14:paraId="4FB2951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18</w:t>
            </w:r>
          </w:p>
        </w:tc>
        <w:tc>
          <w:tcPr>
            <w:tcW w:w="447" w:type="pct"/>
            <w:tcBorders>
              <w:top w:val="nil"/>
              <w:left w:val="nil"/>
              <w:bottom w:val="nil"/>
              <w:right w:val="nil"/>
            </w:tcBorders>
            <w:shd w:val="clear" w:color="000000" w:fill="FFFFFF"/>
            <w:noWrap/>
            <w:vAlign w:val="center"/>
            <w:hideMark/>
          </w:tcPr>
          <w:p w14:paraId="110F862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1,054</w:t>
            </w:r>
          </w:p>
        </w:tc>
        <w:tc>
          <w:tcPr>
            <w:tcW w:w="506" w:type="pct"/>
            <w:tcBorders>
              <w:top w:val="nil"/>
              <w:left w:val="nil"/>
              <w:bottom w:val="nil"/>
              <w:right w:val="nil"/>
            </w:tcBorders>
            <w:shd w:val="clear" w:color="000000" w:fill="FFFFFF"/>
            <w:noWrap/>
            <w:vAlign w:val="center"/>
            <w:hideMark/>
          </w:tcPr>
          <w:p w14:paraId="1B9B43D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13,950</w:t>
            </w:r>
          </w:p>
        </w:tc>
        <w:tc>
          <w:tcPr>
            <w:tcW w:w="506" w:type="pct"/>
            <w:tcBorders>
              <w:top w:val="nil"/>
              <w:left w:val="nil"/>
              <w:bottom w:val="nil"/>
              <w:right w:val="nil"/>
            </w:tcBorders>
            <w:shd w:val="clear" w:color="000000" w:fill="FFFFFF"/>
            <w:noWrap/>
            <w:vAlign w:val="center"/>
            <w:hideMark/>
          </w:tcPr>
          <w:p w14:paraId="2E87551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15,022</w:t>
            </w:r>
          </w:p>
        </w:tc>
        <w:tc>
          <w:tcPr>
            <w:tcW w:w="1081" w:type="pct"/>
            <w:tcBorders>
              <w:top w:val="nil"/>
              <w:left w:val="nil"/>
              <w:bottom w:val="nil"/>
              <w:right w:val="nil"/>
            </w:tcBorders>
            <w:shd w:val="clear" w:color="000000" w:fill="FFFFFF"/>
            <w:noWrap/>
            <w:vAlign w:val="center"/>
            <w:hideMark/>
          </w:tcPr>
          <w:p w14:paraId="18D945F4"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Past service cost</w:t>
            </w:r>
          </w:p>
        </w:tc>
        <w:tc>
          <w:tcPr>
            <w:tcW w:w="486" w:type="pct"/>
            <w:tcBorders>
              <w:top w:val="nil"/>
              <w:left w:val="nil"/>
              <w:bottom w:val="nil"/>
              <w:right w:val="nil"/>
            </w:tcBorders>
            <w:shd w:val="clear" w:color="000000" w:fill="FFFFFF"/>
            <w:noWrap/>
            <w:vAlign w:val="center"/>
            <w:hideMark/>
          </w:tcPr>
          <w:p w14:paraId="625D644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447" w:type="pct"/>
            <w:tcBorders>
              <w:top w:val="nil"/>
              <w:left w:val="nil"/>
              <w:bottom w:val="nil"/>
              <w:right w:val="nil"/>
            </w:tcBorders>
            <w:shd w:val="clear" w:color="000000" w:fill="FFFFFF"/>
            <w:noWrap/>
            <w:vAlign w:val="center"/>
            <w:hideMark/>
          </w:tcPr>
          <w:p w14:paraId="33DBD77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614" w:type="pct"/>
            <w:tcBorders>
              <w:top w:val="nil"/>
              <w:left w:val="nil"/>
              <w:bottom w:val="nil"/>
              <w:right w:val="nil"/>
            </w:tcBorders>
            <w:shd w:val="clear" w:color="000000" w:fill="FFFFFF"/>
            <w:noWrap/>
            <w:vAlign w:val="center"/>
            <w:hideMark/>
          </w:tcPr>
          <w:p w14:paraId="13E5155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38" w:type="pct"/>
            <w:tcBorders>
              <w:top w:val="nil"/>
              <w:left w:val="nil"/>
              <w:bottom w:val="nil"/>
              <w:right w:val="nil"/>
            </w:tcBorders>
            <w:shd w:val="clear" w:color="000000" w:fill="FFFFFF"/>
            <w:noWrap/>
            <w:vAlign w:val="center"/>
            <w:hideMark/>
          </w:tcPr>
          <w:p w14:paraId="56709E2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r>
      <w:tr w:rsidR="0065570A" w:rsidRPr="0065570A" w14:paraId="3F6D01A7" w14:textId="77777777" w:rsidTr="0041394A">
        <w:trPr>
          <w:trHeight w:val="204"/>
        </w:trPr>
        <w:tc>
          <w:tcPr>
            <w:tcW w:w="374" w:type="pct"/>
            <w:tcBorders>
              <w:top w:val="nil"/>
              <w:left w:val="nil"/>
              <w:bottom w:val="nil"/>
              <w:right w:val="nil"/>
            </w:tcBorders>
            <w:shd w:val="clear" w:color="000000" w:fill="FFFFFF"/>
            <w:noWrap/>
            <w:vAlign w:val="center"/>
            <w:hideMark/>
          </w:tcPr>
          <w:p w14:paraId="115A94E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5B0E576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503ADD5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7D49EF7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18740C5C"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370AE96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38A824C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2597A76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45FE14B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41D368B9" w14:textId="77777777" w:rsidTr="0041394A">
        <w:trPr>
          <w:trHeight w:val="204"/>
        </w:trPr>
        <w:tc>
          <w:tcPr>
            <w:tcW w:w="374" w:type="pct"/>
            <w:tcBorders>
              <w:top w:val="nil"/>
              <w:left w:val="nil"/>
              <w:bottom w:val="nil"/>
              <w:right w:val="nil"/>
            </w:tcBorders>
            <w:shd w:val="clear" w:color="000000" w:fill="FFFFFF"/>
            <w:noWrap/>
            <w:vAlign w:val="center"/>
            <w:hideMark/>
          </w:tcPr>
          <w:p w14:paraId="53E5295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447" w:type="pct"/>
            <w:tcBorders>
              <w:top w:val="nil"/>
              <w:left w:val="nil"/>
              <w:bottom w:val="nil"/>
              <w:right w:val="nil"/>
            </w:tcBorders>
            <w:shd w:val="clear" w:color="000000" w:fill="FFFFFF"/>
            <w:noWrap/>
            <w:vAlign w:val="center"/>
            <w:hideMark/>
          </w:tcPr>
          <w:p w14:paraId="197038B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506" w:type="pct"/>
            <w:tcBorders>
              <w:top w:val="nil"/>
              <w:left w:val="nil"/>
              <w:bottom w:val="nil"/>
              <w:right w:val="nil"/>
            </w:tcBorders>
            <w:shd w:val="clear" w:color="000000" w:fill="FFFFFF"/>
            <w:noWrap/>
            <w:vAlign w:val="center"/>
            <w:hideMark/>
          </w:tcPr>
          <w:p w14:paraId="013B8D5C"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(460)</w:t>
            </w:r>
          </w:p>
        </w:tc>
        <w:tc>
          <w:tcPr>
            <w:tcW w:w="506" w:type="pct"/>
            <w:tcBorders>
              <w:top w:val="nil"/>
              <w:left w:val="nil"/>
              <w:bottom w:val="nil"/>
              <w:right w:val="nil"/>
            </w:tcBorders>
            <w:shd w:val="clear" w:color="000000" w:fill="FFFFFF"/>
            <w:noWrap/>
            <w:vAlign w:val="center"/>
            <w:hideMark/>
          </w:tcPr>
          <w:p w14:paraId="64AAB89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(460)</w:t>
            </w:r>
          </w:p>
        </w:tc>
        <w:tc>
          <w:tcPr>
            <w:tcW w:w="1081" w:type="pct"/>
            <w:tcBorders>
              <w:top w:val="nil"/>
              <w:left w:val="nil"/>
              <w:bottom w:val="nil"/>
              <w:right w:val="nil"/>
            </w:tcBorders>
            <w:shd w:val="clear" w:color="000000" w:fill="FFFFFF"/>
            <w:noWrap/>
            <w:vAlign w:val="center"/>
            <w:hideMark/>
          </w:tcPr>
          <w:p w14:paraId="04788593"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Transfers in</w:t>
            </w:r>
          </w:p>
        </w:tc>
        <w:tc>
          <w:tcPr>
            <w:tcW w:w="486" w:type="pct"/>
            <w:tcBorders>
              <w:top w:val="nil"/>
              <w:left w:val="nil"/>
              <w:bottom w:val="nil"/>
              <w:right w:val="nil"/>
            </w:tcBorders>
            <w:shd w:val="clear" w:color="000000" w:fill="FFFFFF"/>
            <w:noWrap/>
            <w:vAlign w:val="center"/>
            <w:hideMark/>
          </w:tcPr>
          <w:p w14:paraId="1EA91BF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447" w:type="pct"/>
            <w:tcBorders>
              <w:top w:val="nil"/>
              <w:left w:val="nil"/>
              <w:bottom w:val="nil"/>
              <w:right w:val="nil"/>
            </w:tcBorders>
            <w:shd w:val="clear" w:color="000000" w:fill="FFFFFF"/>
            <w:noWrap/>
            <w:vAlign w:val="center"/>
            <w:hideMark/>
          </w:tcPr>
          <w:p w14:paraId="58A38C9B"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0</w:t>
            </w:r>
          </w:p>
        </w:tc>
        <w:tc>
          <w:tcPr>
            <w:tcW w:w="614" w:type="pct"/>
            <w:tcBorders>
              <w:top w:val="nil"/>
              <w:left w:val="nil"/>
              <w:bottom w:val="nil"/>
              <w:right w:val="nil"/>
            </w:tcBorders>
            <w:shd w:val="clear" w:color="000000" w:fill="FFFFFF"/>
            <w:noWrap/>
            <w:vAlign w:val="center"/>
            <w:hideMark/>
          </w:tcPr>
          <w:p w14:paraId="1555EC0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(280)</w:t>
            </w:r>
          </w:p>
        </w:tc>
        <w:tc>
          <w:tcPr>
            <w:tcW w:w="538" w:type="pct"/>
            <w:tcBorders>
              <w:top w:val="nil"/>
              <w:left w:val="nil"/>
              <w:bottom w:val="nil"/>
              <w:right w:val="nil"/>
            </w:tcBorders>
            <w:shd w:val="clear" w:color="000000" w:fill="FFFFFF"/>
            <w:noWrap/>
            <w:vAlign w:val="center"/>
            <w:hideMark/>
          </w:tcPr>
          <w:p w14:paraId="1C4C9A98"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(280)</w:t>
            </w:r>
          </w:p>
        </w:tc>
      </w:tr>
      <w:tr w:rsidR="0065570A" w:rsidRPr="0065570A" w14:paraId="36966885" w14:textId="77777777" w:rsidTr="0041394A">
        <w:trPr>
          <w:trHeight w:val="204"/>
        </w:trPr>
        <w:tc>
          <w:tcPr>
            <w:tcW w:w="374" w:type="pct"/>
            <w:tcBorders>
              <w:top w:val="nil"/>
              <w:left w:val="nil"/>
              <w:bottom w:val="nil"/>
              <w:right w:val="nil"/>
            </w:tcBorders>
            <w:shd w:val="clear" w:color="000000" w:fill="FFFFFF"/>
            <w:noWrap/>
            <w:vAlign w:val="center"/>
            <w:hideMark/>
          </w:tcPr>
          <w:p w14:paraId="6665613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5A4E626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0C22D05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2E9F137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27BA73C1"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36F77D71"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4F94391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045EBD1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4188C26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091AFC79" w14:textId="77777777" w:rsidTr="0041394A">
        <w:trPr>
          <w:trHeight w:val="204"/>
        </w:trPr>
        <w:tc>
          <w:tcPr>
            <w:tcW w:w="374" w:type="pct"/>
            <w:tcBorders>
              <w:top w:val="nil"/>
              <w:left w:val="nil"/>
              <w:bottom w:val="nil"/>
              <w:right w:val="nil"/>
            </w:tcBorders>
            <w:shd w:val="clear" w:color="000000" w:fill="FFFFFF"/>
            <w:noWrap/>
            <w:vAlign w:val="center"/>
            <w:hideMark/>
          </w:tcPr>
          <w:p w14:paraId="43348943"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110</w:t>
            </w:r>
          </w:p>
        </w:tc>
        <w:tc>
          <w:tcPr>
            <w:tcW w:w="447" w:type="pct"/>
            <w:tcBorders>
              <w:top w:val="nil"/>
              <w:left w:val="nil"/>
              <w:bottom w:val="nil"/>
              <w:right w:val="nil"/>
            </w:tcBorders>
            <w:shd w:val="clear" w:color="000000" w:fill="FFFFFF"/>
            <w:noWrap/>
            <w:vAlign w:val="center"/>
            <w:hideMark/>
          </w:tcPr>
          <w:p w14:paraId="5182AC1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7,376</w:t>
            </w:r>
          </w:p>
        </w:tc>
        <w:tc>
          <w:tcPr>
            <w:tcW w:w="506" w:type="pct"/>
            <w:tcBorders>
              <w:top w:val="nil"/>
              <w:left w:val="nil"/>
              <w:bottom w:val="nil"/>
              <w:right w:val="nil"/>
            </w:tcBorders>
            <w:shd w:val="clear" w:color="000000" w:fill="FFFFFF"/>
            <w:noWrap/>
            <w:vAlign w:val="center"/>
            <w:hideMark/>
          </w:tcPr>
          <w:p w14:paraId="1D113657"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50,080</w:t>
            </w:r>
          </w:p>
        </w:tc>
        <w:tc>
          <w:tcPr>
            <w:tcW w:w="506" w:type="pct"/>
            <w:tcBorders>
              <w:top w:val="nil"/>
              <w:left w:val="nil"/>
              <w:bottom w:val="nil"/>
              <w:right w:val="nil"/>
            </w:tcBorders>
            <w:shd w:val="clear" w:color="000000" w:fill="FFFFFF"/>
            <w:noWrap/>
            <w:vAlign w:val="center"/>
            <w:hideMark/>
          </w:tcPr>
          <w:p w14:paraId="385E79BA"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57,566</w:t>
            </w:r>
          </w:p>
        </w:tc>
        <w:tc>
          <w:tcPr>
            <w:tcW w:w="1081" w:type="pct"/>
            <w:tcBorders>
              <w:top w:val="nil"/>
              <w:left w:val="nil"/>
              <w:bottom w:val="nil"/>
              <w:right w:val="nil"/>
            </w:tcBorders>
            <w:shd w:val="clear" w:color="000000" w:fill="FFFFFF"/>
            <w:noWrap/>
            <w:vAlign w:val="center"/>
            <w:hideMark/>
          </w:tcPr>
          <w:p w14:paraId="1B70B169"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Benefits / transfers paid</w:t>
            </w:r>
          </w:p>
        </w:tc>
        <w:tc>
          <w:tcPr>
            <w:tcW w:w="486" w:type="pct"/>
            <w:tcBorders>
              <w:top w:val="nil"/>
              <w:left w:val="nil"/>
              <w:bottom w:val="nil"/>
              <w:right w:val="nil"/>
            </w:tcBorders>
            <w:shd w:val="clear" w:color="000000" w:fill="FFFFFF"/>
            <w:noWrap/>
            <w:vAlign w:val="center"/>
            <w:hideMark/>
          </w:tcPr>
          <w:p w14:paraId="4D52BEA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44</w:t>
            </w:r>
          </w:p>
        </w:tc>
        <w:tc>
          <w:tcPr>
            <w:tcW w:w="447" w:type="pct"/>
            <w:tcBorders>
              <w:top w:val="nil"/>
              <w:left w:val="nil"/>
              <w:bottom w:val="nil"/>
              <w:right w:val="nil"/>
            </w:tcBorders>
            <w:shd w:val="clear" w:color="000000" w:fill="FFFFFF"/>
            <w:noWrap/>
            <w:vAlign w:val="center"/>
            <w:hideMark/>
          </w:tcPr>
          <w:p w14:paraId="7A688DF0"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6,968</w:t>
            </w:r>
          </w:p>
        </w:tc>
        <w:tc>
          <w:tcPr>
            <w:tcW w:w="614" w:type="pct"/>
            <w:tcBorders>
              <w:top w:val="nil"/>
              <w:left w:val="nil"/>
              <w:bottom w:val="nil"/>
              <w:right w:val="nil"/>
            </w:tcBorders>
            <w:shd w:val="clear" w:color="000000" w:fill="FFFFFF"/>
            <w:noWrap/>
            <w:vAlign w:val="center"/>
            <w:hideMark/>
          </w:tcPr>
          <w:p w14:paraId="181A33C4"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48,400</w:t>
            </w:r>
          </w:p>
        </w:tc>
        <w:tc>
          <w:tcPr>
            <w:tcW w:w="538" w:type="pct"/>
            <w:tcBorders>
              <w:top w:val="nil"/>
              <w:left w:val="nil"/>
              <w:bottom w:val="nil"/>
              <w:right w:val="nil"/>
            </w:tcBorders>
            <w:shd w:val="clear" w:color="000000" w:fill="FFFFFF"/>
            <w:noWrap/>
            <w:vAlign w:val="center"/>
            <w:hideMark/>
          </w:tcPr>
          <w:p w14:paraId="4040982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55,412</w:t>
            </w:r>
          </w:p>
        </w:tc>
      </w:tr>
      <w:tr w:rsidR="0065570A" w:rsidRPr="0065570A" w14:paraId="09173EF8" w14:textId="77777777" w:rsidTr="0041394A">
        <w:trPr>
          <w:trHeight w:val="204"/>
        </w:trPr>
        <w:tc>
          <w:tcPr>
            <w:tcW w:w="374" w:type="pct"/>
            <w:tcBorders>
              <w:top w:val="nil"/>
              <w:left w:val="nil"/>
              <w:bottom w:val="nil"/>
              <w:right w:val="nil"/>
            </w:tcBorders>
            <w:shd w:val="clear" w:color="000000" w:fill="FFFFFF"/>
            <w:noWrap/>
            <w:vAlign w:val="center"/>
            <w:hideMark/>
          </w:tcPr>
          <w:p w14:paraId="6B5466AD"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1FF3E7F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6B15F45F"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06" w:type="pct"/>
            <w:tcBorders>
              <w:top w:val="nil"/>
              <w:left w:val="nil"/>
              <w:bottom w:val="nil"/>
              <w:right w:val="nil"/>
            </w:tcBorders>
            <w:shd w:val="clear" w:color="000000" w:fill="FFFFFF"/>
            <w:noWrap/>
            <w:vAlign w:val="center"/>
            <w:hideMark/>
          </w:tcPr>
          <w:p w14:paraId="444CC8F6"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1081" w:type="pct"/>
            <w:tcBorders>
              <w:top w:val="nil"/>
              <w:left w:val="nil"/>
              <w:bottom w:val="nil"/>
              <w:right w:val="nil"/>
            </w:tcBorders>
            <w:shd w:val="clear" w:color="000000" w:fill="FFFFFF"/>
            <w:noWrap/>
            <w:vAlign w:val="center"/>
            <w:hideMark/>
          </w:tcPr>
          <w:p w14:paraId="50C6674C" w14:textId="77777777" w:rsidR="0065570A" w:rsidRPr="0065570A" w:rsidRDefault="0065570A" w:rsidP="0065570A">
            <w:pPr>
              <w:ind w:firstLineChars="100" w:firstLine="160"/>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86" w:type="pct"/>
            <w:tcBorders>
              <w:top w:val="nil"/>
              <w:left w:val="nil"/>
              <w:bottom w:val="nil"/>
              <w:right w:val="nil"/>
            </w:tcBorders>
            <w:shd w:val="clear" w:color="000000" w:fill="FFFFFF"/>
            <w:noWrap/>
            <w:vAlign w:val="center"/>
            <w:hideMark/>
          </w:tcPr>
          <w:p w14:paraId="6675B7F5"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447" w:type="pct"/>
            <w:tcBorders>
              <w:top w:val="nil"/>
              <w:left w:val="nil"/>
              <w:bottom w:val="nil"/>
              <w:right w:val="nil"/>
            </w:tcBorders>
            <w:shd w:val="clear" w:color="000000" w:fill="FFFFFF"/>
            <w:noWrap/>
            <w:vAlign w:val="center"/>
            <w:hideMark/>
          </w:tcPr>
          <w:p w14:paraId="4D1F1AAE"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614" w:type="pct"/>
            <w:tcBorders>
              <w:top w:val="nil"/>
              <w:left w:val="nil"/>
              <w:bottom w:val="nil"/>
              <w:right w:val="nil"/>
            </w:tcBorders>
            <w:shd w:val="clear" w:color="000000" w:fill="FFFFFF"/>
            <w:noWrap/>
            <w:vAlign w:val="center"/>
            <w:hideMark/>
          </w:tcPr>
          <w:p w14:paraId="3D4F5589"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c>
          <w:tcPr>
            <w:tcW w:w="538" w:type="pct"/>
            <w:tcBorders>
              <w:top w:val="nil"/>
              <w:left w:val="nil"/>
              <w:bottom w:val="nil"/>
              <w:right w:val="nil"/>
            </w:tcBorders>
            <w:shd w:val="clear" w:color="000000" w:fill="FFFFFF"/>
            <w:noWrap/>
            <w:vAlign w:val="center"/>
            <w:hideMark/>
          </w:tcPr>
          <w:p w14:paraId="279137D2" w14:textId="77777777" w:rsidR="0065570A" w:rsidRPr="0065570A" w:rsidRDefault="0065570A" w:rsidP="0065570A">
            <w:pPr>
              <w:ind w:firstLineChars="100" w:firstLine="160"/>
              <w:jc w:val="right"/>
              <w:rPr>
                <w:rFonts w:eastAsia="Times New Roman" w:cs="Calibri"/>
                <w:color w:val="000000"/>
                <w:sz w:val="16"/>
                <w:szCs w:val="16"/>
                <w:lang w:val="en-GB" w:eastAsia="en-GB"/>
              </w:rPr>
            </w:pPr>
            <w:r w:rsidRPr="0065570A">
              <w:rPr>
                <w:rFonts w:eastAsia="Times New Roman" w:cs="Calibri"/>
                <w:color w:val="000000"/>
                <w:sz w:val="16"/>
                <w:szCs w:val="16"/>
                <w:lang w:val="en-GB" w:eastAsia="en-GB"/>
              </w:rPr>
              <w:t> </w:t>
            </w:r>
          </w:p>
        </w:tc>
      </w:tr>
      <w:tr w:rsidR="0065570A" w:rsidRPr="0065570A" w14:paraId="222C4A5E" w14:textId="77777777" w:rsidTr="0041394A">
        <w:trPr>
          <w:trHeight w:val="624"/>
        </w:trPr>
        <w:tc>
          <w:tcPr>
            <w:tcW w:w="374" w:type="pct"/>
            <w:tcBorders>
              <w:top w:val="single" w:sz="4" w:space="0" w:color="auto"/>
              <w:left w:val="nil"/>
              <w:bottom w:val="single" w:sz="8" w:space="0" w:color="auto"/>
              <w:right w:val="nil"/>
            </w:tcBorders>
            <w:shd w:val="clear" w:color="000000" w:fill="FFFFFF"/>
            <w:noWrap/>
            <w:vAlign w:val="center"/>
            <w:hideMark/>
          </w:tcPr>
          <w:p w14:paraId="5BD7751A"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(3,972)</w:t>
            </w:r>
          </w:p>
        </w:tc>
        <w:tc>
          <w:tcPr>
            <w:tcW w:w="447" w:type="pct"/>
            <w:tcBorders>
              <w:top w:val="single" w:sz="4" w:space="0" w:color="auto"/>
              <w:left w:val="nil"/>
              <w:bottom w:val="single" w:sz="8" w:space="0" w:color="auto"/>
              <w:right w:val="nil"/>
            </w:tcBorders>
            <w:shd w:val="clear" w:color="000000" w:fill="FFFFFF"/>
            <w:noWrap/>
            <w:vAlign w:val="center"/>
            <w:hideMark/>
          </w:tcPr>
          <w:p w14:paraId="73B44B72"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(403,072)</w:t>
            </w:r>
          </w:p>
        </w:tc>
        <w:tc>
          <w:tcPr>
            <w:tcW w:w="506" w:type="pct"/>
            <w:tcBorders>
              <w:top w:val="single" w:sz="4" w:space="0" w:color="auto"/>
              <w:left w:val="nil"/>
              <w:bottom w:val="single" w:sz="8" w:space="0" w:color="auto"/>
              <w:right w:val="nil"/>
            </w:tcBorders>
            <w:shd w:val="clear" w:color="000000" w:fill="FFFFFF"/>
            <w:noWrap/>
            <w:vAlign w:val="center"/>
            <w:hideMark/>
          </w:tcPr>
          <w:p w14:paraId="66BF4EEB"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(1,896,060)</w:t>
            </w:r>
          </w:p>
        </w:tc>
        <w:tc>
          <w:tcPr>
            <w:tcW w:w="506" w:type="pct"/>
            <w:tcBorders>
              <w:top w:val="single" w:sz="4" w:space="0" w:color="auto"/>
              <w:left w:val="nil"/>
              <w:bottom w:val="single" w:sz="8" w:space="0" w:color="auto"/>
              <w:right w:val="nil"/>
            </w:tcBorders>
            <w:shd w:val="clear" w:color="000000" w:fill="FFFFFF"/>
            <w:noWrap/>
            <w:vAlign w:val="center"/>
            <w:hideMark/>
          </w:tcPr>
          <w:p w14:paraId="54438CF9"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(2,303,104)</w:t>
            </w:r>
          </w:p>
        </w:tc>
        <w:tc>
          <w:tcPr>
            <w:tcW w:w="1081" w:type="pct"/>
            <w:tcBorders>
              <w:top w:val="single" w:sz="4" w:space="0" w:color="auto"/>
              <w:left w:val="nil"/>
              <w:bottom w:val="single" w:sz="8" w:space="0" w:color="auto"/>
              <w:right w:val="nil"/>
            </w:tcBorders>
            <w:shd w:val="clear" w:color="000000" w:fill="FFFFFF"/>
            <w:vAlign w:val="center"/>
            <w:hideMark/>
          </w:tcPr>
          <w:p w14:paraId="3E84131C" w14:textId="77777777" w:rsidR="0065570A" w:rsidRPr="0065570A" w:rsidRDefault="0065570A" w:rsidP="0065570A">
            <w:pPr>
              <w:ind w:firstLineChars="100" w:firstLine="161"/>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Net (liability) / asset arising from the defined benefit obligation</w:t>
            </w:r>
          </w:p>
        </w:tc>
        <w:tc>
          <w:tcPr>
            <w:tcW w:w="486" w:type="pct"/>
            <w:tcBorders>
              <w:top w:val="single" w:sz="4" w:space="0" w:color="auto"/>
              <w:left w:val="nil"/>
              <w:bottom w:val="single" w:sz="8" w:space="0" w:color="auto"/>
              <w:right w:val="nil"/>
            </w:tcBorders>
            <w:shd w:val="clear" w:color="000000" w:fill="FFFFFF"/>
            <w:noWrap/>
            <w:vAlign w:val="center"/>
            <w:hideMark/>
          </w:tcPr>
          <w:p w14:paraId="6BDDED2A"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(5,903)</w:t>
            </w:r>
          </w:p>
        </w:tc>
        <w:tc>
          <w:tcPr>
            <w:tcW w:w="447" w:type="pct"/>
            <w:tcBorders>
              <w:top w:val="single" w:sz="4" w:space="0" w:color="auto"/>
              <w:left w:val="nil"/>
              <w:bottom w:val="single" w:sz="8" w:space="0" w:color="auto"/>
              <w:right w:val="nil"/>
            </w:tcBorders>
            <w:shd w:val="clear" w:color="000000" w:fill="FFFFFF"/>
            <w:noWrap/>
            <w:vAlign w:val="center"/>
            <w:hideMark/>
          </w:tcPr>
          <w:p w14:paraId="3BE055DA"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(575,908)</w:t>
            </w:r>
          </w:p>
        </w:tc>
        <w:tc>
          <w:tcPr>
            <w:tcW w:w="614" w:type="pct"/>
            <w:tcBorders>
              <w:top w:val="single" w:sz="4" w:space="0" w:color="auto"/>
              <w:left w:val="nil"/>
              <w:bottom w:val="single" w:sz="8" w:space="0" w:color="auto"/>
              <w:right w:val="nil"/>
            </w:tcBorders>
            <w:shd w:val="clear" w:color="000000" w:fill="FFFFFF"/>
            <w:noWrap/>
            <w:vAlign w:val="center"/>
            <w:hideMark/>
          </w:tcPr>
          <w:p w14:paraId="284A4DC2"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(1,956,910)</w:t>
            </w:r>
          </w:p>
        </w:tc>
        <w:tc>
          <w:tcPr>
            <w:tcW w:w="538" w:type="pct"/>
            <w:tcBorders>
              <w:top w:val="single" w:sz="4" w:space="0" w:color="auto"/>
              <w:left w:val="nil"/>
              <w:bottom w:val="single" w:sz="8" w:space="0" w:color="auto"/>
              <w:right w:val="nil"/>
            </w:tcBorders>
            <w:shd w:val="clear" w:color="000000" w:fill="FFFFFF"/>
            <w:noWrap/>
            <w:vAlign w:val="center"/>
            <w:hideMark/>
          </w:tcPr>
          <w:p w14:paraId="4595E2D8" w14:textId="77777777" w:rsidR="0065570A" w:rsidRPr="0065570A" w:rsidRDefault="0065570A" w:rsidP="0065570A">
            <w:pPr>
              <w:ind w:firstLineChars="100" w:firstLine="161"/>
              <w:jc w:val="right"/>
              <w:rPr>
                <w:rFonts w:eastAsia="Times New Roman" w:cs="Calibri"/>
                <w:b/>
                <w:bCs/>
                <w:color w:val="000000"/>
                <w:sz w:val="16"/>
                <w:szCs w:val="16"/>
                <w:lang w:val="en-GB" w:eastAsia="en-GB"/>
              </w:rPr>
            </w:pPr>
            <w:r w:rsidRPr="0065570A">
              <w:rPr>
                <w:rFonts w:eastAsia="Times New Roman" w:cs="Calibri"/>
                <w:b/>
                <w:bCs/>
                <w:color w:val="000000"/>
                <w:sz w:val="16"/>
                <w:szCs w:val="16"/>
                <w:lang w:val="en-GB" w:eastAsia="en-GB"/>
              </w:rPr>
              <w:t>(2,538,721)</w:t>
            </w:r>
          </w:p>
        </w:tc>
      </w:tr>
    </w:tbl>
    <w:p w14:paraId="182DC015" w14:textId="77777777" w:rsidR="002D48D1" w:rsidRDefault="002D48D1" w:rsidP="001B120B">
      <w:pPr>
        <w:pStyle w:val="Normal0"/>
        <w:spacing w:after="160" w:line="259" w:lineRule="auto"/>
        <w:jc w:val="both"/>
        <w:rPr>
          <w:rFonts w:ascii="Verdana" w:hAnsi="Verdana"/>
          <w:iCs/>
          <w:sz w:val="22"/>
          <w:szCs w:val="22"/>
          <w:highlight w:val="yellow"/>
        </w:rPr>
      </w:pPr>
    </w:p>
    <w:p w14:paraId="2E2EA77E" w14:textId="085B4637" w:rsidR="002D48D1" w:rsidRPr="00FE0665" w:rsidRDefault="00FE0665" w:rsidP="001B120B">
      <w:pPr>
        <w:pStyle w:val="Normal0"/>
        <w:spacing w:after="160" w:line="259" w:lineRule="auto"/>
        <w:jc w:val="both"/>
        <w:rPr>
          <w:rFonts w:ascii="Verdana" w:hAnsi="Verdana"/>
          <w:b/>
          <w:iCs/>
          <w:sz w:val="16"/>
          <w:szCs w:val="16"/>
        </w:rPr>
      </w:pPr>
      <w:r w:rsidRPr="00E245E6">
        <w:rPr>
          <w:rFonts w:ascii="Verdana" w:hAnsi="Verdana"/>
          <w:b/>
          <w:iCs/>
          <w:sz w:val="16"/>
          <w:szCs w:val="16"/>
        </w:rPr>
        <w:t>LGPS – Pension Scheme</w:t>
      </w:r>
      <w:r w:rsidRPr="00FE0665">
        <w:rPr>
          <w:rFonts w:ascii="Verdana" w:hAnsi="Verdana"/>
          <w:b/>
          <w:iCs/>
          <w:sz w:val="16"/>
          <w:szCs w:val="16"/>
        </w:rPr>
        <w:t xml:space="preserve"> – Assets comprised of:</w:t>
      </w:r>
    </w:p>
    <w:p w14:paraId="23D0C349" w14:textId="310F17FB" w:rsidR="00FE0665" w:rsidRPr="00FE0665" w:rsidRDefault="00FE0665" w:rsidP="001B120B">
      <w:pPr>
        <w:pStyle w:val="Normal0"/>
        <w:spacing w:after="160" w:line="259" w:lineRule="auto"/>
        <w:jc w:val="both"/>
        <w:rPr>
          <w:rFonts w:ascii="Verdana" w:hAnsi="Verdana"/>
          <w:b/>
          <w:iCs/>
          <w:sz w:val="16"/>
          <w:szCs w:val="16"/>
        </w:rPr>
      </w:pPr>
      <w:r w:rsidRPr="00FE0665">
        <w:rPr>
          <w:rFonts w:ascii="Verdana" w:hAnsi="Verdana"/>
          <w:b/>
          <w:iCs/>
          <w:sz w:val="16"/>
          <w:szCs w:val="16"/>
        </w:rPr>
        <w:t>Fair value of scheme assets</w:t>
      </w:r>
    </w:p>
    <w:tbl>
      <w:tblPr>
        <w:tblW w:w="10420" w:type="dxa"/>
        <w:jc w:val="center"/>
        <w:tblLook w:val="04A0" w:firstRow="1" w:lastRow="0" w:firstColumn="1" w:lastColumn="0" w:noHBand="0" w:noVBand="1"/>
      </w:tblPr>
      <w:tblGrid>
        <w:gridCol w:w="1100"/>
        <w:gridCol w:w="1480"/>
        <w:gridCol w:w="4720"/>
        <w:gridCol w:w="1560"/>
        <w:gridCol w:w="1560"/>
      </w:tblGrid>
      <w:tr w:rsidR="00FE0665" w:rsidRPr="00FE0665" w14:paraId="2ED3B578"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03224632"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2019/20</w:t>
            </w:r>
          </w:p>
        </w:tc>
        <w:tc>
          <w:tcPr>
            <w:tcW w:w="1480" w:type="dxa"/>
            <w:tcBorders>
              <w:top w:val="nil"/>
              <w:left w:val="nil"/>
              <w:bottom w:val="nil"/>
              <w:right w:val="nil"/>
            </w:tcBorders>
            <w:shd w:val="clear" w:color="000000" w:fill="FFFFFF"/>
            <w:noWrap/>
            <w:vAlign w:val="center"/>
            <w:hideMark/>
          </w:tcPr>
          <w:p w14:paraId="54EBACC0"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2019/20</w:t>
            </w:r>
          </w:p>
        </w:tc>
        <w:tc>
          <w:tcPr>
            <w:tcW w:w="4720" w:type="dxa"/>
            <w:tcBorders>
              <w:top w:val="nil"/>
              <w:left w:val="nil"/>
              <w:bottom w:val="nil"/>
              <w:right w:val="nil"/>
            </w:tcBorders>
            <w:shd w:val="clear" w:color="000000" w:fill="FFFFFF"/>
            <w:noWrap/>
            <w:vAlign w:val="center"/>
            <w:hideMark/>
          </w:tcPr>
          <w:p w14:paraId="704F319E"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 </w:t>
            </w:r>
          </w:p>
        </w:tc>
        <w:tc>
          <w:tcPr>
            <w:tcW w:w="1560" w:type="dxa"/>
            <w:tcBorders>
              <w:top w:val="nil"/>
              <w:left w:val="nil"/>
              <w:bottom w:val="single" w:sz="4" w:space="0" w:color="auto"/>
              <w:right w:val="nil"/>
            </w:tcBorders>
            <w:shd w:val="clear" w:color="000000" w:fill="FFFFFF"/>
            <w:noWrap/>
            <w:vAlign w:val="center"/>
            <w:hideMark/>
          </w:tcPr>
          <w:p w14:paraId="292F7283"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2020/21</w:t>
            </w:r>
          </w:p>
        </w:tc>
        <w:tc>
          <w:tcPr>
            <w:tcW w:w="1560" w:type="dxa"/>
            <w:tcBorders>
              <w:top w:val="nil"/>
              <w:left w:val="nil"/>
              <w:bottom w:val="single" w:sz="4" w:space="0" w:color="auto"/>
              <w:right w:val="nil"/>
            </w:tcBorders>
            <w:shd w:val="clear" w:color="000000" w:fill="FFFFFF"/>
            <w:noWrap/>
            <w:vAlign w:val="center"/>
            <w:hideMark/>
          </w:tcPr>
          <w:p w14:paraId="1C48C5A9"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2020/21</w:t>
            </w:r>
          </w:p>
        </w:tc>
      </w:tr>
      <w:tr w:rsidR="00FE0665" w:rsidRPr="00FE0665" w14:paraId="2DC18A09" w14:textId="77777777" w:rsidTr="00FE0665">
        <w:trPr>
          <w:trHeight w:val="64"/>
          <w:jc w:val="center"/>
        </w:trPr>
        <w:tc>
          <w:tcPr>
            <w:tcW w:w="1100" w:type="dxa"/>
            <w:tcBorders>
              <w:top w:val="nil"/>
              <w:left w:val="nil"/>
              <w:bottom w:val="nil"/>
              <w:right w:val="nil"/>
            </w:tcBorders>
            <w:shd w:val="clear" w:color="000000" w:fill="FFFFFF"/>
            <w:noWrap/>
            <w:vAlign w:val="center"/>
            <w:hideMark/>
          </w:tcPr>
          <w:p w14:paraId="0AE5849A"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PCC</w:t>
            </w:r>
          </w:p>
        </w:tc>
        <w:tc>
          <w:tcPr>
            <w:tcW w:w="1480" w:type="dxa"/>
            <w:tcBorders>
              <w:top w:val="nil"/>
              <w:left w:val="nil"/>
              <w:bottom w:val="nil"/>
              <w:right w:val="nil"/>
            </w:tcBorders>
            <w:shd w:val="clear" w:color="000000" w:fill="FFFFFF"/>
            <w:noWrap/>
            <w:vAlign w:val="center"/>
            <w:hideMark/>
          </w:tcPr>
          <w:p w14:paraId="221CD0C7"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CC</w:t>
            </w:r>
          </w:p>
        </w:tc>
        <w:tc>
          <w:tcPr>
            <w:tcW w:w="4720" w:type="dxa"/>
            <w:tcBorders>
              <w:top w:val="nil"/>
              <w:left w:val="nil"/>
              <w:bottom w:val="nil"/>
              <w:right w:val="nil"/>
            </w:tcBorders>
            <w:shd w:val="clear" w:color="000000" w:fill="FFFFFF"/>
            <w:noWrap/>
            <w:vAlign w:val="center"/>
            <w:hideMark/>
          </w:tcPr>
          <w:p w14:paraId="46822B0C"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 </w:t>
            </w:r>
          </w:p>
        </w:tc>
        <w:tc>
          <w:tcPr>
            <w:tcW w:w="1560" w:type="dxa"/>
            <w:tcBorders>
              <w:top w:val="nil"/>
              <w:left w:val="nil"/>
              <w:bottom w:val="nil"/>
              <w:right w:val="nil"/>
            </w:tcBorders>
            <w:shd w:val="clear" w:color="000000" w:fill="FFFFFF"/>
            <w:noWrap/>
            <w:vAlign w:val="center"/>
            <w:hideMark/>
          </w:tcPr>
          <w:p w14:paraId="0ABA5383"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PCC</w:t>
            </w:r>
          </w:p>
        </w:tc>
        <w:tc>
          <w:tcPr>
            <w:tcW w:w="1560" w:type="dxa"/>
            <w:tcBorders>
              <w:top w:val="nil"/>
              <w:left w:val="nil"/>
              <w:bottom w:val="nil"/>
              <w:right w:val="nil"/>
            </w:tcBorders>
            <w:shd w:val="clear" w:color="000000" w:fill="FFFFFF"/>
            <w:noWrap/>
            <w:vAlign w:val="center"/>
            <w:hideMark/>
          </w:tcPr>
          <w:p w14:paraId="29228E80"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CC</w:t>
            </w:r>
          </w:p>
        </w:tc>
      </w:tr>
      <w:tr w:rsidR="00FE0665" w:rsidRPr="00FE0665" w14:paraId="4736655D" w14:textId="77777777" w:rsidTr="00FE0665">
        <w:trPr>
          <w:trHeight w:val="74"/>
          <w:jc w:val="center"/>
        </w:trPr>
        <w:tc>
          <w:tcPr>
            <w:tcW w:w="1100" w:type="dxa"/>
            <w:tcBorders>
              <w:top w:val="nil"/>
              <w:left w:val="nil"/>
              <w:bottom w:val="nil"/>
              <w:right w:val="nil"/>
            </w:tcBorders>
            <w:shd w:val="clear" w:color="000000" w:fill="FFFFFF"/>
            <w:noWrap/>
            <w:vAlign w:val="center"/>
            <w:hideMark/>
          </w:tcPr>
          <w:p w14:paraId="74D94452"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£000</w:t>
            </w:r>
          </w:p>
        </w:tc>
        <w:tc>
          <w:tcPr>
            <w:tcW w:w="1480" w:type="dxa"/>
            <w:tcBorders>
              <w:top w:val="nil"/>
              <w:left w:val="nil"/>
              <w:bottom w:val="nil"/>
              <w:right w:val="nil"/>
            </w:tcBorders>
            <w:shd w:val="clear" w:color="000000" w:fill="FFFFFF"/>
            <w:noWrap/>
            <w:vAlign w:val="center"/>
            <w:hideMark/>
          </w:tcPr>
          <w:p w14:paraId="4E1F01D0"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£000</w:t>
            </w:r>
          </w:p>
        </w:tc>
        <w:tc>
          <w:tcPr>
            <w:tcW w:w="4720" w:type="dxa"/>
            <w:tcBorders>
              <w:top w:val="nil"/>
              <w:left w:val="nil"/>
              <w:bottom w:val="nil"/>
              <w:right w:val="nil"/>
            </w:tcBorders>
            <w:shd w:val="clear" w:color="000000" w:fill="FFFFFF"/>
            <w:noWrap/>
            <w:vAlign w:val="center"/>
            <w:hideMark/>
          </w:tcPr>
          <w:p w14:paraId="16956481"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 </w:t>
            </w:r>
          </w:p>
        </w:tc>
        <w:tc>
          <w:tcPr>
            <w:tcW w:w="1560" w:type="dxa"/>
            <w:tcBorders>
              <w:top w:val="nil"/>
              <w:left w:val="nil"/>
              <w:bottom w:val="nil"/>
              <w:right w:val="nil"/>
            </w:tcBorders>
            <w:shd w:val="clear" w:color="000000" w:fill="FFFFFF"/>
            <w:noWrap/>
            <w:vAlign w:val="center"/>
            <w:hideMark/>
          </w:tcPr>
          <w:p w14:paraId="7C3D5777"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£000</w:t>
            </w:r>
          </w:p>
        </w:tc>
        <w:tc>
          <w:tcPr>
            <w:tcW w:w="1560" w:type="dxa"/>
            <w:tcBorders>
              <w:top w:val="nil"/>
              <w:left w:val="nil"/>
              <w:bottom w:val="nil"/>
              <w:right w:val="nil"/>
            </w:tcBorders>
            <w:shd w:val="clear" w:color="000000" w:fill="FFFFFF"/>
            <w:noWrap/>
            <w:vAlign w:val="center"/>
            <w:hideMark/>
          </w:tcPr>
          <w:p w14:paraId="58516FAF"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£000</w:t>
            </w:r>
          </w:p>
        </w:tc>
      </w:tr>
      <w:tr w:rsidR="00FE0665" w:rsidRPr="00FE0665" w14:paraId="454B864E" w14:textId="77777777" w:rsidTr="00FE0665">
        <w:trPr>
          <w:trHeight w:val="300"/>
          <w:jc w:val="center"/>
        </w:trPr>
        <w:tc>
          <w:tcPr>
            <w:tcW w:w="1100" w:type="dxa"/>
            <w:tcBorders>
              <w:top w:val="single" w:sz="4" w:space="0" w:color="auto"/>
              <w:left w:val="nil"/>
              <w:bottom w:val="nil"/>
              <w:right w:val="nil"/>
            </w:tcBorders>
            <w:shd w:val="clear" w:color="000000" w:fill="FFFFFF"/>
            <w:noWrap/>
            <w:vAlign w:val="center"/>
            <w:hideMark/>
          </w:tcPr>
          <w:p w14:paraId="0CDB83FE"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480" w:type="dxa"/>
            <w:tcBorders>
              <w:top w:val="single" w:sz="4" w:space="0" w:color="auto"/>
              <w:left w:val="nil"/>
              <w:bottom w:val="nil"/>
              <w:right w:val="nil"/>
            </w:tcBorders>
            <w:shd w:val="clear" w:color="000000" w:fill="FFFFFF"/>
            <w:noWrap/>
            <w:vAlign w:val="center"/>
            <w:hideMark/>
          </w:tcPr>
          <w:p w14:paraId="5C636DA1"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4720" w:type="dxa"/>
            <w:tcBorders>
              <w:top w:val="single" w:sz="4" w:space="0" w:color="auto"/>
              <w:left w:val="nil"/>
              <w:bottom w:val="nil"/>
              <w:right w:val="nil"/>
            </w:tcBorders>
            <w:shd w:val="clear" w:color="000000" w:fill="FFFFFF"/>
            <w:noWrap/>
            <w:vAlign w:val="center"/>
            <w:hideMark/>
          </w:tcPr>
          <w:p w14:paraId="6D71A8D4"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EQUITY SECURITIES</w:t>
            </w:r>
          </w:p>
        </w:tc>
        <w:tc>
          <w:tcPr>
            <w:tcW w:w="1560" w:type="dxa"/>
            <w:tcBorders>
              <w:top w:val="single" w:sz="4" w:space="0" w:color="auto"/>
              <w:left w:val="nil"/>
              <w:bottom w:val="nil"/>
              <w:right w:val="nil"/>
            </w:tcBorders>
            <w:shd w:val="clear" w:color="000000" w:fill="FFFFFF"/>
            <w:noWrap/>
            <w:vAlign w:val="center"/>
            <w:hideMark/>
          </w:tcPr>
          <w:p w14:paraId="3C66CA12"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560" w:type="dxa"/>
            <w:tcBorders>
              <w:top w:val="single" w:sz="4" w:space="0" w:color="auto"/>
              <w:left w:val="nil"/>
              <w:bottom w:val="nil"/>
              <w:right w:val="nil"/>
            </w:tcBorders>
            <w:shd w:val="clear" w:color="000000" w:fill="FFFFFF"/>
            <w:noWrap/>
            <w:vAlign w:val="center"/>
            <w:hideMark/>
          </w:tcPr>
          <w:p w14:paraId="4E62F486"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r>
      <w:tr w:rsidR="00FE0665" w:rsidRPr="00FE0665" w14:paraId="1ABBAE8A"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7D6C3F11"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73</w:t>
            </w:r>
          </w:p>
        </w:tc>
        <w:tc>
          <w:tcPr>
            <w:tcW w:w="1480" w:type="dxa"/>
            <w:tcBorders>
              <w:top w:val="nil"/>
              <w:left w:val="nil"/>
              <w:bottom w:val="nil"/>
              <w:right w:val="nil"/>
            </w:tcBorders>
            <w:shd w:val="clear" w:color="000000" w:fill="FFFFFF"/>
            <w:noWrap/>
            <w:vAlign w:val="center"/>
            <w:hideMark/>
          </w:tcPr>
          <w:p w14:paraId="3CBC5C1F"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7,778</w:t>
            </w:r>
          </w:p>
        </w:tc>
        <w:tc>
          <w:tcPr>
            <w:tcW w:w="4720" w:type="dxa"/>
            <w:tcBorders>
              <w:top w:val="nil"/>
              <w:left w:val="nil"/>
              <w:bottom w:val="nil"/>
              <w:right w:val="nil"/>
            </w:tcBorders>
            <w:shd w:val="clear" w:color="000000" w:fill="FFFFFF"/>
            <w:noWrap/>
            <w:vAlign w:val="center"/>
            <w:hideMark/>
          </w:tcPr>
          <w:p w14:paraId="2126EF4D"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Consumer</w:t>
            </w:r>
          </w:p>
        </w:tc>
        <w:tc>
          <w:tcPr>
            <w:tcW w:w="1560" w:type="dxa"/>
            <w:tcBorders>
              <w:top w:val="nil"/>
              <w:left w:val="nil"/>
              <w:bottom w:val="nil"/>
              <w:right w:val="nil"/>
            </w:tcBorders>
            <w:shd w:val="clear" w:color="000000" w:fill="FFFFFF"/>
            <w:noWrap/>
            <w:vAlign w:val="center"/>
            <w:hideMark/>
          </w:tcPr>
          <w:p w14:paraId="6DB70EDF"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73</w:t>
            </w:r>
          </w:p>
        </w:tc>
        <w:tc>
          <w:tcPr>
            <w:tcW w:w="1560" w:type="dxa"/>
            <w:tcBorders>
              <w:top w:val="nil"/>
              <w:left w:val="nil"/>
              <w:bottom w:val="nil"/>
              <w:right w:val="nil"/>
            </w:tcBorders>
            <w:shd w:val="clear" w:color="000000" w:fill="FFFFFF"/>
            <w:noWrap/>
            <w:vAlign w:val="center"/>
            <w:hideMark/>
          </w:tcPr>
          <w:p w14:paraId="22C2802B"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7,771</w:t>
            </w:r>
          </w:p>
        </w:tc>
      </w:tr>
      <w:tr w:rsidR="00FE0665" w:rsidRPr="00FE0665" w14:paraId="047E0B27"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2D23B176"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55</w:t>
            </w:r>
          </w:p>
        </w:tc>
        <w:tc>
          <w:tcPr>
            <w:tcW w:w="1480" w:type="dxa"/>
            <w:tcBorders>
              <w:top w:val="nil"/>
              <w:left w:val="nil"/>
              <w:bottom w:val="nil"/>
              <w:right w:val="nil"/>
            </w:tcBorders>
            <w:shd w:val="clear" w:color="000000" w:fill="FFFFFF"/>
            <w:noWrap/>
            <w:vAlign w:val="center"/>
            <w:hideMark/>
          </w:tcPr>
          <w:p w14:paraId="4D5BC0BA"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5,806</w:t>
            </w:r>
          </w:p>
        </w:tc>
        <w:tc>
          <w:tcPr>
            <w:tcW w:w="4720" w:type="dxa"/>
            <w:tcBorders>
              <w:top w:val="nil"/>
              <w:left w:val="nil"/>
              <w:bottom w:val="nil"/>
              <w:right w:val="nil"/>
            </w:tcBorders>
            <w:shd w:val="clear" w:color="000000" w:fill="FFFFFF"/>
            <w:noWrap/>
            <w:vAlign w:val="center"/>
            <w:hideMark/>
          </w:tcPr>
          <w:p w14:paraId="53FD76A3"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Manufacturing</w:t>
            </w:r>
          </w:p>
        </w:tc>
        <w:tc>
          <w:tcPr>
            <w:tcW w:w="1560" w:type="dxa"/>
            <w:tcBorders>
              <w:top w:val="nil"/>
              <w:left w:val="nil"/>
              <w:bottom w:val="nil"/>
              <w:right w:val="nil"/>
            </w:tcBorders>
            <w:shd w:val="clear" w:color="000000" w:fill="FFFFFF"/>
            <w:noWrap/>
            <w:vAlign w:val="center"/>
            <w:hideMark/>
          </w:tcPr>
          <w:p w14:paraId="3DBD279A"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55</w:t>
            </w:r>
          </w:p>
        </w:tc>
        <w:tc>
          <w:tcPr>
            <w:tcW w:w="1560" w:type="dxa"/>
            <w:tcBorders>
              <w:top w:val="nil"/>
              <w:left w:val="nil"/>
              <w:bottom w:val="nil"/>
              <w:right w:val="nil"/>
            </w:tcBorders>
            <w:shd w:val="clear" w:color="000000" w:fill="FFFFFF"/>
            <w:noWrap/>
            <w:vAlign w:val="center"/>
            <w:hideMark/>
          </w:tcPr>
          <w:p w14:paraId="1CA5175D"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3,914</w:t>
            </w:r>
          </w:p>
        </w:tc>
      </w:tr>
      <w:tr w:rsidR="00FE0665" w:rsidRPr="00FE0665" w14:paraId="1B0A2173"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727E8BC4"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20</w:t>
            </w:r>
          </w:p>
        </w:tc>
        <w:tc>
          <w:tcPr>
            <w:tcW w:w="1480" w:type="dxa"/>
            <w:tcBorders>
              <w:top w:val="nil"/>
              <w:left w:val="nil"/>
              <w:bottom w:val="nil"/>
              <w:right w:val="nil"/>
            </w:tcBorders>
            <w:shd w:val="clear" w:color="000000" w:fill="FFFFFF"/>
            <w:noWrap/>
            <w:vAlign w:val="center"/>
            <w:hideMark/>
          </w:tcPr>
          <w:p w14:paraId="7BC4CBAC"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2,110</w:t>
            </w:r>
          </w:p>
        </w:tc>
        <w:tc>
          <w:tcPr>
            <w:tcW w:w="4720" w:type="dxa"/>
            <w:tcBorders>
              <w:top w:val="nil"/>
              <w:left w:val="nil"/>
              <w:bottom w:val="nil"/>
              <w:right w:val="nil"/>
            </w:tcBorders>
            <w:shd w:val="clear" w:color="000000" w:fill="FFFFFF"/>
            <w:noWrap/>
            <w:vAlign w:val="center"/>
            <w:hideMark/>
          </w:tcPr>
          <w:p w14:paraId="47C66DDC"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Energy and Utilities</w:t>
            </w:r>
          </w:p>
        </w:tc>
        <w:tc>
          <w:tcPr>
            <w:tcW w:w="1560" w:type="dxa"/>
            <w:tcBorders>
              <w:top w:val="nil"/>
              <w:left w:val="nil"/>
              <w:bottom w:val="nil"/>
              <w:right w:val="nil"/>
            </w:tcBorders>
            <w:shd w:val="clear" w:color="000000" w:fill="FFFFFF"/>
            <w:noWrap/>
            <w:vAlign w:val="center"/>
            <w:hideMark/>
          </w:tcPr>
          <w:p w14:paraId="22716BD0"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20</w:t>
            </w:r>
          </w:p>
        </w:tc>
        <w:tc>
          <w:tcPr>
            <w:tcW w:w="1560" w:type="dxa"/>
            <w:tcBorders>
              <w:top w:val="nil"/>
              <w:left w:val="nil"/>
              <w:bottom w:val="nil"/>
              <w:right w:val="nil"/>
            </w:tcBorders>
            <w:shd w:val="clear" w:color="000000" w:fill="FFFFFF"/>
            <w:noWrap/>
            <w:vAlign w:val="center"/>
            <w:hideMark/>
          </w:tcPr>
          <w:p w14:paraId="7441CAB3"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756</w:t>
            </w:r>
          </w:p>
        </w:tc>
      </w:tr>
      <w:tr w:rsidR="00FE0665" w:rsidRPr="00FE0665" w14:paraId="2851FC8C"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6EB20C52"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43</w:t>
            </w:r>
          </w:p>
        </w:tc>
        <w:tc>
          <w:tcPr>
            <w:tcW w:w="1480" w:type="dxa"/>
            <w:tcBorders>
              <w:top w:val="nil"/>
              <w:left w:val="nil"/>
              <w:bottom w:val="nil"/>
              <w:right w:val="nil"/>
            </w:tcBorders>
            <w:shd w:val="clear" w:color="000000" w:fill="FFFFFF"/>
            <w:noWrap/>
            <w:vAlign w:val="center"/>
            <w:hideMark/>
          </w:tcPr>
          <w:p w14:paraId="3F8F93EF"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4,590</w:t>
            </w:r>
          </w:p>
        </w:tc>
        <w:tc>
          <w:tcPr>
            <w:tcW w:w="4720" w:type="dxa"/>
            <w:tcBorders>
              <w:top w:val="nil"/>
              <w:left w:val="nil"/>
              <w:bottom w:val="nil"/>
              <w:right w:val="nil"/>
            </w:tcBorders>
            <w:shd w:val="clear" w:color="000000" w:fill="FFFFFF"/>
            <w:noWrap/>
            <w:vAlign w:val="center"/>
            <w:hideMark/>
          </w:tcPr>
          <w:p w14:paraId="022B1244"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Financial Institutions</w:t>
            </w:r>
          </w:p>
        </w:tc>
        <w:tc>
          <w:tcPr>
            <w:tcW w:w="1560" w:type="dxa"/>
            <w:tcBorders>
              <w:top w:val="nil"/>
              <w:left w:val="nil"/>
              <w:bottom w:val="nil"/>
              <w:right w:val="nil"/>
            </w:tcBorders>
            <w:shd w:val="clear" w:color="000000" w:fill="FFFFFF"/>
            <w:noWrap/>
            <w:vAlign w:val="center"/>
            <w:hideMark/>
          </w:tcPr>
          <w:p w14:paraId="49687765"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43</w:t>
            </w:r>
          </w:p>
        </w:tc>
        <w:tc>
          <w:tcPr>
            <w:tcW w:w="1560" w:type="dxa"/>
            <w:tcBorders>
              <w:top w:val="nil"/>
              <w:left w:val="nil"/>
              <w:bottom w:val="nil"/>
              <w:right w:val="nil"/>
            </w:tcBorders>
            <w:shd w:val="clear" w:color="000000" w:fill="FFFFFF"/>
            <w:noWrap/>
            <w:vAlign w:val="center"/>
            <w:hideMark/>
          </w:tcPr>
          <w:p w14:paraId="47B93C7A"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4,675</w:t>
            </w:r>
          </w:p>
        </w:tc>
      </w:tr>
      <w:tr w:rsidR="00FE0665" w:rsidRPr="00FE0665" w14:paraId="677E081B"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6C5253BC"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44</w:t>
            </w:r>
          </w:p>
        </w:tc>
        <w:tc>
          <w:tcPr>
            <w:tcW w:w="1480" w:type="dxa"/>
            <w:tcBorders>
              <w:top w:val="nil"/>
              <w:left w:val="nil"/>
              <w:bottom w:val="nil"/>
              <w:right w:val="nil"/>
            </w:tcBorders>
            <w:shd w:val="clear" w:color="000000" w:fill="FFFFFF"/>
            <w:noWrap/>
            <w:vAlign w:val="center"/>
            <w:hideMark/>
          </w:tcPr>
          <w:p w14:paraId="2D633B13"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4,694</w:t>
            </w:r>
          </w:p>
        </w:tc>
        <w:tc>
          <w:tcPr>
            <w:tcW w:w="4720" w:type="dxa"/>
            <w:tcBorders>
              <w:top w:val="nil"/>
              <w:left w:val="nil"/>
              <w:bottom w:val="nil"/>
              <w:right w:val="nil"/>
            </w:tcBorders>
            <w:shd w:val="clear" w:color="000000" w:fill="FFFFFF"/>
            <w:noWrap/>
            <w:vAlign w:val="center"/>
            <w:hideMark/>
          </w:tcPr>
          <w:p w14:paraId="52DE1168"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Health and Care</w:t>
            </w:r>
          </w:p>
        </w:tc>
        <w:tc>
          <w:tcPr>
            <w:tcW w:w="1560" w:type="dxa"/>
            <w:tcBorders>
              <w:top w:val="nil"/>
              <w:left w:val="nil"/>
              <w:bottom w:val="nil"/>
              <w:right w:val="nil"/>
            </w:tcBorders>
            <w:shd w:val="clear" w:color="000000" w:fill="FFFFFF"/>
            <w:noWrap/>
            <w:vAlign w:val="center"/>
            <w:hideMark/>
          </w:tcPr>
          <w:p w14:paraId="2C4EA3E4"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44</w:t>
            </w:r>
          </w:p>
        </w:tc>
        <w:tc>
          <w:tcPr>
            <w:tcW w:w="1560" w:type="dxa"/>
            <w:tcBorders>
              <w:top w:val="nil"/>
              <w:left w:val="nil"/>
              <w:bottom w:val="nil"/>
              <w:right w:val="nil"/>
            </w:tcBorders>
            <w:shd w:val="clear" w:color="000000" w:fill="FFFFFF"/>
            <w:noWrap/>
            <w:vAlign w:val="center"/>
            <w:hideMark/>
          </w:tcPr>
          <w:p w14:paraId="5FF224E3"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3,288</w:t>
            </w:r>
          </w:p>
        </w:tc>
      </w:tr>
      <w:tr w:rsidR="00FE0665" w:rsidRPr="00FE0665" w14:paraId="0F1B7ED0"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6909E65F"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84</w:t>
            </w:r>
          </w:p>
        </w:tc>
        <w:tc>
          <w:tcPr>
            <w:tcW w:w="1480" w:type="dxa"/>
            <w:tcBorders>
              <w:top w:val="nil"/>
              <w:left w:val="nil"/>
              <w:bottom w:val="nil"/>
              <w:right w:val="nil"/>
            </w:tcBorders>
            <w:shd w:val="clear" w:color="000000" w:fill="FFFFFF"/>
            <w:noWrap/>
            <w:vAlign w:val="center"/>
            <w:hideMark/>
          </w:tcPr>
          <w:p w14:paraId="3BD7C04D"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8,897</w:t>
            </w:r>
          </w:p>
        </w:tc>
        <w:tc>
          <w:tcPr>
            <w:tcW w:w="4720" w:type="dxa"/>
            <w:tcBorders>
              <w:top w:val="nil"/>
              <w:left w:val="nil"/>
              <w:bottom w:val="nil"/>
              <w:right w:val="nil"/>
            </w:tcBorders>
            <w:shd w:val="clear" w:color="000000" w:fill="FFFFFF"/>
            <w:noWrap/>
            <w:vAlign w:val="center"/>
            <w:hideMark/>
          </w:tcPr>
          <w:p w14:paraId="5EF91221"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Information Technology</w:t>
            </w:r>
          </w:p>
        </w:tc>
        <w:tc>
          <w:tcPr>
            <w:tcW w:w="1560" w:type="dxa"/>
            <w:tcBorders>
              <w:top w:val="nil"/>
              <w:left w:val="nil"/>
              <w:bottom w:val="nil"/>
              <w:right w:val="nil"/>
            </w:tcBorders>
            <w:shd w:val="clear" w:color="000000" w:fill="FFFFFF"/>
            <w:noWrap/>
            <w:vAlign w:val="center"/>
            <w:hideMark/>
          </w:tcPr>
          <w:p w14:paraId="143952C2"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84</w:t>
            </w:r>
          </w:p>
        </w:tc>
        <w:tc>
          <w:tcPr>
            <w:tcW w:w="1560" w:type="dxa"/>
            <w:tcBorders>
              <w:top w:val="nil"/>
              <w:left w:val="nil"/>
              <w:bottom w:val="nil"/>
              <w:right w:val="nil"/>
            </w:tcBorders>
            <w:shd w:val="clear" w:color="000000" w:fill="FFFFFF"/>
            <w:noWrap/>
            <w:vAlign w:val="center"/>
            <w:hideMark/>
          </w:tcPr>
          <w:p w14:paraId="76289CFD"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10,860</w:t>
            </w:r>
          </w:p>
        </w:tc>
      </w:tr>
      <w:tr w:rsidR="00FE0665" w:rsidRPr="00FE0665" w14:paraId="2257D10B"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2CDCB06E"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w:t>
            </w:r>
          </w:p>
        </w:tc>
        <w:tc>
          <w:tcPr>
            <w:tcW w:w="1480" w:type="dxa"/>
            <w:tcBorders>
              <w:top w:val="nil"/>
              <w:left w:val="nil"/>
              <w:bottom w:val="nil"/>
              <w:right w:val="nil"/>
            </w:tcBorders>
            <w:shd w:val="clear" w:color="000000" w:fill="FFFFFF"/>
            <w:noWrap/>
            <w:vAlign w:val="center"/>
            <w:hideMark/>
          </w:tcPr>
          <w:p w14:paraId="29692EA6"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155</w:t>
            </w:r>
          </w:p>
        </w:tc>
        <w:tc>
          <w:tcPr>
            <w:tcW w:w="4720" w:type="dxa"/>
            <w:tcBorders>
              <w:top w:val="nil"/>
              <w:left w:val="nil"/>
              <w:bottom w:val="nil"/>
              <w:right w:val="nil"/>
            </w:tcBorders>
            <w:shd w:val="clear" w:color="000000" w:fill="FFFFFF"/>
            <w:noWrap/>
            <w:vAlign w:val="center"/>
            <w:hideMark/>
          </w:tcPr>
          <w:p w14:paraId="432F631B"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Other</w:t>
            </w:r>
          </w:p>
        </w:tc>
        <w:tc>
          <w:tcPr>
            <w:tcW w:w="1560" w:type="dxa"/>
            <w:tcBorders>
              <w:top w:val="nil"/>
              <w:left w:val="nil"/>
              <w:bottom w:val="nil"/>
              <w:right w:val="nil"/>
            </w:tcBorders>
            <w:shd w:val="clear" w:color="000000" w:fill="FFFFFF"/>
            <w:noWrap/>
            <w:vAlign w:val="center"/>
            <w:hideMark/>
          </w:tcPr>
          <w:p w14:paraId="0BF9E39F"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w:t>
            </w:r>
          </w:p>
        </w:tc>
        <w:tc>
          <w:tcPr>
            <w:tcW w:w="1560" w:type="dxa"/>
            <w:tcBorders>
              <w:top w:val="nil"/>
              <w:left w:val="nil"/>
              <w:bottom w:val="nil"/>
              <w:right w:val="nil"/>
            </w:tcBorders>
            <w:shd w:val="clear" w:color="000000" w:fill="FFFFFF"/>
            <w:noWrap/>
            <w:vAlign w:val="center"/>
            <w:hideMark/>
          </w:tcPr>
          <w:p w14:paraId="0C9DF1F4"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0</w:t>
            </w:r>
          </w:p>
        </w:tc>
      </w:tr>
      <w:tr w:rsidR="00FE0665" w:rsidRPr="00FE0665" w14:paraId="71D01418" w14:textId="77777777" w:rsidTr="00FE0665">
        <w:trPr>
          <w:trHeight w:val="300"/>
          <w:jc w:val="center"/>
        </w:trPr>
        <w:tc>
          <w:tcPr>
            <w:tcW w:w="1100" w:type="dxa"/>
            <w:tcBorders>
              <w:top w:val="single" w:sz="4" w:space="0" w:color="auto"/>
              <w:left w:val="nil"/>
              <w:bottom w:val="single" w:sz="8" w:space="0" w:color="auto"/>
              <w:right w:val="nil"/>
            </w:tcBorders>
            <w:shd w:val="clear" w:color="000000" w:fill="FFFFFF"/>
            <w:noWrap/>
            <w:vAlign w:val="center"/>
            <w:hideMark/>
          </w:tcPr>
          <w:p w14:paraId="1DFB5DB4"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320</w:t>
            </w:r>
          </w:p>
        </w:tc>
        <w:tc>
          <w:tcPr>
            <w:tcW w:w="1480" w:type="dxa"/>
            <w:tcBorders>
              <w:top w:val="single" w:sz="4" w:space="0" w:color="auto"/>
              <w:left w:val="nil"/>
              <w:bottom w:val="single" w:sz="8" w:space="0" w:color="auto"/>
              <w:right w:val="nil"/>
            </w:tcBorders>
            <w:shd w:val="clear" w:color="000000" w:fill="FFFFFF"/>
            <w:noWrap/>
            <w:vAlign w:val="center"/>
            <w:hideMark/>
          </w:tcPr>
          <w:p w14:paraId="4F46798A"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34,030</w:t>
            </w:r>
          </w:p>
        </w:tc>
        <w:tc>
          <w:tcPr>
            <w:tcW w:w="4720" w:type="dxa"/>
            <w:tcBorders>
              <w:top w:val="single" w:sz="4" w:space="0" w:color="auto"/>
              <w:left w:val="nil"/>
              <w:bottom w:val="single" w:sz="8" w:space="0" w:color="auto"/>
              <w:right w:val="nil"/>
            </w:tcBorders>
            <w:shd w:val="clear" w:color="000000" w:fill="FFFFFF"/>
            <w:noWrap/>
            <w:vAlign w:val="center"/>
            <w:hideMark/>
          </w:tcPr>
          <w:p w14:paraId="5DB170FB"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Subtotal  EQUITY SECURITIES</w:t>
            </w:r>
          </w:p>
        </w:tc>
        <w:tc>
          <w:tcPr>
            <w:tcW w:w="1560" w:type="dxa"/>
            <w:tcBorders>
              <w:top w:val="single" w:sz="4" w:space="0" w:color="auto"/>
              <w:left w:val="nil"/>
              <w:bottom w:val="single" w:sz="8" w:space="0" w:color="auto"/>
              <w:right w:val="nil"/>
            </w:tcBorders>
            <w:shd w:val="clear" w:color="000000" w:fill="FFFFFF"/>
            <w:noWrap/>
            <w:vAlign w:val="center"/>
            <w:hideMark/>
          </w:tcPr>
          <w:p w14:paraId="7B4842D1"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320</w:t>
            </w:r>
          </w:p>
        </w:tc>
        <w:tc>
          <w:tcPr>
            <w:tcW w:w="1560" w:type="dxa"/>
            <w:tcBorders>
              <w:top w:val="single" w:sz="4" w:space="0" w:color="auto"/>
              <w:left w:val="nil"/>
              <w:bottom w:val="single" w:sz="8" w:space="0" w:color="auto"/>
              <w:right w:val="nil"/>
            </w:tcBorders>
            <w:shd w:val="clear" w:color="000000" w:fill="FFFFFF"/>
            <w:noWrap/>
            <w:vAlign w:val="center"/>
            <w:hideMark/>
          </w:tcPr>
          <w:p w14:paraId="1E3852E0"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31,264</w:t>
            </w:r>
          </w:p>
        </w:tc>
      </w:tr>
      <w:tr w:rsidR="00FE0665" w:rsidRPr="00FE0665" w14:paraId="594429B8"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30265DCC"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480" w:type="dxa"/>
            <w:tcBorders>
              <w:top w:val="nil"/>
              <w:left w:val="nil"/>
              <w:bottom w:val="nil"/>
              <w:right w:val="nil"/>
            </w:tcBorders>
            <w:shd w:val="clear" w:color="000000" w:fill="FFFFFF"/>
            <w:noWrap/>
            <w:vAlign w:val="center"/>
            <w:hideMark/>
          </w:tcPr>
          <w:p w14:paraId="4AE931A7"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4720" w:type="dxa"/>
            <w:tcBorders>
              <w:top w:val="nil"/>
              <w:left w:val="nil"/>
              <w:bottom w:val="nil"/>
              <w:right w:val="nil"/>
            </w:tcBorders>
            <w:shd w:val="clear" w:color="000000" w:fill="FFFFFF"/>
            <w:noWrap/>
            <w:vAlign w:val="center"/>
            <w:hideMark/>
          </w:tcPr>
          <w:p w14:paraId="6091231C" w14:textId="77777777" w:rsidR="00FE0665" w:rsidRDefault="00FE0665" w:rsidP="00FE0665">
            <w:pPr>
              <w:rPr>
                <w:rFonts w:eastAsia="Times New Roman" w:cs="Times New Roman"/>
                <w:b/>
                <w:bCs/>
                <w:color w:val="000000"/>
                <w:sz w:val="16"/>
                <w:szCs w:val="16"/>
                <w:lang w:val="en-GB" w:eastAsia="en-GB"/>
              </w:rPr>
            </w:pPr>
          </w:p>
          <w:p w14:paraId="6F22A5A3"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DEBT SECURITIES</w:t>
            </w:r>
          </w:p>
        </w:tc>
        <w:tc>
          <w:tcPr>
            <w:tcW w:w="1560" w:type="dxa"/>
            <w:tcBorders>
              <w:top w:val="nil"/>
              <w:left w:val="nil"/>
              <w:bottom w:val="nil"/>
              <w:right w:val="nil"/>
            </w:tcBorders>
            <w:shd w:val="clear" w:color="000000" w:fill="FFFFFF"/>
            <w:noWrap/>
            <w:vAlign w:val="center"/>
            <w:hideMark/>
          </w:tcPr>
          <w:p w14:paraId="1F39537B"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560" w:type="dxa"/>
            <w:tcBorders>
              <w:top w:val="nil"/>
              <w:left w:val="nil"/>
              <w:bottom w:val="nil"/>
              <w:right w:val="nil"/>
            </w:tcBorders>
            <w:shd w:val="clear" w:color="000000" w:fill="FFFFFF"/>
            <w:noWrap/>
            <w:vAlign w:val="center"/>
            <w:hideMark/>
          </w:tcPr>
          <w:p w14:paraId="7544537F"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r>
      <w:tr w:rsidR="00FE0665" w:rsidRPr="00FE0665" w14:paraId="155A55EC"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270157FB"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145</w:t>
            </w:r>
          </w:p>
        </w:tc>
        <w:tc>
          <w:tcPr>
            <w:tcW w:w="1480" w:type="dxa"/>
            <w:tcBorders>
              <w:top w:val="nil"/>
              <w:left w:val="nil"/>
              <w:bottom w:val="nil"/>
              <w:right w:val="nil"/>
            </w:tcBorders>
            <w:shd w:val="clear" w:color="000000" w:fill="FFFFFF"/>
            <w:noWrap/>
            <w:vAlign w:val="center"/>
            <w:hideMark/>
          </w:tcPr>
          <w:p w14:paraId="7998ED61"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15,412</w:t>
            </w:r>
          </w:p>
        </w:tc>
        <w:tc>
          <w:tcPr>
            <w:tcW w:w="4720" w:type="dxa"/>
            <w:tcBorders>
              <w:top w:val="nil"/>
              <w:left w:val="nil"/>
              <w:bottom w:val="nil"/>
              <w:right w:val="nil"/>
            </w:tcBorders>
            <w:shd w:val="clear" w:color="000000" w:fill="FFFFFF"/>
            <w:noWrap/>
            <w:vAlign w:val="center"/>
            <w:hideMark/>
          </w:tcPr>
          <w:p w14:paraId="7AD7A117"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UK Government</w:t>
            </w:r>
          </w:p>
        </w:tc>
        <w:tc>
          <w:tcPr>
            <w:tcW w:w="1560" w:type="dxa"/>
            <w:tcBorders>
              <w:top w:val="nil"/>
              <w:left w:val="nil"/>
              <w:bottom w:val="nil"/>
              <w:right w:val="nil"/>
            </w:tcBorders>
            <w:shd w:val="clear" w:color="000000" w:fill="FFFFFF"/>
            <w:noWrap/>
            <w:vAlign w:val="center"/>
            <w:hideMark/>
          </w:tcPr>
          <w:p w14:paraId="3D4BDD20"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145</w:t>
            </w:r>
          </w:p>
        </w:tc>
        <w:tc>
          <w:tcPr>
            <w:tcW w:w="1560" w:type="dxa"/>
            <w:tcBorders>
              <w:top w:val="nil"/>
              <w:left w:val="nil"/>
              <w:bottom w:val="nil"/>
              <w:right w:val="nil"/>
            </w:tcBorders>
            <w:shd w:val="clear" w:color="000000" w:fill="FFFFFF"/>
            <w:noWrap/>
            <w:vAlign w:val="center"/>
            <w:hideMark/>
          </w:tcPr>
          <w:p w14:paraId="226EF283"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16,628</w:t>
            </w:r>
          </w:p>
        </w:tc>
      </w:tr>
      <w:tr w:rsidR="00FE0665" w:rsidRPr="00FE0665" w14:paraId="76B839C6" w14:textId="77777777" w:rsidTr="00FE0665">
        <w:trPr>
          <w:trHeight w:val="300"/>
          <w:jc w:val="center"/>
        </w:trPr>
        <w:tc>
          <w:tcPr>
            <w:tcW w:w="1100" w:type="dxa"/>
            <w:tcBorders>
              <w:top w:val="single" w:sz="4" w:space="0" w:color="auto"/>
              <w:left w:val="nil"/>
              <w:bottom w:val="single" w:sz="8" w:space="0" w:color="auto"/>
              <w:right w:val="nil"/>
            </w:tcBorders>
            <w:shd w:val="clear" w:color="000000" w:fill="FFFFFF"/>
            <w:noWrap/>
            <w:vAlign w:val="center"/>
            <w:hideMark/>
          </w:tcPr>
          <w:p w14:paraId="459EF967"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145</w:t>
            </w:r>
          </w:p>
        </w:tc>
        <w:tc>
          <w:tcPr>
            <w:tcW w:w="1480" w:type="dxa"/>
            <w:tcBorders>
              <w:top w:val="single" w:sz="4" w:space="0" w:color="auto"/>
              <w:left w:val="nil"/>
              <w:bottom w:val="single" w:sz="8" w:space="0" w:color="auto"/>
              <w:right w:val="nil"/>
            </w:tcBorders>
            <w:shd w:val="clear" w:color="000000" w:fill="FFFFFF"/>
            <w:noWrap/>
            <w:vAlign w:val="center"/>
            <w:hideMark/>
          </w:tcPr>
          <w:p w14:paraId="7ED2C6DF"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15,412</w:t>
            </w:r>
          </w:p>
        </w:tc>
        <w:tc>
          <w:tcPr>
            <w:tcW w:w="4720" w:type="dxa"/>
            <w:tcBorders>
              <w:top w:val="single" w:sz="4" w:space="0" w:color="auto"/>
              <w:left w:val="nil"/>
              <w:bottom w:val="single" w:sz="8" w:space="0" w:color="auto"/>
              <w:right w:val="nil"/>
            </w:tcBorders>
            <w:shd w:val="clear" w:color="000000" w:fill="FFFFFF"/>
            <w:noWrap/>
            <w:vAlign w:val="center"/>
            <w:hideMark/>
          </w:tcPr>
          <w:p w14:paraId="77244CC6"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Subtotal  DEBT SECURITIES</w:t>
            </w:r>
          </w:p>
        </w:tc>
        <w:tc>
          <w:tcPr>
            <w:tcW w:w="1560" w:type="dxa"/>
            <w:tcBorders>
              <w:top w:val="single" w:sz="4" w:space="0" w:color="auto"/>
              <w:left w:val="nil"/>
              <w:bottom w:val="single" w:sz="8" w:space="0" w:color="auto"/>
              <w:right w:val="nil"/>
            </w:tcBorders>
            <w:shd w:val="clear" w:color="000000" w:fill="FFFFFF"/>
            <w:noWrap/>
            <w:vAlign w:val="center"/>
            <w:hideMark/>
          </w:tcPr>
          <w:p w14:paraId="46A23A32"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145</w:t>
            </w:r>
          </w:p>
        </w:tc>
        <w:tc>
          <w:tcPr>
            <w:tcW w:w="1560" w:type="dxa"/>
            <w:tcBorders>
              <w:top w:val="single" w:sz="4" w:space="0" w:color="auto"/>
              <w:left w:val="nil"/>
              <w:bottom w:val="single" w:sz="8" w:space="0" w:color="auto"/>
              <w:right w:val="nil"/>
            </w:tcBorders>
            <w:shd w:val="clear" w:color="000000" w:fill="FFFFFF"/>
            <w:noWrap/>
            <w:vAlign w:val="center"/>
            <w:hideMark/>
          </w:tcPr>
          <w:p w14:paraId="589F6A27"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16,628</w:t>
            </w:r>
          </w:p>
        </w:tc>
      </w:tr>
      <w:tr w:rsidR="00FE0665" w:rsidRPr="00FE0665" w14:paraId="487EC378"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1E36558F"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480" w:type="dxa"/>
            <w:tcBorders>
              <w:top w:val="nil"/>
              <w:left w:val="nil"/>
              <w:bottom w:val="nil"/>
              <w:right w:val="nil"/>
            </w:tcBorders>
            <w:shd w:val="clear" w:color="000000" w:fill="FFFFFF"/>
            <w:noWrap/>
            <w:vAlign w:val="center"/>
            <w:hideMark/>
          </w:tcPr>
          <w:p w14:paraId="257D0845"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4720" w:type="dxa"/>
            <w:tcBorders>
              <w:top w:val="nil"/>
              <w:left w:val="nil"/>
              <w:bottom w:val="nil"/>
              <w:right w:val="nil"/>
            </w:tcBorders>
            <w:shd w:val="clear" w:color="000000" w:fill="FFFFFF"/>
            <w:noWrap/>
            <w:vAlign w:val="center"/>
            <w:hideMark/>
          </w:tcPr>
          <w:p w14:paraId="3AFCDC56" w14:textId="77777777" w:rsidR="00FE0665" w:rsidRDefault="00FE0665" w:rsidP="00FE0665">
            <w:pPr>
              <w:rPr>
                <w:rFonts w:eastAsia="Times New Roman" w:cs="Times New Roman"/>
                <w:b/>
                <w:bCs/>
                <w:color w:val="000000"/>
                <w:sz w:val="16"/>
                <w:szCs w:val="16"/>
                <w:lang w:val="en-GB" w:eastAsia="en-GB"/>
              </w:rPr>
            </w:pPr>
          </w:p>
          <w:p w14:paraId="48B3172F"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PRIVATE EQUITY</w:t>
            </w:r>
          </w:p>
        </w:tc>
        <w:tc>
          <w:tcPr>
            <w:tcW w:w="1560" w:type="dxa"/>
            <w:tcBorders>
              <w:top w:val="nil"/>
              <w:left w:val="nil"/>
              <w:bottom w:val="nil"/>
              <w:right w:val="nil"/>
            </w:tcBorders>
            <w:shd w:val="clear" w:color="000000" w:fill="FFFFFF"/>
            <w:noWrap/>
            <w:vAlign w:val="center"/>
            <w:hideMark/>
          </w:tcPr>
          <w:p w14:paraId="198D30EE"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560" w:type="dxa"/>
            <w:tcBorders>
              <w:top w:val="nil"/>
              <w:left w:val="nil"/>
              <w:bottom w:val="nil"/>
              <w:right w:val="nil"/>
            </w:tcBorders>
            <w:shd w:val="clear" w:color="000000" w:fill="FFFFFF"/>
            <w:noWrap/>
            <w:vAlign w:val="center"/>
            <w:hideMark/>
          </w:tcPr>
          <w:p w14:paraId="589ADF8B"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r>
      <w:tr w:rsidR="00FE0665" w:rsidRPr="00FE0665" w14:paraId="3393DF06"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421DA29E"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206</w:t>
            </w:r>
          </w:p>
        </w:tc>
        <w:tc>
          <w:tcPr>
            <w:tcW w:w="1480" w:type="dxa"/>
            <w:tcBorders>
              <w:top w:val="nil"/>
              <w:left w:val="nil"/>
              <w:bottom w:val="nil"/>
              <w:right w:val="nil"/>
            </w:tcBorders>
            <w:shd w:val="clear" w:color="000000" w:fill="FFFFFF"/>
            <w:noWrap/>
            <w:vAlign w:val="center"/>
            <w:hideMark/>
          </w:tcPr>
          <w:p w14:paraId="05F460F1"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21,807</w:t>
            </w:r>
          </w:p>
        </w:tc>
        <w:tc>
          <w:tcPr>
            <w:tcW w:w="4720" w:type="dxa"/>
            <w:tcBorders>
              <w:top w:val="nil"/>
              <w:left w:val="nil"/>
              <w:bottom w:val="nil"/>
              <w:right w:val="nil"/>
            </w:tcBorders>
            <w:shd w:val="clear" w:color="000000" w:fill="FFFFFF"/>
            <w:noWrap/>
            <w:vAlign w:val="center"/>
            <w:hideMark/>
          </w:tcPr>
          <w:p w14:paraId="0B37B35A"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All</w:t>
            </w:r>
          </w:p>
        </w:tc>
        <w:tc>
          <w:tcPr>
            <w:tcW w:w="1560" w:type="dxa"/>
            <w:tcBorders>
              <w:top w:val="nil"/>
              <w:left w:val="nil"/>
              <w:bottom w:val="nil"/>
              <w:right w:val="nil"/>
            </w:tcBorders>
            <w:shd w:val="clear" w:color="000000" w:fill="FFFFFF"/>
            <w:noWrap/>
            <w:vAlign w:val="center"/>
            <w:hideMark/>
          </w:tcPr>
          <w:p w14:paraId="72E84734"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206</w:t>
            </w:r>
          </w:p>
        </w:tc>
        <w:tc>
          <w:tcPr>
            <w:tcW w:w="1560" w:type="dxa"/>
            <w:tcBorders>
              <w:top w:val="nil"/>
              <w:left w:val="nil"/>
              <w:bottom w:val="nil"/>
              <w:right w:val="nil"/>
            </w:tcBorders>
            <w:shd w:val="clear" w:color="000000" w:fill="FFFFFF"/>
            <w:noWrap/>
            <w:vAlign w:val="center"/>
            <w:hideMark/>
          </w:tcPr>
          <w:p w14:paraId="540088FB"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24,611</w:t>
            </w:r>
          </w:p>
        </w:tc>
      </w:tr>
      <w:tr w:rsidR="00FE0665" w:rsidRPr="00FE0665" w14:paraId="00998FB5" w14:textId="77777777" w:rsidTr="00FE0665">
        <w:trPr>
          <w:trHeight w:val="300"/>
          <w:jc w:val="center"/>
        </w:trPr>
        <w:tc>
          <w:tcPr>
            <w:tcW w:w="1100" w:type="dxa"/>
            <w:tcBorders>
              <w:top w:val="single" w:sz="4" w:space="0" w:color="auto"/>
              <w:left w:val="nil"/>
              <w:bottom w:val="single" w:sz="8" w:space="0" w:color="auto"/>
              <w:right w:val="nil"/>
            </w:tcBorders>
            <w:shd w:val="clear" w:color="000000" w:fill="FFFFFF"/>
            <w:noWrap/>
            <w:vAlign w:val="center"/>
            <w:hideMark/>
          </w:tcPr>
          <w:p w14:paraId="4ADFBADA"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206</w:t>
            </w:r>
          </w:p>
        </w:tc>
        <w:tc>
          <w:tcPr>
            <w:tcW w:w="1480" w:type="dxa"/>
            <w:tcBorders>
              <w:top w:val="single" w:sz="4" w:space="0" w:color="auto"/>
              <w:left w:val="nil"/>
              <w:bottom w:val="single" w:sz="8" w:space="0" w:color="auto"/>
              <w:right w:val="nil"/>
            </w:tcBorders>
            <w:shd w:val="clear" w:color="000000" w:fill="FFFFFF"/>
            <w:noWrap/>
            <w:vAlign w:val="center"/>
            <w:hideMark/>
          </w:tcPr>
          <w:p w14:paraId="04101697"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21,807</w:t>
            </w:r>
          </w:p>
        </w:tc>
        <w:tc>
          <w:tcPr>
            <w:tcW w:w="4720" w:type="dxa"/>
            <w:tcBorders>
              <w:top w:val="single" w:sz="4" w:space="0" w:color="auto"/>
              <w:left w:val="nil"/>
              <w:bottom w:val="single" w:sz="8" w:space="0" w:color="auto"/>
              <w:right w:val="nil"/>
            </w:tcBorders>
            <w:shd w:val="clear" w:color="000000" w:fill="FFFFFF"/>
            <w:noWrap/>
            <w:vAlign w:val="center"/>
            <w:hideMark/>
          </w:tcPr>
          <w:p w14:paraId="783F46B7"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 xml:space="preserve">Subtotal  PRIVATE EQUITY </w:t>
            </w:r>
          </w:p>
        </w:tc>
        <w:tc>
          <w:tcPr>
            <w:tcW w:w="1560" w:type="dxa"/>
            <w:tcBorders>
              <w:top w:val="single" w:sz="4" w:space="0" w:color="auto"/>
              <w:left w:val="nil"/>
              <w:bottom w:val="single" w:sz="8" w:space="0" w:color="auto"/>
              <w:right w:val="nil"/>
            </w:tcBorders>
            <w:shd w:val="clear" w:color="000000" w:fill="FFFFFF"/>
            <w:noWrap/>
            <w:vAlign w:val="center"/>
            <w:hideMark/>
          </w:tcPr>
          <w:p w14:paraId="2E88CC99"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206</w:t>
            </w:r>
          </w:p>
        </w:tc>
        <w:tc>
          <w:tcPr>
            <w:tcW w:w="1560" w:type="dxa"/>
            <w:tcBorders>
              <w:top w:val="single" w:sz="4" w:space="0" w:color="auto"/>
              <w:left w:val="nil"/>
              <w:bottom w:val="single" w:sz="8" w:space="0" w:color="auto"/>
              <w:right w:val="nil"/>
            </w:tcBorders>
            <w:shd w:val="clear" w:color="000000" w:fill="FFFFFF"/>
            <w:noWrap/>
            <w:vAlign w:val="center"/>
            <w:hideMark/>
          </w:tcPr>
          <w:p w14:paraId="511DD5A2"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24,611</w:t>
            </w:r>
          </w:p>
        </w:tc>
      </w:tr>
      <w:tr w:rsidR="00FE0665" w:rsidRPr="00FE0665" w14:paraId="4A6E3E64"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06980BCB"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480" w:type="dxa"/>
            <w:tcBorders>
              <w:top w:val="nil"/>
              <w:left w:val="nil"/>
              <w:bottom w:val="nil"/>
              <w:right w:val="nil"/>
            </w:tcBorders>
            <w:shd w:val="clear" w:color="000000" w:fill="FFFFFF"/>
            <w:noWrap/>
            <w:vAlign w:val="center"/>
            <w:hideMark/>
          </w:tcPr>
          <w:p w14:paraId="120912C3"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4720" w:type="dxa"/>
            <w:tcBorders>
              <w:top w:val="nil"/>
              <w:left w:val="nil"/>
              <w:bottom w:val="nil"/>
              <w:right w:val="nil"/>
            </w:tcBorders>
            <w:shd w:val="clear" w:color="000000" w:fill="FFFFFF"/>
            <w:noWrap/>
            <w:vAlign w:val="center"/>
            <w:hideMark/>
          </w:tcPr>
          <w:p w14:paraId="119DB00D" w14:textId="77777777" w:rsidR="00FE0665" w:rsidRDefault="00FE0665" w:rsidP="00FE0665">
            <w:pPr>
              <w:rPr>
                <w:rFonts w:eastAsia="Times New Roman" w:cs="Times New Roman"/>
                <w:b/>
                <w:bCs/>
                <w:color w:val="000000"/>
                <w:sz w:val="16"/>
                <w:szCs w:val="16"/>
                <w:lang w:val="en-GB" w:eastAsia="en-GB"/>
              </w:rPr>
            </w:pPr>
          </w:p>
          <w:p w14:paraId="0121762B"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REAL ESTATE</w:t>
            </w:r>
          </w:p>
        </w:tc>
        <w:tc>
          <w:tcPr>
            <w:tcW w:w="1560" w:type="dxa"/>
            <w:tcBorders>
              <w:top w:val="nil"/>
              <w:left w:val="nil"/>
              <w:bottom w:val="nil"/>
              <w:right w:val="nil"/>
            </w:tcBorders>
            <w:shd w:val="clear" w:color="000000" w:fill="FFFFFF"/>
            <w:noWrap/>
            <w:vAlign w:val="center"/>
            <w:hideMark/>
          </w:tcPr>
          <w:p w14:paraId="7BBF135A"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560" w:type="dxa"/>
            <w:tcBorders>
              <w:top w:val="nil"/>
              <w:left w:val="nil"/>
              <w:bottom w:val="nil"/>
              <w:right w:val="nil"/>
            </w:tcBorders>
            <w:shd w:val="clear" w:color="000000" w:fill="FFFFFF"/>
            <w:noWrap/>
            <w:vAlign w:val="center"/>
            <w:hideMark/>
          </w:tcPr>
          <w:p w14:paraId="6C566BB0"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r>
      <w:tr w:rsidR="00FE0665" w:rsidRPr="00FE0665" w14:paraId="39A3106E"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025C5B1F"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129</w:t>
            </w:r>
          </w:p>
        </w:tc>
        <w:tc>
          <w:tcPr>
            <w:tcW w:w="1480" w:type="dxa"/>
            <w:tcBorders>
              <w:top w:val="nil"/>
              <w:left w:val="nil"/>
              <w:bottom w:val="nil"/>
              <w:right w:val="nil"/>
            </w:tcBorders>
            <w:shd w:val="clear" w:color="000000" w:fill="FFFFFF"/>
            <w:noWrap/>
            <w:vAlign w:val="center"/>
            <w:hideMark/>
          </w:tcPr>
          <w:p w14:paraId="2C20711B"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13,643</w:t>
            </w:r>
          </w:p>
        </w:tc>
        <w:tc>
          <w:tcPr>
            <w:tcW w:w="4720" w:type="dxa"/>
            <w:tcBorders>
              <w:top w:val="nil"/>
              <w:left w:val="nil"/>
              <w:bottom w:val="nil"/>
              <w:right w:val="nil"/>
            </w:tcBorders>
            <w:shd w:val="clear" w:color="000000" w:fill="FFFFFF"/>
            <w:noWrap/>
            <w:vAlign w:val="center"/>
            <w:hideMark/>
          </w:tcPr>
          <w:p w14:paraId="739FDF2A"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UK Property</w:t>
            </w:r>
          </w:p>
        </w:tc>
        <w:tc>
          <w:tcPr>
            <w:tcW w:w="1560" w:type="dxa"/>
            <w:tcBorders>
              <w:top w:val="nil"/>
              <w:left w:val="nil"/>
              <w:bottom w:val="nil"/>
              <w:right w:val="nil"/>
            </w:tcBorders>
            <w:shd w:val="clear" w:color="000000" w:fill="FFFFFF"/>
            <w:noWrap/>
            <w:vAlign w:val="center"/>
            <w:hideMark/>
          </w:tcPr>
          <w:p w14:paraId="5741549A"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129</w:t>
            </w:r>
          </w:p>
        </w:tc>
        <w:tc>
          <w:tcPr>
            <w:tcW w:w="1560" w:type="dxa"/>
            <w:tcBorders>
              <w:top w:val="nil"/>
              <w:left w:val="nil"/>
              <w:bottom w:val="nil"/>
              <w:right w:val="nil"/>
            </w:tcBorders>
            <w:shd w:val="clear" w:color="000000" w:fill="FFFFFF"/>
            <w:noWrap/>
            <w:vAlign w:val="center"/>
            <w:hideMark/>
          </w:tcPr>
          <w:p w14:paraId="00578C03"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13,007</w:t>
            </w:r>
          </w:p>
        </w:tc>
      </w:tr>
      <w:tr w:rsidR="00FE0665" w:rsidRPr="00FE0665" w14:paraId="0AC97BE8"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3FBA0E6D"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56</w:t>
            </w:r>
          </w:p>
        </w:tc>
        <w:tc>
          <w:tcPr>
            <w:tcW w:w="1480" w:type="dxa"/>
            <w:tcBorders>
              <w:top w:val="nil"/>
              <w:left w:val="nil"/>
              <w:bottom w:val="nil"/>
              <w:right w:val="nil"/>
            </w:tcBorders>
            <w:shd w:val="clear" w:color="000000" w:fill="FFFFFF"/>
            <w:noWrap/>
            <w:vAlign w:val="center"/>
            <w:hideMark/>
          </w:tcPr>
          <w:p w14:paraId="5FC831E1"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5,989</w:t>
            </w:r>
          </w:p>
        </w:tc>
        <w:tc>
          <w:tcPr>
            <w:tcW w:w="4720" w:type="dxa"/>
            <w:tcBorders>
              <w:top w:val="nil"/>
              <w:left w:val="nil"/>
              <w:bottom w:val="nil"/>
              <w:right w:val="nil"/>
            </w:tcBorders>
            <w:shd w:val="clear" w:color="000000" w:fill="FFFFFF"/>
            <w:noWrap/>
            <w:vAlign w:val="center"/>
            <w:hideMark/>
          </w:tcPr>
          <w:p w14:paraId="1E2E6D1E"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Overseas Property</w:t>
            </w:r>
          </w:p>
        </w:tc>
        <w:tc>
          <w:tcPr>
            <w:tcW w:w="1560" w:type="dxa"/>
            <w:tcBorders>
              <w:top w:val="nil"/>
              <w:left w:val="nil"/>
              <w:bottom w:val="nil"/>
              <w:right w:val="nil"/>
            </w:tcBorders>
            <w:shd w:val="clear" w:color="000000" w:fill="FFFFFF"/>
            <w:noWrap/>
            <w:vAlign w:val="center"/>
            <w:hideMark/>
          </w:tcPr>
          <w:p w14:paraId="761CCC58"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56</w:t>
            </w:r>
          </w:p>
        </w:tc>
        <w:tc>
          <w:tcPr>
            <w:tcW w:w="1560" w:type="dxa"/>
            <w:tcBorders>
              <w:top w:val="nil"/>
              <w:left w:val="nil"/>
              <w:bottom w:val="nil"/>
              <w:right w:val="nil"/>
            </w:tcBorders>
            <w:shd w:val="clear" w:color="000000" w:fill="FFFFFF"/>
            <w:noWrap/>
            <w:vAlign w:val="center"/>
            <w:hideMark/>
          </w:tcPr>
          <w:p w14:paraId="49D851DE"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6,337</w:t>
            </w:r>
          </w:p>
        </w:tc>
      </w:tr>
      <w:tr w:rsidR="00FE0665" w:rsidRPr="00FE0665" w14:paraId="11386788" w14:textId="77777777" w:rsidTr="00FE0665">
        <w:trPr>
          <w:trHeight w:val="300"/>
          <w:jc w:val="center"/>
        </w:trPr>
        <w:tc>
          <w:tcPr>
            <w:tcW w:w="1100" w:type="dxa"/>
            <w:tcBorders>
              <w:top w:val="single" w:sz="4" w:space="0" w:color="auto"/>
              <w:left w:val="nil"/>
              <w:bottom w:val="single" w:sz="8" w:space="0" w:color="auto"/>
              <w:right w:val="nil"/>
            </w:tcBorders>
            <w:shd w:val="clear" w:color="000000" w:fill="FFFFFF"/>
            <w:noWrap/>
            <w:vAlign w:val="center"/>
            <w:hideMark/>
          </w:tcPr>
          <w:p w14:paraId="6EA326FB"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185</w:t>
            </w:r>
          </w:p>
        </w:tc>
        <w:tc>
          <w:tcPr>
            <w:tcW w:w="1480" w:type="dxa"/>
            <w:tcBorders>
              <w:top w:val="single" w:sz="4" w:space="0" w:color="auto"/>
              <w:left w:val="nil"/>
              <w:bottom w:val="single" w:sz="8" w:space="0" w:color="auto"/>
              <w:right w:val="nil"/>
            </w:tcBorders>
            <w:shd w:val="clear" w:color="000000" w:fill="FFFFFF"/>
            <w:noWrap/>
            <w:vAlign w:val="center"/>
            <w:hideMark/>
          </w:tcPr>
          <w:p w14:paraId="041B51C4"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19,632</w:t>
            </w:r>
          </w:p>
        </w:tc>
        <w:tc>
          <w:tcPr>
            <w:tcW w:w="4720" w:type="dxa"/>
            <w:tcBorders>
              <w:top w:val="single" w:sz="4" w:space="0" w:color="auto"/>
              <w:left w:val="nil"/>
              <w:bottom w:val="single" w:sz="8" w:space="0" w:color="auto"/>
              <w:right w:val="nil"/>
            </w:tcBorders>
            <w:shd w:val="clear" w:color="000000" w:fill="FFFFFF"/>
            <w:noWrap/>
            <w:vAlign w:val="center"/>
            <w:hideMark/>
          </w:tcPr>
          <w:p w14:paraId="271C72F1"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Subtotal REAL ESTATE</w:t>
            </w:r>
          </w:p>
        </w:tc>
        <w:tc>
          <w:tcPr>
            <w:tcW w:w="1560" w:type="dxa"/>
            <w:tcBorders>
              <w:top w:val="single" w:sz="4" w:space="0" w:color="auto"/>
              <w:left w:val="nil"/>
              <w:bottom w:val="single" w:sz="8" w:space="0" w:color="auto"/>
              <w:right w:val="nil"/>
            </w:tcBorders>
            <w:shd w:val="clear" w:color="000000" w:fill="FFFFFF"/>
            <w:noWrap/>
            <w:vAlign w:val="center"/>
            <w:hideMark/>
          </w:tcPr>
          <w:p w14:paraId="09725DDF"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185</w:t>
            </w:r>
          </w:p>
        </w:tc>
        <w:tc>
          <w:tcPr>
            <w:tcW w:w="1560" w:type="dxa"/>
            <w:tcBorders>
              <w:top w:val="single" w:sz="4" w:space="0" w:color="auto"/>
              <w:left w:val="nil"/>
              <w:bottom w:val="single" w:sz="8" w:space="0" w:color="auto"/>
              <w:right w:val="nil"/>
            </w:tcBorders>
            <w:shd w:val="clear" w:color="000000" w:fill="FFFFFF"/>
            <w:noWrap/>
            <w:vAlign w:val="center"/>
            <w:hideMark/>
          </w:tcPr>
          <w:p w14:paraId="0387F115"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19,344</w:t>
            </w:r>
          </w:p>
        </w:tc>
      </w:tr>
      <w:tr w:rsidR="00FE0665" w:rsidRPr="00FE0665" w14:paraId="08969F9E"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1DBCB829"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480" w:type="dxa"/>
            <w:tcBorders>
              <w:top w:val="nil"/>
              <w:left w:val="nil"/>
              <w:bottom w:val="nil"/>
              <w:right w:val="nil"/>
            </w:tcBorders>
            <w:shd w:val="clear" w:color="000000" w:fill="FFFFFF"/>
            <w:noWrap/>
            <w:vAlign w:val="center"/>
            <w:hideMark/>
          </w:tcPr>
          <w:p w14:paraId="6BF1D190"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4720" w:type="dxa"/>
            <w:tcBorders>
              <w:top w:val="nil"/>
              <w:left w:val="nil"/>
              <w:bottom w:val="nil"/>
              <w:right w:val="nil"/>
            </w:tcBorders>
            <w:shd w:val="clear" w:color="000000" w:fill="FFFFFF"/>
            <w:noWrap/>
            <w:vAlign w:val="center"/>
            <w:hideMark/>
          </w:tcPr>
          <w:p w14:paraId="47E34735" w14:textId="77777777" w:rsidR="00FE0665" w:rsidRDefault="00FE0665" w:rsidP="00FE0665">
            <w:pPr>
              <w:rPr>
                <w:rFonts w:eastAsia="Times New Roman" w:cs="Times New Roman"/>
                <w:b/>
                <w:bCs/>
                <w:color w:val="000000"/>
                <w:sz w:val="16"/>
                <w:szCs w:val="16"/>
                <w:lang w:val="en-GB" w:eastAsia="en-GB"/>
              </w:rPr>
            </w:pPr>
          </w:p>
          <w:p w14:paraId="370164E5"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INVESTMENT FUNDS &amp; UNIT TRUSTS</w:t>
            </w:r>
          </w:p>
        </w:tc>
        <w:tc>
          <w:tcPr>
            <w:tcW w:w="1560" w:type="dxa"/>
            <w:tcBorders>
              <w:top w:val="nil"/>
              <w:left w:val="nil"/>
              <w:bottom w:val="nil"/>
              <w:right w:val="nil"/>
            </w:tcBorders>
            <w:shd w:val="clear" w:color="000000" w:fill="FFFFFF"/>
            <w:noWrap/>
            <w:vAlign w:val="center"/>
            <w:hideMark/>
          </w:tcPr>
          <w:p w14:paraId="4B88681A"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560" w:type="dxa"/>
            <w:tcBorders>
              <w:top w:val="nil"/>
              <w:left w:val="nil"/>
              <w:bottom w:val="nil"/>
              <w:right w:val="nil"/>
            </w:tcBorders>
            <w:shd w:val="clear" w:color="000000" w:fill="FFFFFF"/>
            <w:noWrap/>
            <w:vAlign w:val="center"/>
            <w:hideMark/>
          </w:tcPr>
          <w:p w14:paraId="4B0E8F27"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r>
      <w:tr w:rsidR="00FE0665" w:rsidRPr="00FE0665" w14:paraId="1CCEBA53"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157618B6"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1,352</w:t>
            </w:r>
          </w:p>
        </w:tc>
        <w:tc>
          <w:tcPr>
            <w:tcW w:w="1480" w:type="dxa"/>
            <w:tcBorders>
              <w:top w:val="nil"/>
              <w:left w:val="nil"/>
              <w:bottom w:val="nil"/>
              <w:right w:val="nil"/>
            </w:tcBorders>
            <w:shd w:val="clear" w:color="000000" w:fill="FFFFFF"/>
            <w:noWrap/>
            <w:vAlign w:val="center"/>
            <w:hideMark/>
          </w:tcPr>
          <w:p w14:paraId="6E9ECD50"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143,428</w:t>
            </w:r>
          </w:p>
        </w:tc>
        <w:tc>
          <w:tcPr>
            <w:tcW w:w="4720" w:type="dxa"/>
            <w:tcBorders>
              <w:top w:val="nil"/>
              <w:left w:val="nil"/>
              <w:bottom w:val="nil"/>
              <w:right w:val="nil"/>
            </w:tcBorders>
            <w:shd w:val="clear" w:color="000000" w:fill="FFFFFF"/>
            <w:noWrap/>
            <w:vAlign w:val="center"/>
            <w:hideMark/>
          </w:tcPr>
          <w:p w14:paraId="5D37760A"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Equities</w:t>
            </w:r>
          </w:p>
        </w:tc>
        <w:tc>
          <w:tcPr>
            <w:tcW w:w="1560" w:type="dxa"/>
            <w:tcBorders>
              <w:top w:val="nil"/>
              <w:left w:val="nil"/>
              <w:bottom w:val="nil"/>
              <w:right w:val="nil"/>
            </w:tcBorders>
            <w:shd w:val="clear" w:color="000000" w:fill="FFFFFF"/>
            <w:noWrap/>
            <w:vAlign w:val="center"/>
            <w:hideMark/>
          </w:tcPr>
          <w:p w14:paraId="33B840C4"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1,352</w:t>
            </w:r>
          </w:p>
        </w:tc>
        <w:tc>
          <w:tcPr>
            <w:tcW w:w="1560" w:type="dxa"/>
            <w:tcBorders>
              <w:top w:val="nil"/>
              <w:left w:val="nil"/>
              <w:bottom w:val="nil"/>
              <w:right w:val="nil"/>
            </w:tcBorders>
            <w:shd w:val="clear" w:color="000000" w:fill="FFFFFF"/>
            <w:noWrap/>
            <w:vAlign w:val="center"/>
            <w:hideMark/>
          </w:tcPr>
          <w:p w14:paraId="3E995E98"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212,417</w:t>
            </w:r>
          </w:p>
        </w:tc>
      </w:tr>
      <w:tr w:rsidR="00FE0665" w:rsidRPr="00FE0665" w14:paraId="20C40E74"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41CEB21B"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299</w:t>
            </w:r>
          </w:p>
        </w:tc>
        <w:tc>
          <w:tcPr>
            <w:tcW w:w="1480" w:type="dxa"/>
            <w:tcBorders>
              <w:top w:val="nil"/>
              <w:left w:val="nil"/>
              <w:bottom w:val="nil"/>
              <w:right w:val="nil"/>
            </w:tcBorders>
            <w:shd w:val="clear" w:color="000000" w:fill="FFFFFF"/>
            <w:noWrap/>
            <w:vAlign w:val="center"/>
            <w:hideMark/>
          </w:tcPr>
          <w:p w14:paraId="3193993D"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31,726</w:t>
            </w:r>
          </w:p>
        </w:tc>
        <w:tc>
          <w:tcPr>
            <w:tcW w:w="4720" w:type="dxa"/>
            <w:tcBorders>
              <w:top w:val="nil"/>
              <w:left w:val="nil"/>
              <w:bottom w:val="nil"/>
              <w:right w:val="nil"/>
            </w:tcBorders>
            <w:shd w:val="clear" w:color="000000" w:fill="FFFFFF"/>
            <w:noWrap/>
            <w:vAlign w:val="center"/>
            <w:hideMark/>
          </w:tcPr>
          <w:p w14:paraId="066A946D"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Bonds</w:t>
            </w:r>
          </w:p>
        </w:tc>
        <w:tc>
          <w:tcPr>
            <w:tcW w:w="1560" w:type="dxa"/>
            <w:tcBorders>
              <w:top w:val="nil"/>
              <w:left w:val="nil"/>
              <w:bottom w:val="nil"/>
              <w:right w:val="nil"/>
            </w:tcBorders>
            <w:shd w:val="clear" w:color="000000" w:fill="FFFFFF"/>
            <w:noWrap/>
            <w:vAlign w:val="center"/>
            <w:hideMark/>
          </w:tcPr>
          <w:p w14:paraId="41CCD637"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299</w:t>
            </w:r>
          </w:p>
        </w:tc>
        <w:tc>
          <w:tcPr>
            <w:tcW w:w="1560" w:type="dxa"/>
            <w:tcBorders>
              <w:top w:val="nil"/>
              <w:left w:val="nil"/>
              <w:bottom w:val="nil"/>
              <w:right w:val="nil"/>
            </w:tcBorders>
            <w:shd w:val="clear" w:color="000000" w:fill="FFFFFF"/>
            <w:noWrap/>
            <w:vAlign w:val="center"/>
            <w:hideMark/>
          </w:tcPr>
          <w:p w14:paraId="6A42D3CB"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45,247</w:t>
            </w:r>
          </w:p>
        </w:tc>
      </w:tr>
      <w:tr w:rsidR="00FE0665" w:rsidRPr="00FE0665" w14:paraId="51C048B5" w14:textId="77777777" w:rsidTr="00FE0665">
        <w:trPr>
          <w:trHeight w:val="300"/>
          <w:jc w:val="center"/>
        </w:trPr>
        <w:tc>
          <w:tcPr>
            <w:tcW w:w="1100" w:type="dxa"/>
            <w:tcBorders>
              <w:top w:val="single" w:sz="4" w:space="0" w:color="auto"/>
              <w:left w:val="nil"/>
              <w:bottom w:val="single" w:sz="8" w:space="0" w:color="auto"/>
              <w:right w:val="nil"/>
            </w:tcBorders>
            <w:shd w:val="clear" w:color="000000" w:fill="FFFFFF"/>
            <w:noWrap/>
            <w:vAlign w:val="center"/>
            <w:hideMark/>
          </w:tcPr>
          <w:p w14:paraId="1C6B4DB6"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1,651</w:t>
            </w:r>
          </w:p>
        </w:tc>
        <w:tc>
          <w:tcPr>
            <w:tcW w:w="1480" w:type="dxa"/>
            <w:tcBorders>
              <w:top w:val="single" w:sz="4" w:space="0" w:color="auto"/>
              <w:left w:val="nil"/>
              <w:bottom w:val="single" w:sz="8" w:space="0" w:color="auto"/>
              <w:right w:val="nil"/>
            </w:tcBorders>
            <w:shd w:val="clear" w:color="000000" w:fill="FFFFFF"/>
            <w:noWrap/>
            <w:vAlign w:val="center"/>
            <w:hideMark/>
          </w:tcPr>
          <w:p w14:paraId="5B91033A"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175,154</w:t>
            </w:r>
          </w:p>
        </w:tc>
        <w:tc>
          <w:tcPr>
            <w:tcW w:w="4720" w:type="dxa"/>
            <w:tcBorders>
              <w:top w:val="single" w:sz="4" w:space="0" w:color="auto"/>
              <w:left w:val="nil"/>
              <w:bottom w:val="single" w:sz="8" w:space="0" w:color="auto"/>
              <w:right w:val="nil"/>
            </w:tcBorders>
            <w:shd w:val="clear" w:color="000000" w:fill="FFFFFF"/>
            <w:noWrap/>
            <w:vAlign w:val="center"/>
            <w:hideMark/>
          </w:tcPr>
          <w:p w14:paraId="6535A62E"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Subtotal INVESTMENT FUNDS &amp; UNIT TRUSTS</w:t>
            </w:r>
          </w:p>
        </w:tc>
        <w:tc>
          <w:tcPr>
            <w:tcW w:w="1560" w:type="dxa"/>
            <w:tcBorders>
              <w:top w:val="single" w:sz="4" w:space="0" w:color="auto"/>
              <w:left w:val="nil"/>
              <w:bottom w:val="single" w:sz="8" w:space="0" w:color="auto"/>
              <w:right w:val="nil"/>
            </w:tcBorders>
            <w:shd w:val="clear" w:color="000000" w:fill="FFFFFF"/>
            <w:noWrap/>
            <w:vAlign w:val="center"/>
            <w:hideMark/>
          </w:tcPr>
          <w:p w14:paraId="563511F2"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1,651</w:t>
            </w:r>
          </w:p>
        </w:tc>
        <w:tc>
          <w:tcPr>
            <w:tcW w:w="1560" w:type="dxa"/>
            <w:tcBorders>
              <w:top w:val="single" w:sz="4" w:space="0" w:color="auto"/>
              <w:left w:val="nil"/>
              <w:bottom w:val="single" w:sz="8" w:space="0" w:color="auto"/>
              <w:right w:val="nil"/>
            </w:tcBorders>
            <w:shd w:val="clear" w:color="000000" w:fill="FFFFFF"/>
            <w:noWrap/>
            <w:vAlign w:val="center"/>
            <w:hideMark/>
          </w:tcPr>
          <w:p w14:paraId="4CFE4595"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257,664</w:t>
            </w:r>
          </w:p>
        </w:tc>
      </w:tr>
      <w:tr w:rsidR="00FE0665" w:rsidRPr="00FE0665" w14:paraId="30BBD483"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3419AFC1"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480" w:type="dxa"/>
            <w:tcBorders>
              <w:top w:val="nil"/>
              <w:left w:val="nil"/>
              <w:bottom w:val="nil"/>
              <w:right w:val="nil"/>
            </w:tcBorders>
            <w:shd w:val="clear" w:color="000000" w:fill="FFFFFF"/>
            <w:noWrap/>
            <w:vAlign w:val="center"/>
            <w:hideMark/>
          </w:tcPr>
          <w:p w14:paraId="5878501C"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4720" w:type="dxa"/>
            <w:tcBorders>
              <w:top w:val="nil"/>
              <w:left w:val="nil"/>
              <w:bottom w:val="nil"/>
              <w:right w:val="nil"/>
            </w:tcBorders>
            <w:shd w:val="clear" w:color="000000" w:fill="FFFFFF"/>
            <w:noWrap/>
            <w:vAlign w:val="center"/>
            <w:hideMark/>
          </w:tcPr>
          <w:p w14:paraId="1AA62993"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DERIVATIVES</w:t>
            </w:r>
          </w:p>
        </w:tc>
        <w:tc>
          <w:tcPr>
            <w:tcW w:w="1560" w:type="dxa"/>
            <w:tcBorders>
              <w:top w:val="nil"/>
              <w:left w:val="nil"/>
              <w:bottom w:val="nil"/>
              <w:right w:val="nil"/>
            </w:tcBorders>
            <w:shd w:val="clear" w:color="000000" w:fill="FFFFFF"/>
            <w:noWrap/>
            <w:vAlign w:val="center"/>
            <w:hideMark/>
          </w:tcPr>
          <w:p w14:paraId="7395B95A"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560" w:type="dxa"/>
            <w:tcBorders>
              <w:top w:val="nil"/>
              <w:left w:val="nil"/>
              <w:bottom w:val="nil"/>
              <w:right w:val="nil"/>
            </w:tcBorders>
            <w:shd w:val="clear" w:color="000000" w:fill="FFFFFF"/>
            <w:noWrap/>
            <w:vAlign w:val="center"/>
            <w:hideMark/>
          </w:tcPr>
          <w:p w14:paraId="51F4A070"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r>
      <w:tr w:rsidR="00FE0665" w:rsidRPr="00FE0665" w14:paraId="03CDDC81"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30D467AE"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(26)</w:t>
            </w:r>
          </w:p>
        </w:tc>
        <w:tc>
          <w:tcPr>
            <w:tcW w:w="1480" w:type="dxa"/>
            <w:tcBorders>
              <w:top w:val="nil"/>
              <w:left w:val="nil"/>
              <w:bottom w:val="nil"/>
              <w:right w:val="nil"/>
            </w:tcBorders>
            <w:shd w:val="clear" w:color="000000" w:fill="FFFFFF"/>
            <w:noWrap/>
            <w:vAlign w:val="center"/>
            <w:hideMark/>
          </w:tcPr>
          <w:p w14:paraId="5F9A39A1"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(2,740)</w:t>
            </w:r>
          </w:p>
        </w:tc>
        <w:tc>
          <w:tcPr>
            <w:tcW w:w="4720" w:type="dxa"/>
            <w:tcBorders>
              <w:top w:val="nil"/>
              <w:left w:val="nil"/>
              <w:bottom w:val="nil"/>
              <w:right w:val="nil"/>
            </w:tcBorders>
            <w:shd w:val="clear" w:color="000000" w:fill="FFFFFF"/>
            <w:noWrap/>
            <w:vAlign w:val="center"/>
            <w:hideMark/>
          </w:tcPr>
          <w:p w14:paraId="3AA1B0E7"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Foreign Exchange</w:t>
            </w:r>
          </w:p>
        </w:tc>
        <w:tc>
          <w:tcPr>
            <w:tcW w:w="1560" w:type="dxa"/>
            <w:tcBorders>
              <w:top w:val="nil"/>
              <w:left w:val="nil"/>
              <w:bottom w:val="nil"/>
              <w:right w:val="nil"/>
            </w:tcBorders>
            <w:shd w:val="clear" w:color="000000" w:fill="FFFFFF"/>
            <w:noWrap/>
            <w:vAlign w:val="center"/>
            <w:hideMark/>
          </w:tcPr>
          <w:p w14:paraId="680C5878"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(26)</w:t>
            </w:r>
          </w:p>
        </w:tc>
        <w:tc>
          <w:tcPr>
            <w:tcW w:w="1560" w:type="dxa"/>
            <w:tcBorders>
              <w:top w:val="nil"/>
              <w:left w:val="nil"/>
              <w:bottom w:val="nil"/>
              <w:right w:val="nil"/>
            </w:tcBorders>
            <w:shd w:val="clear" w:color="000000" w:fill="FFFFFF"/>
            <w:noWrap/>
            <w:vAlign w:val="center"/>
            <w:hideMark/>
          </w:tcPr>
          <w:p w14:paraId="3CAAE988"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1,095</w:t>
            </w:r>
          </w:p>
        </w:tc>
      </w:tr>
      <w:tr w:rsidR="00FE0665" w:rsidRPr="00FE0665" w14:paraId="7BCE96AC" w14:textId="77777777" w:rsidTr="00FE0665">
        <w:trPr>
          <w:trHeight w:val="300"/>
          <w:jc w:val="center"/>
        </w:trPr>
        <w:tc>
          <w:tcPr>
            <w:tcW w:w="1100" w:type="dxa"/>
            <w:tcBorders>
              <w:top w:val="single" w:sz="4" w:space="0" w:color="auto"/>
              <w:left w:val="nil"/>
              <w:bottom w:val="single" w:sz="8" w:space="0" w:color="auto"/>
              <w:right w:val="nil"/>
            </w:tcBorders>
            <w:shd w:val="clear" w:color="000000" w:fill="FFFFFF"/>
            <w:noWrap/>
            <w:vAlign w:val="center"/>
            <w:hideMark/>
          </w:tcPr>
          <w:p w14:paraId="0B90E907"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(26)</w:t>
            </w:r>
          </w:p>
        </w:tc>
        <w:tc>
          <w:tcPr>
            <w:tcW w:w="1480" w:type="dxa"/>
            <w:tcBorders>
              <w:top w:val="single" w:sz="4" w:space="0" w:color="auto"/>
              <w:left w:val="nil"/>
              <w:bottom w:val="single" w:sz="8" w:space="0" w:color="auto"/>
              <w:right w:val="nil"/>
            </w:tcBorders>
            <w:shd w:val="clear" w:color="000000" w:fill="FFFFFF"/>
            <w:noWrap/>
            <w:vAlign w:val="center"/>
            <w:hideMark/>
          </w:tcPr>
          <w:p w14:paraId="514872CE"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(2,740)</w:t>
            </w:r>
          </w:p>
        </w:tc>
        <w:tc>
          <w:tcPr>
            <w:tcW w:w="4720" w:type="dxa"/>
            <w:tcBorders>
              <w:top w:val="single" w:sz="4" w:space="0" w:color="auto"/>
              <w:left w:val="nil"/>
              <w:bottom w:val="single" w:sz="8" w:space="0" w:color="auto"/>
              <w:right w:val="nil"/>
            </w:tcBorders>
            <w:shd w:val="clear" w:color="000000" w:fill="FFFFFF"/>
            <w:noWrap/>
            <w:vAlign w:val="center"/>
            <w:hideMark/>
          </w:tcPr>
          <w:p w14:paraId="63692AB1"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Subtotal  DERIVATIVES</w:t>
            </w:r>
          </w:p>
        </w:tc>
        <w:tc>
          <w:tcPr>
            <w:tcW w:w="1560" w:type="dxa"/>
            <w:tcBorders>
              <w:top w:val="single" w:sz="4" w:space="0" w:color="auto"/>
              <w:left w:val="nil"/>
              <w:bottom w:val="single" w:sz="8" w:space="0" w:color="auto"/>
              <w:right w:val="nil"/>
            </w:tcBorders>
            <w:shd w:val="clear" w:color="000000" w:fill="FFFFFF"/>
            <w:noWrap/>
            <w:vAlign w:val="center"/>
            <w:hideMark/>
          </w:tcPr>
          <w:p w14:paraId="5497AAAE"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(26)</w:t>
            </w:r>
          </w:p>
        </w:tc>
        <w:tc>
          <w:tcPr>
            <w:tcW w:w="1560" w:type="dxa"/>
            <w:tcBorders>
              <w:top w:val="single" w:sz="4" w:space="0" w:color="auto"/>
              <w:left w:val="nil"/>
              <w:bottom w:val="single" w:sz="8" w:space="0" w:color="auto"/>
              <w:right w:val="nil"/>
            </w:tcBorders>
            <w:shd w:val="clear" w:color="000000" w:fill="FFFFFF"/>
            <w:noWrap/>
            <w:vAlign w:val="center"/>
            <w:hideMark/>
          </w:tcPr>
          <w:p w14:paraId="597BC201"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1,095</w:t>
            </w:r>
          </w:p>
        </w:tc>
      </w:tr>
      <w:tr w:rsidR="00FE0665" w:rsidRPr="00FE0665" w14:paraId="12587307"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23A77444"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480" w:type="dxa"/>
            <w:tcBorders>
              <w:top w:val="nil"/>
              <w:left w:val="nil"/>
              <w:bottom w:val="nil"/>
              <w:right w:val="nil"/>
            </w:tcBorders>
            <w:shd w:val="clear" w:color="000000" w:fill="FFFFFF"/>
            <w:noWrap/>
            <w:vAlign w:val="center"/>
            <w:hideMark/>
          </w:tcPr>
          <w:p w14:paraId="6A241A9C"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4720" w:type="dxa"/>
            <w:tcBorders>
              <w:top w:val="nil"/>
              <w:left w:val="nil"/>
              <w:bottom w:val="nil"/>
              <w:right w:val="nil"/>
            </w:tcBorders>
            <w:shd w:val="clear" w:color="000000" w:fill="FFFFFF"/>
            <w:noWrap/>
            <w:vAlign w:val="center"/>
            <w:hideMark/>
          </w:tcPr>
          <w:p w14:paraId="061DBE93"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CASH and CASH EQUIVALENTS</w:t>
            </w:r>
          </w:p>
        </w:tc>
        <w:tc>
          <w:tcPr>
            <w:tcW w:w="1560" w:type="dxa"/>
            <w:tcBorders>
              <w:top w:val="nil"/>
              <w:left w:val="nil"/>
              <w:bottom w:val="nil"/>
              <w:right w:val="nil"/>
            </w:tcBorders>
            <w:shd w:val="clear" w:color="000000" w:fill="FFFFFF"/>
            <w:noWrap/>
            <w:vAlign w:val="center"/>
            <w:hideMark/>
          </w:tcPr>
          <w:p w14:paraId="3E24B018"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560" w:type="dxa"/>
            <w:tcBorders>
              <w:top w:val="nil"/>
              <w:left w:val="nil"/>
              <w:bottom w:val="nil"/>
              <w:right w:val="nil"/>
            </w:tcBorders>
            <w:shd w:val="clear" w:color="000000" w:fill="FFFFFF"/>
            <w:noWrap/>
            <w:vAlign w:val="center"/>
            <w:hideMark/>
          </w:tcPr>
          <w:p w14:paraId="20846662"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r>
      <w:tr w:rsidR="00FE0665" w:rsidRPr="00FE0665" w14:paraId="5E62AAFF"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66419A93"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88</w:t>
            </w:r>
          </w:p>
        </w:tc>
        <w:tc>
          <w:tcPr>
            <w:tcW w:w="1480" w:type="dxa"/>
            <w:tcBorders>
              <w:top w:val="nil"/>
              <w:left w:val="nil"/>
              <w:bottom w:val="nil"/>
              <w:right w:val="nil"/>
            </w:tcBorders>
            <w:shd w:val="clear" w:color="000000" w:fill="FFFFFF"/>
            <w:noWrap/>
            <w:vAlign w:val="center"/>
            <w:hideMark/>
          </w:tcPr>
          <w:p w14:paraId="7DD3DABB"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9,282</w:t>
            </w:r>
          </w:p>
        </w:tc>
        <w:tc>
          <w:tcPr>
            <w:tcW w:w="4720" w:type="dxa"/>
            <w:tcBorders>
              <w:top w:val="nil"/>
              <w:left w:val="nil"/>
              <w:bottom w:val="nil"/>
              <w:right w:val="nil"/>
            </w:tcBorders>
            <w:shd w:val="clear" w:color="000000" w:fill="FFFFFF"/>
            <w:noWrap/>
            <w:vAlign w:val="center"/>
            <w:hideMark/>
          </w:tcPr>
          <w:p w14:paraId="437B3643"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All</w:t>
            </w:r>
          </w:p>
        </w:tc>
        <w:tc>
          <w:tcPr>
            <w:tcW w:w="1560" w:type="dxa"/>
            <w:tcBorders>
              <w:top w:val="nil"/>
              <w:left w:val="nil"/>
              <w:bottom w:val="nil"/>
              <w:right w:val="nil"/>
            </w:tcBorders>
            <w:shd w:val="clear" w:color="000000" w:fill="FFFFFF"/>
            <w:noWrap/>
            <w:vAlign w:val="center"/>
            <w:hideMark/>
          </w:tcPr>
          <w:p w14:paraId="68DD8BC4"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88</w:t>
            </w:r>
          </w:p>
        </w:tc>
        <w:tc>
          <w:tcPr>
            <w:tcW w:w="1560" w:type="dxa"/>
            <w:tcBorders>
              <w:top w:val="nil"/>
              <w:left w:val="nil"/>
              <w:bottom w:val="nil"/>
              <w:right w:val="nil"/>
            </w:tcBorders>
            <w:shd w:val="clear" w:color="000000" w:fill="FFFFFF"/>
            <w:noWrap/>
            <w:vAlign w:val="center"/>
            <w:hideMark/>
          </w:tcPr>
          <w:p w14:paraId="1647DFD5"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8,166</w:t>
            </w:r>
          </w:p>
        </w:tc>
      </w:tr>
      <w:tr w:rsidR="00FE0665" w:rsidRPr="00FE0665" w14:paraId="49A43959" w14:textId="77777777" w:rsidTr="00FE0665">
        <w:trPr>
          <w:trHeight w:val="300"/>
          <w:jc w:val="center"/>
        </w:trPr>
        <w:tc>
          <w:tcPr>
            <w:tcW w:w="1100" w:type="dxa"/>
            <w:tcBorders>
              <w:top w:val="single" w:sz="4" w:space="0" w:color="auto"/>
              <w:left w:val="nil"/>
              <w:bottom w:val="single" w:sz="8" w:space="0" w:color="auto"/>
              <w:right w:val="nil"/>
            </w:tcBorders>
            <w:shd w:val="clear" w:color="000000" w:fill="FFFFFF"/>
            <w:noWrap/>
            <w:vAlign w:val="center"/>
            <w:hideMark/>
          </w:tcPr>
          <w:p w14:paraId="0A46D075"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88</w:t>
            </w:r>
          </w:p>
        </w:tc>
        <w:tc>
          <w:tcPr>
            <w:tcW w:w="1480" w:type="dxa"/>
            <w:tcBorders>
              <w:top w:val="single" w:sz="4" w:space="0" w:color="auto"/>
              <w:left w:val="nil"/>
              <w:bottom w:val="single" w:sz="8" w:space="0" w:color="auto"/>
              <w:right w:val="nil"/>
            </w:tcBorders>
            <w:shd w:val="clear" w:color="000000" w:fill="FFFFFF"/>
            <w:noWrap/>
            <w:vAlign w:val="center"/>
            <w:hideMark/>
          </w:tcPr>
          <w:p w14:paraId="59B7C77C"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9,282</w:t>
            </w:r>
          </w:p>
        </w:tc>
        <w:tc>
          <w:tcPr>
            <w:tcW w:w="4720" w:type="dxa"/>
            <w:tcBorders>
              <w:top w:val="single" w:sz="4" w:space="0" w:color="auto"/>
              <w:left w:val="nil"/>
              <w:bottom w:val="single" w:sz="8" w:space="0" w:color="auto"/>
              <w:right w:val="nil"/>
            </w:tcBorders>
            <w:shd w:val="clear" w:color="000000" w:fill="FFFFFF"/>
            <w:noWrap/>
            <w:vAlign w:val="center"/>
            <w:hideMark/>
          </w:tcPr>
          <w:p w14:paraId="7A6CB59D"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 xml:space="preserve">Subtotal  PRIVATE EQUITY </w:t>
            </w:r>
          </w:p>
        </w:tc>
        <w:tc>
          <w:tcPr>
            <w:tcW w:w="1560" w:type="dxa"/>
            <w:tcBorders>
              <w:top w:val="single" w:sz="4" w:space="0" w:color="auto"/>
              <w:left w:val="nil"/>
              <w:bottom w:val="single" w:sz="8" w:space="0" w:color="auto"/>
              <w:right w:val="nil"/>
            </w:tcBorders>
            <w:shd w:val="clear" w:color="000000" w:fill="FFFFFF"/>
            <w:noWrap/>
            <w:vAlign w:val="center"/>
            <w:hideMark/>
          </w:tcPr>
          <w:p w14:paraId="37803282"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88</w:t>
            </w:r>
          </w:p>
        </w:tc>
        <w:tc>
          <w:tcPr>
            <w:tcW w:w="1560" w:type="dxa"/>
            <w:tcBorders>
              <w:top w:val="single" w:sz="4" w:space="0" w:color="auto"/>
              <w:left w:val="nil"/>
              <w:bottom w:val="single" w:sz="8" w:space="0" w:color="auto"/>
              <w:right w:val="nil"/>
            </w:tcBorders>
            <w:shd w:val="clear" w:color="000000" w:fill="FFFFFF"/>
            <w:noWrap/>
            <w:vAlign w:val="center"/>
            <w:hideMark/>
          </w:tcPr>
          <w:p w14:paraId="4C1E8369"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8,166</w:t>
            </w:r>
          </w:p>
        </w:tc>
      </w:tr>
      <w:tr w:rsidR="00FE0665" w:rsidRPr="00FE0665" w14:paraId="32FA703B" w14:textId="77777777" w:rsidTr="00FE0665">
        <w:trPr>
          <w:trHeight w:val="300"/>
          <w:jc w:val="center"/>
        </w:trPr>
        <w:tc>
          <w:tcPr>
            <w:tcW w:w="1100" w:type="dxa"/>
            <w:tcBorders>
              <w:top w:val="nil"/>
              <w:left w:val="nil"/>
              <w:bottom w:val="nil"/>
              <w:right w:val="nil"/>
            </w:tcBorders>
            <w:shd w:val="clear" w:color="000000" w:fill="FFFFFF"/>
            <w:noWrap/>
            <w:vAlign w:val="center"/>
            <w:hideMark/>
          </w:tcPr>
          <w:p w14:paraId="3C38DBE1"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480" w:type="dxa"/>
            <w:tcBorders>
              <w:top w:val="nil"/>
              <w:left w:val="nil"/>
              <w:bottom w:val="nil"/>
              <w:right w:val="nil"/>
            </w:tcBorders>
            <w:shd w:val="clear" w:color="000000" w:fill="FFFFFF"/>
            <w:noWrap/>
            <w:vAlign w:val="center"/>
            <w:hideMark/>
          </w:tcPr>
          <w:p w14:paraId="6C582AB1"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4720" w:type="dxa"/>
            <w:tcBorders>
              <w:top w:val="nil"/>
              <w:left w:val="nil"/>
              <w:bottom w:val="nil"/>
              <w:right w:val="nil"/>
            </w:tcBorders>
            <w:shd w:val="clear" w:color="000000" w:fill="FFFFFF"/>
            <w:noWrap/>
            <w:vAlign w:val="center"/>
            <w:hideMark/>
          </w:tcPr>
          <w:p w14:paraId="0D6AADFB" w14:textId="1D1507F4" w:rsidR="00FE0665" w:rsidRPr="00FE0665" w:rsidRDefault="00FE0665" w:rsidP="00444EAB">
            <w:pPr>
              <w:rPr>
                <w:rFonts w:eastAsia="Times New Roman" w:cs="Times New Roman"/>
                <w:color w:val="000000"/>
                <w:sz w:val="16"/>
                <w:szCs w:val="16"/>
                <w:lang w:val="en-GB" w:eastAsia="en-GB"/>
              </w:rPr>
            </w:pPr>
          </w:p>
        </w:tc>
        <w:tc>
          <w:tcPr>
            <w:tcW w:w="1560" w:type="dxa"/>
            <w:tcBorders>
              <w:top w:val="nil"/>
              <w:left w:val="nil"/>
              <w:bottom w:val="nil"/>
              <w:right w:val="nil"/>
            </w:tcBorders>
            <w:shd w:val="clear" w:color="000000" w:fill="FFFFFF"/>
            <w:noWrap/>
            <w:vAlign w:val="center"/>
            <w:hideMark/>
          </w:tcPr>
          <w:p w14:paraId="50A13C64"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560" w:type="dxa"/>
            <w:tcBorders>
              <w:top w:val="nil"/>
              <w:left w:val="nil"/>
              <w:bottom w:val="nil"/>
              <w:right w:val="nil"/>
            </w:tcBorders>
            <w:shd w:val="clear" w:color="000000" w:fill="FFFFFF"/>
            <w:noWrap/>
            <w:vAlign w:val="center"/>
            <w:hideMark/>
          </w:tcPr>
          <w:p w14:paraId="5496A9BC"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r>
      <w:tr w:rsidR="00FE0665" w:rsidRPr="00FE0665" w14:paraId="5C05F92B" w14:textId="77777777" w:rsidTr="00FE0665">
        <w:trPr>
          <w:trHeight w:val="300"/>
          <w:jc w:val="center"/>
        </w:trPr>
        <w:tc>
          <w:tcPr>
            <w:tcW w:w="1100" w:type="dxa"/>
            <w:tcBorders>
              <w:top w:val="single" w:sz="4" w:space="0" w:color="auto"/>
              <w:left w:val="nil"/>
              <w:bottom w:val="single" w:sz="8" w:space="0" w:color="auto"/>
              <w:right w:val="nil"/>
            </w:tcBorders>
            <w:shd w:val="clear" w:color="000000" w:fill="FFFFFF"/>
            <w:noWrap/>
            <w:vAlign w:val="center"/>
            <w:hideMark/>
          </w:tcPr>
          <w:p w14:paraId="4CB06698"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2,569</w:t>
            </w:r>
          </w:p>
        </w:tc>
        <w:tc>
          <w:tcPr>
            <w:tcW w:w="1480" w:type="dxa"/>
            <w:tcBorders>
              <w:top w:val="single" w:sz="4" w:space="0" w:color="auto"/>
              <w:left w:val="nil"/>
              <w:bottom w:val="single" w:sz="8" w:space="0" w:color="auto"/>
              <w:right w:val="nil"/>
            </w:tcBorders>
            <w:shd w:val="clear" w:color="000000" w:fill="FFFFFF"/>
            <w:noWrap/>
            <w:vAlign w:val="center"/>
            <w:hideMark/>
          </w:tcPr>
          <w:p w14:paraId="265CA2EC"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272,577</w:t>
            </w:r>
          </w:p>
        </w:tc>
        <w:tc>
          <w:tcPr>
            <w:tcW w:w="4720" w:type="dxa"/>
            <w:tcBorders>
              <w:top w:val="single" w:sz="4" w:space="0" w:color="auto"/>
              <w:left w:val="nil"/>
              <w:bottom w:val="single" w:sz="8" w:space="0" w:color="auto"/>
              <w:right w:val="nil"/>
            </w:tcBorders>
            <w:shd w:val="clear" w:color="000000" w:fill="FFFFFF"/>
            <w:noWrap/>
            <w:vAlign w:val="center"/>
            <w:hideMark/>
          </w:tcPr>
          <w:p w14:paraId="4AE2F912"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Total Assets</w:t>
            </w:r>
          </w:p>
        </w:tc>
        <w:tc>
          <w:tcPr>
            <w:tcW w:w="1560" w:type="dxa"/>
            <w:tcBorders>
              <w:top w:val="single" w:sz="4" w:space="0" w:color="auto"/>
              <w:left w:val="nil"/>
              <w:bottom w:val="single" w:sz="8" w:space="0" w:color="auto"/>
              <w:right w:val="nil"/>
            </w:tcBorders>
            <w:shd w:val="clear" w:color="000000" w:fill="FFFFFF"/>
            <w:noWrap/>
            <w:vAlign w:val="center"/>
            <w:hideMark/>
          </w:tcPr>
          <w:p w14:paraId="007A105E"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2,569</w:t>
            </w:r>
          </w:p>
        </w:tc>
        <w:tc>
          <w:tcPr>
            <w:tcW w:w="1560" w:type="dxa"/>
            <w:tcBorders>
              <w:top w:val="single" w:sz="4" w:space="0" w:color="auto"/>
              <w:left w:val="nil"/>
              <w:bottom w:val="single" w:sz="8" w:space="0" w:color="auto"/>
              <w:right w:val="nil"/>
            </w:tcBorders>
            <w:shd w:val="clear" w:color="000000" w:fill="FFFFFF"/>
            <w:noWrap/>
            <w:vAlign w:val="center"/>
            <w:hideMark/>
          </w:tcPr>
          <w:p w14:paraId="65D29E0B"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358,772</w:t>
            </w:r>
          </w:p>
        </w:tc>
      </w:tr>
    </w:tbl>
    <w:p w14:paraId="2B17D41F" w14:textId="77777777" w:rsidR="00FE0665" w:rsidRPr="00FE0665" w:rsidRDefault="00FE0665" w:rsidP="001B120B">
      <w:pPr>
        <w:pStyle w:val="Normal0"/>
        <w:spacing w:after="160" w:line="259" w:lineRule="auto"/>
        <w:jc w:val="both"/>
        <w:rPr>
          <w:rFonts w:ascii="Verdana" w:hAnsi="Verdana"/>
          <w:b/>
          <w:iCs/>
          <w:sz w:val="16"/>
          <w:szCs w:val="16"/>
        </w:rPr>
      </w:pPr>
    </w:p>
    <w:tbl>
      <w:tblPr>
        <w:tblW w:w="7760" w:type="dxa"/>
        <w:jc w:val="center"/>
        <w:tblLook w:val="04A0" w:firstRow="1" w:lastRow="0" w:firstColumn="1" w:lastColumn="0" w:noHBand="0" w:noVBand="1"/>
      </w:tblPr>
      <w:tblGrid>
        <w:gridCol w:w="1309"/>
        <w:gridCol w:w="4891"/>
        <w:gridCol w:w="1560"/>
      </w:tblGrid>
      <w:tr w:rsidR="00FE0665" w:rsidRPr="00FE0665" w14:paraId="262650D2" w14:textId="77777777" w:rsidTr="00FE0665">
        <w:trPr>
          <w:trHeight w:val="300"/>
          <w:jc w:val="center"/>
        </w:trPr>
        <w:tc>
          <w:tcPr>
            <w:tcW w:w="6200" w:type="dxa"/>
            <w:gridSpan w:val="2"/>
            <w:tcBorders>
              <w:top w:val="nil"/>
              <w:left w:val="nil"/>
              <w:bottom w:val="nil"/>
              <w:right w:val="nil"/>
            </w:tcBorders>
            <w:shd w:val="clear" w:color="000000" w:fill="FFFFFF"/>
            <w:noWrap/>
            <w:vAlign w:val="center"/>
            <w:hideMark/>
          </w:tcPr>
          <w:p w14:paraId="03417DA3"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The significant assumptions used by the actuary have been:</w:t>
            </w:r>
          </w:p>
        </w:tc>
        <w:tc>
          <w:tcPr>
            <w:tcW w:w="1560" w:type="dxa"/>
            <w:tcBorders>
              <w:top w:val="nil"/>
              <w:left w:val="nil"/>
              <w:bottom w:val="nil"/>
              <w:right w:val="nil"/>
            </w:tcBorders>
            <w:shd w:val="clear" w:color="000000" w:fill="FFFFFF"/>
            <w:noWrap/>
            <w:vAlign w:val="center"/>
            <w:hideMark/>
          </w:tcPr>
          <w:p w14:paraId="027D90BD"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 </w:t>
            </w:r>
          </w:p>
        </w:tc>
      </w:tr>
      <w:tr w:rsidR="00FE0665" w:rsidRPr="00FE0665" w14:paraId="712F309A" w14:textId="77777777" w:rsidTr="00444EAB">
        <w:trPr>
          <w:trHeight w:val="74"/>
          <w:jc w:val="center"/>
        </w:trPr>
        <w:tc>
          <w:tcPr>
            <w:tcW w:w="1309" w:type="dxa"/>
            <w:tcBorders>
              <w:top w:val="nil"/>
              <w:left w:val="nil"/>
              <w:bottom w:val="nil"/>
              <w:right w:val="nil"/>
            </w:tcBorders>
            <w:shd w:val="clear" w:color="000000" w:fill="FFFFFF"/>
            <w:noWrap/>
            <w:vAlign w:val="center"/>
            <w:hideMark/>
          </w:tcPr>
          <w:p w14:paraId="26F74E92"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4891" w:type="dxa"/>
            <w:tcBorders>
              <w:top w:val="nil"/>
              <w:left w:val="nil"/>
              <w:bottom w:val="nil"/>
              <w:right w:val="nil"/>
            </w:tcBorders>
            <w:shd w:val="clear" w:color="000000" w:fill="FFFFFF"/>
            <w:noWrap/>
            <w:vAlign w:val="center"/>
            <w:hideMark/>
          </w:tcPr>
          <w:p w14:paraId="788DF168"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560" w:type="dxa"/>
            <w:tcBorders>
              <w:top w:val="nil"/>
              <w:left w:val="nil"/>
              <w:bottom w:val="nil"/>
              <w:right w:val="nil"/>
            </w:tcBorders>
            <w:shd w:val="clear" w:color="000000" w:fill="FFFFFF"/>
            <w:noWrap/>
            <w:vAlign w:val="center"/>
            <w:hideMark/>
          </w:tcPr>
          <w:p w14:paraId="78730FB9"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r>
      <w:tr w:rsidR="00FE0665" w:rsidRPr="00FE0665" w14:paraId="0117A62F" w14:textId="77777777" w:rsidTr="00444EAB">
        <w:trPr>
          <w:trHeight w:val="74"/>
          <w:jc w:val="center"/>
        </w:trPr>
        <w:tc>
          <w:tcPr>
            <w:tcW w:w="1309" w:type="dxa"/>
            <w:tcBorders>
              <w:top w:val="nil"/>
              <w:left w:val="nil"/>
              <w:bottom w:val="single" w:sz="4" w:space="0" w:color="auto"/>
              <w:right w:val="nil"/>
            </w:tcBorders>
            <w:shd w:val="clear" w:color="000000" w:fill="FFFFFF"/>
            <w:noWrap/>
            <w:vAlign w:val="center"/>
            <w:hideMark/>
          </w:tcPr>
          <w:p w14:paraId="3A6882A6"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2019/20</w:t>
            </w:r>
          </w:p>
        </w:tc>
        <w:tc>
          <w:tcPr>
            <w:tcW w:w="4891" w:type="dxa"/>
            <w:tcBorders>
              <w:top w:val="nil"/>
              <w:left w:val="nil"/>
              <w:bottom w:val="single" w:sz="4" w:space="0" w:color="auto"/>
              <w:right w:val="nil"/>
            </w:tcBorders>
            <w:shd w:val="clear" w:color="000000" w:fill="FFFFFF"/>
            <w:noWrap/>
            <w:vAlign w:val="center"/>
            <w:hideMark/>
          </w:tcPr>
          <w:p w14:paraId="5668FA23"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LGPS</w:t>
            </w:r>
          </w:p>
        </w:tc>
        <w:tc>
          <w:tcPr>
            <w:tcW w:w="1560" w:type="dxa"/>
            <w:tcBorders>
              <w:top w:val="nil"/>
              <w:left w:val="nil"/>
              <w:bottom w:val="single" w:sz="4" w:space="0" w:color="auto"/>
              <w:right w:val="nil"/>
            </w:tcBorders>
            <w:shd w:val="clear" w:color="000000" w:fill="FFFFFF"/>
            <w:noWrap/>
            <w:vAlign w:val="center"/>
            <w:hideMark/>
          </w:tcPr>
          <w:p w14:paraId="1450F6C5"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2020/21</w:t>
            </w:r>
          </w:p>
        </w:tc>
      </w:tr>
      <w:tr w:rsidR="00FE0665" w:rsidRPr="00FE0665" w14:paraId="64FEE5AD" w14:textId="77777777" w:rsidTr="00FE0665">
        <w:trPr>
          <w:trHeight w:val="300"/>
          <w:jc w:val="center"/>
        </w:trPr>
        <w:tc>
          <w:tcPr>
            <w:tcW w:w="1309" w:type="dxa"/>
            <w:tcBorders>
              <w:top w:val="nil"/>
              <w:left w:val="nil"/>
              <w:bottom w:val="nil"/>
              <w:right w:val="nil"/>
            </w:tcBorders>
            <w:shd w:val="clear" w:color="000000" w:fill="FFFFFF"/>
            <w:noWrap/>
            <w:vAlign w:val="center"/>
            <w:hideMark/>
          </w:tcPr>
          <w:p w14:paraId="7F019DF4"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11.0%</w:t>
            </w:r>
          </w:p>
        </w:tc>
        <w:tc>
          <w:tcPr>
            <w:tcW w:w="4891" w:type="dxa"/>
            <w:tcBorders>
              <w:top w:val="nil"/>
              <w:left w:val="nil"/>
              <w:bottom w:val="nil"/>
              <w:right w:val="nil"/>
            </w:tcBorders>
            <w:shd w:val="clear" w:color="000000" w:fill="FFFFFF"/>
            <w:noWrap/>
            <w:vAlign w:val="center"/>
            <w:hideMark/>
          </w:tcPr>
          <w:p w14:paraId="7C159186"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EQUITY SECURITIES</w:t>
            </w:r>
          </w:p>
        </w:tc>
        <w:tc>
          <w:tcPr>
            <w:tcW w:w="1560" w:type="dxa"/>
            <w:tcBorders>
              <w:top w:val="nil"/>
              <w:left w:val="nil"/>
              <w:bottom w:val="nil"/>
              <w:right w:val="nil"/>
            </w:tcBorders>
            <w:shd w:val="clear" w:color="000000" w:fill="FFFFFF"/>
            <w:noWrap/>
            <w:vAlign w:val="center"/>
            <w:hideMark/>
          </w:tcPr>
          <w:p w14:paraId="627CB37E"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11%</w:t>
            </w:r>
          </w:p>
        </w:tc>
      </w:tr>
      <w:tr w:rsidR="00FE0665" w:rsidRPr="00FE0665" w14:paraId="0CC81491" w14:textId="77777777" w:rsidTr="00FE0665">
        <w:trPr>
          <w:trHeight w:val="300"/>
          <w:jc w:val="center"/>
        </w:trPr>
        <w:tc>
          <w:tcPr>
            <w:tcW w:w="1309" w:type="dxa"/>
            <w:tcBorders>
              <w:top w:val="nil"/>
              <w:left w:val="nil"/>
              <w:bottom w:val="nil"/>
              <w:right w:val="nil"/>
            </w:tcBorders>
            <w:shd w:val="clear" w:color="000000" w:fill="FFFFFF"/>
            <w:noWrap/>
            <w:vAlign w:val="center"/>
            <w:hideMark/>
          </w:tcPr>
          <w:p w14:paraId="21BE162F"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11.0%</w:t>
            </w:r>
          </w:p>
        </w:tc>
        <w:tc>
          <w:tcPr>
            <w:tcW w:w="4891" w:type="dxa"/>
            <w:tcBorders>
              <w:top w:val="nil"/>
              <w:left w:val="nil"/>
              <w:bottom w:val="nil"/>
              <w:right w:val="nil"/>
            </w:tcBorders>
            <w:shd w:val="clear" w:color="000000" w:fill="FFFFFF"/>
            <w:noWrap/>
            <w:vAlign w:val="center"/>
            <w:hideMark/>
          </w:tcPr>
          <w:p w14:paraId="1465D7FA"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DEBT SECURITIES</w:t>
            </w:r>
          </w:p>
        </w:tc>
        <w:tc>
          <w:tcPr>
            <w:tcW w:w="1560" w:type="dxa"/>
            <w:tcBorders>
              <w:top w:val="nil"/>
              <w:left w:val="nil"/>
              <w:bottom w:val="nil"/>
              <w:right w:val="nil"/>
            </w:tcBorders>
            <w:shd w:val="clear" w:color="000000" w:fill="FFFFFF"/>
            <w:noWrap/>
            <w:vAlign w:val="center"/>
            <w:hideMark/>
          </w:tcPr>
          <w:p w14:paraId="221B4F90"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11%</w:t>
            </w:r>
          </w:p>
        </w:tc>
      </w:tr>
      <w:tr w:rsidR="00FE0665" w:rsidRPr="00FE0665" w14:paraId="1BE39A6B" w14:textId="77777777" w:rsidTr="00FE0665">
        <w:trPr>
          <w:trHeight w:val="300"/>
          <w:jc w:val="center"/>
        </w:trPr>
        <w:tc>
          <w:tcPr>
            <w:tcW w:w="1309" w:type="dxa"/>
            <w:tcBorders>
              <w:top w:val="nil"/>
              <w:left w:val="nil"/>
              <w:bottom w:val="nil"/>
              <w:right w:val="nil"/>
            </w:tcBorders>
            <w:shd w:val="clear" w:color="000000" w:fill="FFFFFF"/>
            <w:noWrap/>
            <w:vAlign w:val="center"/>
            <w:hideMark/>
          </w:tcPr>
          <w:p w14:paraId="72C9BC90"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11.0%</w:t>
            </w:r>
          </w:p>
        </w:tc>
        <w:tc>
          <w:tcPr>
            <w:tcW w:w="4891" w:type="dxa"/>
            <w:tcBorders>
              <w:top w:val="nil"/>
              <w:left w:val="nil"/>
              <w:bottom w:val="nil"/>
              <w:right w:val="nil"/>
            </w:tcBorders>
            <w:shd w:val="clear" w:color="000000" w:fill="FFFFFF"/>
            <w:noWrap/>
            <w:vAlign w:val="center"/>
            <w:hideMark/>
          </w:tcPr>
          <w:p w14:paraId="4053E1DD"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PRIVATE EQUITY</w:t>
            </w:r>
          </w:p>
        </w:tc>
        <w:tc>
          <w:tcPr>
            <w:tcW w:w="1560" w:type="dxa"/>
            <w:tcBorders>
              <w:top w:val="nil"/>
              <w:left w:val="nil"/>
              <w:bottom w:val="nil"/>
              <w:right w:val="nil"/>
            </w:tcBorders>
            <w:shd w:val="clear" w:color="000000" w:fill="FFFFFF"/>
            <w:noWrap/>
            <w:vAlign w:val="center"/>
            <w:hideMark/>
          </w:tcPr>
          <w:p w14:paraId="6D0CB75F"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11%</w:t>
            </w:r>
          </w:p>
        </w:tc>
      </w:tr>
      <w:tr w:rsidR="00FE0665" w:rsidRPr="00FE0665" w14:paraId="5EDEFAD2" w14:textId="77777777" w:rsidTr="00FE0665">
        <w:trPr>
          <w:trHeight w:val="300"/>
          <w:jc w:val="center"/>
        </w:trPr>
        <w:tc>
          <w:tcPr>
            <w:tcW w:w="1309" w:type="dxa"/>
            <w:tcBorders>
              <w:top w:val="nil"/>
              <w:left w:val="nil"/>
              <w:bottom w:val="nil"/>
              <w:right w:val="nil"/>
            </w:tcBorders>
            <w:shd w:val="clear" w:color="000000" w:fill="FFFFFF"/>
            <w:noWrap/>
            <w:vAlign w:val="center"/>
            <w:hideMark/>
          </w:tcPr>
          <w:p w14:paraId="05A7CBB9"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11.0%</w:t>
            </w:r>
          </w:p>
        </w:tc>
        <w:tc>
          <w:tcPr>
            <w:tcW w:w="4891" w:type="dxa"/>
            <w:tcBorders>
              <w:top w:val="nil"/>
              <w:left w:val="nil"/>
              <w:bottom w:val="nil"/>
              <w:right w:val="nil"/>
            </w:tcBorders>
            <w:shd w:val="clear" w:color="000000" w:fill="FFFFFF"/>
            <w:noWrap/>
            <w:vAlign w:val="center"/>
            <w:hideMark/>
          </w:tcPr>
          <w:p w14:paraId="113F2B50"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REAL ESTATE</w:t>
            </w:r>
          </w:p>
        </w:tc>
        <w:tc>
          <w:tcPr>
            <w:tcW w:w="1560" w:type="dxa"/>
            <w:tcBorders>
              <w:top w:val="nil"/>
              <w:left w:val="nil"/>
              <w:bottom w:val="nil"/>
              <w:right w:val="nil"/>
            </w:tcBorders>
            <w:shd w:val="clear" w:color="000000" w:fill="FFFFFF"/>
            <w:noWrap/>
            <w:vAlign w:val="center"/>
            <w:hideMark/>
          </w:tcPr>
          <w:p w14:paraId="3F6D4AE5"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11%</w:t>
            </w:r>
          </w:p>
        </w:tc>
      </w:tr>
      <w:tr w:rsidR="00FE0665" w:rsidRPr="00FE0665" w14:paraId="6CFFBB90" w14:textId="77777777" w:rsidTr="00FE0665">
        <w:trPr>
          <w:trHeight w:val="300"/>
          <w:jc w:val="center"/>
        </w:trPr>
        <w:tc>
          <w:tcPr>
            <w:tcW w:w="1309" w:type="dxa"/>
            <w:tcBorders>
              <w:top w:val="nil"/>
              <w:left w:val="nil"/>
              <w:bottom w:val="nil"/>
              <w:right w:val="nil"/>
            </w:tcBorders>
            <w:shd w:val="clear" w:color="000000" w:fill="FFFFFF"/>
            <w:noWrap/>
            <w:vAlign w:val="center"/>
            <w:hideMark/>
          </w:tcPr>
          <w:p w14:paraId="2B493D02"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11.0%</w:t>
            </w:r>
          </w:p>
        </w:tc>
        <w:tc>
          <w:tcPr>
            <w:tcW w:w="4891" w:type="dxa"/>
            <w:tcBorders>
              <w:top w:val="nil"/>
              <w:left w:val="nil"/>
              <w:bottom w:val="nil"/>
              <w:right w:val="nil"/>
            </w:tcBorders>
            <w:shd w:val="clear" w:color="000000" w:fill="FFFFFF"/>
            <w:noWrap/>
            <w:vAlign w:val="center"/>
            <w:hideMark/>
          </w:tcPr>
          <w:p w14:paraId="33B62CBA"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INVESTMENT FUNDS &amp; UNIT TRUSTS</w:t>
            </w:r>
          </w:p>
        </w:tc>
        <w:tc>
          <w:tcPr>
            <w:tcW w:w="1560" w:type="dxa"/>
            <w:tcBorders>
              <w:top w:val="nil"/>
              <w:left w:val="nil"/>
              <w:bottom w:val="nil"/>
              <w:right w:val="nil"/>
            </w:tcBorders>
            <w:shd w:val="clear" w:color="000000" w:fill="FFFFFF"/>
            <w:noWrap/>
            <w:vAlign w:val="center"/>
            <w:hideMark/>
          </w:tcPr>
          <w:p w14:paraId="6EDE9B7B"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11%</w:t>
            </w:r>
          </w:p>
        </w:tc>
      </w:tr>
      <w:tr w:rsidR="00FE0665" w:rsidRPr="00FE0665" w14:paraId="1930FFA0" w14:textId="77777777" w:rsidTr="00FE0665">
        <w:trPr>
          <w:trHeight w:val="300"/>
          <w:jc w:val="center"/>
        </w:trPr>
        <w:tc>
          <w:tcPr>
            <w:tcW w:w="1309" w:type="dxa"/>
            <w:tcBorders>
              <w:top w:val="nil"/>
              <w:left w:val="nil"/>
              <w:bottom w:val="nil"/>
              <w:right w:val="nil"/>
            </w:tcBorders>
            <w:shd w:val="clear" w:color="000000" w:fill="FFFFFF"/>
            <w:noWrap/>
            <w:vAlign w:val="center"/>
            <w:hideMark/>
          </w:tcPr>
          <w:p w14:paraId="29CB6326"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11.0%</w:t>
            </w:r>
          </w:p>
        </w:tc>
        <w:tc>
          <w:tcPr>
            <w:tcW w:w="4891" w:type="dxa"/>
            <w:tcBorders>
              <w:top w:val="nil"/>
              <w:left w:val="nil"/>
              <w:bottom w:val="nil"/>
              <w:right w:val="nil"/>
            </w:tcBorders>
            <w:shd w:val="clear" w:color="000000" w:fill="FFFFFF"/>
            <w:noWrap/>
            <w:vAlign w:val="center"/>
            <w:hideMark/>
          </w:tcPr>
          <w:p w14:paraId="7AA76891"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DERIVATIVES</w:t>
            </w:r>
          </w:p>
        </w:tc>
        <w:tc>
          <w:tcPr>
            <w:tcW w:w="1560" w:type="dxa"/>
            <w:tcBorders>
              <w:top w:val="nil"/>
              <w:left w:val="nil"/>
              <w:bottom w:val="nil"/>
              <w:right w:val="nil"/>
            </w:tcBorders>
            <w:shd w:val="clear" w:color="000000" w:fill="FFFFFF"/>
            <w:noWrap/>
            <w:vAlign w:val="center"/>
            <w:hideMark/>
          </w:tcPr>
          <w:p w14:paraId="0363729F"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11%</w:t>
            </w:r>
          </w:p>
        </w:tc>
      </w:tr>
      <w:tr w:rsidR="00FE0665" w:rsidRPr="00FE0665" w14:paraId="624AB629" w14:textId="77777777" w:rsidTr="00FE0665">
        <w:trPr>
          <w:trHeight w:val="300"/>
          <w:jc w:val="center"/>
        </w:trPr>
        <w:tc>
          <w:tcPr>
            <w:tcW w:w="1309" w:type="dxa"/>
            <w:tcBorders>
              <w:top w:val="nil"/>
              <w:left w:val="nil"/>
              <w:bottom w:val="nil"/>
              <w:right w:val="nil"/>
            </w:tcBorders>
            <w:shd w:val="clear" w:color="000000" w:fill="FFFFFF"/>
            <w:noWrap/>
            <w:vAlign w:val="center"/>
            <w:hideMark/>
          </w:tcPr>
          <w:p w14:paraId="4F78B2BD"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4891" w:type="dxa"/>
            <w:tcBorders>
              <w:top w:val="nil"/>
              <w:left w:val="nil"/>
              <w:bottom w:val="nil"/>
              <w:right w:val="nil"/>
            </w:tcBorders>
            <w:shd w:val="clear" w:color="000000" w:fill="FFFFFF"/>
            <w:noWrap/>
            <w:vAlign w:val="center"/>
            <w:hideMark/>
          </w:tcPr>
          <w:p w14:paraId="646DE509"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560" w:type="dxa"/>
            <w:tcBorders>
              <w:top w:val="nil"/>
              <w:left w:val="nil"/>
              <w:bottom w:val="nil"/>
              <w:right w:val="nil"/>
            </w:tcBorders>
            <w:shd w:val="clear" w:color="000000" w:fill="FFFFFF"/>
            <w:noWrap/>
            <w:vAlign w:val="center"/>
            <w:hideMark/>
          </w:tcPr>
          <w:p w14:paraId="66F86515"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r>
      <w:tr w:rsidR="00FE0665" w:rsidRPr="00FE0665" w14:paraId="6F0E98B5" w14:textId="77777777" w:rsidTr="00FE0665">
        <w:trPr>
          <w:trHeight w:val="300"/>
          <w:jc w:val="center"/>
        </w:trPr>
        <w:tc>
          <w:tcPr>
            <w:tcW w:w="1309" w:type="dxa"/>
            <w:tcBorders>
              <w:top w:val="nil"/>
              <w:left w:val="nil"/>
              <w:bottom w:val="nil"/>
              <w:right w:val="nil"/>
            </w:tcBorders>
            <w:shd w:val="clear" w:color="000000" w:fill="FFFFFF"/>
            <w:noWrap/>
            <w:vAlign w:val="center"/>
            <w:hideMark/>
          </w:tcPr>
          <w:p w14:paraId="673B336F"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22.1</w:t>
            </w:r>
          </w:p>
        </w:tc>
        <w:tc>
          <w:tcPr>
            <w:tcW w:w="4891" w:type="dxa"/>
            <w:tcBorders>
              <w:top w:val="nil"/>
              <w:left w:val="nil"/>
              <w:bottom w:val="nil"/>
              <w:right w:val="nil"/>
            </w:tcBorders>
            <w:shd w:val="clear" w:color="000000" w:fill="FFFFFF"/>
            <w:noWrap/>
            <w:vAlign w:val="center"/>
            <w:hideMark/>
          </w:tcPr>
          <w:p w14:paraId="653122C8"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Men</w:t>
            </w:r>
          </w:p>
        </w:tc>
        <w:tc>
          <w:tcPr>
            <w:tcW w:w="1560" w:type="dxa"/>
            <w:tcBorders>
              <w:top w:val="nil"/>
              <w:left w:val="nil"/>
              <w:bottom w:val="nil"/>
              <w:right w:val="nil"/>
            </w:tcBorders>
            <w:shd w:val="clear" w:color="000000" w:fill="FFFFFF"/>
            <w:noWrap/>
            <w:vAlign w:val="center"/>
            <w:hideMark/>
          </w:tcPr>
          <w:p w14:paraId="29103D5B"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22.1</w:t>
            </w:r>
          </w:p>
        </w:tc>
      </w:tr>
      <w:tr w:rsidR="00FE0665" w:rsidRPr="00FE0665" w14:paraId="3DC20C4F" w14:textId="77777777" w:rsidTr="00FE0665">
        <w:trPr>
          <w:trHeight w:val="300"/>
          <w:jc w:val="center"/>
        </w:trPr>
        <w:tc>
          <w:tcPr>
            <w:tcW w:w="1309" w:type="dxa"/>
            <w:tcBorders>
              <w:top w:val="nil"/>
              <w:left w:val="nil"/>
              <w:bottom w:val="nil"/>
              <w:right w:val="nil"/>
            </w:tcBorders>
            <w:shd w:val="clear" w:color="000000" w:fill="FFFFFF"/>
            <w:noWrap/>
            <w:vAlign w:val="center"/>
            <w:hideMark/>
          </w:tcPr>
          <w:p w14:paraId="1E0550FE"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24.3</w:t>
            </w:r>
          </w:p>
        </w:tc>
        <w:tc>
          <w:tcPr>
            <w:tcW w:w="4891" w:type="dxa"/>
            <w:tcBorders>
              <w:top w:val="nil"/>
              <w:left w:val="nil"/>
              <w:bottom w:val="nil"/>
              <w:right w:val="nil"/>
            </w:tcBorders>
            <w:shd w:val="clear" w:color="000000" w:fill="FFFFFF"/>
            <w:noWrap/>
            <w:vAlign w:val="center"/>
            <w:hideMark/>
          </w:tcPr>
          <w:p w14:paraId="4D00CFDA"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Women</w:t>
            </w:r>
          </w:p>
        </w:tc>
        <w:tc>
          <w:tcPr>
            <w:tcW w:w="1560" w:type="dxa"/>
            <w:tcBorders>
              <w:top w:val="nil"/>
              <w:left w:val="nil"/>
              <w:bottom w:val="nil"/>
              <w:right w:val="nil"/>
            </w:tcBorders>
            <w:shd w:val="clear" w:color="000000" w:fill="FFFFFF"/>
            <w:noWrap/>
            <w:vAlign w:val="center"/>
            <w:hideMark/>
          </w:tcPr>
          <w:p w14:paraId="3332C526"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24.3</w:t>
            </w:r>
          </w:p>
        </w:tc>
      </w:tr>
      <w:tr w:rsidR="00FE0665" w:rsidRPr="00FE0665" w14:paraId="5F7CADF6" w14:textId="77777777" w:rsidTr="00FE0665">
        <w:trPr>
          <w:trHeight w:val="135"/>
          <w:jc w:val="center"/>
        </w:trPr>
        <w:tc>
          <w:tcPr>
            <w:tcW w:w="1309" w:type="dxa"/>
            <w:tcBorders>
              <w:top w:val="nil"/>
              <w:left w:val="nil"/>
              <w:bottom w:val="nil"/>
              <w:right w:val="nil"/>
            </w:tcBorders>
            <w:shd w:val="clear" w:color="000000" w:fill="FFFFFF"/>
            <w:noWrap/>
            <w:vAlign w:val="center"/>
            <w:hideMark/>
          </w:tcPr>
          <w:p w14:paraId="585F13CE"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4891" w:type="dxa"/>
            <w:tcBorders>
              <w:top w:val="nil"/>
              <w:left w:val="nil"/>
              <w:bottom w:val="nil"/>
              <w:right w:val="nil"/>
            </w:tcBorders>
            <w:shd w:val="clear" w:color="000000" w:fill="FFFFFF"/>
            <w:noWrap/>
            <w:vAlign w:val="center"/>
            <w:hideMark/>
          </w:tcPr>
          <w:p w14:paraId="5287AF42"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560" w:type="dxa"/>
            <w:tcBorders>
              <w:top w:val="nil"/>
              <w:left w:val="nil"/>
              <w:bottom w:val="nil"/>
              <w:right w:val="nil"/>
            </w:tcBorders>
            <w:shd w:val="clear" w:color="000000" w:fill="FFFFFF"/>
            <w:noWrap/>
            <w:vAlign w:val="center"/>
            <w:hideMark/>
          </w:tcPr>
          <w:p w14:paraId="3A5B669F"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r>
      <w:tr w:rsidR="00FE0665" w:rsidRPr="00FE0665" w14:paraId="53870B46" w14:textId="77777777" w:rsidTr="00FE0665">
        <w:trPr>
          <w:trHeight w:val="300"/>
          <w:jc w:val="center"/>
        </w:trPr>
        <w:tc>
          <w:tcPr>
            <w:tcW w:w="1309" w:type="dxa"/>
            <w:tcBorders>
              <w:top w:val="nil"/>
              <w:left w:val="nil"/>
              <w:bottom w:val="nil"/>
              <w:right w:val="nil"/>
            </w:tcBorders>
            <w:shd w:val="clear" w:color="000000" w:fill="FFFFFF"/>
            <w:noWrap/>
            <w:vAlign w:val="center"/>
            <w:hideMark/>
          </w:tcPr>
          <w:p w14:paraId="0198E959"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22.9</w:t>
            </w:r>
          </w:p>
        </w:tc>
        <w:tc>
          <w:tcPr>
            <w:tcW w:w="4891" w:type="dxa"/>
            <w:tcBorders>
              <w:top w:val="nil"/>
              <w:left w:val="nil"/>
              <w:bottom w:val="nil"/>
              <w:right w:val="nil"/>
            </w:tcBorders>
            <w:shd w:val="clear" w:color="000000" w:fill="FFFFFF"/>
            <w:noWrap/>
            <w:vAlign w:val="center"/>
            <w:hideMark/>
          </w:tcPr>
          <w:p w14:paraId="623CB1F4"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Men</w:t>
            </w:r>
          </w:p>
        </w:tc>
        <w:tc>
          <w:tcPr>
            <w:tcW w:w="1560" w:type="dxa"/>
            <w:tcBorders>
              <w:top w:val="nil"/>
              <w:left w:val="nil"/>
              <w:bottom w:val="nil"/>
              <w:right w:val="nil"/>
            </w:tcBorders>
            <w:shd w:val="clear" w:color="000000" w:fill="FFFFFF"/>
            <w:noWrap/>
            <w:vAlign w:val="center"/>
            <w:hideMark/>
          </w:tcPr>
          <w:p w14:paraId="4D83C771"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22.9</w:t>
            </w:r>
          </w:p>
        </w:tc>
      </w:tr>
      <w:tr w:rsidR="00FE0665" w:rsidRPr="00FE0665" w14:paraId="7EE14824" w14:textId="77777777" w:rsidTr="00FE0665">
        <w:trPr>
          <w:trHeight w:val="300"/>
          <w:jc w:val="center"/>
        </w:trPr>
        <w:tc>
          <w:tcPr>
            <w:tcW w:w="1309" w:type="dxa"/>
            <w:tcBorders>
              <w:top w:val="nil"/>
              <w:left w:val="nil"/>
              <w:bottom w:val="nil"/>
              <w:right w:val="nil"/>
            </w:tcBorders>
            <w:shd w:val="clear" w:color="000000" w:fill="FFFFFF"/>
            <w:noWrap/>
            <w:vAlign w:val="center"/>
            <w:hideMark/>
          </w:tcPr>
          <w:p w14:paraId="7EC8525E"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25.7</w:t>
            </w:r>
          </w:p>
        </w:tc>
        <w:tc>
          <w:tcPr>
            <w:tcW w:w="4891" w:type="dxa"/>
            <w:tcBorders>
              <w:top w:val="nil"/>
              <w:left w:val="nil"/>
              <w:bottom w:val="nil"/>
              <w:right w:val="nil"/>
            </w:tcBorders>
            <w:shd w:val="clear" w:color="000000" w:fill="FFFFFF"/>
            <w:noWrap/>
            <w:vAlign w:val="center"/>
            <w:hideMark/>
          </w:tcPr>
          <w:p w14:paraId="660CED76"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Women</w:t>
            </w:r>
          </w:p>
        </w:tc>
        <w:tc>
          <w:tcPr>
            <w:tcW w:w="1560" w:type="dxa"/>
            <w:tcBorders>
              <w:top w:val="nil"/>
              <w:left w:val="nil"/>
              <w:bottom w:val="nil"/>
              <w:right w:val="nil"/>
            </w:tcBorders>
            <w:shd w:val="clear" w:color="000000" w:fill="FFFFFF"/>
            <w:noWrap/>
            <w:vAlign w:val="center"/>
            <w:hideMark/>
          </w:tcPr>
          <w:p w14:paraId="18FEB7E3"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25.7</w:t>
            </w:r>
          </w:p>
        </w:tc>
      </w:tr>
      <w:tr w:rsidR="00FE0665" w:rsidRPr="00FE0665" w14:paraId="02625BC6" w14:textId="77777777" w:rsidTr="00FE0665">
        <w:trPr>
          <w:trHeight w:val="300"/>
          <w:jc w:val="center"/>
        </w:trPr>
        <w:tc>
          <w:tcPr>
            <w:tcW w:w="1309" w:type="dxa"/>
            <w:tcBorders>
              <w:top w:val="nil"/>
              <w:left w:val="nil"/>
              <w:bottom w:val="nil"/>
              <w:right w:val="nil"/>
            </w:tcBorders>
            <w:shd w:val="clear" w:color="000000" w:fill="FFFFFF"/>
            <w:noWrap/>
            <w:vAlign w:val="center"/>
            <w:hideMark/>
          </w:tcPr>
          <w:p w14:paraId="239994A0"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 </w:t>
            </w:r>
          </w:p>
        </w:tc>
        <w:tc>
          <w:tcPr>
            <w:tcW w:w="4891" w:type="dxa"/>
            <w:tcBorders>
              <w:top w:val="nil"/>
              <w:left w:val="nil"/>
              <w:bottom w:val="nil"/>
              <w:right w:val="nil"/>
            </w:tcBorders>
            <w:shd w:val="clear" w:color="000000" w:fill="FFFFFF"/>
            <w:noWrap/>
            <w:vAlign w:val="center"/>
            <w:hideMark/>
          </w:tcPr>
          <w:p w14:paraId="55E7883A"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560" w:type="dxa"/>
            <w:tcBorders>
              <w:top w:val="nil"/>
              <w:left w:val="nil"/>
              <w:bottom w:val="nil"/>
              <w:right w:val="nil"/>
            </w:tcBorders>
            <w:shd w:val="clear" w:color="000000" w:fill="FFFFFF"/>
            <w:noWrap/>
            <w:vAlign w:val="center"/>
            <w:hideMark/>
          </w:tcPr>
          <w:p w14:paraId="2E620B90"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r>
      <w:tr w:rsidR="00FE0665" w:rsidRPr="00FE0665" w14:paraId="0EA9673B" w14:textId="77777777" w:rsidTr="00FE0665">
        <w:trPr>
          <w:trHeight w:val="300"/>
          <w:jc w:val="center"/>
        </w:trPr>
        <w:tc>
          <w:tcPr>
            <w:tcW w:w="1309" w:type="dxa"/>
            <w:tcBorders>
              <w:top w:val="nil"/>
              <w:left w:val="nil"/>
              <w:bottom w:val="nil"/>
              <w:right w:val="nil"/>
            </w:tcBorders>
            <w:shd w:val="clear" w:color="000000" w:fill="FFFFFF"/>
            <w:noWrap/>
            <w:vAlign w:val="center"/>
            <w:hideMark/>
          </w:tcPr>
          <w:p w14:paraId="126760D9"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2.0%</w:t>
            </w:r>
          </w:p>
        </w:tc>
        <w:tc>
          <w:tcPr>
            <w:tcW w:w="4891" w:type="dxa"/>
            <w:tcBorders>
              <w:top w:val="nil"/>
              <w:left w:val="nil"/>
              <w:bottom w:val="nil"/>
              <w:right w:val="nil"/>
            </w:tcBorders>
            <w:shd w:val="clear" w:color="000000" w:fill="FFFFFF"/>
            <w:noWrap/>
            <w:vAlign w:val="center"/>
            <w:hideMark/>
          </w:tcPr>
          <w:p w14:paraId="22FB14DE"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Rate of inflation</w:t>
            </w:r>
          </w:p>
        </w:tc>
        <w:tc>
          <w:tcPr>
            <w:tcW w:w="1560" w:type="dxa"/>
            <w:tcBorders>
              <w:top w:val="nil"/>
              <w:left w:val="nil"/>
              <w:bottom w:val="nil"/>
              <w:right w:val="nil"/>
            </w:tcBorders>
            <w:shd w:val="clear" w:color="000000" w:fill="FFFFFF"/>
            <w:noWrap/>
            <w:vAlign w:val="center"/>
            <w:hideMark/>
          </w:tcPr>
          <w:p w14:paraId="155C3D53"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2.0%</w:t>
            </w:r>
          </w:p>
        </w:tc>
      </w:tr>
      <w:tr w:rsidR="00FE0665" w:rsidRPr="00FE0665" w14:paraId="640B4D21" w14:textId="77777777" w:rsidTr="00FE0665">
        <w:trPr>
          <w:trHeight w:val="300"/>
          <w:jc w:val="center"/>
        </w:trPr>
        <w:tc>
          <w:tcPr>
            <w:tcW w:w="1309" w:type="dxa"/>
            <w:tcBorders>
              <w:top w:val="nil"/>
              <w:left w:val="nil"/>
              <w:bottom w:val="nil"/>
              <w:right w:val="nil"/>
            </w:tcBorders>
            <w:shd w:val="clear" w:color="000000" w:fill="FFFFFF"/>
            <w:noWrap/>
            <w:vAlign w:val="center"/>
            <w:hideMark/>
          </w:tcPr>
          <w:p w14:paraId="13EA0041"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2.7%</w:t>
            </w:r>
          </w:p>
        </w:tc>
        <w:tc>
          <w:tcPr>
            <w:tcW w:w="4891" w:type="dxa"/>
            <w:tcBorders>
              <w:top w:val="nil"/>
              <w:left w:val="nil"/>
              <w:bottom w:val="nil"/>
              <w:right w:val="nil"/>
            </w:tcBorders>
            <w:shd w:val="clear" w:color="000000" w:fill="FFFFFF"/>
            <w:noWrap/>
            <w:vAlign w:val="center"/>
            <w:hideMark/>
          </w:tcPr>
          <w:p w14:paraId="13186B79"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Rate of increase in salaries</w:t>
            </w:r>
          </w:p>
        </w:tc>
        <w:tc>
          <w:tcPr>
            <w:tcW w:w="1560" w:type="dxa"/>
            <w:tcBorders>
              <w:top w:val="nil"/>
              <w:left w:val="nil"/>
              <w:bottom w:val="nil"/>
              <w:right w:val="nil"/>
            </w:tcBorders>
            <w:shd w:val="clear" w:color="000000" w:fill="FFFFFF"/>
            <w:noWrap/>
            <w:vAlign w:val="center"/>
            <w:hideMark/>
          </w:tcPr>
          <w:p w14:paraId="2ADFBABA"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3.7%</w:t>
            </w:r>
          </w:p>
        </w:tc>
      </w:tr>
      <w:tr w:rsidR="00FE0665" w:rsidRPr="00FE0665" w14:paraId="6AF777FB" w14:textId="77777777" w:rsidTr="00FE0665">
        <w:trPr>
          <w:trHeight w:val="300"/>
          <w:jc w:val="center"/>
        </w:trPr>
        <w:tc>
          <w:tcPr>
            <w:tcW w:w="1309" w:type="dxa"/>
            <w:tcBorders>
              <w:top w:val="nil"/>
              <w:left w:val="nil"/>
              <w:bottom w:val="nil"/>
              <w:right w:val="nil"/>
            </w:tcBorders>
            <w:shd w:val="clear" w:color="000000" w:fill="FFFFFF"/>
            <w:noWrap/>
            <w:vAlign w:val="center"/>
            <w:hideMark/>
          </w:tcPr>
          <w:p w14:paraId="209AE9D8"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1.8%</w:t>
            </w:r>
          </w:p>
        </w:tc>
        <w:tc>
          <w:tcPr>
            <w:tcW w:w="4891" w:type="dxa"/>
            <w:tcBorders>
              <w:top w:val="nil"/>
              <w:left w:val="nil"/>
              <w:bottom w:val="nil"/>
              <w:right w:val="nil"/>
            </w:tcBorders>
            <w:shd w:val="clear" w:color="000000" w:fill="FFFFFF"/>
            <w:noWrap/>
            <w:vAlign w:val="center"/>
            <w:hideMark/>
          </w:tcPr>
          <w:p w14:paraId="7209CACC"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Rate of increase in pensions</w:t>
            </w:r>
          </w:p>
        </w:tc>
        <w:tc>
          <w:tcPr>
            <w:tcW w:w="1560" w:type="dxa"/>
            <w:tcBorders>
              <w:top w:val="nil"/>
              <w:left w:val="nil"/>
              <w:bottom w:val="nil"/>
              <w:right w:val="nil"/>
            </w:tcBorders>
            <w:shd w:val="clear" w:color="000000" w:fill="FFFFFF"/>
            <w:noWrap/>
            <w:vAlign w:val="center"/>
            <w:hideMark/>
          </w:tcPr>
          <w:p w14:paraId="7CB5F150"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2.8%</w:t>
            </w:r>
          </w:p>
        </w:tc>
      </w:tr>
      <w:tr w:rsidR="00FE0665" w:rsidRPr="00FE0665" w14:paraId="77D3006B" w14:textId="77777777" w:rsidTr="00FE0665">
        <w:trPr>
          <w:trHeight w:val="300"/>
          <w:jc w:val="center"/>
        </w:trPr>
        <w:tc>
          <w:tcPr>
            <w:tcW w:w="1309" w:type="dxa"/>
            <w:tcBorders>
              <w:top w:val="nil"/>
              <w:left w:val="nil"/>
              <w:bottom w:val="nil"/>
              <w:right w:val="nil"/>
            </w:tcBorders>
            <w:shd w:val="clear" w:color="000000" w:fill="FFFFFF"/>
            <w:noWrap/>
            <w:vAlign w:val="center"/>
            <w:hideMark/>
          </w:tcPr>
          <w:p w14:paraId="32C2C402"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2.3%</w:t>
            </w:r>
          </w:p>
        </w:tc>
        <w:tc>
          <w:tcPr>
            <w:tcW w:w="4891" w:type="dxa"/>
            <w:tcBorders>
              <w:top w:val="nil"/>
              <w:left w:val="nil"/>
              <w:bottom w:val="nil"/>
              <w:right w:val="nil"/>
            </w:tcBorders>
            <w:shd w:val="clear" w:color="000000" w:fill="FFFFFF"/>
            <w:noWrap/>
            <w:vAlign w:val="center"/>
            <w:hideMark/>
          </w:tcPr>
          <w:p w14:paraId="74E642E3"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Rate for discounting scheme liabilities</w:t>
            </w:r>
          </w:p>
        </w:tc>
        <w:tc>
          <w:tcPr>
            <w:tcW w:w="1560" w:type="dxa"/>
            <w:tcBorders>
              <w:top w:val="nil"/>
              <w:left w:val="nil"/>
              <w:bottom w:val="nil"/>
              <w:right w:val="nil"/>
            </w:tcBorders>
            <w:shd w:val="clear" w:color="000000" w:fill="FFFFFF"/>
            <w:noWrap/>
            <w:vAlign w:val="center"/>
            <w:hideMark/>
          </w:tcPr>
          <w:p w14:paraId="40A0E737"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2.1%</w:t>
            </w:r>
          </w:p>
        </w:tc>
      </w:tr>
    </w:tbl>
    <w:p w14:paraId="4C317E3B" w14:textId="77777777" w:rsidR="00FE0665" w:rsidRPr="00FE0665" w:rsidRDefault="00FE0665" w:rsidP="001B120B">
      <w:pPr>
        <w:pStyle w:val="Normal0"/>
        <w:spacing w:after="160" w:line="259" w:lineRule="auto"/>
        <w:jc w:val="both"/>
        <w:rPr>
          <w:rFonts w:ascii="Verdana" w:hAnsi="Verdana"/>
          <w:b/>
          <w:iCs/>
          <w:sz w:val="16"/>
          <w:szCs w:val="16"/>
        </w:rPr>
      </w:pPr>
    </w:p>
    <w:tbl>
      <w:tblPr>
        <w:tblW w:w="9360" w:type="dxa"/>
        <w:jc w:val="center"/>
        <w:tblLook w:val="04A0" w:firstRow="1" w:lastRow="0" w:firstColumn="1" w:lastColumn="0" w:noHBand="0" w:noVBand="1"/>
      </w:tblPr>
      <w:tblGrid>
        <w:gridCol w:w="4201"/>
        <w:gridCol w:w="3875"/>
        <w:gridCol w:w="1284"/>
      </w:tblGrid>
      <w:tr w:rsidR="00FE0665" w:rsidRPr="00FE0665" w14:paraId="695BEE5B" w14:textId="77777777" w:rsidTr="00FE0665">
        <w:trPr>
          <w:trHeight w:val="300"/>
          <w:jc w:val="center"/>
        </w:trPr>
        <w:tc>
          <w:tcPr>
            <w:tcW w:w="4201" w:type="dxa"/>
            <w:tcBorders>
              <w:top w:val="nil"/>
              <w:left w:val="nil"/>
              <w:bottom w:val="single" w:sz="4" w:space="0" w:color="auto"/>
              <w:right w:val="nil"/>
            </w:tcBorders>
            <w:shd w:val="clear" w:color="000000" w:fill="FFFFFF"/>
            <w:noWrap/>
            <w:vAlign w:val="center"/>
            <w:hideMark/>
          </w:tcPr>
          <w:p w14:paraId="71683102"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2019/20</w:t>
            </w:r>
          </w:p>
        </w:tc>
        <w:tc>
          <w:tcPr>
            <w:tcW w:w="3875" w:type="dxa"/>
            <w:tcBorders>
              <w:top w:val="nil"/>
              <w:left w:val="nil"/>
              <w:bottom w:val="single" w:sz="4" w:space="0" w:color="auto"/>
              <w:right w:val="nil"/>
            </w:tcBorders>
            <w:shd w:val="clear" w:color="000000" w:fill="FFFFFF"/>
            <w:noWrap/>
            <w:vAlign w:val="center"/>
            <w:hideMark/>
          </w:tcPr>
          <w:p w14:paraId="452D0F24"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Police Officers</w:t>
            </w:r>
          </w:p>
        </w:tc>
        <w:tc>
          <w:tcPr>
            <w:tcW w:w="1284" w:type="dxa"/>
            <w:tcBorders>
              <w:top w:val="nil"/>
              <w:left w:val="nil"/>
              <w:bottom w:val="single" w:sz="4" w:space="0" w:color="auto"/>
              <w:right w:val="nil"/>
            </w:tcBorders>
            <w:shd w:val="clear" w:color="000000" w:fill="FFFFFF"/>
            <w:noWrap/>
            <w:vAlign w:val="center"/>
            <w:hideMark/>
          </w:tcPr>
          <w:p w14:paraId="6CAAA3D4"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2020/21</w:t>
            </w:r>
          </w:p>
        </w:tc>
      </w:tr>
      <w:tr w:rsidR="00FE0665" w:rsidRPr="00FE0665" w14:paraId="3E93C6F7" w14:textId="77777777" w:rsidTr="00FE0665">
        <w:trPr>
          <w:trHeight w:val="300"/>
          <w:jc w:val="center"/>
        </w:trPr>
        <w:tc>
          <w:tcPr>
            <w:tcW w:w="8076" w:type="dxa"/>
            <w:gridSpan w:val="2"/>
            <w:tcBorders>
              <w:top w:val="nil"/>
              <w:left w:val="nil"/>
              <w:bottom w:val="nil"/>
              <w:right w:val="nil"/>
            </w:tcBorders>
            <w:shd w:val="clear" w:color="000000" w:fill="FFFFFF"/>
            <w:noWrap/>
            <w:vAlign w:val="center"/>
            <w:hideMark/>
          </w:tcPr>
          <w:p w14:paraId="06D3FA18"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Mortality assumptions</w:t>
            </w:r>
          </w:p>
        </w:tc>
        <w:tc>
          <w:tcPr>
            <w:tcW w:w="1284" w:type="dxa"/>
            <w:tcBorders>
              <w:top w:val="nil"/>
              <w:left w:val="nil"/>
              <w:bottom w:val="nil"/>
              <w:right w:val="nil"/>
            </w:tcBorders>
            <w:shd w:val="clear" w:color="000000" w:fill="FFFFFF"/>
            <w:noWrap/>
            <w:vAlign w:val="center"/>
            <w:hideMark/>
          </w:tcPr>
          <w:p w14:paraId="0D2E26D1"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r>
      <w:tr w:rsidR="00FE0665" w:rsidRPr="00FE0665" w14:paraId="2D26AF89" w14:textId="77777777" w:rsidTr="00FE0665">
        <w:trPr>
          <w:trHeight w:val="300"/>
          <w:jc w:val="center"/>
        </w:trPr>
        <w:tc>
          <w:tcPr>
            <w:tcW w:w="4201" w:type="dxa"/>
            <w:tcBorders>
              <w:top w:val="nil"/>
              <w:left w:val="nil"/>
              <w:bottom w:val="nil"/>
              <w:right w:val="nil"/>
            </w:tcBorders>
            <w:shd w:val="clear" w:color="auto" w:fill="auto"/>
            <w:noWrap/>
            <w:vAlign w:val="center"/>
            <w:hideMark/>
          </w:tcPr>
          <w:p w14:paraId="4644BD8F"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xml:space="preserve">Longevity at retirement for 65 year old current pensioners </w:t>
            </w:r>
          </w:p>
        </w:tc>
        <w:tc>
          <w:tcPr>
            <w:tcW w:w="3875" w:type="dxa"/>
            <w:tcBorders>
              <w:top w:val="nil"/>
              <w:left w:val="nil"/>
              <w:bottom w:val="nil"/>
              <w:right w:val="nil"/>
            </w:tcBorders>
            <w:shd w:val="clear" w:color="000000" w:fill="FFFFFF"/>
            <w:noWrap/>
            <w:vAlign w:val="center"/>
            <w:hideMark/>
          </w:tcPr>
          <w:p w14:paraId="5628E9E5"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284" w:type="dxa"/>
            <w:tcBorders>
              <w:top w:val="nil"/>
              <w:left w:val="nil"/>
              <w:bottom w:val="nil"/>
              <w:right w:val="nil"/>
            </w:tcBorders>
            <w:shd w:val="clear" w:color="000000" w:fill="FFFFFF"/>
            <w:noWrap/>
            <w:vAlign w:val="center"/>
            <w:hideMark/>
          </w:tcPr>
          <w:p w14:paraId="7AA1D2F3"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r>
      <w:tr w:rsidR="00FE0665" w:rsidRPr="00FE0665" w14:paraId="323FEE0A" w14:textId="77777777" w:rsidTr="00FE0665">
        <w:trPr>
          <w:trHeight w:val="300"/>
          <w:jc w:val="center"/>
        </w:trPr>
        <w:tc>
          <w:tcPr>
            <w:tcW w:w="4201" w:type="dxa"/>
            <w:tcBorders>
              <w:top w:val="nil"/>
              <w:left w:val="nil"/>
              <w:bottom w:val="nil"/>
              <w:right w:val="nil"/>
            </w:tcBorders>
            <w:shd w:val="clear" w:color="000000" w:fill="FFFFFF"/>
            <w:noWrap/>
            <w:vAlign w:val="center"/>
            <w:hideMark/>
          </w:tcPr>
          <w:p w14:paraId="4028ECF7"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21.9</w:t>
            </w:r>
          </w:p>
        </w:tc>
        <w:tc>
          <w:tcPr>
            <w:tcW w:w="3875" w:type="dxa"/>
            <w:tcBorders>
              <w:top w:val="nil"/>
              <w:left w:val="nil"/>
              <w:bottom w:val="nil"/>
              <w:right w:val="nil"/>
            </w:tcBorders>
            <w:shd w:val="clear" w:color="000000" w:fill="FFFFFF"/>
            <w:noWrap/>
            <w:vAlign w:val="center"/>
            <w:hideMark/>
          </w:tcPr>
          <w:p w14:paraId="7D17A388"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Men</w:t>
            </w:r>
          </w:p>
        </w:tc>
        <w:tc>
          <w:tcPr>
            <w:tcW w:w="1284" w:type="dxa"/>
            <w:tcBorders>
              <w:top w:val="nil"/>
              <w:left w:val="nil"/>
              <w:bottom w:val="nil"/>
              <w:right w:val="nil"/>
            </w:tcBorders>
            <w:shd w:val="clear" w:color="000000" w:fill="FFFFFF"/>
            <w:noWrap/>
            <w:vAlign w:val="center"/>
            <w:hideMark/>
          </w:tcPr>
          <w:p w14:paraId="0EE99684"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22.3</w:t>
            </w:r>
          </w:p>
        </w:tc>
      </w:tr>
      <w:tr w:rsidR="00FE0665" w:rsidRPr="00FE0665" w14:paraId="292A536B" w14:textId="77777777" w:rsidTr="00FE0665">
        <w:trPr>
          <w:trHeight w:val="300"/>
          <w:jc w:val="center"/>
        </w:trPr>
        <w:tc>
          <w:tcPr>
            <w:tcW w:w="4201" w:type="dxa"/>
            <w:tcBorders>
              <w:top w:val="nil"/>
              <w:left w:val="nil"/>
              <w:bottom w:val="nil"/>
              <w:right w:val="nil"/>
            </w:tcBorders>
            <w:shd w:val="clear" w:color="000000" w:fill="FFFFFF"/>
            <w:noWrap/>
            <w:vAlign w:val="center"/>
            <w:hideMark/>
          </w:tcPr>
          <w:p w14:paraId="599BD64A"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23.6</w:t>
            </w:r>
          </w:p>
        </w:tc>
        <w:tc>
          <w:tcPr>
            <w:tcW w:w="3875" w:type="dxa"/>
            <w:tcBorders>
              <w:top w:val="nil"/>
              <w:left w:val="nil"/>
              <w:bottom w:val="nil"/>
              <w:right w:val="nil"/>
            </w:tcBorders>
            <w:shd w:val="clear" w:color="000000" w:fill="FFFFFF"/>
            <w:noWrap/>
            <w:vAlign w:val="center"/>
            <w:hideMark/>
          </w:tcPr>
          <w:p w14:paraId="4A78BADC"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Women</w:t>
            </w:r>
          </w:p>
        </w:tc>
        <w:tc>
          <w:tcPr>
            <w:tcW w:w="1284" w:type="dxa"/>
            <w:tcBorders>
              <w:top w:val="nil"/>
              <w:left w:val="nil"/>
              <w:bottom w:val="nil"/>
              <w:right w:val="nil"/>
            </w:tcBorders>
            <w:shd w:val="clear" w:color="000000" w:fill="FFFFFF"/>
            <w:noWrap/>
            <w:vAlign w:val="center"/>
            <w:hideMark/>
          </w:tcPr>
          <w:p w14:paraId="14A56BEE"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24.7</w:t>
            </w:r>
          </w:p>
        </w:tc>
      </w:tr>
      <w:tr w:rsidR="00FE0665" w:rsidRPr="00FE0665" w14:paraId="14D10156" w14:textId="77777777" w:rsidTr="00FE0665">
        <w:trPr>
          <w:trHeight w:val="300"/>
          <w:jc w:val="center"/>
        </w:trPr>
        <w:tc>
          <w:tcPr>
            <w:tcW w:w="4201" w:type="dxa"/>
            <w:tcBorders>
              <w:top w:val="nil"/>
              <w:left w:val="nil"/>
              <w:bottom w:val="nil"/>
              <w:right w:val="nil"/>
            </w:tcBorders>
            <w:shd w:val="clear" w:color="auto" w:fill="auto"/>
            <w:noWrap/>
            <w:vAlign w:val="center"/>
            <w:hideMark/>
          </w:tcPr>
          <w:p w14:paraId="57CEEE0F"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Longevity at retirement for 45 year old future pensioners at 65</w:t>
            </w:r>
          </w:p>
        </w:tc>
        <w:tc>
          <w:tcPr>
            <w:tcW w:w="3875" w:type="dxa"/>
            <w:tcBorders>
              <w:top w:val="nil"/>
              <w:left w:val="nil"/>
              <w:bottom w:val="nil"/>
              <w:right w:val="nil"/>
            </w:tcBorders>
            <w:shd w:val="clear" w:color="000000" w:fill="FFFFFF"/>
            <w:noWrap/>
            <w:vAlign w:val="center"/>
            <w:hideMark/>
          </w:tcPr>
          <w:p w14:paraId="388FAC83"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284" w:type="dxa"/>
            <w:tcBorders>
              <w:top w:val="nil"/>
              <w:left w:val="nil"/>
              <w:bottom w:val="nil"/>
              <w:right w:val="nil"/>
            </w:tcBorders>
            <w:shd w:val="clear" w:color="000000" w:fill="FFFFFF"/>
            <w:noWrap/>
            <w:vAlign w:val="center"/>
            <w:hideMark/>
          </w:tcPr>
          <w:p w14:paraId="7AD9E91D"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r>
      <w:tr w:rsidR="00FE0665" w:rsidRPr="00FE0665" w14:paraId="449F32EA" w14:textId="77777777" w:rsidTr="00FE0665">
        <w:trPr>
          <w:trHeight w:val="300"/>
          <w:jc w:val="center"/>
        </w:trPr>
        <w:tc>
          <w:tcPr>
            <w:tcW w:w="4201" w:type="dxa"/>
            <w:tcBorders>
              <w:top w:val="nil"/>
              <w:left w:val="nil"/>
              <w:bottom w:val="nil"/>
              <w:right w:val="nil"/>
            </w:tcBorders>
            <w:shd w:val="clear" w:color="000000" w:fill="FFFFFF"/>
            <w:noWrap/>
            <w:vAlign w:val="center"/>
            <w:hideMark/>
          </w:tcPr>
          <w:p w14:paraId="312D0733"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23.6</w:t>
            </w:r>
          </w:p>
        </w:tc>
        <w:tc>
          <w:tcPr>
            <w:tcW w:w="3875" w:type="dxa"/>
            <w:tcBorders>
              <w:top w:val="nil"/>
              <w:left w:val="nil"/>
              <w:bottom w:val="nil"/>
              <w:right w:val="nil"/>
            </w:tcBorders>
            <w:shd w:val="clear" w:color="000000" w:fill="FFFFFF"/>
            <w:noWrap/>
            <w:vAlign w:val="center"/>
            <w:hideMark/>
          </w:tcPr>
          <w:p w14:paraId="277A09E5"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Men</w:t>
            </w:r>
          </w:p>
        </w:tc>
        <w:tc>
          <w:tcPr>
            <w:tcW w:w="1284" w:type="dxa"/>
            <w:tcBorders>
              <w:top w:val="nil"/>
              <w:left w:val="nil"/>
              <w:bottom w:val="nil"/>
              <w:right w:val="nil"/>
            </w:tcBorders>
            <w:shd w:val="clear" w:color="000000" w:fill="FFFFFF"/>
            <w:noWrap/>
            <w:vAlign w:val="center"/>
            <w:hideMark/>
          </w:tcPr>
          <w:p w14:paraId="0FDA4BEB"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23.4</w:t>
            </w:r>
          </w:p>
        </w:tc>
      </w:tr>
      <w:tr w:rsidR="00FE0665" w:rsidRPr="00FE0665" w14:paraId="51C19381" w14:textId="77777777" w:rsidTr="00FE0665">
        <w:trPr>
          <w:trHeight w:val="300"/>
          <w:jc w:val="center"/>
        </w:trPr>
        <w:tc>
          <w:tcPr>
            <w:tcW w:w="4201" w:type="dxa"/>
            <w:tcBorders>
              <w:top w:val="nil"/>
              <w:left w:val="nil"/>
              <w:bottom w:val="nil"/>
              <w:right w:val="nil"/>
            </w:tcBorders>
            <w:shd w:val="clear" w:color="000000" w:fill="FFFFFF"/>
            <w:noWrap/>
            <w:vAlign w:val="center"/>
            <w:hideMark/>
          </w:tcPr>
          <w:p w14:paraId="2A710BDB"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25.2</w:t>
            </w:r>
          </w:p>
        </w:tc>
        <w:tc>
          <w:tcPr>
            <w:tcW w:w="3875" w:type="dxa"/>
            <w:tcBorders>
              <w:top w:val="nil"/>
              <w:left w:val="nil"/>
              <w:bottom w:val="nil"/>
              <w:right w:val="nil"/>
            </w:tcBorders>
            <w:shd w:val="clear" w:color="000000" w:fill="FFFFFF"/>
            <w:noWrap/>
            <w:vAlign w:val="center"/>
            <w:hideMark/>
          </w:tcPr>
          <w:p w14:paraId="4DE0AA06"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Women</w:t>
            </w:r>
          </w:p>
        </w:tc>
        <w:tc>
          <w:tcPr>
            <w:tcW w:w="1284" w:type="dxa"/>
            <w:tcBorders>
              <w:top w:val="nil"/>
              <w:left w:val="nil"/>
              <w:bottom w:val="nil"/>
              <w:right w:val="nil"/>
            </w:tcBorders>
            <w:shd w:val="clear" w:color="000000" w:fill="FFFFFF"/>
            <w:noWrap/>
            <w:vAlign w:val="center"/>
            <w:hideMark/>
          </w:tcPr>
          <w:p w14:paraId="3EE77D60"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26.4</w:t>
            </w:r>
          </w:p>
        </w:tc>
      </w:tr>
      <w:tr w:rsidR="00FE0665" w:rsidRPr="00FE0665" w14:paraId="40D14EE7" w14:textId="77777777" w:rsidTr="00FE0665">
        <w:trPr>
          <w:trHeight w:val="300"/>
          <w:jc w:val="center"/>
        </w:trPr>
        <w:tc>
          <w:tcPr>
            <w:tcW w:w="8076" w:type="dxa"/>
            <w:gridSpan w:val="2"/>
            <w:tcBorders>
              <w:top w:val="nil"/>
              <w:left w:val="nil"/>
              <w:bottom w:val="nil"/>
              <w:right w:val="nil"/>
            </w:tcBorders>
            <w:shd w:val="clear" w:color="000000" w:fill="FFFFFF"/>
            <w:noWrap/>
            <w:vAlign w:val="center"/>
            <w:hideMark/>
          </w:tcPr>
          <w:p w14:paraId="0A44AE95"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Other assumptions</w:t>
            </w:r>
          </w:p>
        </w:tc>
        <w:tc>
          <w:tcPr>
            <w:tcW w:w="1284" w:type="dxa"/>
            <w:tcBorders>
              <w:top w:val="nil"/>
              <w:left w:val="nil"/>
              <w:bottom w:val="nil"/>
              <w:right w:val="nil"/>
            </w:tcBorders>
            <w:shd w:val="clear" w:color="000000" w:fill="FFFFFF"/>
            <w:noWrap/>
            <w:vAlign w:val="center"/>
            <w:hideMark/>
          </w:tcPr>
          <w:p w14:paraId="07EA4121"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r>
      <w:tr w:rsidR="00FE0665" w:rsidRPr="00FE0665" w14:paraId="3B951A1B" w14:textId="77777777" w:rsidTr="00FE0665">
        <w:trPr>
          <w:trHeight w:val="300"/>
          <w:jc w:val="center"/>
        </w:trPr>
        <w:tc>
          <w:tcPr>
            <w:tcW w:w="4201" w:type="dxa"/>
            <w:tcBorders>
              <w:top w:val="nil"/>
              <w:left w:val="nil"/>
              <w:bottom w:val="nil"/>
              <w:right w:val="nil"/>
            </w:tcBorders>
            <w:shd w:val="clear" w:color="000000" w:fill="FFFFFF"/>
            <w:noWrap/>
            <w:vAlign w:val="center"/>
            <w:hideMark/>
          </w:tcPr>
          <w:p w14:paraId="38CCCB6F"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2.0%</w:t>
            </w:r>
          </w:p>
        </w:tc>
        <w:tc>
          <w:tcPr>
            <w:tcW w:w="3875" w:type="dxa"/>
            <w:tcBorders>
              <w:top w:val="nil"/>
              <w:left w:val="nil"/>
              <w:bottom w:val="nil"/>
              <w:right w:val="nil"/>
            </w:tcBorders>
            <w:shd w:val="clear" w:color="000000" w:fill="FFFFFF"/>
            <w:noWrap/>
            <w:vAlign w:val="center"/>
            <w:hideMark/>
          </w:tcPr>
          <w:p w14:paraId="23A54129"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Rate of inflation</w:t>
            </w:r>
          </w:p>
        </w:tc>
        <w:tc>
          <w:tcPr>
            <w:tcW w:w="1284" w:type="dxa"/>
            <w:tcBorders>
              <w:top w:val="nil"/>
              <w:left w:val="nil"/>
              <w:bottom w:val="nil"/>
              <w:right w:val="nil"/>
            </w:tcBorders>
            <w:shd w:val="clear" w:color="000000" w:fill="FFFFFF"/>
            <w:noWrap/>
            <w:vAlign w:val="center"/>
            <w:hideMark/>
          </w:tcPr>
          <w:p w14:paraId="15C18196"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2.0%</w:t>
            </w:r>
          </w:p>
        </w:tc>
      </w:tr>
      <w:tr w:rsidR="00FE0665" w:rsidRPr="00FE0665" w14:paraId="1255FBB5" w14:textId="77777777" w:rsidTr="00FE0665">
        <w:trPr>
          <w:trHeight w:val="300"/>
          <w:jc w:val="center"/>
        </w:trPr>
        <w:tc>
          <w:tcPr>
            <w:tcW w:w="4201" w:type="dxa"/>
            <w:tcBorders>
              <w:top w:val="nil"/>
              <w:left w:val="nil"/>
              <w:bottom w:val="nil"/>
              <w:right w:val="nil"/>
            </w:tcBorders>
            <w:shd w:val="clear" w:color="000000" w:fill="FFFFFF"/>
            <w:noWrap/>
            <w:vAlign w:val="center"/>
            <w:hideMark/>
          </w:tcPr>
          <w:p w14:paraId="621743A4"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4.0%</w:t>
            </w:r>
          </w:p>
        </w:tc>
        <w:tc>
          <w:tcPr>
            <w:tcW w:w="3875" w:type="dxa"/>
            <w:tcBorders>
              <w:top w:val="nil"/>
              <w:left w:val="nil"/>
              <w:bottom w:val="nil"/>
              <w:right w:val="nil"/>
            </w:tcBorders>
            <w:shd w:val="clear" w:color="000000" w:fill="FFFFFF"/>
            <w:noWrap/>
            <w:vAlign w:val="center"/>
            <w:hideMark/>
          </w:tcPr>
          <w:p w14:paraId="318ACF82"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Rate of increase in salaries</w:t>
            </w:r>
          </w:p>
        </w:tc>
        <w:tc>
          <w:tcPr>
            <w:tcW w:w="1284" w:type="dxa"/>
            <w:tcBorders>
              <w:top w:val="nil"/>
              <w:left w:val="nil"/>
              <w:bottom w:val="nil"/>
              <w:right w:val="nil"/>
            </w:tcBorders>
            <w:shd w:val="clear" w:color="000000" w:fill="FFFFFF"/>
            <w:noWrap/>
            <w:vAlign w:val="center"/>
            <w:hideMark/>
          </w:tcPr>
          <w:p w14:paraId="35477B67"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3.7%</w:t>
            </w:r>
          </w:p>
        </w:tc>
      </w:tr>
      <w:tr w:rsidR="00FE0665" w:rsidRPr="00FE0665" w14:paraId="398D3D8E" w14:textId="77777777" w:rsidTr="00FE0665">
        <w:trPr>
          <w:trHeight w:val="300"/>
          <w:jc w:val="center"/>
        </w:trPr>
        <w:tc>
          <w:tcPr>
            <w:tcW w:w="4201" w:type="dxa"/>
            <w:tcBorders>
              <w:top w:val="nil"/>
              <w:left w:val="nil"/>
              <w:bottom w:val="nil"/>
              <w:right w:val="nil"/>
            </w:tcBorders>
            <w:shd w:val="clear" w:color="000000" w:fill="FFFFFF"/>
            <w:noWrap/>
            <w:vAlign w:val="center"/>
            <w:hideMark/>
          </w:tcPr>
          <w:p w14:paraId="07A607B4"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2.0%</w:t>
            </w:r>
          </w:p>
        </w:tc>
        <w:tc>
          <w:tcPr>
            <w:tcW w:w="3875" w:type="dxa"/>
            <w:tcBorders>
              <w:top w:val="nil"/>
              <w:left w:val="nil"/>
              <w:bottom w:val="nil"/>
              <w:right w:val="nil"/>
            </w:tcBorders>
            <w:shd w:val="clear" w:color="000000" w:fill="FFFFFF"/>
            <w:noWrap/>
            <w:vAlign w:val="center"/>
            <w:hideMark/>
          </w:tcPr>
          <w:p w14:paraId="078239AB"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Rate of increase in pensions</w:t>
            </w:r>
          </w:p>
        </w:tc>
        <w:tc>
          <w:tcPr>
            <w:tcW w:w="1284" w:type="dxa"/>
            <w:tcBorders>
              <w:top w:val="nil"/>
              <w:left w:val="nil"/>
              <w:bottom w:val="nil"/>
              <w:right w:val="nil"/>
            </w:tcBorders>
            <w:shd w:val="clear" w:color="000000" w:fill="FFFFFF"/>
            <w:noWrap/>
            <w:vAlign w:val="center"/>
            <w:hideMark/>
          </w:tcPr>
          <w:p w14:paraId="29EB0E38"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2.8%</w:t>
            </w:r>
          </w:p>
        </w:tc>
      </w:tr>
      <w:tr w:rsidR="00FE0665" w:rsidRPr="00FE0665" w14:paraId="2D39C094" w14:textId="77777777" w:rsidTr="00FE0665">
        <w:trPr>
          <w:trHeight w:val="300"/>
          <w:jc w:val="center"/>
        </w:trPr>
        <w:tc>
          <w:tcPr>
            <w:tcW w:w="4201" w:type="dxa"/>
            <w:tcBorders>
              <w:top w:val="nil"/>
              <w:left w:val="nil"/>
              <w:bottom w:val="nil"/>
              <w:right w:val="nil"/>
            </w:tcBorders>
            <w:shd w:val="clear" w:color="000000" w:fill="FFFFFF"/>
            <w:noWrap/>
            <w:vAlign w:val="center"/>
            <w:hideMark/>
          </w:tcPr>
          <w:p w14:paraId="7A7F47CD"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2.3%</w:t>
            </w:r>
          </w:p>
        </w:tc>
        <w:tc>
          <w:tcPr>
            <w:tcW w:w="3875" w:type="dxa"/>
            <w:tcBorders>
              <w:top w:val="nil"/>
              <w:left w:val="nil"/>
              <w:bottom w:val="nil"/>
              <w:right w:val="nil"/>
            </w:tcBorders>
            <w:shd w:val="clear" w:color="000000" w:fill="FFFFFF"/>
            <w:noWrap/>
            <w:vAlign w:val="center"/>
            <w:hideMark/>
          </w:tcPr>
          <w:p w14:paraId="7FF26DCB"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Rate for discounting scheme liabilities</w:t>
            </w:r>
          </w:p>
        </w:tc>
        <w:tc>
          <w:tcPr>
            <w:tcW w:w="1284" w:type="dxa"/>
            <w:tcBorders>
              <w:top w:val="nil"/>
              <w:left w:val="nil"/>
              <w:bottom w:val="nil"/>
              <w:right w:val="nil"/>
            </w:tcBorders>
            <w:shd w:val="clear" w:color="000000" w:fill="FFFFFF"/>
            <w:noWrap/>
            <w:vAlign w:val="center"/>
            <w:hideMark/>
          </w:tcPr>
          <w:p w14:paraId="126AFB5C"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2.1%</w:t>
            </w:r>
          </w:p>
        </w:tc>
      </w:tr>
    </w:tbl>
    <w:p w14:paraId="30A15485" w14:textId="77777777" w:rsidR="00FE0665" w:rsidRDefault="00FE0665" w:rsidP="006F1528">
      <w:pPr>
        <w:pStyle w:val="Normal0"/>
        <w:spacing w:after="160" w:line="259" w:lineRule="auto"/>
        <w:jc w:val="center"/>
        <w:rPr>
          <w:rFonts w:ascii="Verdana" w:hAnsi="Verdana"/>
          <w:iCs/>
          <w:sz w:val="22"/>
          <w:szCs w:val="22"/>
        </w:rPr>
      </w:pPr>
    </w:p>
    <w:p w14:paraId="609CE4FE" w14:textId="77777777" w:rsidR="00444EAB" w:rsidRPr="00FE0665" w:rsidRDefault="00444EAB" w:rsidP="006F1528">
      <w:pPr>
        <w:pStyle w:val="Normal0"/>
        <w:spacing w:after="160" w:line="259" w:lineRule="auto"/>
        <w:jc w:val="center"/>
        <w:rPr>
          <w:rFonts w:ascii="Verdana" w:hAnsi="Verdana"/>
          <w:iCs/>
          <w:sz w:val="22"/>
          <w:szCs w:val="22"/>
        </w:rPr>
      </w:pPr>
    </w:p>
    <w:tbl>
      <w:tblPr>
        <w:tblW w:w="10351" w:type="dxa"/>
        <w:jc w:val="center"/>
        <w:tblLook w:val="04A0" w:firstRow="1" w:lastRow="0" w:firstColumn="1" w:lastColumn="0" w:noHBand="0" w:noVBand="1"/>
      </w:tblPr>
      <w:tblGrid>
        <w:gridCol w:w="1303"/>
        <w:gridCol w:w="1561"/>
        <w:gridCol w:w="4256"/>
        <w:gridCol w:w="1615"/>
        <w:gridCol w:w="1616"/>
      </w:tblGrid>
      <w:tr w:rsidR="00FE0665" w:rsidRPr="00FE0665" w14:paraId="70C7E34F" w14:textId="77777777" w:rsidTr="006F1528">
        <w:trPr>
          <w:trHeight w:val="234"/>
          <w:jc w:val="center"/>
        </w:trPr>
        <w:tc>
          <w:tcPr>
            <w:tcW w:w="10351" w:type="dxa"/>
            <w:gridSpan w:val="5"/>
            <w:tcBorders>
              <w:top w:val="nil"/>
              <w:left w:val="nil"/>
              <w:bottom w:val="nil"/>
              <w:right w:val="nil"/>
            </w:tcBorders>
            <w:shd w:val="clear" w:color="000000" w:fill="FFFFFF"/>
            <w:noWrap/>
            <w:vAlign w:val="center"/>
            <w:hideMark/>
          </w:tcPr>
          <w:p w14:paraId="4ADECE4B" w14:textId="77777777" w:rsid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Impact of assumptions on the LGPS obligation:</w:t>
            </w:r>
          </w:p>
          <w:p w14:paraId="284EC427" w14:textId="77777777" w:rsidR="00444EAB" w:rsidRPr="00FE0665" w:rsidRDefault="00444EAB" w:rsidP="00FE0665">
            <w:pPr>
              <w:rPr>
                <w:rFonts w:eastAsia="Times New Roman" w:cs="Times New Roman"/>
                <w:b/>
                <w:bCs/>
                <w:color w:val="000000"/>
                <w:sz w:val="16"/>
                <w:szCs w:val="16"/>
                <w:lang w:val="en-GB" w:eastAsia="en-GB"/>
              </w:rPr>
            </w:pPr>
          </w:p>
        </w:tc>
      </w:tr>
      <w:tr w:rsidR="00FE0665" w:rsidRPr="00FE0665" w14:paraId="6F9AC79E" w14:textId="77777777" w:rsidTr="006F1528">
        <w:trPr>
          <w:trHeight w:val="234"/>
          <w:jc w:val="center"/>
        </w:trPr>
        <w:tc>
          <w:tcPr>
            <w:tcW w:w="1303" w:type="dxa"/>
            <w:tcBorders>
              <w:top w:val="nil"/>
              <w:left w:val="nil"/>
              <w:bottom w:val="nil"/>
              <w:right w:val="nil"/>
            </w:tcBorders>
            <w:shd w:val="clear" w:color="000000" w:fill="FFFFFF"/>
            <w:noWrap/>
            <w:vAlign w:val="center"/>
            <w:hideMark/>
          </w:tcPr>
          <w:p w14:paraId="3F68310E"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2019/20</w:t>
            </w:r>
          </w:p>
        </w:tc>
        <w:tc>
          <w:tcPr>
            <w:tcW w:w="1561" w:type="dxa"/>
            <w:tcBorders>
              <w:top w:val="nil"/>
              <w:left w:val="nil"/>
              <w:bottom w:val="nil"/>
              <w:right w:val="nil"/>
            </w:tcBorders>
            <w:shd w:val="clear" w:color="000000" w:fill="FFFFFF"/>
            <w:noWrap/>
            <w:vAlign w:val="center"/>
            <w:hideMark/>
          </w:tcPr>
          <w:p w14:paraId="1B2EBA88"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2019/20</w:t>
            </w:r>
          </w:p>
        </w:tc>
        <w:tc>
          <w:tcPr>
            <w:tcW w:w="4256" w:type="dxa"/>
            <w:tcBorders>
              <w:top w:val="nil"/>
              <w:left w:val="nil"/>
              <w:bottom w:val="nil"/>
              <w:right w:val="nil"/>
            </w:tcBorders>
            <w:shd w:val="clear" w:color="000000" w:fill="FFFFFF"/>
            <w:noWrap/>
            <w:vAlign w:val="center"/>
            <w:hideMark/>
          </w:tcPr>
          <w:p w14:paraId="6AB6C214"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615" w:type="dxa"/>
            <w:tcBorders>
              <w:top w:val="nil"/>
              <w:left w:val="nil"/>
              <w:bottom w:val="nil"/>
              <w:right w:val="nil"/>
            </w:tcBorders>
            <w:shd w:val="clear" w:color="000000" w:fill="FFFFFF"/>
            <w:noWrap/>
            <w:vAlign w:val="center"/>
            <w:hideMark/>
          </w:tcPr>
          <w:p w14:paraId="00406ED5"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2020/21</w:t>
            </w:r>
          </w:p>
        </w:tc>
        <w:tc>
          <w:tcPr>
            <w:tcW w:w="1615" w:type="dxa"/>
            <w:tcBorders>
              <w:top w:val="nil"/>
              <w:left w:val="nil"/>
              <w:bottom w:val="nil"/>
              <w:right w:val="nil"/>
            </w:tcBorders>
            <w:shd w:val="clear" w:color="000000" w:fill="FFFFFF"/>
            <w:noWrap/>
            <w:vAlign w:val="center"/>
            <w:hideMark/>
          </w:tcPr>
          <w:p w14:paraId="42E894A1"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2020/21</w:t>
            </w:r>
          </w:p>
        </w:tc>
      </w:tr>
      <w:tr w:rsidR="00FE0665" w:rsidRPr="00FE0665" w14:paraId="1638CE61" w14:textId="77777777" w:rsidTr="006F1528">
        <w:trPr>
          <w:trHeight w:val="328"/>
          <w:jc w:val="center"/>
        </w:trPr>
        <w:tc>
          <w:tcPr>
            <w:tcW w:w="1303" w:type="dxa"/>
            <w:tcBorders>
              <w:top w:val="nil"/>
              <w:left w:val="nil"/>
              <w:bottom w:val="nil"/>
              <w:right w:val="nil"/>
            </w:tcBorders>
            <w:shd w:val="clear" w:color="000000" w:fill="FFFFFF"/>
            <w:vAlign w:val="center"/>
            <w:hideMark/>
          </w:tcPr>
          <w:p w14:paraId="1FE8EC8A"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Increase by 0.5%</w:t>
            </w:r>
          </w:p>
        </w:tc>
        <w:tc>
          <w:tcPr>
            <w:tcW w:w="1561" w:type="dxa"/>
            <w:tcBorders>
              <w:top w:val="nil"/>
              <w:left w:val="nil"/>
              <w:bottom w:val="nil"/>
              <w:right w:val="nil"/>
            </w:tcBorders>
            <w:shd w:val="clear" w:color="000000" w:fill="FFFFFF"/>
            <w:vAlign w:val="center"/>
            <w:hideMark/>
          </w:tcPr>
          <w:p w14:paraId="45C73297"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 xml:space="preserve">Increase </w:t>
            </w:r>
            <w:r w:rsidRPr="00FE0665">
              <w:rPr>
                <w:rFonts w:eastAsia="Times New Roman" w:cs="Times New Roman"/>
                <w:b/>
                <w:bCs/>
                <w:color w:val="000000"/>
                <w:sz w:val="16"/>
                <w:szCs w:val="16"/>
                <w:lang w:val="en-GB" w:eastAsia="en-GB"/>
              </w:rPr>
              <w:br/>
              <w:t>by 0.5%</w:t>
            </w:r>
          </w:p>
        </w:tc>
        <w:tc>
          <w:tcPr>
            <w:tcW w:w="4256" w:type="dxa"/>
            <w:tcBorders>
              <w:top w:val="nil"/>
              <w:left w:val="nil"/>
              <w:bottom w:val="nil"/>
              <w:right w:val="nil"/>
            </w:tcBorders>
            <w:shd w:val="clear" w:color="000000" w:fill="FFFFFF"/>
            <w:noWrap/>
            <w:vAlign w:val="center"/>
            <w:hideMark/>
          </w:tcPr>
          <w:p w14:paraId="05EC9723"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LGPS</w:t>
            </w:r>
          </w:p>
        </w:tc>
        <w:tc>
          <w:tcPr>
            <w:tcW w:w="1615" w:type="dxa"/>
            <w:tcBorders>
              <w:top w:val="nil"/>
              <w:left w:val="nil"/>
              <w:bottom w:val="nil"/>
              <w:right w:val="nil"/>
            </w:tcBorders>
            <w:shd w:val="clear" w:color="000000" w:fill="FFFFFF"/>
            <w:vAlign w:val="center"/>
            <w:hideMark/>
          </w:tcPr>
          <w:p w14:paraId="606EC9BE"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 xml:space="preserve">Increase </w:t>
            </w:r>
            <w:r w:rsidRPr="00FE0665">
              <w:rPr>
                <w:rFonts w:eastAsia="Times New Roman" w:cs="Times New Roman"/>
                <w:b/>
                <w:bCs/>
                <w:color w:val="000000"/>
                <w:sz w:val="16"/>
                <w:szCs w:val="16"/>
                <w:lang w:val="en-GB" w:eastAsia="en-GB"/>
              </w:rPr>
              <w:br/>
              <w:t>by 0.5%</w:t>
            </w:r>
          </w:p>
        </w:tc>
        <w:tc>
          <w:tcPr>
            <w:tcW w:w="1615" w:type="dxa"/>
            <w:tcBorders>
              <w:top w:val="nil"/>
              <w:left w:val="nil"/>
              <w:bottom w:val="nil"/>
              <w:right w:val="nil"/>
            </w:tcBorders>
            <w:shd w:val="clear" w:color="000000" w:fill="FFFFFF"/>
            <w:vAlign w:val="center"/>
            <w:hideMark/>
          </w:tcPr>
          <w:p w14:paraId="153E686D" w14:textId="77777777" w:rsidR="00FE0665" w:rsidRPr="00FE0665" w:rsidRDefault="00FE0665" w:rsidP="00FE0665">
            <w:pPr>
              <w:jc w:val="cente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 xml:space="preserve">Increase </w:t>
            </w:r>
            <w:r w:rsidRPr="00FE0665">
              <w:rPr>
                <w:rFonts w:eastAsia="Times New Roman" w:cs="Times New Roman"/>
                <w:b/>
                <w:bCs/>
                <w:color w:val="000000"/>
                <w:sz w:val="16"/>
                <w:szCs w:val="16"/>
                <w:lang w:val="en-GB" w:eastAsia="en-GB"/>
              </w:rPr>
              <w:br/>
              <w:t>by 0.5%</w:t>
            </w:r>
          </w:p>
        </w:tc>
      </w:tr>
      <w:tr w:rsidR="00FE0665" w:rsidRPr="00FE0665" w14:paraId="7532DD8A" w14:textId="77777777" w:rsidTr="006F1528">
        <w:trPr>
          <w:trHeight w:val="480"/>
          <w:jc w:val="center"/>
        </w:trPr>
        <w:tc>
          <w:tcPr>
            <w:tcW w:w="1303" w:type="dxa"/>
            <w:tcBorders>
              <w:top w:val="nil"/>
              <w:left w:val="nil"/>
              <w:bottom w:val="single" w:sz="4" w:space="0" w:color="auto"/>
              <w:right w:val="nil"/>
            </w:tcBorders>
            <w:shd w:val="clear" w:color="000000" w:fill="FFFFFF"/>
            <w:vAlign w:val="center"/>
            <w:hideMark/>
          </w:tcPr>
          <w:p w14:paraId="1C521C3B"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PCC</w:t>
            </w:r>
            <w:r w:rsidRPr="00FE0665">
              <w:rPr>
                <w:rFonts w:eastAsia="Times New Roman" w:cs="Times New Roman"/>
                <w:b/>
                <w:bCs/>
                <w:color w:val="000000"/>
                <w:sz w:val="16"/>
                <w:szCs w:val="16"/>
                <w:lang w:val="en-GB" w:eastAsia="en-GB"/>
              </w:rPr>
              <w:br/>
              <w:t>£000</w:t>
            </w:r>
          </w:p>
        </w:tc>
        <w:tc>
          <w:tcPr>
            <w:tcW w:w="1561" w:type="dxa"/>
            <w:tcBorders>
              <w:top w:val="nil"/>
              <w:left w:val="nil"/>
              <w:bottom w:val="single" w:sz="4" w:space="0" w:color="auto"/>
              <w:right w:val="nil"/>
            </w:tcBorders>
            <w:shd w:val="clear" w:color="000000" w:fill="FFFFFF"/>
            <w:vAlign w:val="center"/>
            <w:hideMark/>
          </w:tcPr>
          <w:p w14:paraId="1511D7BB"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CC</w:t>
            </w:r>
            <w:r w:rsidRPr="00FE0665">
              <w:rPr>
                <w:rFonts w:eastAsia="Times New Roman" w:cs="Times New Roman"/>
                <w:b/>
                <w:bCs/>
                <w:color w:val="000000"/>
                <w:sz w:val="16"/>
                <w:szCs w:val="16"/>
                <w:lang w:val="en-GB" w:eastAsia="en-GB"/>
              </w:rPr>
              <w:br/>
              <w:t>£000</w:t>
            </w:r>
          </w:p>
        </w:tc>
        <w:tc>
          <w:tcPr>
            <w:tcW w:w="4256" w:type="dxa"/>
            <w:tcBorders>
              <w:top w:val="nil"/>
              <w:left w:val="nil"/>
              <w:bottom w:val="single" w:sz="4" w:space="0" w:color="auto"/>
              <w:right w:val="nil"/>
            </w:tcBorders>
            <w:shd w:val="clear" w:color="000000" w:fill="FFFFFF"/>
            <w:noWrap/>
            <w:vAlign w:val="center"/>
            <w:hideMark/>
          </w:tcPr>
          <w:p w14:paraId="688DE1AB" w14:textId="77777777" w:rsidR="00FE0665" w:rsidRPr="00FE0665" w:rsidRDefault="00FE0665" w:rsidP="00FE0665">
            <w:pPr>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 </w:t>
            </w:r>
          </w:p>
        </w:tc>
        <w:tc>
          <w:tcPr>
            <w:tcW w:w="1615" w:type="dxa"/>
            <w:tcBorders>
              <w:top w:val="nil"/>
              <w:left w:val="nil"/>
              <w:bottom w:val="single" w:sz="4" w:space="0" w:color="auto"/>
              <w:right w:val="nil"/>
            </w:tcBorders>
            <w:shd w:val="clear" w:color="000000" w:fill="FFFFFF"/>
            <w:vAlign w:val="center"/>
            <w:hideMark/>
          </w:tcPr>
          <w:p w14:paraId="26175AED"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PCC</w:t>
            </w:r>
            <w:r w:rsidRPr="00FE0665">
              <w:rPr>
                <w:rFonts w:eastAsia="Times New Roman" w:cs="Times New Roman"/>
                <w:b/>
                <w:bCs/>
                <w:color w:val="000000"/>
                <w:sz w:val="16"/>
                <w:szCs w:val="16"/>
                <w:lang w:val="en-GB" w:eastAsia="en-GB"/>
              </w:rPr>
              <w:br/>
              <w:t>£000</w:t>
            </w:r>
          </w:p>
        </w:tc>
        <w:tc>
          <w:tcPr>
            <w:tcW w:w="1615" w:type="dxa"/>
            <w:tcBorders>
              <w:top w:val="nil"/>
              <w:left w:val="nil"/>
              <w:bottom w:val="single" w:sz="4" w:space="0" w:color="auto"/>
              <w:right w:val="nil"/>
            </w:tcBorders>
            <w:shd w:val="clear" w:color="000000" w:fill="FFFFFF"/>
            <w:vAlign w:val="center"/>
            <w:hideMark/>
          </w:tcPr>
          <w:p w14:paraId="69080EF6" w14:textId="77777777" w:rsidR="00FE0665" w:rsidRPr="00FE0665" w:rsidRDefault="00FE0665" w:rsidP="00FE0665">
            <w:pPr>
              <w:jc w:val="right"/>
              <w:rPr>
                <w:rFonts w:eastAsia="Times New Roman" w:cs="Times New Roman"/>
                <w:b/>
                <w:bCs/>
                <w:color w:val="000000"/>
                <w:sz w:val="16"/>
                <w:szCs w:val="16"/>
                <w:lang w:val="en-GB" w:eastAsia="en-GB"/>
              </w:rPr>
            </w:pPr>
            <w:r w:rsidRPr="00FE0665">
              <w:rPr>
                <w:rFonts w:eastAsia="Times New Roman" w:cs="Times New Roman"/>
                <w:b/>
                <w:bCs/>
                <w:color w:val="000000"/>
                <w:sz w:val="16"/>
                <w:szCs w:val="16"/>
                <w:lang w:val="en-GB" w:eastAsia="en-GB"/>
              </w:rPr>
              <w:t>CC</w:t>
            </w:r>
            <w:r w:rsidRPr="00FE0665">
              <w:rPr>
                <w:rFonts w:eastAsia="Times New Roman" w:cs="Times New Roman"/>
                <w:b/>
                <w:bCs/>
                <w:color w:val="000000"/>
                <w:sz w:val="16"/>
                <w:szCs w:val="16"/>
                <w:lang w:val="en-GB" w:eastAsia="en-GB"/>
              </w:rPr>
              <w:br/>
              <w:t>£000</w:t>
            </w:r>
          </w:p>
        </w:tc>
      </w:tr>
      <w:tr w:rsidR="00FE0665" w:rsidRPr="00FE0665" w14:paraId="0CB8C419" w14:textId="77777777" w:rsidTr="006F1528">
        <w:trPr>
          <w:trHeight w:val="70"/>
          <w:jc w:val="center"/>
        </w:trPr>
        <w:tc>
          <w:tcPr>
            <w:tcW w:w="1303" w:type="dxa"/>
            <w:tcBorders>
              <w:top w:val="nil"/>
              <w:left w:val="nil"/>
              <w:bottom w:val="nil"/>
              <w:right w:val="nil"/>
            </w:tcBorders>
            <w:shd w:val="clear" w:color="000000" w:fill="FFFFFF"/>
            <w:noWrap/>
            <w:vAlign w:val="center"/>
            <w:hideMark/>
          </w:tcPr>
          <w:p w14:paraId="3B69DFBC"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561" w:type="dxa"/>
            <w:tcBorders>
              <w:top w:val="nil"/>
              <w:left w:val="nil"/>
              <w:bottom w:val="nil"/>
              <w:right w:val="nil"/>
            </w:tcBorders>
            <w:shd w:val="clear" w:color="000000" w:fill="FFFFFF"/>
            <w:noWrap/>
            <w:vAlign w:val="center"/>
            <w:hideMark/>
          </w:tcPr>
          <w:p w14:paraId="67B8F8A6"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4256" w:type="dxa"/>
            <w:tcBorders>
              <w:top w:val="nil"/>
              <w:left w:val="nil"/>
              <w:bottom w:val="nil"/>
              <w:right w:val="nil"/>
            </w:tcBorders>
            <w:shd w:val="clear" w:color="000000" w:fill="FFFFFF"/>
            <w:noWrap/>
            <w:vAlign w:val="center"/>
            <w:hideMark/>
          </w:tcPr>
          <w:p w14:paraId="3E27F1D7"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615" w:type="dxa"/>
            <w:tcBorders>
              <w:top w:val="nil"/>
              <w:left w:val="nil"/>
              <w:bottom w:val="nil"/>
              <w:right w:val="nil"/>
            </w:tcBorders>
            <w:shd w:val="clear" w:color="000000" w:fill="FFFFFF"/>
            <w:noWrap/>
            <w:vAlign w:val="center"/>
            <w:hideMark/>
          </w:tcPr>
          <w:p w14:paraId="1D759069"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c>
          <w:tcPr>
            <w:tcW w:w="1615" w:type="dxa"/>
            <w:tcBorders>
              <w:top w:val="nil"/>
              <w:left w:val="nil"/>
              <w:bottom w:val="nil"/>
              <w:right w:val="nil"/>
            </w:tcBorders>
            <w:shd w:val="clear" w:color="000000" w:fill="FFFFFF"/>
            <w:noWrap/>
            <w:vAlign w:val="center"/>
            <w:hideMark/>
          </w:tcPr>
          <w:p w14:paraId="4231D4AD"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 </w:t>
            </w:r>
          </w:p>
        </w:tc>
      </w:tr>
      <w:tr w:rsidR="00FE0665" w:rsidRPr="00FE0665" w14:paraId="504E3E23" w14:textId="77777777" w:rsidTr="006F1528">
        <w:trPr>
          <w:trHeight w:val="234"/>
          <w:jc w:val="center"/>
        </w:trPr>
        <w:tc>
          <w:tcPr>
            <w:tcW w:w="1303" w:type="dxa"/>
            <w:tcBorders>
              <w:top w:val="nil"/>
              <w:left w:val="nil"/>
              <w:bottom w:val="nil"/>
              <w:right w:val="nil"/>
            </w:tcBorders>
            <w:shd w:val="clear" w:color="auto" w:fill="auto"/>
            <w:noWrap/>
            <w:vAlign w:val="center"/>
            <w:hideMark/>
          </w:tcPr>
          <w:p w14:paraId="27479EFE"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106</w:t>
            </w:r>
          </w:p>
        </w:tc>
        <w:tc>
          <w:tcPr>
            <w:tcW w:w="1561" w:type="dxa"/>
            <w:tcBorders>
              <w:top w:val="nil"/>
              <w:left w:val="nil"/>
              <w:bottom w:val="nil"/>
              <w:right w:val="nil"/>
            </w:tcBorders>
            <w:shd w:val="clear" w:color="auto" w:fill="auto"/>
            <w:noWrap/>
            <w:vAlign w:val="center"/>
            <w:hideMark/>
          </w:tcPr>
          <w:p w14:paraId="01AB3AB0"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4,976</w:t>
            </w:r>
          </w:p>
        </w:tc>
        <w:tc>
          <w:tcPr>
            <w:tcW w:w="4256" w:type="dxa"/>
            <w:tcBorders>
              <w:top w:val="nil"/>
              <w:left w:val="nil"/>
              <w:bottom w:val="nil"/>
              <w:right w:val="nil"/>
            </w:tcBorders>
            <w:shd w:val="clear" w:color="000000" w:fill="FFFFFF"/>
            <w:noWrap/>
            <w:vAlign w:val="center"/>
            <w:hideMark/>
          </w:tcPr>
          <w:p w14:paraId="20F71F32"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Rate of increase in salaries</w:t>
            </w:r>
          </w:p>
        </w:tc>
        <w:tc>
          <w:tcPr>
            <w:tcW w:w="1615" w:type="dxa"/>
            <w:tcBorders>
              <w:top w:val="nil"/>
              <w:left w:val="nil"/>
              <w:bottom w:val="nil"/>
              <w:right w:val="nil"/>
            </w:tcBorders>
            <w:shd w:val="clear" w:color="auto" w:fill="auto"/>
            <w:noWrap/>
            <w:vAlign w:val="center"/>
            <w:hideMark/>
          </w:tcPr>
          <w:p w14:paraId="43748FEB"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143</w:t>
            </w:r>
          </w:p>
        </w:tc>
        <w:tc>
          <w:tcPr>
            <w:tcW w:w="1615" w:type="dxa"/>
            <w:tcBorders>
              <w:top w:val="nil"/>
              <w:left w:val="nil"/>
              <w:bottom w:val="nil"/>
              <w:right w:val="nil"/>
            </w:tcBorders>
            <w:shd w:val="clear" w:color="auto" w:fill="auto"/>
            <w:noWrap/>
            <w:vAlign w:val="center"/>
            <w:hideMark/>
          </w:tcPr>
          <w:p w14:paraId="69C1F12D"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6,759</w:t>
            </w:r>
          </w:p>
        </w:tc>
      </w:tr>
      <w:tr w:rsidR="00FE0665" w:rsidRPr="00FE0665" w14:paraId="2D999D72" w14:textId="77777777" w:rsidTr="006F1528">
        <w:trPr>
          <w:trHeight w:val="234"/>
          <w:jc w:val="center"/>
        </w:trPr>
        <w:tc>
          <w:tcPr>
            <w:tcW w:w="1303" w:type="dxa"/>
            <w:tcBorders>
              <w:top w:val="nil"/>
              <w:left w:val="nil"/>
              <w:bottom w:val="nil"/>
              <w:right w:val="nil"/>
            </w:tcBorders>
            <w:shd w:val="clear" w:color="auto" w:fill="auto"/>
            <w:noWrap/>
            <w:vAlign w:val="center"/>
            <w:hideMark/>
          </w:tcPr>
          <w:p w14:paraId="64B2A90B"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424</w:t>
            </w:r>
          </w:p>
        </w:tc>
        <w:tc>
          <w:tcPr>
            <w:tcW w:w="1561" w:type="dxa"/>
            <w:tcBorders>
              <w:top w:val="nil"/>
              <w:left w:val="nil"/>
              <w:bottom w:val="nil"/>
              <w:right w:val="nil"/>
            </w:tcBorders>
            <w:shd w:val="clear" w:color="auto" w:fill="auto"/>
            <w:noWrap/>
            <w:vAlign w:val="center"/>
            <w:hideMark/>
          </w:tcPr>
          <w:p w14:paraId="350BED27"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44,545</w:t>
            </w:r>
          </w:p>
        </w:tc>
        <w:tc>
          <w:tcPr>
            <w:tcW w:w="4256" w:type="dxa"/>
            <w:tcBorders>
              <w:top w:val="nil"/>
              <w:left w:val="nil"/>
              <w:bottom w:val="nil"/>
              <w:right w:val="nil"/>
            </w:tcBorders>
            <w:shd w:val="clear" w:color="000000" w:fill="FFFFFF"/>
            <w:noWrap/>
            <w:vAlign w:val="center"/>
            <w:hideMark/>
          </w:tcPr>
          <w:p w14:paraId="2595C910" w14:textId="77777777"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Rate of increase in pensions</w:t>
            </w:r>
          </w:p>
        </w:tc>
        <w:tc>
          <w:tcPr>
            <w:tcW w:w="1615" w:type="dxa"/>
            <w:tcBorders>
              <w:top w:val="nil"/>
              <w:left w:val="nil"/>
              <w:bottom w:val="nil"/>
              <w:right w:val="nil"/>
            </w:tcBorders>
            <w:shd w:val="clear" w:color="auto" w:fill="auto"/>
            <w:noWrap/>
            <w:vAlign w:val="center"/>
            <w:hideMark/>
          </w:tcPr>
          <w:p w14:paraId="7E4F20C2"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633</w:t>
            </w:r>
          </w:p>
        </w:tc>
        <w:tc>
          <w:tcPr>
            <w:tcW w:w="1615" w:type="dxa"/>
            <w:tcBorders>
              <w:top w:val="nil"/>
              <w:left w:val="nil"/>
              <w:bottom w:val="nil"/>
              <w:right w:val="nil"/>
            </w:tcBorders>
            <w:shd w:val="clear" w:color="auto" w:fill="auto"/>
            <w:noWrap/>
            <w:vAlign w:val="center"/>
            <w:hideMark/>
          </w:tcPr>
          <w:p w14:paraId="3CA8AA4A"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65,948</w:t>
            </w:r>
          </w:p>
        </w:tc>
      </w:tr>
      <w:tr w:rsidR="00FE0665" w:rsidRPr="00FE0665" w14:paraId="3F6FF0A6" w14:textId="77777777" w:rsidTr="006F1528">
        <w:trPr>
          <w:trHeight w:val="234"/>
          <w:jc w:val="center"/>
        </w:trPr>
        <w:tc>
          <w:tcPr>
            <w:tcW w:w="1303" w:type="dxa"/>
            <w:tcBorders>
              <w:top w:val="nil"/>
              <w:left w:val="nil"/>
              <w:bottom w:val="nil"/>
              <w:right w:val="nil"/>
            </w:tcBorders>
            <w:shd w:val="clear" w:color="auto" w:fill="auto"/>
            <w:noWrap/>
            <w:vAlign w:val="center"/>
            <w:hideMark/>
          </w:tcPr>
          <w:p w14:paraId="7939D99B"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(538)</w:t>
            </w:r>
          </w:p>
        </w:tc>
        <w:tc>
          <w:tcPr>
            <w:tcW w:w="1561" w:type="dxa"/>
            <w:tcBorders>
              <w:top w:val="nil"/>
              <w:left w:val="nil"/>
              <w:bottom w:val="nil"/>
              <w:right w:val="nil"/>
            </w:tcBorders>
            <w:shd w:val="clear" w:color="auto" w:fill="auto"/>
            <w:noWrap/>
            <w:vAlign w:val="center"/>
            <w:hideMark/>
          </w:tcPr>
          <w:p w14:paraId="3B5DFC2E"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(49,907)</w:t>
            </w:r>
          </w:p>
        </w:tc>
        <w:tc>
          <w:tcPr>
            <w:tcW w:w="4256" w:type="dxa"/>
            <w:tcBorders>
              <w:top w:val="nil"/>
              <w:left w:val="nil"/>
              <w:bottom w:val="nil"/>
              <w:right w:val="nil"/>
            </w:tcBorders>
            <w:shd w:val="clear" w:color="000000" w:fill="FFFFFF"/>
            <w:noWrap/>
            <w:vAlign w:val="center"/>
            <w:hideMark/>
          </w:tcPr>
          <w:p w14:paraId="1FA047B4" w14:textId="204422E6" w:rsidR="00FE0665" w:rsidRPr="00FE0665" w:rsidRDefault="00FE0665" w:rsidP="00FE0665">
            <w:pPr>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Rate f</w:t>
            </w:r>
            <w:r w:rsidR="006F1528">
              <w:rPr>
                <w:rFonts w:eastAsia="Times New Roman" w:cs="Times New Roman"/>
                <w:color w:val="000000"/>
                <w:sz w:val="16"/>
                <w:szCs w:val="16"/>
                <w:lang w:val="en-GB" w:eastAsia="en-GB"/>
              </w:rPr>
              <w:t>or discounting scheme liabiliti</w:t>
            </w:r>
            <w:r w:rsidRPr="00FE0665">
              <w:rPr>
                <w:rFonts w:eastAsia="Times New Roman" w:cs="Times New Roman"/>
                <w:color w:val="000000"/>
                <w:sz w:val="16"/>
                <w:szCs w:val="16"/>
                <w:lang w:val="en-GB" w:eastAsia="en-GB"/>
              </w:rPr>
              <w:t>es</w:t>
            </w:r>
          </w:p>
        </w:tc>
        <w:tc>
          <w:tcPr>
            <w:tcW w:w="1615" w:type="dxa"/>
            <w:tcBorders>
              <w:top w:val="nil"/>
              <w:left w:val="nil"/>
              <w:bottom w:val="nil"/>
              <w:right w:val="nil"/>
            </w:tcBorders>
            <w:shd w:val="clear" w:color="auto" w:fill="auto"/>
            <w:noWrap/>
            <w:vAlign w:val="center"/>
            <w:hideMark/>
          </w:tcPr>
          <w:p w14:paraId="62EB99CF"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(797)</w:t>
            </w:r>
          </w:p>
        </w:tc>
        <w:tc>
          <w:tcPr>
            <w:tcW w:w="1615" w:type="dxa"/>
            <w:tcBorders>
              <w:top w:val="nil"/>
              <w:left w:val="nil"/>
              <w:bottom w:val="nil"/>
              <w:right w:val="nil"/>
            </w:tcBorders>
            <w:shd w:val="clear" w:color="auto" w:fill="auto"/>
            <w:noWrap/>
            <w:vAlign w:val="center"/>
            <w:hideMark/>
          </w:tcPr>
          <w:p w14:paraId="037876BD" w14:textId="77777777" w:rsidR="00FE0665" w:rsidRPr="00FE0665" w:rsidRDefault="00FE0665" w:rsidP="00FE0665">
            <w:pPr>
              <w:jc w:val="right"/>
              <w:rPr>
                <w:rFonts w:eastAsia="Times New Roman" w:cs="Times New Roman"/>
                <w:color w:val="000000"/>
                <w:sz w:val="16"/>
                <w:szCs w:val="16"/>
                <w:lang w:val="en-GB" w:eastAsia="en-GB"/>
              </w:rPr>
            </w:pPr>
            <w:r w:rsidRPr="00FE0665">
              <w:rPr>
                <w:rFonts w:eastAsia="Times New Roman" w:cs="Times New Roman"/>
                <w:color w:val="000000"/>
                <w:sz w:val="16"/>
                <w:szCs w:val="16"/>
                <w:lang w:val="en-GB" w:eastAsia="en-GB"/>
              </w:rPr>
              <w:t>(74,176)</w:t>
            </w:r>
          </w:p>
        </w:tc>
      </w:tr>
    </w:tbl>
    <w:p w14:paraId="4EDC59A6" w14:textId="77777777" w:rsidR="002D48D1" w:rsidRDefault="002D48D1" w:rsidP="001B120B">
      <w:pPr>
        <w:pStyle w:val="Normal0"/>
        <w:spacing w:after="160" w:line="259" w:lineRule="auto"/>
        <w:jc w:val="both"/>
        <w:rPr>
          <w:rFonts w:ascii="Verdana" w:hAnsi="Verdana"/>
          <w:iCs/>
          <w:sz w:val="22"/>
          <w:szCs w:val="22"/>
        </w:rPr>
      </w:pPr>
    </w:p>
    <w:p w14:paraId="7E09C4A1" w14:textId="77777777" w:rsidR="00444EAB" w:rsidRDefault="00444EAB" w:rsidP="001B120B">
      <w:pPr>
        <w:pStyle w:val="Normal0"/>
        <w:spacing w:after="160" w:line="259" w:lineRule="auto"/>
        <w:jc w:val="both"/>
        <w:rPr>
          <w:rFonts w:ascii="Verdana" w:hAnsi="Verdana"/>
          <w:iCs/>
          <w:sz w:val="22"/>
          <w:szCs w:val="22"/>
        </w:rPr>
      </w:pPr>
    </w:p>
    <w:p w14:paraId="57C944F4" w14:textId="77777777" w:rsidR="00444EAB" w:rsidRPr="00FE0665" w:rsidRDefault="00444EAB" w:rsidP="001B120B">
      <w:pPr>
        <w:pStyle w:val="Normal0"/>
        <w:spacing w:after="160" w:line="259" w:lineRule="auto"/>
        <w:jc w:val="both"/>
        <w:rPr>
          <w:rFonts w:ascii="Verdana" w:hAnsi="Verdana"/>
          <w:iCs/>
          <w:sz w:val="22"/>
          <w:szCs w:val="22"/>
        </w:rPr>
      </w:pPr>
    </w:p>
    <w:tbl>
      <w:tblPr>
        <w:tblW w:w="10420" w:type="dxa"/>
        <w:jc w:val="center"/>
        <w:tblLook w:val="04A0" w:firstRow="1" w:lastRow="0" w:firstColumn="1" w:lastColumn="0" w:noHBand="0" w:noVBand="1"/>
      </w:tblPr>
      <w:tblGrid>
        <w:gridCol w:w="271"/>
        <w:gridCol w:w="2140"/>
        <w:gridCol w:w="5717"/>
        <w:gridCol w:w="2247"/>
        <w:gridCol w:w="271"/>
      </w:tblGrid>
      <w:tr w:rsidR="006F1528" w:rsidRPr="006F1528" w14:paraId="77892A25" w14:textId="77777777" w:rsidTr="006F1528">
        <w:trPr>
          <w:trHeight w:val="300"/>
          <w:jc w:val="center"/>
        </w:trPr>
        <w:tc>
          <w:tcPr>
            <w:tcW w:w="10420" w:type="dxa"/>
            <w:gridSpan w:val="5"/>
            <w:tcBorders>
              <w:top w:val="nil"/>
              <w:left w:val="nil"/>
              <w:bottom w:val="nil"/>
              <w:right w:val="nil"/>
            </w:tcBorders>
            <w:shd w:val="clear" w:color="000000" w:fill="FFFFFF"/>
            <w:noWrap/>
            <w:vAlign w:val="center"/>
            <w:hideMark/>
          </w:tcPr>
          <w:p w14:paraId="582DFE7F" w14:textId="77777777" w:rsidR="006F1528" w:rsidRPr="006F1528" w:rsidRDefault="006F1528" w:rsidP="006F1528">
            <w:pPr>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Impact of assumptions on the police pension fund obligation:</w:t>
            </w:r>
          </w:p>
        </w:tc>
      </w:tr>
      <w:tr w:rsidR="006F1528" w:rsidRPr="006F1528" w14:paraId="3D8FAB82" w14:textId="77777777" w:rsidTr="006F1528">
        <w:trPr>
          <w:trHeight w:val="300"/>
          <w:jc w:val="center"/>
        </w:trPr>
        <w:tc>
          <w:tcPr>
            <w:tcW w:w="158" w:type="dxa"/>
            <w:tcBorders>
              <w:top w:val="nil"/>
              <w:left w:val="nil"/>
              <w:bottom w:val="nil"/>
              <w:right w:val="nil"/>
            </w:tcBorders>
            <w:shd w:val="clear" w:color="000000" w:fill="FFFFFF"/>
            <w:noWrap/>
            <w:vAlign w:val="center"/>
            <w:hideMark/>
          </w:tcPr>
          <w:p w14:paraId="6422CFBD" w14:textId="77777777" w:rsidR="006F1528" w:rsidRPr="006F1528" w:rsidRDefault="006F1528" w:rsidP="006F1528">
            <w:pPr>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 </w:t>
            </w:r>
          </w:p>
        </w:tc>
        <w:tc>
          <w:tcPr>
            <w:tcW w:w="2140" w:type="dxa"/>
            <w:tcBorders>
              <w:top w:val="nil"/>
              <w:left w:val="nil"/>
              <w:bottom w:val="nil"/>
              <w:right w:val="nil"/>
            </w:tcBorders>
            <w:shd w:val="clear" w:color="000000" w:fill="FFFFFF"/>
            <w:noWrap/>
            <w:vAlign w:val="center"/>
            <w:hideMark/>
          </w:tcPr>
          <w:p w14:paraId="26888112" w14:textId="77777777" w:rsidR="006F1528" w:rsidRPr="006F1528" w:rsidRDefault="006F1528" w:rsidP="006F1528">
            <w:pPr>
              <w:jc w:val="center"/>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2019/20</w:t>
            </w:r>
          </w:p>
        </w:tc>
        <w:tc>
          <w:tcPr>
            <w:tcW w:w="5717" w:type="dxa"/>
            <w:tcBorders>
              <w:top w:val="nil"/>
              <w:left w:val="nil"/>
              <w:bottom w:val="nil"/>
              <w:right w:val="nil"/>
            </w:tcBorders>
            <w:shd w:val="clear" w:color="000000" w:fill="FFFFFF"/>
            <w:noWrap/>
            <w:vAlign w:val="center"/>
            <w:hideMark/>
          </w:tcPr>
          <w:p w14:paraId="5DCC493B" w14:textId="77777777" w:rsidR="006F1528" w:rsidRPr="006F1528" w:rsidRDefault="006F1528" w:rsidP="006F1528">
            <w:pPr>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 </w:t>
            </w:r>
          </w:p>
        </w:tc>
        <w:tc>
          <w:tcPr>
            <w:tcW w:w="2247" w:type="dxa"/>
            <w:tcBorders>
              <w:top w:val="nil"/>
              <w:left w:val="nil"/>
              <w:bottom w:val="nil"/>
              <w:right w:val="nil"/>
            </w:tcBorders>
            <w:shd w:val="clear" w:color="000000" w:fill="FFFFFF"/>
            <w:noWrap/>
            <w:vAlign w:val="center"/>
            <w:hideMark/>
          </w:tcPr>
          <w:p w14:paraId="01225765" w14:textId="77777777" w:rsidR="006F1528" w:rsidRPr="006F1528" w:rsidRDefault="006F1528" w:rsidP="006F1528">
            <w:pPr>
              <w:jc w:val="center"/>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2020/21</w:t>
            </w:r>
          </w:p>
        </w:tc>
        <w:tc>
          <w:tcPr>
            <w:tcW w:w="158" w:type="dxa"/>
            <w:tcBorders>
              <w:top w:val="nil"/>
              <w:left w:val="nil"/>
              <w:bottom w:val="nil"/>
              <w:right w:val="nil"/>
            </w:tcBorders>
            <w:shd w:val="clear" w:color="000000" w:fill="FFFFFF"/>
            <w:noWrap/>
            <w:vAlign w:val="center"/>
            <w:hideMark/>
          </w:tcPr>
          <w:p w14:paraId="1D7F73F1" w14:textId="77777777" w:rsidR="006F1528" w:rsidRPr="006F1528" w:rsidRDefault="006F1528" w:rsidP="006F1528">
            <w:pPr>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 </w:t>
            </w:r>
          </w:p>
        </w:tc>
      </w:tr>
      <w:tr w:rsidR="006F1528" w:rsidRPr="006F1528" w14:paraId="51156B8B" w14:textId="77777777" w:rsidTr="006F1528">
        <w:trPr>
          <w:trHeight w:val="420"/>
          <w:jc w:val="center"/>
        </w:trPr>
        <w:tc>
          <w:tcPr>
            <w:tcW w:w="158" w:type="dxa"/>
            <w:tcBorders>
              <w:top w:val="nil"/>
              <w:left w:val="nil"/>
              <w:bottom w:val="nil"/>
              <w:right w:val="nil"/>
            </w:tcBorders>
            <w:shd w:val="clear" w:color="auto" w:fill="auto"/>
            <w:noWrap/>
            <w:vAlign w:val="center"/>
            <w:hideMark/>
          </w:tcPr>
          <w:p w14:paraId="4BB38017" w14:textId="77777777" w:rsidR="006F1528" w:rsidRPr="006F1528" w:rsidRDefault="006F1528" w:rsidP="006F1528">
            <w:pPr>
              <w:rPr>
                <w:rFonts w:eastAsia="Times New Roman" w:cs="Times New Roman"/>
                <w:b/>
                <w:bCs/>
                <w:color w:val="000000"/>
                <w:sz w:val="16"/>
                <w:szCs w:val="16"/>
                <w:lang w:val="en-GB" w:eastAsia="en-GB"/>
              </w:rPr>
            </w:pPr>
          </w:p>
        </w:tc>
        <w:tc>
          <w:tcPr>
            <w:tcW w:w="2140" w:type="dxa"/>
            <w:tcBorders>
              <w:top w:val="nil"/>
              <w:left w:val="nil"/>
              <w:bottom w:val="nil"/>
              <w:right w:val="nil"/>
            </w:tcBorders>
            <w:shd w:val="clear" w:color="auto" w:fill="auto"/>
            <w:vAlign w:val="center"/>
            <w:hideMark/>
          </w:tcPr>
          <w:p w14:paraId="4045DD0E" w14:textId="77777777" w:rsidR="006F1528" w:rsidRPr="006F1528" w:rsidRDefault="006F1528" w:rsidP="006F1528">
            <w:pPr>
              <w:jc w:val="center"/>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 xml:space="preserve">Increase </w:t>
            </w:r>
            <w:r w:rsidRPr="006F1528">
              <w:rPr>
                <w:rFonts w:eastAsia="Times New Roman" w:cs="Times New Roman"/>
                <w:b/>
                <w:bCs/>
                <w:color w:val="000000"/>
                <w:sz w:val="16"/>
                <w:szCs w:val="16"/>
                <w:lang w:val="en-GB" w:eastAsia="en-GB"/>
              </w:rPr>
              <w:br/>
              <w:t>by 0.5%</w:t>
            </w:r>
          </w:p>
        </w:tc>
        <w:tc>
          <w:tcPr>
            <w:tcW w:w="5717" w:type="dxa"/>
            <w:tcBorders>
              <w:top w:val="nil"/>
              <w:left w:val="nil"/>
              <w:bottom w:val="nil"/>
              <w:right w:val="nil"/>
            </w:tcBorders>
            <w:shd w:val="clear" w:color="auto" w:fill="auto"/>
            <w:noWrap/>
            <w:vAlign w:val="center"/>
            <w:hideMark/>
          </w:tcPr>
          <w:p w14:paraId="533E2EBD" w14:textId="77777777" w:rsidR="006F1528" w:rsidRPr="006F1528" w:rsidRDefault="006F1528" w:rsidP="006F1528">
            <w:pPr>
              <w:jc w:val="center"/>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Police Officers</w:t>
            </w:r>
          </w:p>
        </w:tc>
        <w:tc>
          <w:tcPr>
            <w:tcW w:w="2247" w:type="dxa"/>
            <w:tcBorders>
              <w:top w:val="nil"/>
              <w:left w:val="nil"/>
              <w:bottom w:val="nil"/>
              <w:right w:val="nil"/>
            </w:tcBorders>
            <w:shd w:val="clear" w:color="auto" w:fill="auto"/>
            <w:vAlign w:val="center"/>
            <w:hideMark/>
          </w:tcPr>
          <w:p w14:paraId="1393DB89" w14:textId="77777777" w:rsidR="006F1528" w:rsidRPr="006F1528" w:rsidRDefault="006F1528" w:rsidP="006F1528">
            <w:pPr>
              <w:jc w:val="center"/>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Decrease</w:t>
            </w:r>
            <w:r w:rsidRPr="006F1528">
              <w:rPr>
                <w:rFonts w:eastAsia="Times New Roman" w:cs="Times New Roman"/>
                <w:b/>
                <w:bCs/>
                <w:color w:val="000000"/>
                <w:sz w:val="16"/>
                <w:szCs w:val="16"/>
                <w:lang w:val="en-GB" w:eastAsia="en-GB"/>
              </w:rPr>
              <w:br/>
              <w:t xml:space="preserve"> by 0.5%</w:t>
            </w:r>
          </w:p>
        </w:tc>
        <w:tc>
          <w:tcPr>
            <w:tcW w:w="158" w:type="dxa"/>
            <w:tcBorders>
              <w:top w:val="nil"/>
              <w:left w:val="nil"/>
              <w:bottom w:val="nil"/>
              <w:right w:val="nil"/>
            </w:tcBorders>
            <w:shd w:val="clear" w:color="auto" w:fill="auto"/>
            <w:noWrap/>
            <w:vAlign w:val="center"/>
            <w:hideMark/>
          </w:tcPr>
          <w:p w14:paraId="2A59C633" w14:textId="77777777" w:rsidR="006F1528" w:rsidRPr="006F1528" w:rsidRDefault="006F1528" w:rsidP="006F1528">
            <w:pPr>
              <w:jc w:val="center"/>
              <w:rPr>
                <w:rFonts w:eastAsia="Times New Roman" w:cs="Times New Roman"/>
                <w:b/>
                <w:bCs/>
                <w:color w:val="000000"/>
                <w:sz w:val="16"/>
                <w:szCs w:val="16"/>
                <w:lang w:val="en-GB" w:eastAsia="en-GB"/>
              </w:rPr>
            </w:pPr>
          </w:p>
        </w:tc>
      </w:tr>
      <w:tr w:rsidR="006F1528" w:rsidRPr="006F1528" w14:paraId="69E8BBB9" w14:textId="77777777" w:rsidTr="006F1528">
        <w:trPr>
          <w:trHeight w:val="210"/>
          <w:jc w:val="center"/>
        </w:trPr>
        <w:tc>
          <w:tcPr>
            <w:tcW w:w="158" w:type="dxa"/>
            <w:tcBorders>
              <w:top w:val="nil"/>
              <w:left w:val="nil"/>
              <w:bottom w:val="nil"/>
              <w:right w:val="nil"/>
            </w:tcBorders>
            <w:shd w:val="clear" w:color="auto" w:fill="auto"/>
            <w:noWrap/>
            <w:vAlign w:val="center"/>
            <w:hideMark/>
          </w:tcPr>
          <w:p w14:paraId="3DCB853E" w14:textId="77777777" w:rsidR="006F1528" w:rsidRPr="006F1528" w:rsidRDefault="006F1528" w:rsidP="006F1528">
            <w:pPr>
              <w:rPr>
                <w:rFonts w:ascii="Times New Roman" w:eastAsia="Times New Roman" w:hAnsi="Times New Roman" w:cs="Times New Roman"/>
                <w:sz w:val="20"/>
                <w:szCs w:val="20"/>
                <w:lang w:val="en-GB" w:eastAsia="en-GB"/>
              </w:rPr>
            </w:pPr>
          </w:p>
        </w:tc>
        <w:tc>
          <w:tcPr>
            <w:tcW w:w="2140" w:type="dxa"/>
            <w:tcBorders>
              <w:top w:val="nil"/>
              <w:left w:val="nil"/>
              <w:bottom w:val="single" w:sz="4" w:space="0" w:color="auto"/>
              <w:right w:val="nil"/>
            </w:tcBorders>
            <w:shd w:val="clear" w:color="auto" w:fill="auto"/>
            <w:noWrap/>
            <w:vAlign w:val="center"/>
            <w:hideMark/>
          </w:tcPr>
          <w:p w14:paraId="43C37BE2" w14:textId="77777777" w:rsidR="006F1528" w:rsidRPr="006F1528" w:rsidRDefault="006F1528" w:rsidP="006F1528">
            <w:pPr>
              <w:jc w:val="right"/>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£000</w:t>
            </w:r>
          </w:p>
        </w:tc>
        <w:tc>
          <w:tcPr>
            <w:tcW w:w="5717" w:type="dxa"/>
            <w:tcBorders>
              <w:top w:val="nil"/>
              <w:left w:val="nil"/>
              <w:bottom w:val="single" w:sz="4" w:space="0" w:color="auto"/>
              <w:right w:val="nil"/>
            </w:tcBorders>
            <w:shd w:val="clear" w:color="auto" w:fill="auto"/>
            <w:noWrap/>
            <w:vAlign w:val="center"/>
            <w:hideMark/>
          </w:tcPr>
          <w:p w14:paraId="3D745735" w14:textId="77777777" w:rsidR="006F1528" w:rsidRPr="006F1528" w:rsidRDefault="006F1528" w:rsidP="006F1528">
            <w:pPr>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Assumption</w:t>
            </w:r>
          </w:p>
        </w:tc>
        <w:tc>
          <w:tcPr>
            <w:tcW w:w="2247" w:type="dxa"/>
            <w:tcBorders>
              <w:top w:val="nil"/>
              <w:left w:val="nil"/>
              <w:bottom w:val="single" w:sz="4" w:space="0" w:color="auto"/>
              <w:right w:val="nil"/>
            </w:tcBorders>
            <w:shd w:val="clear" w:color="auto" w:fill="auto"/>
            <w:noWrap/>
            <w:vAlign w:val="center"/>
            <w:hideMark/>
          </w:tcPr>
          <w:p w14:paraId="33425862" w14:textId="77777777" w:rsidR="006F1528" w:rsidRPr="006F1528" w:rsidRDefault="006F1528" w:rsidP="006F1528">
            <w:pPr>
              <w:jc w:val="right"/>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£000</w:t>
            </w:r>
          </w:p>
        </w:tc>
        <w:tc>
          <w:tcPr>
            <w:tcW w:w="158" w:type="dxa"/>
            <w:tcBorders>
              <w:top w:val="nil"/>
              <w:left w:val="nil"/>
              <w:bottom w:val="nil"/>
              <w:right w:val="nil"/>
            </w:tcBorders>
            <w:shd w:val="clear" w:color="auto" w:fill="auto"/>
            <w:noWrap/>
            <w:vAlign w:val="center"/>
            <w:hideMark/>
          </w:tcPr>
          <w:p w14:paraId="1345700F" w14:textId="77777777" w:rsidR="006F1528" w:rsidRPr="006F1528" w:rsidRDefault="006F1528" w:rsidP="006F1528">
            <w:pPr>
              <w:jc w:val="right"/>
              <w:rPr>
                <w:rFonts w:eastAsia="Times New Roman" w:cs="Times New Roman"/>
                <w:b/>
                <w:bCs/>
                <w:color w:val="000000"/>
                <w:sz w:val="16"/>
                <w:szCs w:val="16"/>
                <w:lang w:val="en-GB" w:eastAsia="en-GB"/>
              </w:rPr>
            </w:pPr>
          </w:p>
        </w:tc>
      </w:tr>
      <w:tr w:rsidR="006F1528" w:rsidRPr="006F1528" w14:paraId="30536CD0" w14:textId="77777777" w:rsidTr="006F1528">
        <w:trPr>
          <w:trHeight w:val="210"/>
          <w:jc w:val="center"/>
        </w:trPr>
        <w:tc>
          <w:tcPr>
            <w:tcW w:w="158" w:type="dxa"/>
            <w:tcBorders>
              <w:top w:val="nil"/>
              <w:left w:val="nil"/>
              <w:bottom w:val="nil"/>
              <w:right w:val="nil"/>
            </w:tcBorders>
            <w:shd w:val="clear" w:color="auto" w:fill="auto"/>
            <w:noWrap/>
            <w:vAlign w:val="center"/>
            <w:hideMark/>
          </w:tcPr>
          <w:p w14:paraId="2076A4F7" w14:textId="77777777" w:rsidR="006F1528" w:rsidRPr="006F1528" w:rsidRDefault="006F1528" w:rsidP="006F1528">
            <w:pPr>
              <w:rPr>
                <w:rFonts w:ascii="Times New Roman" w:eastAsia="Times New Roman" w:hAnsi="Times New Roman" w:cs="Times New Roman"/>
                <w:sz w:val="20"/>
                <w:szCs w:val="20"/>
                <w:lang w:val="en-GB" w:eastAsia="en-GB"/>
              </w:rPr>
            </w:pPr>
          </w:p>
        </w:tc>
        <w:tc>
          <w:tcPr>
            <w:tcW w:w="2140" w:type="dxa"/>
            <w:tcBorders>
              <w:top w:val="nil"/>
              <w:left w:val="nil"/>
              <w:bottom w:val="nil"/>
              <w:right w:val="nil"/>
            </w:tcBorders>
            <w:shd w:val="clear" w:color="auto" w:fill="auto"/>
            <w:noWrap/>
            <w:vAlign w:val="center"/>
            <w:hideMark/>
          </w:tcPr>
          <w:p w14:paraId="02A35BC5" w14:textId="48CA0338" w:rsidR="006F1528" w:rsidRPr="006F1528" w:rsidRDefault="00B0252F" w:rsidP="006F1528">
            <w:pPr>
              <w:jc w:val="right"/>
              <w:rPr>
                <w:rFonts w:eastAsia="Times New Roman" w:cs="Times New Roman"/>
                <w:color w:val="000000"/>
                <w:sz w:val="16"/>
                <w:szCs w:val="16"/>
                <w:lang w:val="en-GB" w:eastAsia="en-GB"/>
              </w:rPr>
            </w:pPr>
            <w:r>
              <w:rPr>
                <w:rFonts w:eastAsia="Times New Roman" w:cs="Times New Roman"/>
                <w:color w:val="000000"/>
                <w:sz w:val="16"/>
                <w:szCs w:val="16"/>
                <w:lang w:val="en-GB" w:eastAsia="en-GB"/>
              </w:rPr>
              <w:t>27</w:t>
            </w:r>
            <w:r w:rsidR="006F1528" w:rsidRPr="006F1528">
              <w:rPr>
                <w:rFonts w:eastAsia="Times New Roman" w:cs="Times New Roman"/>
                <w:color w:val="000000"/>
                <w:sz w:val="16"/>
                <w:szCs w:val="16"/>
                <w:lang w:val="en-GB" w:eastAsia="en-GB"/>
              </w:rPr>
              <w:t>,000</w:t>
            </w:r>
          </w:p>
        </w:tc>
        <w:tc>
          <w:tcPr>
            <w:tcW w:w="5717" w:type="dxa"/>
            <w:tcBorders>
              <w:top w:val="nil"/>
              <w:left w:val="nil"/>
              <w:bottom w:val="nil"/>
              <w:right w:val="nil"/>
            </w:tcBorders>
            <w:shd w:val="clear" w:color="auto" w:fill="auto"/>
            <w:noWrap/>
            <w:vAlign w:val="center"/>
            <w:hideMark/>
          </w:tcPr>
          <w:p w14:paraId="50044558" w14:textId="77777777" w:rsidR="006F1528" w:rsidRPr="006F1528" w:rsidRDefault="006F1528" w:rsidP="006F1528">
            <w:pPr>
              <w:rPr>
                <w:rFonts w:eastAsia="Times New Roman" w:cs="Times New Roman"/>
                <w:color w:val="000000"/>
                <w:sz w:val="16"/>
                <w:szCs w:val="16"/>
                <w:lang w:val="en-GB" w:eastAsia="en-GB"/>
              </w:rPr>
            </w:pPr>
            <w:r w:rsidRPr="006F1528">
              <w:rPr>
                <w:rFonts w:eastAsia="Times New Roman" w:cs="Times New Roman"/>
                <w:color w:val="000000"/>
                <w:sz w:val="16"/>
                <w:szCs w:val="16"/>
                <w:lang w:val="en-GB" w:eastAsia="en-GB"/>
              </w:rPr>
              <w:t>Rate of increase in salaries</w:t>
            </w:r>
          </w:p>
        </w:tc>
        <w:tc>
          <w:tcPr>
            <w:tcW w:w="2247" w:type="dxa"/>
            <w:tcBorders>
              <w:top w:val="nil"/>
              <w:left w:val="nil"/>
              <w:bottom w:val="nil"/>
              <w:right w:val="nil"/>
            </w:tcBorders>
            <w:shd w:val="clear" w:color="auto" w:fill="auto"/>
            <w:noWrap/>
            <w:vAlign w:val="center"/>
            <w:hideMark/>
          </w:tcPr>
          <w:p w14:paraId="4EE52453" w14:textId="77777777" w:rsidR="006F1528" w:rsidRPr="006F1528" w:rsidRDefault="006F1528" w:rsidP="006F1528">
            <w:pPr>
              <w:jc w:val="right"/>
              <w:rPr>
                <w:rFonts w:eastAsia="Times New Roman" w:cs="Times New Roman"/>
                <w:color w:val="000000"/>
                <w:sz w:val="16"/>
                <w:szCs w:val="16"/>
                <w:lang w:val="en-GB" w:eastAsia="en-GB"/>
              </w:rPr>
            </w:pPr>
            <w:r w:rsidRPr="006F1528">
              <w:rPr>
                <w:rFonts w:eastAsia="Times New Roman" w:cs="Times New Roman"/>
                <w:color w:val="000000"/>
                <w:sz w:val="16"/>
                <w:szCs w:val="16"/>
                <w:lang w:val="en-GB" w:eastAsia="en-GB"/>
              </w:rPr>
              <w:t>28,000</w:t>
            </w:r>
          </w:p>
        </w:tc>
        <w:tc>
          <w:tcPr>
            <w:tcW w:w="158" w:type="dxa"/>
            <w:tcBorders>
              <w:top w:val="nil"/>
              <w:left w:val="nil"/>
              <w:bottom w:val="nil"/>
              <w:right w:val="nil"/>
            </w:tcBorders>
            <w:shd w:val="clear" w:color="auto" w:fill="auto"/>
            <w:noWrap/>
            <w:vAlign w:val="center"/>
            <w:hideMark/>
          </w:tcPr>
          <w:p w14:paraId="47AF6F73" w14:textId="77777777" w:rsidR="006F1528" w:rsidRPr="006F1528" w:rsidRDefault="006F1528" w:rsidP="006F1528">
            <w:pPr>
              <w:jc w:val="right"/>
              <w:rPr>
                <w:rFonts w:eastAsia="Times New Roman" w:cs="Times New Roman"/>
                <w:color w:val="000000"/>
                <w:sz w:val="16"/>
                <w:szCs w:val="16"/>
                <w:lang w:val="en-GB" w:eastAsia="en-GB"/>
              </w:rPr>
            </w:pPr>
          </w:p>
        </w:tc>
      </w:tr>
      <w:tr w:rsidR="006F1528" w:rsidRPr="006F1528" w14:paraId="5798A853" w14:textId="77777777" w:rsidTr="006F1528">
        <w:trPr>
          <w:trHeight w:val="300"/>
          <w:jc w:val="center"/>
        </w:trPr>
        <w:tc>
          <w:tcPr>
            <w:tcW w:w="158" w:type="dxa"/>
            <w:tcBorders>
              <w:top w:val="nil"/>
              <w:left w:val="nil"/>
              <w:bottom w:val="nil"/>
              <w:right w:val="nil"/>
            </w:tcBorders>
            <w:shd w:val="clear" w:color="auto" w:fill="auto"/>
            <w:noWrap/>
            <w:vAlign w:val="center"/>
            <w:hideMark/>
          </w:tcPr>
          <w:p w14:paraId="0B823FD5" w14:textId="77777777" w:rsidR="006F1528" w:rsidRPr="006F1528" w:rsidRDefault="006F1528" w:rsidP="006F1528">
            <w:pPr>
              <w:rPr>
                <w:rFonts w:ascii="Times New Roman" w:eastAsia="Times New Roman" w:hAnsi="Times New Roman" w:cs="Times New Roman"/>
                <w:sz w:val="20"/>
                <w:szCs w:val="20"/>
                <w:lang w:val="en-GB" w:eastAsia="en-GB"/>
              </w:rPr>
            </w:pPr>
          </w:p>
        </w:tc>
        <w:tc>
          <w:tcPr>
            <w:tcW w:w="2140" w:type="dxa"/>
            <w:tcBorders>
              <w:top w:val="nil"/>
              <w:left w:val="nil"/>
              <w:bottom w:val="nil"/>
              <w:right w:val="nil"/>
            </w:tcBorders>
            <w:shd w:val="clear" w:color="auto" w:fill="auto"/>
            <w:noWrap/>
            <w:vAlign w:val="center"/>
            <w:hideMark/>
          </w:tcPr>
          <w:p w14:paraId="1ED780CF" w14:textId="08EA50D7" w:rsidR="006F1528" w:rsidRPr="006F1528" w:rsidRDefault="006F1528" w:rsidP="006F1528">
            <w:pPr>
              <w:jc w:val="right"/>
              <w:rPr>
                <w:rFonts w:eastAsia="Times New Roman" w:cs="Times New Roman"/>
                <w:color w:val="000000"/>
                <w:sz w:val="16"/>
                <w:szCs w:val="16"/>
                <w:lang w:val="en-GB" w:eastAsia="en-GB"/>
              </w:rPr>
            </w:pPr>
            <w:r w:rsidRPr="006F1528">
              <w:rPr>
                <w:rFonts w:eastAsia="Times New Roman" w:cs="Times New Roman"/>
                <w:color w:val="000000"/>
                <w:sz w:val="16"/>
                <w:szCs w:val="16"/>
                <w:lang w:val="en-GB" w:eastAsia="en-GB"/>
              </w:rPr>
              <w:t>1</w:t>
            </w:r>
            <w:r w:rsidR="00B0252F">
              <w:rPr>
                <w:rFonts w:eastAsia="Times New Roman" w:cs="Times New Roman"/>
                <w:color w:val="000000"/>
                <w:sz w:val="16"/>
                <w:szCs w:val="16"/>
                <w:lang w:val="en-GB" w:eastAsia="en-GB"/>
              </w:rPr>
              <w:t>57</w:t>
            </w:r>
            <w:r w:rsidRPr="006F1528">
              <w:rPr>
                <w:rFonts w:eastAsia="Times New Roman" w:cs="Times New Roman"/>
                <w:color w:val="000000"/>
                <w:sz w:val="16"/>
                <w:szCs w:val="16"/>
                <w:lang w:val="en-GB" w:eastAsia="en-GB"/>
              </w:rPr>
              <w:t>,000</w:t>
            </w:r>
          </w:p>
        </w:tc>
        <w:tc>
          <w:tcPr>
            <w:tcW w:w="5717" w:type="dxa"/>
            <w:tcBorders>
              <w:top w:val="nil"/>
              <w:left w:val="nil"/>
              <w:bottom w:val="nil"/>
              <w:right w:val="nil"/>
            </w:tcBorders>
            <w:shd w:val="clear" w:color="auto" w:fill="auto"/>
            <w:noWrap/>
            <w:vAlign w:val="center"/>
            <w:hideMark/>
          </w:tcPr>
          <w:p w14:paraId="4C75420A" w14:textId="77777777" w:rsidR="006F1528" w:rsidRPr="006F1528" w:rsidRDefault="006F1528" w:rsidP="006F1528">
            <w:pPr>
              <w:rPr>
                <w:rFonts w:eastAsia="Times New Roman" w:cs="Times New Roman"/>
                <w:color w:val="000000"/>
                <w:sz w:val="16"/>
                <w:szCs w:val="16"/>
                <w:lang w:val="en-GB" w:eastAsia="en-GB"/>
              </w:rPr>
            </w:pPr>
            <w:r w:rsidRPr="006F1528">
              <w:rPr>
                <w:rFonts w:eastAsia="Times New Roman" w:cs="Times New Roman"/>
                <w:color w:val="000000"/>
                <w:sz w:val="16"/>
                <w:szCs w:val="16"/>
                <w:lang w:val="en-GB" w:eastAsia="en-GB"/>
              </w:rPr>
              <w:t>Rate of increase in pensions</w:t>
            </w:r>
          </w:p>
        </w:tc>
        <w:tc>
          <w:tcPr>
            <w:tcW w:w="2247" w:type="dxa"/>
            <w:tcBorders>
              <w:top w:val="nil"/>
              <w:left w:val="nil"/>
              <w:bottom w:val="nil"/>
              <w:right w:val="nil"/>
            </w:tcBorders>
            <w:shd w:val="clear" w:color="auto" w:fill="auto"/>
            <w:noWrap/>
            <w:vAlign w:val="center"/>
            <w:hideMark/>
          </w:tcPr>
          <w:p w14:paraId="4973665A" w14:textId="77777777" w:rsidR="006F1528" w:rsidRPr="006F1528" w:rsidRDefault="006F1528" w:rsidP="006F1528">
            <w:pPr>
              <w:jc w:val="right"/>
              <w:rPr>
                <w:rFonts w:eastAsia="Times New Roman" w:cs="Times New Roman"/>
                <w:color w:val="000000"/>
                <w:sz w:val="16"/>
                <w:szCs w:val="16"/>
                <w:lang w:val="en-GB" w:eastAsia="en-GB"/>
              </w:rPr>
            </w:pPr>
            <w:r w:rsidRPr="006F1528">
              <w:rPr>
                <w:rFonts w:eastAsia="Times New Roman" w:cs="Times New Roman"/>
                <w:color w:val="000000"/>
                <w:sz w:val="16"/>
                <w:szCs w:val="16"/>
                <w:lang w:val="en-GB" w:eastAsia="en-GB"/>
              </w:rPr>
              <w:t>189,000</w:t>
            </w:r>
          </w:p>
        </w:tc>
        <w:tc>
          <w:tcPr>
            <w:tcW w:w="158" w:type="dxa"/>
            <w:tcBorders>
              <w:top w:val="nil"/>
              <w:left w:val="nil"/>
              <w:bottom w:val="nil"/>
              <w:right w:val="nil"/>
            </w:tcBorders>
            <w:shd w:val="clear" w:color="auto" w:fill="auto"/>
            <w:noWrap/>
            <w:vAlign w:val="center"/>
            <w:hideMark/>
          </w:tcPr>
          <w:p w14:paraId="6B2A7A09" w14:textId="77777777" w:rsidR="006F1528" w:rsidRPr="006F1528" w:rsidRDefault="006F1528" w:rsidP="006F1528">
            <w:pPr>
              <w:jc w:val="right"/>
              <w:rPr>
                <w:rFonts w:eastAsia="Times New Roman" w:cs="Times New Roman"/>
                <w:color w:val="000000"/>
                <w:sz w:val="16"/>
                <w:szCs w:val="16"/>
                <w:lang w:val="en-GB" w:eastAsia="en-GB"/>
              </w:rPr>
            </w:pPr>
          </w:p>
        </w:tc>
      </w:tr>
      <w:tr w:rsidR="006F1528" w:rsidRPr="006F1528" w14:paraId="5DE9D37B" w14:textId="77777777" w:rsidTr="006F1528">
        <w:trPr>
          <w:trHeight w:val="300"/>
          <w:jc w:val="center"/>
        </w:trPr>
        <w:tc>
          <w:tcPr>
            <w:tcW w:w="158" w:type="dxa"/>
            <w:tcBorders>
              <w:top w:val="nil"/>
              <w:left w:val="nil"/>
              <w:bottom w:val="nil"/>
              <w:right w:val="nil"/>
            </w:tcBorders>
            <w:shd w:val="clear" w:color="auto" w:fill="auto"/>
            <w:noWrap/>
            <w:vAlign w:val="center"/>
            <w:hideMark/>
          </w:tcPr>
          <w:p w14:paraId="167E5823" w14:textId="77777777" w:rsidR="006F1528" w:rsidRPr="006F1528" w:rsidRDefault="006F1528" w:rsidP="006F1528">
            <w:pPr>
              <w:rPr>
                <w:rFonts w:ascii="Times New Roman" w:eastAsia="Times New Roman" w:hAnsi="Times New Roman" w:cs="Times New Roman"/>
                <w:sz w:val="20"/>
                <w:szCs w:val="20"/>
                <w:lang w:val="en-GB" w:eastAsia="en-GB"/>
              </w:rPr>
            </w:pPr>
          </w:p>
        </w:tc>
        <w:tc>
          <w:tcPr>
            <w:tcW w:w="2140" w:type="dxa"/>
            <w:tcBorders>
              <w:top w:val="nil"/>
              <w:left w:val="nil"/>
              <w:bottom w:val="nil"/>
              <w:right w:val="nil"/>
            </w:tcBorders>
            <w:shd w:val="clear" w:color="auto" w:fill="auto"/>
            <w:noWrap/>
            <w:vAlign w:val="center"/>
            <w:hideMark/>
          </w:tcPr>
          <w:p w14:paraId="08080458" w14:textId="202C0540" w:rsidR="006F1528" w:rsidRPr="006F1528" w:rsidRDefault="006F1528" w:rsidP="006F1528">
            <w:pPr>
              <w:jc w:val="right"/>
              <w:rPr>
                <w:rFonts w:eastAsia="Times New Roman" w:cs="Times New Roman"/>
                <w:color w:val="000000"/>
                <w:sz w:val="16"/>
                <w:szCs w:val="16"/>
                <w:lang w:val="en-GB" w:eastAsia="en-GB"/>
              </w:rPr>
            </w:pPr>
            <w:r w:rsidRPr="006F1528">
              <w:rPr>
                <w:rFonts w:eastAsia="Times New Roman" w:cs="Times New Roman"/>
                <w:color w:val="000000"/>
                <w:sz w:val="16"/>
                <w:szCs w:val="16"/>
                <w:lang w:val="en-GB" w:eastAsia="en-GB"/>
              </w:rPr>
              <w:t>(</w:t>
            </w:r>
            <w:r w:rsidR="00B0252F">
              <w:rPr>
                <w:rFonts w:eastAsia="Times New Roman" w:cs="Times New Roman"/>
                <w:color w:val="000000"/>
                <w:sz w:val="16"/>
                <w:szCs w:val="16"/>
                <w:lang w:val="en-GB" w:eastAsia="en-GB"/>
              </w:rPr>
              <w:t>197</w:t>
            </w:r>
            <w:r w:rsidRPr="006F1528">
              <w:rPr>
                <w:rFonts w:eastAsia="Times New Roman" w:cs="Times New Roman"/>
                <w:color w:val="000000"/>
                <w:sz w:val="16"/>
                <w:szCs w:val="16"/>
                <w:lang w:val="en-GB" w:eastAsia="en-GB"/>
              </w:rPr>
              <w:t>,000)</w:t>
            </w:r>
          </w:p>
        </w:tc>
        <w:tc>
          <w:tcPr>
            <w:tcW w:w="5717" w:type="dxa"/>
            <w:tcBorders>
              <w:top w:val="nil"/>
              <w:left w:val="nil"/>
              <w:bottom w:val="nil"/>
              <w:right w:val="nil"/>
            </w:tcBorders>
            <w:shd w:val="clear" w:color="auto" w:fill="auto"/>
            <w:noWrap/>
            <w:vAlign w:val="center"/>
            <w:hideMark/>
          </w:tcPr>
          <w:p w14:paraId="369B5E57" w14:textId="77777777" w:rsidR="006F1528" w:rsidRPr="006F1528" w:rsidRDefault="006F1528" w:rsidP="006F1528">
            <w:pPr>
              <w:rPr>
                <w:rFonts w:eastAsia="Times New Roman" w:cs="Times New Roman"/>
                <w:color w:val="000000"/>
                <w:sz w:val="16"/>
                <w:szCs w:val="16"/>
                <w:lang w:val="en-GB" w:eastAsia="en-GB"/>
              </w:rPr>
            </w:pPr>
            <w:r w:rsidRPr="006F1528">
              <w:rPr>
                <w:rFonts w:eastAsia="Times New Roman" w:cs="Times New Roman"/>
                <w:color w:val="000000"/>
                <w:sz w:val="16"/>
                <w:szCs w:val="16"/>
                <w:lang w:val="en-GB" w:eastAsia="en-GB"/>
              </w:rPr>
              <w:t>Rate for discounting scheme liabilities</w:t>
            </w:r>
          </w:p>
        </w:tc>
        <w:tc>
          <w:tcPr>
            <w:tcW w:w="2247" w:type="dxa"/>
            <w:tcBorders>
              <w:top w:val="nil"/>
              <w:left w:val="nil"/>
              <w:bottom w:val="nil"/>
              <w:right w:val="nil"/>
            </w:tcBorders>
            <w:shd w:val="clear" w:color="auto" w:fill="auto"/>
            <w:noWrap/>
            <w:vAlign w:val="center"/>
            <w:hideMark/>
          </w:tcPr>
          <w:p w14:paraId="017EF631" w14:textId="77777777" w:rsidR="006F1528" w:rsidRPr="006F1528" w:rsidRDefault="006F1528" w:rsidP="006F1528">
            <w:pPr>
              <w:jc w:val="right"/>
              <w:rPr>
                <w:rFonts w:eastAsia="Times New Roman" w:cs="Times New Roman"/>
                <w:color w:val="000000"/>
                <w:sz w:val="16"/>
                <w:szCs w:val="16"/>
                <w:lang w:val="en-GB" w:eastAsia="en-GB"/>
              </w:rPr>
            </w:pPr>
            <w:r w:rsidRPr="006F1528">
              <w:rPr>
                <w:rFonts w:eastAsia="Times New Roman" w:cs="Times New Roman"/>
                <w:color w:val="000000"/>
                <w:sz w:val="16"/>
                <w:szCs w:val="16"/>
                <w:lang w:val="en-GB" w:eastAsia="en-GB"/>
              </w:rPr>
              <w:t>(202,000)</w:t>
            </w:r>
          </w:p>
        </w:tc>
        <w:tc>
          <w:tcPr>
            <w:tcW w:w="158" w:type="dxa"/>
            <w:tcBorders>
              <w:top w:val="nil"/>
              <w:left w:val="nil"/>
              <w:bottom w:val="nil"/>
              <w:right w:val="nil"/>
            </w:tcBorders>
            <w:shd w:val="clear" w:color="auto" w:fill="auto"/>
            <w:noWrap/>
            <w:vAlign w:val="center"/>
            <w:hideMark/>
          </w:tcPr>
          <w:p w14:paraId="7EB76D52" w14:textId="77777777" w:rsidR="006F1528" w:rsidRPr="006F1528" w:rsidRDefault="006F1528" w:rsidP="006F1528">
            <w:pPr>
              <w:jc w:val="right"/>
              <w:rPr>
                <w:rFonts w:eastAsia="Times New Roman" w:cs="Times New Roman"/>
                <w:color w:val="000000"/>
                <w:sz w:val="16"/>
                <w:szCs w:val="16"/>
                <w:lang w:val="en-GB" w:eastAsia="en-GB"/>
              </w:rPr>
            </w:pPr>
          </w:p>
        </w:tc>
      </w:tr>
      <w:tr w:rsidR="006F1528" w:rsidRPr="006F1528" w14:paraId="3DCB72AC" w14:textId="77777777" w:rsidTr="006F1528">
        <w:trPr>
          <w:trHeight w:val="120"/>
          <w:jc w:val="center"/>
        </w:trPr>
        <w:tc>
          <w:tcPr>
            <w:tcW w:w="158" w:type="dxa"/>
            <w:tcBorders>
              <w:top w:val="nil"/>
              <w:left w:val="nil"/>
              <w:bottom w:val="nil"/>
              <w:right w:val="nil"/>
            </w:tcBorders>
            <w:shd w:val="clear" w:color="auto" w:fill="auto"/>
            <w:noWrap/>
            <w:vAlign w:val="center"/>
            <w:hideMark/>
          </w:tcPr>
          <w:p w14:paraId="6E630241" w14:textId="77777777" w:rsidR="006F1528" w:rsidRPr="006F1528" w:rsidRDefault="006F1528" w:rsidP="006F1528">
            <w:pPr>
              <w:rPr>
                <w:rFonts w:ascii="Times New Roman" w:eastAsia="Times New Roman" w:hAnsi="Times New Roman" w:cs="Times New Roman"/>
                <w:sz w:val="20"/>
                <w:szCs w:val="20"/>
                <w:lang w:val="en-GB" w:eastAsia="en-GB"/>
              </w:rPr>
            </w:pPr>
          </w:p>
        </w:tc>
        <w:tc>
          <w:tcPr>
            <w:tcW w:w="2140" w:type="dxa"/>
            <w:tcBorders>
              <w:top w:val="nil"/>
              <w:left w:val="nil"/>
              <w:bottom w:val="nil"/>
              <w:right w:val="nil"/>
            </w:tcBorders>
            <w:shd w:val="clear" w:color="auto" w:fill="auto"/>
            <w:noWrap/>
            <w:vAlign w:val="center"/>
            <w:hideMark/>
          </w:tcPr>
          <w:p w14:paraId="675A5905" w14:textId="77777777" w:rsidR="006F1528" w:rsidRPr="006F1528" w:rsidRDefault="006F1528" w:rsidP="006F1528">
            <w:pPr>
              <w:rPr>
                <w:rFonts w:ascii="Times New Roman" w:eastAsia="Times New Roman" w:hAnsi="Times New Roman" w:cs="Times New Roman"/>
                <w:sz w:val="20"/>
                <w:szCs w:val="20"/>
                <w:lang w:val="en-GB" w:eastAsia="en-GB"/>
              </w:rPr>
            </w:pPr>
          </w:p>
        </w:tc>
        <w:tc>
          <w:tcPr>
            <w:tcW w:w="5717" w:type="dxa"/>
            <w:tcBorders>
              <w:top w:val="nil"/>
              <w:left w:val="nil"/>
              <w:bottom w:val="nil"/>
              <w:right w:val="nil"/>
            </w:tcBorders>
            <w:shd w:val="clear" w:color="auto" w:fill="auto"/>
            <w:noWrap/>
            <w:vAlign w:val="center"/>
            <w:hideMark/>
          </w:tcPr>
          <w:p w14:paraId="1015F3C1" w14:textId="77777777" w:rsidR="006F1528" w:rsidRPr="006F1528" w:rsidRDefault="006F1528" w:rsidP="006F1528">
            <w:pPr>
              <w:jc w:val="right"/>
              <w:rPr>
                <w:rFonts w:ascii="Times New Roman" w:eastAsia="Times New Roman" w:hAnsi="Times New Roman" w:cs="Times New Roman"/>
                <w:sz w:val="20"/>
                <w:szCs w:val="20"/>
                <w:lang w:val="en-GB" w:eastAsia="en-GB"/>
              </w:rPr>
            </w:pPr>
          </w:p>
        </w:tc>
        <w:tc>
          <w:tcPr>
            <w:tcW w:w="2247" w:type="dxa"/>
            <w:tcBorders>
              <w:top w:val="nil"/>
              <w:left w:val="nil"/>
              <w:bottom w:val="nil"/>
              <w:right w:val="nil"/>
            </w:tcBorders>
            <w:shd w:val="clear" w:color="auto" w:fill="auto"/>
            <w:noWrap/>
            <w:vAlign w:val="center"/>
            <w:hideMark/>
          </w:tcPr>
          <w:p w14:paraId="3534EBE9" w14:textId="77777777" w:rsidR="006F1528" w:rsidRPr="006F1528" w:rsidRDefault="006F1528" w:rsidP="006F1528">
            <w:pPr>
              <w:rPr>
                <w:rFonts w:ascii="Times New Roman" w:eastAsia="Times New Roman" w:hAnsi="Times New Roman" w:cs="Times New Roman"/>
                <w:sz w:val="20"/>
                <w:szCs w:val="20"/>
                <w:lang w:val="en-GB" w:eastAsia="en-GB"/>
              </w:rPr>
            </w:pPr>
          </w:p>
        </w:tc>
        <w:tc>
          <w:tcPr>
            <w:tcW w:w="158" w:type="dxa"/>
            <w:tcBorders>
              <w:top w:val="nil"/>
              <w:left w:val="nil"/>
              <w:bottom w:val="nil"/>
              <w:right w:val="nil"/>
            </w:tcBorders>
            <w:shd w:val="clear" w:color="auto" w:fill="auto"/>
            <w:noWrap/>
            <w:vAlign w:val="center"/>
            <w:hideMark/>
          </w:tcPr>
          <w:p w14:paraId="4A4B1758" w14:textId="77777777" w:rsidR="006F1528" w:rsidRPr="006F1528" w:rsidRDefault="006F1528" w:rsidP="006F1528">
            <w:pPr>
              <w:jc w:val="right"/>
              <w:rPr>
                <w:rFonts w:ascii="Times New Roman" w:eastAsia="Times New Roman" w:hAnsi="Times New Roman" w:cs="Times New Roman"/>
                <w:sz w:val="20"/>
                <w:szCs w:val="20"/>
                <w:lang w:val="en-GB" w:eastAsia="en-GB"/>
              </w:rPr>
            </w:pPr>
          </w:p>
        </w:tc>
      </w:tr>
      <w:tr w:rsidR="006F1528" w:rsidRPr="006F1528" w14:paraId="2A6856ED" w14:textId="77777777" w:rsidTr="006F1528">
        <w:trPr>
          <w:trHeight w:val="420"/>
          <w:jc w:val="center"/>
        </w:trPr>
        <w:tc>
          <w:tcPr>
            <w:tcW w:w="158" w:type="dxa"/>
            <w:tcBorders>
              <w:top w:val="nil"/>
              <w:left w:val="nil"/>
              <w:bottom w:val="nil"/>
              <w:right w:val="nil"/>
            </w:tcBorders>
            <w:shd w:val="clear" w:color="auto" w:fill="auto"/>
            <w:noWrap/>
            <w:vAlign w:val="center"/>
            <w:hideMark/>
          </w:tcPr>
          <w:p w14:paraId="40FAF2F2" w14:textId="77777777" w:rsidR="006F1528" w:rsidRPr="006F1528" w:rsidRDefault="006F1528" w:rsidP="006F1528">
            <w:pPr>
              <w:rPr>
                <w:rFonts w:ascii="Times New Roman" w:eastAsia="Times New Roman" w:hAnsi="Times New Roman" w:cs="Times New Roman"/>
                <w:sz w:val="20"/>
                <w:szCs w:val="20"/>
                <w:lang w:val="en-GB" w:eastAsia="en-GB"/>
              </w:rPr>
            </w:pPr>
          </w:p>
        </w:tc>
        <w:tc>
          <w:tcPr>
            <w:tcW w:w="2140" w:type="dxa"/>
            <w:tcBorders>
              <w:top w:val="nil"/>
              <w:left w:val="nil"/>
              <w:bottom w:val="nil"/>
              <w:right w:val="nil"/>
            </w:tcBorders>
            <w:shd w:val="clear" w:color="auto" w:fill="auto"/>
            <w:vAlign w:val="center"/>
            <w:hideMark/>
          </w:tcPr>
          <w:p w14:paraId="76470C2C" w14:textId="77777777" w:rsidR="006F1528" w:rsidRPr="006F1528" w:rsidRDefault="006F1528" w:rsidP="006F1528">
            <w:pPr>
              <w:jc w:val="center"/>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 xml:space="preserve">Increase </w:t>
            </w:r>
            <w:r w:rsidRPr="006F1528">
              <w:rPr>
                <w:rFonts w:eastAsia="Times New Roman" w:cs="Times New Roman"/>
                <w:b/>
                <w:bCs/>
                <w:color w:val="000000"/>
                <w:sz w:val="16"/>
                <w:szCs w:val="16"/>
                <w:lang w:val="en-GB" w:eastAsia="en-GB"/>
              </w:rPr>
              <w:br/>
              <w:t>by 1 year</w:t>
            </w:r>
          </w:p>
        </w:tc>
        <w:tc>
          <w:tcPr>
            <w:tcW w:w="5717" w:type="dxa"/>
            <w:tcBorders>
              <w:top w:val="nil"/>
              <w:left w:val="nil"/>
              <w:bottom w:val="nil"/>
              <w:right w:val="nil"/>
            </w:tcBorders>
            <w:shd w:val="clear" w:color="auto" w:fill="auto"/>
            <w:noWrap/>
            <w:vAlign w:val="center"/>
            <w:hideMark/>
          </w:tcPr>
          <w:p w14:paraId="1EAAE128" w14:textId="77777777" w:rsidR="006F1528" w:rsidRPr="006F1528" w:rsidRDefault="006F1528" w:rsidP="006F1528">
            <w:pPr>
              <w:jc w:val="center"/>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Police Officers</w:t>
            </w:r>
          </w:p>
        </w:tc>
        <w:tc>
          <w:tcPr>
            <w:tcW w:w="2247" w:type="dxa"/>
            <w:tcBorders>
              <w:top w:val="nil"/>
              <w:left w:val="nil"/>
              <w:bottom w:val="nil"/>
              <w:right w:val="nil"/>
            </w:tcBorders>
            <w:shd w:val="clear" w:color="auto" w:fill="auto"/>
            <w:vAlign w:val="center"/>
            <w:hideMark/>
          </w:tcPr>
          <w:p w14:paraId="1C8C8809" w14:textId="77777777" w:rsidR="006F1528" w:rsidRPr="006F1528" w:rsidRDefault="006F1528" w:rsidP="006F1528">
            <w:pPr>
              <w:jc w:val="center"/>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 xml:space="preserve">Decrease </w:t>
            </w:r>
            <w:r w:rsidRPr="006F1528">
              <w:rPr>
                <w:rFonts w:eastAsia="Times New Roman" w:cs="Times New Roman"/>
                <w:b/>
                <w:bCs/>
                <w:color w:val="000000"/>
                <w:sz w:val="16"/>
                <w:szCs w:val="16"/>
                <w:lang w:val="en-GB" w:eastAsia="en-GB"/>
              </w:rPr>
              <w:br/>
              <w:t>by 1 year</w:t>
            </w:r>
          </w:p>
        </w:tc>
        <w:tc>
          <w:tcPr>
            <w:tcW w:w="158" w:type="dxa"/>
            <w:tcBorders>
              <w:top w:val="nil"/>
              <w:left w:val="nil"/>
              <w:bottom w:val="nil"/>
              <w:right w:val="nil"/>
            </w:tcBorders>
            <w:shd w:val="clear" w:color="auto" w:fill="auto"/>
            <w:noWrap/>
            <w:vAlign w:val="center"/>
            <w:hideMark/>
          </w:tcPr>
          <w:p w14:paraId="564B8634" w14:textId="77777777" w:rsidR="006F1528" w:rsidRPr="006F1528" w:rsidRDefault="006F1528" w:rsidP="006F1528">
            <w:pPr>
              <w:jc w:val="center"/>
              <w:rPr>
                <w:rFonts w:eastAsia="Times New Roman" w:cs="Times New Roman"/>
                <w:b/>
                <w:bCs/>
                <w:color w:val="000000"/>
                <w:sz w:val="16"/>
                <w:szCs w:val="16"/>
                <w:lang w:val="en-GB" w:eastAsia="en-GB"/>
              </w:rPr>
            </w:pPr>
          </w:p>
        </w:tc>
      </w:tr>
      <w:tr w:rsidR="006F1528" w:rsidRPr="006F1528" w14:paraId="0238655D" w14:textId="77777777" w:rsidTr="006F1528">
        <w:trPr>
          <w:trHeight w:val="300"/>
          <w:jc w:val="center"/>
        </w:trPr>
        <w:tc>
          <w:tcPr>
            <w:tcW w:w="158" w:type="dxa"/>
            <w:tcBorders>
              <w:top w:val="nil"/>
              <w:left w:val="nil"/>
              <w:bottom w:val="nil"/>
              <w:right w:val="nil"/>
            </w:tcBorders>
            <w:shd w:val="clear" w:color="auto" w:fill="auto"/>
            <w:noWrap/>
            <w:vAlign w:val="center"/>
            <w:hideMark/>
          </w:tcPr>
          <w:p w14:paraId="7FDB9A5C" w14:textId="77777777" w:rsidR="006F1528" w:rsidRPr="006F1528" w:rsidRDefault="006F1528" w:rsidP="006F1528">
            <w:pPr>
              <w:rPr>
                <w:rFonts w:ascii="Times New Roman" w:eastAsia="Times New Roman" w:hAnsi="Times New Roman" w:cs="Times New Roman"/>
                <w:sz w:val="20"/>
                <w:szCs w:val="20"/>
                <w:lang w:val="en-GB" w:eastAsia="en-GB"/>
              </w:rPr>
            </w:pPr>
          </w:p>
        </w:tc>
        <w:tc>
          <w:tcPr>
            <w:tcW w:w="2140" w:type="dxa"/>
            <w:tcBorders>
              <w:top w:val="nil"/>
              <w:left w:val="nil"/>
              <w:bottom w:val="single" w:sz="4" w:space="0" w:color="auto"/>
              <w:right w:val="nil"/>
            </w:tcBorders>
            <w:shd w:val="clear" w:color="auto" w:fill="auto"/>
            <w:noWrap/>
            <w:vAlign w:val="center"/>
            <w:hideMark/>
          </w:tcPr>
          <w:p w14:paraId="26BDBA94" w14:textId="77777777" w:rsidR="006F1528" w:rsidRPr="006F1528" w:rsidRDefault="006F1528" w:rsidP="006F1528">
            <w:pPr>
              <w:jc w:val="right"/>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£000</w:t>
            </w:r>
          </w:p>
        </w:tc>
        <w:tc>
          <w:tcPr>
            <w:tcW w:w="5717" w:type="dxa"/>
            <w:tcBorders>
              <w:top w:val="nil"/>
              <w:left w:val="nil"/>
              <w:bottom w:val="single" w:sz="4" w:space="0" w:color="auto"/>
              <w:right w:val="nil"/>
            </w:tcBorders>
            <w:shd w:val="clear" w:color="auto" w:fill="auto"/>
            <w:noWrap/>
            <w:vAlign w:val="center"/>
            <w:hideMark/>
          </w:tcPr>
          <w:p w14:paraId="57AB7CAE" w14:textId="77777777" w:rsidR="006F1528" w:rsidRPr="006F1528" w:rsidRDefault="006F1528" w:rsidP="006F1528">
            <w:pPr>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Assumption</w:t>
            </w:r>
          </w:p>
        </w:tc>
        <w:tc>
          <w:tcPr>
            <w:tcW w:w="2247" w:type="dxa"/>
            <w:tcBorders>
              <w:top w:val="nil"/>
              <w:left w:val="nil"/>
              <w:bottom w:val="single" w:sz="4" w:space="0" w:color="auto"/>
              <w:right w:val="nil"/>
            </w:tcBorders>
            <w:shd w:val="clear" w:color="auto" w:fill="auto"/>
            <w:noWrap/>
            <w:vAlign w:val="center"/>
            <w:hideMark/>
          </w:tcPr>
          <w:p w14:paraId="68DB12E6" w14:textId="77777777" w:rsidR="006F1528" w:rsidRPr="006F1528" w:rsidRDefault="006F1528" w:rsidP="006F1528">
            <w:pPr>
              <w:jc w:val="right"/>
              <w:rPr>
                <w:rFonts w:eastAsia="Times New Roman" w:cs="Times New Roman"/>
                <w:b/>
                <w:bCs/>
                <w:color w:val="000000"/>
                <w:sz w:val="16"/>
                <w:szCs w:val="16"/>
                <w:lang w:val="en-GB" w:eastAsia="en-GB"/>
              </w:rPr>
            </w:pPr>
            <w:r w:rsidRPr="006F1528">
              <w:rPr>
                <w:rFonts w:eastAsia="Times New Roman" w:cs="Times New Roman"/>
                <w:b/>
                <w:bCs/>
                <w:color w:val="000000"/>
                <w:sz w:val="16"/>
                <w:szCs w:val="16"/>
                <w:lang w:val="en-GB" w:eastAsia="en-GB"/>
              </w:rPr>
              <w:t>£000</w:t>
            </w:r>
          </w:p>
        </w:tc>
        <w:tc>
          <w:tcPr>
            <w:tcW w:w="158" w:type="dxa"/>
            <w:tcBorders>
              <w:top w:val="nil"/>
              <w:left w:val="nil"/>
              <w:bottom w:val="nil"/>
              <w:right w:val="nil"/>
            </w:tcBorders>
            <w:shd w:val="clear" w:color="auto" w:fill="auto"/>
            <w:noWrap/>
            <w:vAlign w:val="center"/>
            <w:hideMark/>
          </w:tcPr>
          <w:p w14:paraId="3770ECC7" w14:textId="77777777" w:rsidR="006F1528" w:rsidRPr="006F1528" w:rsidRDefault="006F1528" w:rsidP="006F1528">
            <w:pPr>
              <w:jc w:val="right"/>
              <w:rPr>
                <w:rFonts w:eastAsia="Times New Roman" w:cs="Times New Roman"/>
                <w:b/>
                <w:bCs/>
                <w:color w:val="000000"/>
                <w:sz w:val="16"/>
                <w:szCs w:val="16"/>
                <w:lang w:val="en-GB" w:eastAsia="en-GB"/>
              </w:rPr>
            </w:pPr>
          </w:p>
        </w:tc>
      </w:tr>
      <w:tr w:rsidR="006F1528" w:rsidRPr="006F1528" w14:paraId="141F3C1A" w14:textId="77777777" w:rsidTr="006F1528">
        <w:trPr>
          <w:trHeight w:val="210"/>
          <w:jc w:val="center"/>
        </w:trPr>
        <w:tc>
          <w:tcPr>
            <w:tcW w:w="158" w:type="dxa"/>
            <w:tcBorders>
              <w:top w:val="nil"/>
              <w:left w:val="nil"/>
              <w:bottom w:val="nil"/>
              <w:right w:val="nil"/>
            </w:tcBorders>
            <w:shd w:val="clear" w:color="auto" w:fill="auto"/>
            <w:noWrap/>
            <w:vAlign w:val="center"/>
            <w:hideMark/>
          </w:tcPr>
          <w:p w14:paraId="489556CF" w14:textId="77777777" w:rsidR="006F1528" w:rsidRPr="006F1528" w:rsidRDefault="006F1528" w:rsidP="006F1528">
            <w:pPr>
              <w:rPr>
                <w:rFonts w:ascii="Times New Roman" w:eastAsia="Times New Roman" w:hAnsi="Times New Roman" w:cs="Times New Roman"/>
                <w:sz w:val="20"/>
                <w:szCs w:val="20"/>
                <w:lang w:val="en-GB" w:eastAsia="en-GB"/>
              </w:rPr>
            </w:pPr>
          </w:p>
        </w:tc>
        <w:tc>
          <w:tcPr>
            <w:tcW w:w="2140" w:type="dxa"/>
            <w:tcBorders>
              <w:top w:val="nil"/>
              <w:left w:val="nil"/>
              <w:bottom w:val="nil"/>
              <w:right w:val="nil"/>
            </w:tcBorders>
            <w:shd w:val="clear" w:color="auto" w:fill="auto"/>
            <w:noWrap/>
            <w:vAlign w:val="center"/>
            <w:hideMark/>
          </w:tcPr>
          <w:p w14:paraId="24301B9E" w14:textId="53D2241E" w:rsidR="006F1528" w:rsidRPr="006F1528" w:rsidRDefault="00B0252F" w:rsidP="006F1528">
            <w:pPr>
              <w:jc w:val="right"/>
              <w:rPr>
                <w:rFonts w:eastAsia="Times New Roman" w:cs="Times New Roman"/>
                <w:color w:val="000000"/>
                <w:sz w:val="16"/>
                <w:szCs w:val="16"/>
                <w:lang w:val="en-GB" w:eastAsia="en-GB"/>
              </w:rPr>
            </w:pPr>
            <w:r>
              <w:rPr>
                <w:rFonts w:eastAsia="Times New Roman" w:cs="Times New Roman"/>
                <w:color w:val="000000"/>
                <w:sz w:val="16"/>
                <w:szCs w:val="16"/>
                <w:lang w:val="en-GB" w:eastAsia="en-GB"/>
              </w:rPr>
              <w:t>54</w:t>
            </w:r>
            <w:r w:rsidR="006F1528" w:rsidRPr="006F1528">
              <w:rPr>
                <w:rFonts w:eastAsia="Times New Roman" w:cs="Times New Roman"/>
                <w:color w:val="000000"/>
                <w:sz w:val="16"/>
                <w:szCs w:val="16"/>
                <w:lang w:val="en-GB" w:eastAsia="en-GB"/>
              </w:rPr>
              <w:t>,000</w:t>
            </w:r>
          </w:p>
        </w:tc>
        <w:tc>
          <w:tcPr>
            <w:tcW w:w="5717" w:type="dxa"/>
            <w:tcBorders>
              <w:top w:val="nil"/>
              <w:left w:val="nil"/>
              <w:bottom w:val="nil"/>
              <w:right w:val="nil"/>
            </w:tcBorders>
            <w:shd w:val="clear" w:color="auto" w:fill="auto"/>
            <w:noWrap/>
            <w:vAlign w:val="center"/>
            <w:hideMark/>
          </w:tcPr>
          <w:p w14:paraId="64A053C3" w14:textId="77777777" w:rsidR="006F1528" w:rsidRPr="006F1528" w:rsidRDefault="006F1528" w:rsidP="006F1528">
            <w:pPr>
              <w:rPr>
                <w:rFonts w:eastAsia="Times New Roman" w:cs="Times New Roman"/>
                <w:color w:val="000000"/>
                <w:sz w:val="16"/>
                <w:szCs w:val="16"/>
                <w:lang w:val="en-GB" w:eastAsia="en-GB"/>
              </w:rPr>
            </w:pPr>
            <w:r w:rsidRPr="006F1528">
              <w:rPr>
                <w:rFonts w:eastAsia="Times New Roman" w:cs="Times New Roman"/>
                <w:color w:val="000000"/>
                <w:sz w:val="16"/>
                <w:szCs w:val="16"/>
                <w:lang w:val="en-GB" w:eastAsia="en-GB"/>
              </w:rPr>
              <w:t>Longevity</w:t>
            </w:r>
          </w:p>
        </w:tc>
        <w:tc>
          <w:tcPr>
            <w:tcW w:w="2247" w:type="dxa"/>
            <w:tcBorders>
              <w:top w:val="nil"/>
              <w:left w:val="nil"/>
              <w:bottom w:val="nil"/>
              <w:right w:val="nil"/>
            </w:tcBorders>
            <w:shd w:val="clear" w:color="auto" w:fill="auto"/>
            <w:noWrap/>
            <w:vAlign w:val="center"/>
            <w:hideMark/>
          </w:tcPr>
          <w:p w14:paraId="75BA5819" w14:textId="77777777" w:rsidR="006F1528" w:rsidRPr="006F1528" w:rsidRDefault="006F1528" w:rsidP="006F1528">
            <w:pPr>
              <w:jc w:val="right"/>
              <w:rPr>
                <w:rFonts w:eastAsia="Times New Roman" w:cs="Times New Roman"/>
                <w:color w:val="000000"/>
                <w:sz w:val="16"/>
                <w:szCs w:val="16"/>
                <w:lang w:val="en-GB" w:eastAsia="en-GB"/>
              </w:rPr>
            </w:pPr>
            <w:r w:rsidRPr="006F1528">
              <w:rPr>
                <w:rFonts w:eastAsia="Times New Roman" w:cs="Times New Roman"/>
                <w:color w:val="000000"/>
                <w:sz w:val="16"/>
                <w:szCs w:val="16"/>
                <w:lang w:val="en-GB" w:eastAsia="en-GB"/>
              </w:rPr>
              <w:t>68,000</w:t>
            </w:r>
          </w:p>
        </w:tc>
        <w:tc>
          <w:tcPr>
            <w:tcW w:w="158" w:type="dxa"/>
            <w:tcBorders>
              <w:top w:val="nil"/>
              <w:left w:val="nil"/>
              <w:bottom w:val="nil"/>
              <w:right w:val="nil"/>
            </w:tcBorders>
            <w:shd w:val="clear" w:color="auto" w:fill="auto"/>
            <w:noWrap/>
            <w:vAlign w:val="center"/>
            <w:hideMark/>
          </w:tcPr>
          <w:p w14:paraId="08D2A561" w14:textId="77777777" w:rsidR="006F1528" w:rsidRPr="006F1528" w:rsidRDefault="006F1528" w:rsidP="006F1528">
            <w:pPr>
              <w:jc w:val="right"/>
              <w:rPr>
                <w:rFonts w:eastAsia="Times New Roman" w:cs="Times New Roman"/>
                <w:color w:val="000000"/>
                <w:sz w:val="16"/>
                <w:szCs w:val="16"/>
                <w:lang w:val="en-GB" w:eastAsia="en-GB"/>
              </w:rPr>
            </w:pPr>
          </w:p>
        </w:tc>
      </w:tr>
    </w:tbl>
    <w:p w14:paraId="76681D14" w14:textId="77777777" w:rsidR="00604A9A" w:rsidRPr="00FE0665" w:rsidRDefault="00604A9A" w:rsidP="001B120B">
      <w:pPr>
        <w:pStyle w:val="Normal0"/>
        <w:spacing w:after="160" w:line="259" w:lineRule="auto"/>
        <w:jc w:val="both"/>
        <w:rPr>
          <w:rFonts w:ascii="Verdana" w:hAnsi="Verdana"/>
          <w:iCs/>
          <w:sz w:val="22"/>
          <w:szCs w:val="22"/>
        </w:rPr>
      </w:pPr>
    </w:p>
    <w:p w14:paraId="28F3E40F" w14:textId="77777777" w:rsidR="00CA6653" w:rsidRPr="00444EAB" w:rsidRDefault="00CA6653" w:rsidP="00944D0C">
      <w:pPr>
        <w:pStyle w:val="Normal0"/>
        <w:spacing w:after="160" w:line="259" w:lineRule="auto"/>
        <w:jc w:val="both"/>
        <w:rPr>
          <w:rFonts w:ascii="Verdana" w:hAnsi="Verdana"/>
          <w:sz w:val="22"/>
          <w:szCs w:val="22"/>
          <w:lang w:val="en-GB"/>
        </w:rPr>
      </w:pPr>
      <w:r w:rsidRPr="00444EAB">
        <w:rPr>
          <w:rFonts w:ascii="Verdana" w:eastAsia="Calibri" w:hAnsi="Verdana" w:cs="Arial"/>
          <w:sz w:val="22"/>
          <w:szCs w:val="22"/>
          <w:lang w:val="en-GB"/>
        </w:rPr>
        <w:t>We recognise the cost of retirement benefits in the reported cost of services when they are earned by employees, rather than when the benefits are eventually paid as pensions. However, the charge we are required to make against council tax is based on the cash payable in the year, so the real cost of post-employment/retirement benefits is reversed out of the General Fund via the Movement in Reserves Statement. The transactions in the preceding table have been made in the Comprehensive Income and Expenditure Statement and the General Fund Balance via the Movement in Reserves Statement during the year.</w:t>
      </w:r>
    </w:p>
    <w:p w14:paraId="2F80D517" w14:textId="70B700B0" w:rsidR="00CA6653" w:rsidRPr="00444EAB" w:rsidRDefault="00CA6653" w:rsidP="00944D0C">
      <w:pPr>
        <w:pStyle w:val="Normal0"/>
        <w:spacing w:after="160" w:line="259" w:lineRule="auto"/>
        <w:jc w:val="both"/>
        <w:rPr>
          <w:rFonts w:ascii="Verdana" w:hAnsi="Verdana"/>
          <w:sz w:val="22"/>
          <w:szCs w:val="22"/>
          <w:lang w:val="en-GB"/>
        </w:rPr>
      </w:pPr>
      <w:r w:rsidRPr="00444EAB">
        <w:rPr>
          <w:rFonts w:ascii="Verdana" w:eastAsia="Calibri" w:hAnsi="Verdana" w:cs="Arial"/>
          <w:sz w:val="22"/>
          <w:szCs w:val="22"/>
          <w:lang w:val="en-GB"/>
        </w:rPr>
        <w:t>The liabilities show the underlying commitments that the Group has in the long run to pay retirement benefits.  The total liability of £</w:t>
      </w:r>
      <w:r w:rsidR="004D70DB" w:rsidRPr="00444EAB">
        <w:rPr>
          <w:rFonts w:ascii="Verdana" w:eastAsia="Calibri" w:hAnsi="Verdana" w:cs="Arial"/>
          <w:sz w:val="22"/>
          <w:szCs w:val="22"/>
          <w:lang w:val="en-GB"/>
        </w:rPr>
        <w:t>2</w:t>
      </w:r>
      <w:r w:rsidR="00444EAB" w:rsidRPr="00444EAB">
        <w:rPr>
          <w:rFonts w:ascii="Verdana" w:eastAsia="Calibri" w:hAnsi="Verdana" w:cs="Arial"/>
          <w:sz w:val="22"/>
          <w:szCs w:val="22"/>
          <w:lang w:val="en-GB"/>
        </w:rPr>
        <w:t>.177</w:t>
      </w:r>
      <w:r w:rsidRPr="00444EAB">
        <w:rPr>
          <w:rFonts w:ascii="Verdana" w:eastAsia="Calibri" w:hAnsi="Verdana" w:cs="Arial"/>
          <w:sz w:val="22"/>
          <w:szCs w:val="22"/>
          <w:lang w:val="en-GB"/>
        </w:rPr>
        <w:t>m has a substantial impact on the net worth of the Group as recorded in the Balance Sheet, resulting in a negative overall balance of £</w:t>
      </w:r>
      <w:r w:rsidR="00444EAB" w:rsidRPr="00444EAB">
        <w:rPr>
          <w:rFonts w:ascii="Verdana" w:eastAsia="Calibri" w:hAnsi="Verdana" w:cs="Arial"/>
          <w:sz w:val="22"/>
          <w:szCs w:val="22"/>
          <w:lang w:val="en-GB"/>
        </w:rPr>
        <w:t>2.045</w:t>
      </w:r>
      <w:r w:rsidR="004D70DB" w:rsidRPr="00444EAB">
        <w:rPr>
          <w:rFonts w:ascii="Verdana" w:eastAsia="Calibri" w:hAnsi="Verdana" w:cs="Arial"/>
          <w:sz w:val="22"/>
          <w:szCs w:val="22"/>
          <w:lang w:val="en-GB"/>
        </w:rPr>
        <w:t>m</w:t>
      </w:r>
      <w:r w:rsidRPr="00444EAB">
        <w:rPr>
          <w:rFonts w:ascii="Verdana" w:eastAsia="Calibri" w:hAnsi="Verdana" w:cs="Arial"/>
          <w:sz w:val="22"/>
          <w:szCs w:val="22"/>
          <w:lang w:val="en-GB"/>
        </w:rPr>
        <w:t>. However statutory arrangements for funding the deficit mean that the financial position of the Group remains healthy.</w:t>
      </w:r>
    </w:p>
    <w:p w14:paraId="7C7B98F6" w14:textId="77777777" w:rsidR="00CA6653" w:rsidRPr="00444EAB" w:rsidRDefault="00CA6653" w:rsidP="00944D0C">
      <w:pPr>
        <w:pStyle w:val="Normal0"/>
        <w:spacing w:after="160" w:line="259" w:lineRule="auto"/>
        <w:jc w:val="both"/>
        <w:rPr>
          <w:rFonts w:ascii="Verdana" w:hAnsi="Verdana"/>
          <w:sz w:val="22"/>
          <w:szCs w:val="22"/>
          <w:lang w:val="en-GB"/>
        </w:rPr>
      </w:pPr>
      <w:r w:rsidRPr="00444EAB">
        <w:rPr>
          <w:rFonts w:ascii="Verdana" w:eastAsia="Calibri" w:hAnsi="Verdana" w:cs="Arial"/>
          <w:sz w:val="22"/>
          <w:szCs w:val="22"/>
          <w:lang w:val="en-GB"/>
        </w:rPr>
        <w:t>The deficit on the Local Government Pension Scheme will be made good by increased contributions over the remaining working life of employees, as assessed by the Scheme actuary.</w:t>
      </w:r>
    </w:p>
    <w:p w14:paraId="2CA80BC1" w14:textId="77777777" w:rsidR="00502D6C" w:rsidRPr="00444EAB" w:rsidRDefault="00CA6653" w:rsidP="00704E22">
      <w:pPr>
        <w:pStyle w:val="Normal0"/>
        <w:spacing w:after="160" w:line="259" w:lineRule="auto"/>
        <w:jc w:val="both"/>
        <w:rPr>
          <w:rFonts w:ascii="Verdana" w:hAnsi="Verdana"/>
          <w:sz w:val="22"/>
          <w:szCs w:val="22"/>
          <w:lang w:val="en-GB"/>
        </w:rPr>
      </w:pPr>
      <w:r w:rsidRPr="00444EAB">
        <w:rPr>
          <w:rFonts w:ascii="Verdana" w:eastAsia="Calibri" w:hAnsi="Verdana" w:cs="Arial"/>
          <w:sz w:val="22"/>
          <w:szCs w:val="22"/>
          <w:lang w:val="en-GB"/>
        </w:rPr>
        <w:t>The expected return on scheme assets is determined by considering the expected returns available on the assets underlying the current investment policy.  Expected yields on fixed interest investments are based on gross redemption yields as at the Balance Sheet date.  Expected returns on equity investments reflect long-term real rates of return experienced in the respective markets.</w:t>
      </w:r>
    </w:p>
    <w:p w14:paraId="45D7C4A7" w14:textId="77777777" w:rsidR="0030507D" w:rsidRPr="00444EAB" w:rsidRDefault="0030507D" w:rsidP="0030507D">
      <w:pPr>
        <w:pStyle w:val="Normal0"/>
        <w:spacing w:after="160" w:line="259" w:lineRule="auto"/>
        <w:jc w:val="both"/>
        <w:rPr>
          <w:rFonts w:ascii="Verdana" w:hAnsi="Verdana"/>
          <w:sz w:val="22"/>
          <w:szCs w:val="22"/>
          <w:lang w:val="en-GB"/>
        </w:rPr>
      </w:pPr>
      <w:r w:rsidRPr="00444EAB">
        <w:rPr>
          <w:rFonts w:ascii="Verdana" w:eastAsia="Calibri" w:hAnsi="Verdana" w:cs="Arial"/>
          <w:sz w:val="22"/>
          <w:szCs w:val="22"/>
          <w:lang w:val="en-GB"/>
        </w:rPr>
        <w:t>Finance is only required to be raised to cover police pensions when the pensions are actually paid and is restricted to the level of employers’ contribution payable by the Chief Constable and funded by the PCC.</w:t>
      </w:r>
    </w:p>
    <w:p w14:paraId="7D6A4F3D" w14:textId="77777777" w:rsidR="0030507D" w:rsidRPr="003516A4" w:rsidRDefault="0030507D" w:rsidP="00CA6653">
      <w:pPr>
        <w:pStyle w:val="Normal0"/>
        <w:jc w:val="both"/>
        <w:rPr>
          <w:rFonts w:ascii="Verdana" w:hAnsi="Verdana" w:cs="Vijaya"/>
          <w:highlight w:val="yellow"/>
        </w:rPr>
      </w:pPr>
    </w:p>
    <w:p w14:paraId="726EE239" w14:textId="77777777" w:rsidR="00CA6653" w:rsidRPr="00C72503" w:rsidRDefault="00CA6653" w:rsidP="00A31A9E">
      <w:pPr>
        <w:pStyle w:val="Heading1"/>
      </w:pPr>
      <w:bookmarkStart w:id="42" w:name="_Toc75122795"/>
      <w:r w:rsidRPr="00C72503">
        <w:t>Note 2</w:t>
      </w:r>
      <w:r w:rsidR="00960EC4" w:rsidRPr="00C72503">
        <w:t>7</w:t>
      </w:r>
      <w:r w:rsidRPr="00C72503">
        <w:t xml:space="preserve"> - </w:t>
      </w:r>
      <w:r w:rsidRPr="004C7B71">
        <w:t>External Audit Costs</w:t>
      </w:r>
      <w:bookmarkEnd w:id="42"/>
      <w:r w:rsidRPr="00C72503">
        <w:t xml:space="preserve"> </w:t>
      </w:r>
    </w:p>
    <w:p w14:paraId="22E9A9B5" w14:textId="77777777" w:rsidR="00E46E5A" w:rsidRPr="00C72503" w:rsidRDefault="00E46E5A" w:rsidP="00C72503">
      <w:pPr>
        <w:rPr>
          <w:highlight w:val="yellow"/>
          <w:lang w:val="pt-BR"/>
        </w:rPr>
      </w:pPr>
    </w:p>
    <w:tbl>
      <w:tblPr>
        <w:tblW w:w="8588" w:type="dxa"/>
        <w:jc w:val="center"/>
        <w:tblLook w:val="04A0" w:firstRow="1" w:lastRow="0" w:firstColumn="1" w:lastColumn="0" w:noHBand="0" w:noVBand="1"/>
      </w:tblPr>
      <w:tblGrid>
        <w:gridCol w:w="1009"/>
        <w:gridCol w:w="1009"/>
        <w:gridCol w:w="1009"/>
        <w:gridCol w:w="2780"/>
        <w:gridCol w:w="927"/>
        <w:gridCol w:w="927"/>
        <w:gridCol w:w="927"/>
      </w:tblGrid>
      <w:tr w:rsidR="004415BA" w:rsidRPr="008E0BFA" w14:paraId="3795977B" w14:textId="77777777" w:rsidTr="00EC6193">
        <w:trPr>
          <w:trHeight w:val="288"/>
          <w:jc w:val="center"/>
        </w:trPr>
        <w:tc>
          <w:tcPr>
            <w:tcW w:w="3027" w:type="dxa"/>
            <w:gridSpan w:val="3"/>
            <w:tcBorders>
              <w:top w:val="nil"/>
              <w:left w:val="nil"/>
              <w:bottom w:val="nil"/>
              <w:right w:val="nil"/>
            </w:tcBorders>
            <w:shd w:val="clear" w:color="000000" w:fill="FFFFFF"/>
          </w:tcPr>
          <w:p w14:paraId="7920481C" w14:textId="50635001" w:rsidR="004415BA" w:rsidRPr="008E0BFA" w:rsidRDefault="004415BA" w:rsidP="008E0BFA">
            <w:pPr>
              <w:jc w:val="center"/>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2019/20</w:t>
            </w:r>
          </w:p>
        </w:tc>
        <w:tc>
          <w:tcPr>
            <w:tcW w:w="2780" w:type="dxa"/>
            <w:tcBorders>
              <w:top w:val="nil"/>
              <w:left w:val="nil"/>
              <w:bottom w:val="nil"/>
              <w:right w:val="nil"/>
            </w:tcBorders>
            <w:shd w:val="clear" w:color="000000" w:fill="FFFFFF"/>
            <w:noWrap/>
            <w:vAlign w:val="center"/>
            <w:hideMark/>
          </w:tcPr>
          <w:p w14:paraId="667B65B0" w14:textId="77777777" w:rsidR="004415BA" w:rsidRPr="008E0BFA" w:rsidRDefault="004415BA" w:rsidP="008E0BFA">
            <w:pPr>
              <w:ind w:firstLineChars="100" w:firstLine="161"/>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 </w:t>
            </w:r>
          </w:p>
        </w:tc>
        <w:tc>
          <w:tcPr>
            <w:tcW w:w="2781" w:type="dxa"/>
            <w:gridSpan w:val="3"/>
            <w:tcBorders>
              <w:top w:val="nil"/>
              <w:left w:val="nil"/>
              <w:bottom w:val="nil"/>
              <w:right w:val="nil"/>
            </w:tcBorders>
            <w:shd w:val="clear" w:color="000000" w:fill="FFFFFF"/>
            <w:noWrap/>
            <w:vAlign w:val="center"/>
            <w:hideMark/>
          </w:tcPr>
          <w:p w14:paraId="26F8F32C" w14:textId="77777777" w:rsidR="004415BA" w:rsidRPr="008E0BFA" w:rsidRDefault="004415BA" w:rsidP="008E0BFA">
            <w:pPr>
              <w:jc w:val="center"/>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2020/21</w:t>
            </w:r>
          </w:p>
        </w:tc>
      </w:tr>
      <w:tr w:rsidR="004415BA" w:rsidRPr="008E0BFA" w14:paraId="5E3FC963" w14:textId="77777777" w:rsidTr="00EC6193">
        <w:trPr>
          <w:trHeight w:val="288"/>
          <w:jc w:val="center"/>
        </w:trPr>
        <w:tc>
          <w:tcPr>
            <w:tcW w:w="1009" w:type="dxa"/>
            <w:tcBorders>
              <w:top w:val="nil"/>
              <w:left w:val="nil"/>
              <w:bottom w:val="nil"/>
              <w:right w:val="nil"/>
            </w:tcBorders>
            <w:shd w:val="clear" w:color="000000" w:fill="FFFFFF"/>
            <w:vAlign w:val="center"/>
          </w:tcPr>
          <w:p w14:paraId="4CF5DC1B" w14:textId="40C76A5B" w:rsidR="004415BA" w:rsidRPr="008E0BFA" w:rsidRDefault="004415BA" w:rsidP="004415BA">
            <w:pPr>
              <w:jc w:val="center"/>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CC</w:t>
            </w:r>
          </w:p>
        </w:tc>
        <w:tc>
          <w:tcPr>
            <w:tcW w:w="1009" w:type="dxa"/>
            <w:tcBorders>
              <w:top w:val="nil"/>
              <w:left w:val="nil"/>
              <w:bottom w:val="nil"/>
              <w:right w:val="nil"/>
            </w:tcBorders>
            <w:shd w:val="clear" w:color="000000" w:fill="FFFFFF"/>
            <w:vAlign w:val="center"/>
          </w:tcPr>
          <w:p w14:paraId="0290AF74" w14:textId="3D47FB27" w:rsidR="004415BA" w:rsidRPr="008E0BFA" w:rsidRDefault="004415BA" w:rsidP="004415BA">
            <w:pPr>
              <w:jc w:val="center"/>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PCC</w:t>
            </w:r>
          </w:p>
        </w:tc>
        <w:tc>
          <w:tcPr>
            <w:tcW w:w="1009" w:type="dxa"/>
            <w:tcBorders>
              <w:top w:val="nil"/>
              <w:left w:val="nil"/>
              <w:bottom w:val="nil"/>
              <w:right w:val="nil"/>
            </w:tcBorders>
            <w:shd w:val="clear" w:color="000000" w:fill="FFFFFF"/>
            <w:noWrap/>
            <w:vAlign w:val="center"/>
            <w:hideMark/>
          </w:tcPr>
          <w:p w14:paraId="00E121E1" w14:textId="0027666A" w:rsidR="004415BA" w:rsidRPr="008E0BFA" w:rsidRDefault="004415BA" w:rsidP="004415BA">
            <w:pPr>
              <w:jc w:val="center"/>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Group</w:t>
            </w:r>
          </w:p>
        </w:tc>
        <w:tc>
          <w:tcPr>
            <w:tcW w:w="2780" w:type="dxa"/>
            <w:tcBorders>
              <w:top w:val="nil"/>
              <w:left w:val="nil"/>
              <w:bottom w:val="nil"/>
              <w:right w:val="nil"/>
            </w:tcBorders>
            <w:shd w:val="clear" w:color="000000" w:fill="FFFFFF"/>
            <w:noWrap/>
            <w:vAlign w:val="center"/>
            <w:hideMark/>
          </w:tcPr>
          <w:p w14:paraId="57DD6032" w14:textId="77777777" w:rsidR="004415BA" w:rsidRPr="008E0BFA" w:rsidRDefault="004415BA" w:rsidP="004415BA">
            <w:pPr>
              <w:ind w:firstLineChars="100" w:firstLine="161"/>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 </w:t>
            </w:r>
          </w:p>
        </w:tc>
        <w:tc>
          <w:tcPr>
            <w:tcW w:w="927" w:type="dxa"/>
            <w:tcBorders>
              <w:top w:val="nil"/>
              <w:left w:val="nil"/>
              <w:bottom w:val="nil"/>
              <w:right w:val="nil"/>
            </w:tcBorders>
            <w:shd w:val="clear" w:color="000000" w:fill="FFFFFF"/>
            <w:noWrap/>
            <w:vAlign w:val="center"/>
            <w:hideMark/>
          </w:tcPr>
          <w:p w14:paraId="62C0457D" w14:textId="77777777" w:rsidR="004415BA" w:rsidRPr="008E0BFA" w:rsidRDefault="004415BA" w:rsidP="004415BA">
            <w:pPr>
              <w:jc w:val="center"/>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CC</w:t>
            </w:r>
          </w:p>
        </w:tc>
        <w:tc>
          <w:tcPr>
            <w:tcW w:w="927" w:type="dxa"/>
            <w:tcBorders>
              <w:top w:val="nil"/>
              <w:left w:val="nil"/>
              <w:bottom w:val="nil"/>
              <w:right w:val="nil"/>
            </w:tcBorders>
            <w:shd w:val="clear" w:color="000000" w:fill="FFFFFF"/>
            <w:noWrap/>
            <w:vAlign w:val="center"/>
            <w:hideMark/>
          </w:tcPr>
          <w:p w14:paraId="0536C439" w14:textId="77777777" w:rsidR="004415BA" w:rsidRPr="008E0BFA" w:rsidRDefault="004415BA" w:rsidP="004415BA">
            <w:pPr>
              <w:jc w:val="center"/>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PCC</w:t>
            </w:r>
          </w:p>
        </w:tc>
        <w:tc>
          <w:tcPr>
            <w:tcW w:w="927" w:type="dxa"/>
            <w:tcBorders>
              <w:top w:val="nil"/>
              <w:left w:val="nil"/>
              <w:bottom w:val="nil"/>
              <w:right w:val="nil"/>
            </w:tcBorders>
            <w:shd w:val="clear" w:color="000000" w:fill="FFFFFF"/>
            <w:noWrap/>
            <w:vAlign w:val="center"/>
            <w:hideMark/>
          </w:tcPr>
          <w:p w14:paraId="21128332" w14:textId="77777777" w:rsidR="004415BA" w:rsidRPr="008E0BFA" w:rsidRDefault="004415BA" w:rsidP="004415BA">
            <w:pPr>
              <w:jc w:val="center"/>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Group</w:t>
            </w:r>
          </w:p>
        </w:tc>
      </w:tr>
      <w:tr w:rsidR="004415BA" w:rsidRPr="008E0BFA" w14:paraId="6F1661CE" w14:textId="77777777" w:rsidTr="00EC6193">
        <w:trPr>
          <w:trHeight w:val="300"/>
          <w:jc w:val="center"/>
        </w:trPr>
        <w:tc>
          <w:tcPr>
            <w:tcW w:w="1009" w:type="dxa"/>
            <w:tcBorders>
              <w:top w:val="nil"/>
              <w:left w:val="nil"/>
              <w:bottom w:val="single" w:sz="8" w:space="0" w:color="auto"/>
              <w:right w:val="nil"/>
            </w:tcBorders>
            <w:shd w:val="clear" w:color="000000" w:fill="FFFFFF"/>
            <w:vAlign w:val="center"/>
          </w:tcPr>
          <w:p w14:paraId="05F927C6" w14:textId="0D7AD5B2" w:rsidR="004415BA" w:rsidRPr="008E0BFA" w:rsidRDefault="004415BA" w:rsidP="004415BA">
            <w:pPr>
              <w:jc w:val="center"/>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£0</w:t>
            </w:r>
            <w:r>
              <w:rPr>
                <w:rFonts w:eastAsia="Times New Roman" w:cs="Calibri"/>
                <w:b/>
                <w:bCs/>
                <w:color w:val="000000"/>
                <w:sz w:val="16"/>
                <w:szCs w:val="16"/>
                <w:lang w:val="en-GB" w:eastAsia="en-GB"/>
              </w:rPr>
              <w:t>00</w:t>
            </w:r>
          </w:p>
        </w:tc>
        <w:tc>
          <w:tcPr>
            <w:tcW w:w="1009" w:type="dxa"/>
            <w:tcBorders>
              <w:top w:val="nil"/>
              <w:left w:val="nil"/>
              <w:bottom w:val="single" w:sz="8" w:space="0" w:color="auto"/>
              <w:right w:val="nil"/>
            </w:tcBorders>
            <w:shd w:val="clear" w:color="000000" w:fill="FFFFFF"/>
            <w:vAlign w:val="center"/>
          </w:tcPr>
          <w:p w14:paraId="4F8FB161" w14:textId="3C64CEED" w:rsidR="004415BA" w:rsidRPr="008E0BFA" w:rsidRDefault="004415BA" w:rsidP="004415BA">
            <w:pPr>
              <w:jc w:val="center"/>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£0</w:t>
            </w:r>
            <w:r>
              <w:rPr>
                <w:rFonts w:eastAsia="Times New Roman" w:cs="Calibri"/>
                <w:b/>
                <w:bCs/>
                <w:color w:val="000000"/>
                <w:sz w:val="16"/>
                <w:szCs w:val="16"/>
                <w:lang w:val="en-GB" w:eastAsia="en-GB"/>
              </w:rPr>
              <w:t>00</w:t>
            </w:r>
          </w:p>
        </w:tc>
        <w:tc>
          <w:tcPr>
            <w:tcW w:w="1009" w:type="dxa"/>
            <w:tcBorders>
              <w:top w:val="nil"/>
              <w:left w:val="nil"/>
              <w:bottom w:val="single" w:sz="8" w:space="0" w:color="auto"/>
              <w:right w:val="nil"/>
            </w:tcBorders>
            <w:shd w:val="clear" w:color="000000" w:fill="FFFFFF"/>
            <w:noWrap/>
            <w:vAlign w:val="center"/>
            <w:hideMark/>
          </w:tcPr>
          <w:p w14:paraId="501DCBF5" w14:textId="1235A17A" w:rsidR="004415BA" w:rsidRPr="008E0BFA" w:rsidRDefault="004415BA" w:rsidP="004415BA">
            <w:pPr>
              <w:jc w:val="center"/>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£0</w:t>
            </w:r>
            <w:r>
              <w:rPr>
                <w:rFonts w:eastAsia="Times New Roman" w:cs="Calibri"/>
                <w:b/>
                <w:bCs/>
                <w:color w:val="000000"/>
                <w:sz w:val="16"/>
                <w:szCs w:val="16"/>
                <w:lang w:val="en-GB" w:eastAsia="en-GB"/>
              </w:rPr>
              <w:t>00</w:t>
            </w:r>
          </w:p>
        </w:tc>
        <w:tc>
          <w:tcPr>
            <w:tcW w:w="2780" w:type="dxa"/>
            <w:tcBorders>
              <w:top w:val="nil"/>
              <w:left w:val="nil"/>
              <w:bottom w:val="single" w:sz="8" w:space="0" w:color="auto"/>
              <w:right w:val="nil"/>
            </w:tcBorders>
            <w:shd w:val="clear" w:color="000000" w:fill="FFFFFF"/>
            <w:noWrap/>
            <w:vAlign w:val="center"/>
            <w:hideMark/>
          </w:tcPr>
          <w:p w14:paraId="22264C8C" w14:textId="77777777" w:rsidR="004415BA" w:rsidRPr="008E0BFA" w:rsidRDefault="004415BA" w:rsidP="004415BA">
            <w:pPr>
              <w:ind w:firstLineChars="100" w:firstLine="160"/>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927" w:type="dxa"/>
            <w:tcBorders>
              <w:top w:val="nil"/>
              <w:left w:val="nil"/>
              <w:bottom w:val="single" w:sz="8" w:space="0" w:color="auto"/>
              <w:right w:val="nil"/>
            </w:tcBorders>
            <w:shd w:val="clear" w:color="000000" w:fill="FFFFFF"/>
            <w:noWrap/>
            <w:vAlign w:val="center"/>
            <w:hideMark/>
          </w:tcPr>
          <w:p w14:paraId="325368D5" w14:textId="2E808C6E" w:rsidR="004415BA" w:rsidRPr="008E0BFA" w:rsidRDefault="004415BA" w:rsidP="004415BA">
            <w:pPr>
              <w:jc w:val="center"/>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£0</w:t>
            </w:r>
            <w:r>
              <w:rPr>
                <w:rFonts w:eastAsia="Times New Roman" w:cs="Calibri"/>
                <w:b/>
                <w:bCs/>
                <w:color w:val="000000"/>
                <w:sz w:val="16"/>
                <w:szCs w:val="16"/>
                <w:lang w:val="en-GB" w:eastAsia="en-GB"/>
              </w:rPr>
              <w:t>00</w:t>
            </w:r>
          </w:p>
        </w:tc>
        <w:tc>
          <w:tcPr>
            <w:tcW w:w="927" w:type="dxa"/>
            <w:tcBorders>
              <w:top w:val="nil"/>
              <w:left w:val="nil"/>
              <w:bottom w:val="single" w:sz="8" w:space="0" w:color="auto"/>
              <w:right w:val="nil"/>
            </w:tcBorders>
            <w:shd w:val="clear" w:color="000000" w:fill="FFFFFF"/>
            <w:noWrap/>
            <w:vAlign w:val="center"/>
            <w:hideMark/>
          </w:tcPr>
          <w:p w14:paraId="44E98247" w14:textId="149819E7" w:rsidR="004415BA" w:rsidRPr="008E0BFA" w:rsidRDefault="004415BA" w:rsidP="004415BA">
            <w:pPr>
              <w:jc w:val="center"/>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£0</w:t>
            </w:r>
            <w:r>
              <w:rPr>
                <w:rFonts w:eastAsia="Times New Roman" w:cs="Calibri"/>
                <w:b/>
                <w:bCs/>
                <w:color w:val="000000"/>
                <w:sz w:val="16"/>
                <w:szCs w:val="16"/>
                <w:lang w:val="en-GB" w:eastAsia="en-GB"/>
              </w:rPr>
              <w:t>00</w:t>
            </w:r>
          </w:p>
        </w:tc>
        <w:tc>
          <w:tcPr>
            <w:tcW w:w="927" w:type="dxa"/>
            <w:tcBorders>
              <w:top w:val="nil"/>
              <w:left w:val="nil"/>
              <w:bottom w:val="single" w:sz="8" w:space="0" w:color="auto"/>
              <w:right w:val="nil"/>
            </w:tcBorders>
            <w:shd w:val="clear" w:color="000000" w:fill="FFFFFF"/>
            <w:noWrap/>
            <w:vAlign w:val="center"/>
            <w:hideMark/>
          </w:tcPr>
          <w:p w14:paraId="4D37C1E6" w14:textId="2A266067" w:rsidR="004415BA" w:rsidRPr="008E0BFA" w:rsidRDefault="004415BA" w:rsidP="004415BA">
            <w:pPr>
              <w:jc w:val="center"/>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£0</w:t>
            </w:r>
            <w:r>
              <w:rPr>
                <w:rFonts w:eastAsia="Times New Roman" w:cs="Calibri"/>
                <w:b/>
                <w:bCs/>
                <w:color w:val="000000"/>
                <w:sz w:val="16"/>
                <w:szCs w:val="16"/>
                <w:lang w:val="en-GB" w:eastAsia="en-GB"/>
              </w:rPr>
              <w:t>00</w:t>
            </w:r>
          </w:p>
        </w:tc>
      </w:tr>
      <w:tr w:rsidR="004415BA" w:rsidRPr="008E0BFA" w14:paraId="1C176498" w14:textId="77777777" w:rsidTr="00EC6193">
        <w:trPr>
          <w:trHeight w:val="816"/>
          <w:jc w:val="center"/>
        </w:trPr>
        <w:tc>
          <w:tcPr>
            <w:tcW w:w="1009" w:type="dxa"/>
            <w:tcBorders>
              <w:top w:val="nil"/>
              <w:left w:val="nil"/>
              <w:bottom w:val="nil"/>
              <w:right w:val="nil"/>
            </w:tcBorders>
            <w:shd w:val="clear" w:color="000000" w:fill="FFFFFF"/>
            <w:vAlign w:val="center"/>
          </w:tcPr>
          <w:p w14:paraId="17FFE771" w14:textId="3BE3C291"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11.6</w:t>
            </w:r>
          </w:p>
        </w:tc>
        <w:tc>
          <w:tcPr>
            <w:tcW w:w="1009" w:type="dxa"/>
            <w:tcBorders>
              <w:top w:val="nil"/>
              <w:left w:val="nil"/>
              <w:bottom w:val="nil"/>
              <w:right w:val="nil"/>
            </w:tcBorders>
            <w:shd w:val="clear" w:color="000000" w:fill="FFFFFF"/>
            <w:vAlign w:val="center"/>
          </w:tcPr>
          <w:p w14:paraId="05685A63" w14:textId="2BABFD5C"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29.8</w:t>
            </w:r>
          </w:p>
        </w:tc>
        <w:tc>
          <w:tcPr>
            <w:tcW w:w="1009" w:type="dxa"/>
            <w:tcBorders>
              <w:top w:val="nil"/>
              <w:left w:val="nil"/>
              <w:bottom w:val="nil"/>
              <w:right w:val="nil"/>
            </w:tcBorders>
            <w:shd w:val="clear" w:color="000000" w:fill="FFFFFF"/>
            <w:noWrap/>
            <w:vAlign w:val="center"/>
            <w:hideMark/>
          </w:tcPr>
          <w:p w14:paraId="1ED686AB" w14:textId="3C0420BA"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41.4</w:t>
            </w:r>
          </w:p>
        </w:tc>
        <w:tc>
          <w:tcPr>
            <w:tcW w:w="2780" w:type="dxa"/>
            <w:tcBorders>
              <w:top w:val="nil"/>
              <w:left w:val="nil"/>
              <w:bottom w:val="nil"/>
              <w:right w:val="nil"/>
            </w:tcBorders>
            <w:shd w:val="clear" w:color="000000" w:fill="FFFFFF"/>
            <w:vAlign w:val="center"/>
            <w:hideMark/>
          </w:tcPr>
          <w:p w14:paraId="426D4A28" w14:textId="77777777" w:rsidR="009B4B70" w:rsidRDefault="009B4B70" w:rsidP="004415BA">
            <w:pPr>
              <w:ind w:firstLineChars="100" w:firstLine="160"/>
              <w:rPr>
                <w:rFonts w:eastAsia="Times New Roman" w:cs="Calibri"/>
                <w:color w:val="000000"/>
                <w:sz w:val="16"/>
                <w:szCs w:val="16"/>
                <w:lang w:val="en-GB" w:eastAsia="en-GB"/>
              </w:rPr>
            </w:pPr>
          </w:p>
          <w:p w14:paraId="26F9008D" w14:textId="77777777" w:rsidR="004415BA" w:rsidRPr="008E0BFA" w:rsidRDefault="004415BA" w:rsidP="004415BA">
            <w:pPr>
              <w:ind w:firstLineChars="100" w:firstLine="160"/>
              <w:rPr>
                <w:rFonts w:eastAsia="Times New Roman" w:cs="Calibri"/>
                <w:color w:val="000000"/>
                <w:sz w:val="16"/>
                <w:szCs w:val="16"/>
                <w:lang w:val="en-GB" w:eastAsia="en-GB"/>
              </w:rPr>
            </w:pPr>
            <w:r w:rsidRPr="008E0BFA">
              <w:rPr>
                <w:rFonts w:eastAsia="Times New Roman" w:cs="Calibri"/>
                <w:color w:val="000000"/>
                <w:sz w:val="16"/>
                <w:szCs w:val="16"/>
                <w:lang w:val="en-GB" w:eastAsia="en-GB"/>
              </w:rPr>
              <w:t>Fees payable to Ernst &amp; Young with regard to external audit services carried out by the appointed auditor for the year</w:t>
            </w:r>
          </w:p>
        </w:tc>
        <w:tc>
          <w:tcPr>
            <w:tcW w:w="927" w:type="dxa"/>
            <w:tcBorders>
              <w:top w:val="nil"/>
              <w:left w:val="nil"/>
              <w:bottom w:val="nil"/>
              <w:right w:val="nil"/>
            </w:tcBorders>
            <w:shd w:val="clear" w:color="000000" w:fill="FFFFFF"/>
            <w:noWrap/>
            <w:vAlign w:val="center"/>
            <w:hideMark/>
          </w:tcPr>
          <w:p w14:paraId="3996DE11" w14:textId="77777777"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11.6</w:t>
            </w:r>
          </w:p>
        </w:tc>
        <w:tc>
          <w:tcPr>
            <w:tcW w:w="927" w:type="dxa"/>
            <w:tcBorders>
              <w:top w:val="nil"/>
              <w:left w:val="nil"/>
              <w:bottom w:val="nil"/>
              <w:right w:val="nil"/>
            </w:tcBorders>
            <w:shd w:val="clear" w:color="000000" w:fill="FFFFFF"/>
            <w:noWrap/>
            <w:vAlign w:val="center"/>
            <w:hideMark/>
          </w:tcPr>
          <w:p w14:paraId="6BD1F888" w14:textId="77777777"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29.8</w:t>
            </w:r>
          </w:p>
        </w:tc>
        <w:tc>
          <w:tcPr>
            <w:tcW w:w="927" w:type="dxa"/>
            <w:tcBorders>
              <w:top w:val="nil"/>
              <w:left w:val="nil"/>
              <w:bottom w:val="nil"/>
              <w:right w:val="nil"/>
            </w:tcBorders>
            <w:shd w:val="clear" w:color="000000" w:fill="FFFFFF"/>
            <w:noWrap/>
            <w:vAlign w:val="center"/>
            <w:hideMark/>
          </w:tcPr>
          <w:p w14:paraId="713868BF" w14:textId="77777777"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41.4</w:t>
            </w:r>
          </w:p>
        </w:tc>
      </w:tr>
      <w:tr w:rsidR="004415BA" w:rsidRPr="008E0BFA" w14:paraId="20E212B9" w14:textId="77777777" w:rsidTr="00EC6193">
        <w:trPr>
          <w:trHeight w:val="288"/>
          <w:jc w:val="center"/>
        </w:trPr>
        <w:tc>
          <w:tcPr>
            <w:tcW w:w="1009" w:type="dxa"/>
            <w:tcBorders>
              <w:top w:val="nil"/>
              <w:left w:val="nil"/>
              <w:bottom w:val="nil"/>
              <w:right w:val="nil"/>
            </w:tcBorders>
            <w:shd w:val="clear" w:color="000000" w:fill="FFFFFF"/>
            <w:vAlign w:val="center"/>
          </w:tcPr>
          <w:p w14:paraId="7A093E78" w14:textId="00236D3F" w:rsidR="004415BA" w:rsidRPr="008E0BFA" w:rsidRDefault="004415BA" w:rsidP="004415BA">
            <w:pPr>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1009" w:type="dxa"/>
            <w:tcBorders>
              <w:top w:val="nil"/>
              <w:left w:val="nil"/>
              <w:bottom w:val="nil"/>
              <w:right w:val="nil"/>
            </w:tcBorders>
            <w:shd w:val="clear" w:color="000000" w:fill="FFFFFF"/>
            <w:vAlign w:val="center"/>
          </w:tcPr>
          <w:p w14:paraId="7AAFA5E4" w14:textId="6A22AD8D" w:rsidR="004415BA" w:rsidRPr="008E0BFA" w:rsidRDefault="004415BA" w:rsidP="004415BA">
            <w:pPr>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1009" w:type="dxa"/>
            <w:tcBorders>
              <w:top w:val="nil"/>
              <w:left w:val="nil"/>
              <w:bottom w:val="nil"/>
              <w:right w:val="nil"/>
            </w:tcBorders>
            <w:shd w:val="clear" w:color="000000" w:fill="FFFFFF"/>
            <w:noWrap/>
            <w:vAlign w:val="center"/>
            <w:hideMark/>
          </w:tcPr>
          <w:p w14:paraId="487AE2C6" w14:textId="0F604123" w:rsidR="004415BA" w:rsidRPr="008E0BFA" w:rsidRDefault="004415BA" w:rsidP="004415BA">
            <w:pPr>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2780" w:type="dxa"/>
            <w:tcBorders>
              <w:top w:val="nil"/>
              <w:left w:val="nil"/>
              <w:bottom w:val="nil"/>
              <w:right w:val="nil"/>
            </w:tcBorders>
            <w:shd w:val="clear" w:color="000000" w:fill="FFFFFF"/>
            <w:noWrap/>
            <w:vAlign w:val="center"/>
            <w:hideMark/>
          </w:tcPr>
          <w:p w14:paraId="2D5AB1AE" w14:textId="77777777" w:rsidR="004415BA" w:rsidRPr="008E0BFA" w:rsidRDefault="004415BA" w:rsidP="004415BA">
            <w:pPr>
              <w:ind w:firstLineChars="100" w:firstLine="160"/>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927" w:type="dxa"/>
            <w:tcBorders>
              <w:top w:val="nil"/>
              <w:left w:val="nil"/>
              <w:bottom w:val="nil"/>
              <w:right w:val="nil"/>
            </w:tcBorders>
            <w:shd w:val="clear" w:color="000000" w:fill="FFFFFF"/>
            <w:noWrap/>
            <w:vAlign w:val="center"/>
            <w:hideMark/>
          </w:tcPr>
          <w:p w14:paraId="0B5F1B55" w14:textId="77777777" w:rsidR="004415BA" w:rsidRPr="008E0BFA" w:rsidRDefault="004415BA" w:rsidP="004415BA">
            <w:pPr>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927" w:type="dxa"/>
            <w:tcBorders>
              <w:top w:val="nil"/>
              <w:left w:val="nil"/>
              <w:bottom w:val="nil"/>
              <w:right w:val="nil"/>
            </w:tcBorders>
            <w:shd w:val="clear" w:color="000000" w:fill="FFFFFF"/>
            <w:noWrap/>
            <w:vAlign w:val="center"/>
            <w:hideMark/>
          </w:tcPr>
          <w:p w14:paraId="5AA84B6B" w14:textId="77777777" w:rsidR="004415BA" w:rsidRPr="008E0BFA" w:rsidRDefault="004415BA" w:rsidP="004415BA">
            <w:pPr>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927" w:type="dxa"/>
            <w:tcBorders>
              <w:top w:val="nil"/>
              <w:left w:val="nil"/>
              <w:bottom w:val="nil"/>
              <w:right w:val="nil"/>
            </w:tcBorders>
            <w:shd w:val="clear" w:color="000000" w:fill="FFFFFF"/>
            <w:noWrap/>
            <w:vAlign w:val="center"/>
            <w:hideMark/>
          </w:tcPr>
          <w:p w14:paraId="056222EA" w14:textId="77777777" w:rsidR="004415BA" w:rsidRPr="008E0BFA" w:rsidRDefault="004415BA" w:rsidP="004415BA">
            <w:pPr>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r>
      <w:tr w:rsidR="004415BA" w:rsidRPr="008E0BFA" w14:paraId="455EEA1B" w14:textId="77777777" w:rsidTr="00EC6193">
        <w:trPr>
          <w:trHeight w:val="288"/>
          <w:jc w:val="center"/>
        </w:trPr>
        <w:tc>
          <w:tcPr>
            <w:tcW w:w="1009" w:type="dxa"/>
            <w:tcBorders>
              <w:top w:val="nil"/>
              <w:left w:val="nil"/>
              <w:bottom w:val="nil"/>
              <w:right w:val="nil"/>
            </w:tcBorders>
            <w:shd w:val="clear" w:color="000000" w:fill="FFFFFF"/>
            <w:vAlign w:val="center"/>
          </w:tcPr>
          <w:p w14:paraId="748E02AA" w14:textId="73D281D5" w:rsidR="004415BA" w:rsidRPr="008E0BFA" w:rsidRDefault="004415BA" w:rsidP="004415BA">
            <w:pPr>
              <w:ind w:firstLineChars="100" w:firstLine="160"/>
              <w:jc w:val="right"/>
              <w:rPr>
                <w:rFonts w:eastAsia="Times New Roman" w:cs="Calibri"/>
                <w:color w:val="000000"/>
                <w:sz w:val="16"/>
                <w:szCs w:val="16"/>
                <w:lang w:val="en-GB" w:eastAsia="en-GB"/>
              </w:rPr>
            </w:pPr>
            <w:r>
              <w:rPr>
                <w:rFonts w:eastAsia="Times New Roman" w:cs="Calibri"/>
                <w:color w:val="000000"/>
                <w:sz w:val="16"/>
                <w:szCs w:val="16"/>
                <w:lang w:val="en-GB" w:eastAsia="en-GB"/>
              </w:rPr>
              <w:t>10.7*</w:t>
            </w:r>
          </w:p>
        </w:tc>
        <w:tc>
          <w:tcPr>
            <w:tcW w:w="1009" w:type="dxa"/>
            <w:tcBorders>
              <w:top w:val="nil"/>
              <w:left w:val="nil"/>
              <w:bottom w:val="nil"/>
              <w:right w:val="nil"/>
            </w:tcBorders>
            <w:shd w:val="clear" w:color="000000" w:fill="FFFFFF"/>
            <w:vAlign w:val="center"/>
          </w:tcPr>
          <w:p w14:paraId="16497C4C" w14:textId="0642AB5A"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0</w:t>
            </w:r>
          </w:p>
        </w:tc>
        <w:tc>
          <w:tcPr>
            <w:tcW w:w="1009" w:type="dxa"/>
            <w:tcBorders>
              <w:top w:val="nil"/>
              <w:left w:val="nil"/>
              <w:bottom w:val="nil"/>
              <w:right w:val="nil"/>
            </w:tcBorders>
            <w:shd w:val="clear" w:color="000000" w:fill="FFFFFF"/>
            <w:noWrap/>
            <w:vAlign w:val="center"/>
            <w:hideMark/>
          </w:tcPr>
          <w:p w14:paraId="1BF50107" w14:textId="3F7C154A"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10.7</w:t>
            </w:r>
            <w:r>
              <w:rPr>
                <w:rFonts w:eastAsia="Times New Roman" w:cs="Calibri"/>
                <w:color w:val="000000"/>
                <w:sz w:val="16"/>
                <w:szCs w:val="16"/>
                <w:lang w:val="en-GB" w:eastAsia="en-GB"/>
              </w:rPr>
              <w:t>*</w:t>
            </w:r>
          </w:p>
        </w:tc>
        <w:tc>
          <w:tcPr>
            <w:tcW w:w="2780" w:type="dxa"/>
            <w:tcBorders>
              <w:top w:val="nil"/>
              <w:left w:val="nil"/>
              <w:bottom w:val="nil"/>
              <w:right w:val="nil"/>
            </w:tcBorders>
            <w:shd w:val="clear" w:color="000000" w:fill="FFFFFF"/>
            <w:vAlign w:val="center"/>
            <w:hideMark/>
          </w:tcPr>
          <w:p w14:paraId="21351767" w14:textId="77777777" w:rsidR="004415BA" w:rsidRPr="008E0BFA" w:rsidRDefault="004415BA" w:rsidP="004415BA">
            <w:pPr>
              <w:ind w:firstLineChars="100" w:firstLine="160"/>
              <w:rPr>
                <w:rFonts w:eastAsia="Times New Roman" w:cs="Calibri"/>
                <w:color w:val="000000"/>
                <w:sz w:val="16"/>
                <w:szCs w:val="16"/>
                <w:lang w:val="en-GB" w:eastAsia="en-GB"/>
              </w:rPr>
            </w:pPr>
            <w:r w:rsidRPr="008E0BFA">
              <w:rPr>
                <w:rFonts w:eastAsia="Times New Roman" w:cs="Calibri"/>
                <w:color w:val="000000"/>
                <w:sz w:val="16"/>
                <w:szCs w:val="16"/>
                <w:lang w:val="en-GB" w:eastAsia="en-GB"/>
              </w:rPr>
              <w:t>VFM Significant risks</w:t>
            </w:r>
          </w:p>
        </w:tc>
        <w:tc>
          <w:tcPr>
            <w:tcW w:w="927" w:type="dxa"/>
            <w:tcBorders>
              <w:top w:val="nil"/>
              <w:left w:val="nil"/>
              <w:bottom w:val="nil"/>
              <w:right w:val="nil"/>
            </w:tcBorders>
            <w:shd w:val="clear" w:color="000000" w:fill="FFFFFF"/>
            <w:noWrap/>
            <w:vAlign w:val="center"/>
            <w:hideMark/>
          </w:tcPr>
          <w:p w14:paraId="0CCF8431" w14:textId="77777777"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0</w:t>
            </w:r>
          </w:p>
        </w:tc>
        <w:tc>
          <w:tcPr>
            <w:tcW w:w="927" w:type="dxa"/>
            <w:tcBorders>
              <w:top w:val="nil"/>
              <w:left w:val="nil"/>
              <w:bottom w:val="nil"/>
              <w:right w:val="nil"/>
            </w:tcBorders>
            <w:shd w:val="clear" w:color="000000" w:fill="FFFFFF"/>
            <w:noWrap/>
            <w:vAlign w:val="center"/>
            <w:hideMark/>
          </w:tcPr>
          <w:p w14:paraId="100F0101" w14:textId="77777777"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0</w:t>
            </w:r>
          </w:p>
        </w:tc>
        <w:tc>
          <w:tcPr>
            <w:tcW w:w="927" w:type="dxa"/>
            <w:tcBorders>
              <w:top w:val="nil"/>
              <w:left w:val="nil"/>
              <w:bottom w:val="nil"/>
              <w:right w:val="nil"/>
            </w:tcBorders>
            <w:shd w:val="clear" w:color="000000" w:fill="FFFFFF"/>
            <w:noWrap/>
            <w:vAlign w:val="center"/>
            <w:hideMark/>
          </w:tcPr>
          <w:p w14:paraId="2AA6357E" w14:textId="77777777"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0</w:t>
            </w:r>
          </w:p>
        </w:tc>
      </w:tr>
      <w:tr w:rsidR="004415BA" w:rsidRPr="008E0BFA" w14:paraId="37E4DD6D" w14:textId="77777777" w:rsidTr="00EC6193">
        <w:trPr>
          <w:trHeight w:val="288"/>
          <w:jc w:val="center"/>
        </w:trPr>
        <w:tc>
          <w:tcPr>
            <w:tcW w:w="1009" w:type="dxa"/>
            <w:tcBorders>
              <w:top w:val="nil"/>
              <w:left w:val="nil"/>
              <w:bottom w:val="nil"/>
              <w:right w:val="nil"/>
            </w:tcBorders>
            <w:shd w:val="clear" w:color="000000" w:fill="FFFFFF"/>
            <w:vAlign w:val="center"/>
          </w:tcPr>
          <w:p w14:paraId="053B2BA4" w14:textId="46B462CD"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1009" w:type="dxa"/>
            <w:tcBorders>
              <w:top w:val="nil"/>
              <w:left w:val="nil"/>
              <w:bottom w:val="nil"/>
              <w:right w:val="nil"/>
            </w:tcBorders>
            <w:shd w:val="clear" w:color="000000" w:fill="FFFFFF"/>
            <w:vAlign w:val="center"/>
          </w:tcPr>
          <w:p w14:paraId="498A3F66" w14:textId="113F3AC7"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1009" w:type="dxa"/>
            <w:tcBorders>
              <w:top w:val="nil"/>
              <w:left w:val="nil"/>
              <w:bottom w:val="nil"/>
              <w:right w:val="nil"/>
            </w:tcBorders>
            <w:shd w:val="clear" w:color="000000" w:fill="FFFFFF"/>
            <w:noWrap/>
            <w:vAlign w:val="center"/>
            <w:hideMark/>
          </w:tcPr>
          <w:p w14:paraId="6547E4A6" w14:textId="1C321CDE"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2780" w:type="dxa"/>
            <w:tcBorders>
              <w:top w:val="nil"/>
              <w:left w:val="nil"/>
              <w:bottom w:val="nil"/>
              <w:right w:val="nil"/>
            </w:tcBorders>
            <w:shd w:val="clear" w:color="000000" w:fill="FFFFFF"/>
            <w:vAlign w:val="center"/>
            <w:hideMark/>
          </w:tcPr>
          <w:p w14:paraId="121BA227" w14:textId="77777777" w:rsidR="004415BA" w:rsidRPr="008E0BFA" w:rsidRDefault="004415BA" w:rsidP="004415BA">
            <w:pPr>
              <w:ind w:firstLineChars="100" w:firstLine="160"/>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927" w:type="dxa"/>
            <w:tcBorders>
              <w:top w:val="nil"/>
              <w:left w:val="nil"/>
              <w:bottom w:val="nil"/>
              <w:right w:val="nil"/>
            </w:tcBorders>
            <w:shd w:val="clear" w:color="000000" w:fill="FFFFFF"/>
            <w:noWrap/>
            <w:vAlign w:val="center"/>
            <w:hideMark/>
          </w:tcPr>
          <w:p w14:paraId="49287095" w14:textId="77777777"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927" w:type="dxa"/>
            <w:tcBorders>
              <w:top w:val="nil"/>
              <w:left w:val="nil"/>
              <w:bottom w:val="nil"/>
              <w:right w:val="nil"/>
            </w:tcBorders>
            <w:shd w:val="clear" w:color="000000" w:fill="FFFFFF"/>
            <w:noWrap/>
            <w:vAlign w:val="center"/>
            <w:hideMark/>
          </w:tcPr>
          <w:p w14:paraId="2F73E9BC" w14:textId="77777777"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927" w:type="dxa"/>
            <w:tcBorders>
              <w:top w:val="nil"/>
              <w:left w:val="nil"/>
              <w:bottom w:val="nil"/>
              <w:right w:val="nil"/>
            </w:tcBorders>
            <w:shd w:val="clear" w:color="000000" w:fill="FFFFFF"/>
            <w:noWrap/>
            <w:vAlign w:val="center"/>
            <w:hideMark/>
          </w:tcPr>
          <w:p w14:paraId="0CDA9077" w14:textId="77777777"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r>
      <w:tr w:rsidR="004415BA" w:rsidRPr="008E0BFA" w14:paraId="2D638BA7" w14:textId="77777777" w:rsidTr="00EC6193">
        <w:trPr>
          <w:trHeight w:val="300"/>
          <w:jc w:val="center"/>
        </w:trPr>
        <w:tc>
          <w:tcPr>
            <w:tcW w:w="1009" w:type="dxa"/>
            <w:tcBorders>
              <w:top w:val="nil"/>
              <w:left w:val="nil"/>
              <w:bottom w:val="nil"/>
              <w:right w:val="nil"/>
            </w:tcBorders>
            <w:shd w:val="clear" w:color="000000" w:fill="FFFFFF"/>
            <w:vAlign w:val="center"/>
          </w:tcPr>
          <w:p w14:paraId="5EED1D8B" w14:textId="41BE91C6"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1009" w:type="dxa"/>
            <w:tcBorders>
              <w:top w:val="nil"/>
              <w:left w:val="nil"/>
              <w:bottom w:val="nil"/>
              <w:right w:val="nil"/>
            </w:tcBorders>
            <w:shd w:val="clear" w:color="000000" w:fill="FFFFFF"/>
            <w:vAlign w:val="center"/>
          </w:tcPr>
          <w:p w14:paraId="6FF51A33" w14:textId="46EB3C96"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1009" w:type="dxa"/>
            <w:tcBorders>
              <w:top w:val="nil"/>
              <w:left w:val="nil"/>
              <w:bottom w:val="nil"/>
              <w:right w:val="nil"/>
            </w:tcBorders>
            <w:shd w:val="clear" w:color="000000" w:fill="FFFFFF"/>
            <w:noWrap/>
            <w:vAlign w:val="center"/>
            <w:hideMark/>
          </w:tcPr>
          <w:p w14:paraId="620F8147" w14:textId="57AF0239" w:rsidR="004415BA" w:rsidRPr="008E0BFA" w:rsidRDefault="004415BA" w:rsidP="004415BA">
            <w:pPr>
              <w:ind w:firstLineChars="100" w:firstLine="160"/>
              <w:jc w:val="right"/>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2780" w:type="dxa"/>
            <w:tcBorders>
              <w:top w:val="nil"/>
              <w:left w:val="nil"/>
              <w:bottom w:val="nil"/>
              <w:right w:val="nil"/>
            </w:tcBorders>
            <w:shd w:val="clear" w:color="000000" w:fill="FFFFFF"/>
            <w:noWrap/>
            <w:vAlign w:val="center"/>
            <w:hideMark/>
          </w:tcPr>
          <w:p w14:paraId="07DF631A" w14:textId="77777777" w:rsidR="004415BA" w:rsidRPr="008E0BFA" w:rsidRDefault="004415BA" w:rsidP="004415BA">
            <w:pPr>
              <w:ind w:firstLineChars="100" w:firstLine="160"/>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927" w:type="dxa"/>
            <w:tcBorders>
              <w:top w:val="nil"/>
              <w:left w:val="nil"/>
              <w:bottom w:val="nil"/>
              <w:right w:val="nil"/>
            </w:tcBorders>
            <w:shd w:val="clear" w:color="000000" w:fill="FFFFFF"/>
            <w:noWrap/>
            <w:vAlign w:val="center"/>
            <w:hideMark/>
          </w:tcPr>
          <w:p w14:paraId="1FE99BE9" w14:textId="77777777" w:rsidR="004415BA" w:rsidRPr="008E0BFA" w:rsidRDefault="004415BA" w:rsidP="004415BA">
            <w:pPr>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927" w:type="dxa"/>
            <w:tcBorders>
              <w:top w:val="nil"/>
              <w:left w:val="nil"/>
              <w:bottom w:val="nil"/>
              <w:right w:val="nil"/>
            </w:tcBorders>
            <w:shd w:val="clear" w:color="000000" w:fill="FFFFFF"/>
            <w:noWrap/>
            <w:vAlign w:val="center"/>
            <w:hideMark/>
          </w:tcPr>
          <w:p w14:paraId="600F0DB6" w14:textId="77777777" w:rsidR="004415BA" w:rsidRPr="008E0BFA" w:rsidRDefault="004415BA" w:rsidP="004415BA">
            <w:pPr>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c>
          <w:tcPr>
            <w:tcW w:w="927" w:type="dxa"/>
            <w:tcBorders>
              <w:top w:val="nil"/>
              <w:left w:val="nil"/>
              <w:bottom w:val="nil"/>
              <w:right w:val="nil"/>
            </w:tcBorders>
            <w:shd w:val="clear" w:color="000000" w:fill="FFFFFF"/>
            <w:noWrap/>
            <w:vAlign w:val="center"/>
            <w:hideMark/>
          </w:tcPr>
          <w:p w14:paraId="3C8DF7AD" w14:textId="77777777" w:rsidR="004415BA" w:rsidRPr="008E0BFA" w:rsidRDefault="004415BA" w:rsidP="004415BA">
            <w:pPr>
              <w:rPr>
                <w:rFonts w:eastAsia="Times New Roman" w:cs="Calibri"/>
                <w:color w:val="000000"/>
                <w:sz w:val="16"/>
                <w:szCs w:val="16"/>
                <w:lang w:val="en-GB" w:eastAsia="en-GB"/>
              </w:rPr>
            </w:pPr>
            <w:r w:rsidRPr="008E0BFA">
              <w:rPr>
                <w:rFonts w:eastAsia="Times New Roman" w:cs="Calibri"/>
                <w:color w:val="000000"/>
                <w:sz w:val="16"/>
                <w:szCs w:val="16"/>
                <w:lang w:val="en-GB" w:eastAsia="en-GB"/>
              </w:rPr>
              <w:t> </w:t>
            </w:r>
          </w:p>
        </w:tc>
      </w:tr>
      <w:tr w:rsidR="004415BA" w:rsidRPr="008E0BFA" w14:paraId="7467F0DD" w14:textId="77777777" w:rsidTr="00EC6193">
        <w:trPr>
          <w:trHeight w:val="300"/>
          <w:jc w:val="center"/>
        </w:trPr>
        <w:tc>
          <w:tcPr>
            <w:tcW w:w="1009" w:type="dxa"/>
            <w:tcBorders>
              <w:top w:val="single" w:sz="8" w:space="0" w:color="auto"/>
              <w:left w:val="nil"/>
              <w:bottom w:val="single" w:sz="8" w:space="0" w:color="auto"/>
              <w:right w:val="nil"/>
            </w:tcBorders>
            <w:shd w:val="clear" w:color="000000" w:fill="FFFFFF"/>
            <w:vAlign w:val="center"/>
          </w:tcPr>
          <w:p w14:paraId="2F88125F" w14:textId="3B8AA884" w:rsidR="004415BA" w:rsidRPr="008E0BFA" w:rsidRDefault="004415BA" w:rsidP="004415BA">
            <w:pPr>
              <w:ind w:firstLineChars="100" w:firstLine="161"/>
              <w:jc w:val="right"/>
              <w:rPr>
                <w:rFonts w:eastAsia="Times New Roman" w:cs="Calibri"/>
                <w:b/>
                <w:bCs/>
                <w:color w:val="000000"/>
                <w:sz w:val="16"/>
                <w:szCs w:val="16"/>
                <w:lang w:val="en-GB" w:eastAsia="en-GB"/>
              </w:rPr>
            </w:pPr>
            <w:r>
              <w:rPr>
                <w:rFonts w:eastAsia="Times New Roman" w:cs="Calibri"/>
                <w:b/>
                <w:bCs/>
                <w:color w:val="000000"/>
                <w:sz w:val="16"/>
                <w:szCs w:val="16"/>
                <w:lang w:val="en-GB" w:eastAsia="en-GB"/>
              </w:rPr>
              <w:t>22.3</w:t>
            </w:r>
          </w:p>
        </w:tc>
        <w:tc>
          <w:tcPr>
            <w:tcW w:w="1009" w:type="dxa"/>
            <w:tcBorders>
              <w:top w:val="single" w:sz="8" w:space="0" w:color="auto"/>
              <w:left w:val="nil"/>
              <w:bottom w:val="single" w:sz="8" w:space="0" w:color="auto"/>
              <w:right w:val="nil"/>
            </w:tcBorders>
            <w:shd w:val="clear" w:color="000000" w:fill="FFFFFF"/>
            <w:vAlign w:val="center"/>
          </w:tcPr>
          <w:p w14:paraId="3F56E723" w14:textId="50FE0A3A" w:rsidR="004415BA" w:rsidRPr="008E0BFA" w:rsidRDefault="004415BA" w:rsidP="004415BA">
            <w:pPr>
              <w:ind w:firstLineChars="100" w:firstLine="161"/>
              <w:jc w:val="right"/>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29.8</w:t>
            </w:r>
          </w:p>
        </w:tc>
        <w:tc>
          <w:tcPr>
            <w:tcW w:w="1009" w:type="dxa"/>
            <w:tcBorders>
              <w:top w:val="single" w:sz="8" w:space="0" w:color="auto"/>
              <w:left w:val="nil"/>
              <w:bottom w:val="single" w:sz="8" w:space="0" w:color="auto"/>
              <w:right w:val="nil"/>
            </w:tcBorders>
            <w:shd w:val="clear" w:color="000000" w:fill="FFFFFF"/>
            <w:noWrap/>
            <w:vAlign w:val="center"/>
            <w:hideMark/>
          </w:tcPr>
          <w:p w14:paraId="5EF15D68" w14:textId="28FAFA09" w:rsidR="004415BA" w:rsidRPr="008E0BFA" w:rsidRDefault="004415BA" w:rsidP="004415BA">
            <w:pPr>
              <w:ind w:firstLineChars="100" w:firstLine="161"/>
              <w:jc w:val="right"/>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52.1</w:t>
            </w:r>
          </w:p>
        </w:tc>
        <w:tc>
          <w:tcPr>
            <w:tcW w:w="2780" w:type="dxa"/>
            <w:tcBorders>
              <w:top w:val="single" w:sz="8" w:space="0" w:color="auto"/>
              <w:left w:val="nil"/>
              <w:bottom w:val="single" w:sz="8" w:space="0" w:color="auto"/>
              <w:right w:val="nil"/>
            </w:tcBorders>
            <w:shd w:val="clear" w:color="000000" w:fill="FFFFFF"/>
            <w:noWrap/>
            <w:vAlign w:val="center"/>
            <w:hideMark/>
          </w:tcPr>
          <w:p w14:paraId="6C995384" w14:textId="77777777" w:rsidR="004415BA" w:rsidRPr="008E0BFA" w:rsidRDefault="004415BA" w:rsidP="004415BA">
            <w:pPr>
              <w:ind w:firstLineChars="100" w:firstLine="161"/>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Total</w:t>
            </w:r>
          </w:p>
        </w:tc>
        <w:tc>
          <w:tcPr>
            <w:tcW w:w="927" w:type="dxa"/>
            <w:tcBorders>
              <w:top w:val="single" w:sz="8" w:space="0" w:color="auto"/>
              <w:left w:val="nil"/>
              <w:bottom w:val="single" w:sz="8" w:space="0" w:color="auto"/>
              <w:right w:val="nil"/>
            </w:tcBorders>
            <w:shd w:val="clear" w:color="000000" w:fill="FFFFFF"/>
            <w:noWrap/>
            <w:vAlign w:val="center"/>
            <w:hideMark/>
          </w:tcPr>
          <w:p w14:paraId="5125EF01" w14:textId="77777777" w:rsidR="004415BA" w:rsidRPr="008E0BFA" w:rsidRDefault="004415BA" w:rsidP="004415BA">
            <w:pPr>
              <w:ind w:firstLineChars="100" w:firstLine="161"/>
              <w:jc w:val="right"/>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11.6</w:t>
            </w:r>
          </w:p>
        </w:tc>
        <w:tc>
          <w:tcPr>
            <w:tcW w:w="927" w:type="dxa"/>
            <w:tcBorders>
              <w:top w:val="single" w:sz="8" w:space="0" w:color="auto"/>
              <w:left w:val="nil"/>
              <w:bottom w:val="single" w:sz="8" w:space="0" w:color="auto"/>
              <w:right w:val="nil"/>
            </w:tcBorders>
            <w:shd w:val="clear" w:color="000000" w:fill="FFFFFF"/>
            <w:noWrap/>
            <w:vAlign w:val="center"/>
            <w:hideMark/>
          </w:tcPr>
          <w:p w14:paraId="374EE38A" w14:textId="77777777" w:rsidR="004415BA" w:rsidRPr="008E0BFA" w:rsidRDefault="004415BA" w:rsidP="004415BA">
            <w:pPr>
              <w:ind w:firstLineChars="100" w:firstLine="161"/>
              <w:jc w:val="right"/>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29.8</w:t>
            </w:r>
          </w:p>
        </w:tc>
        <w:tc>
          <w:tcPr>
            <w:tcW w:w="927" w:type="dxa"/>
            <w:tcBorders>
              <w:top w:val="single" w:sz="8" w:space="0" w:color="auto"/>
              <w:left w:val="nil"/>
              <w:bottom w:val="single" w:sz="8" w:space="0" w:color="auto"/>
              <w:right w:val="nil"/>
            </w:tcBorders>
            <w:shd w:val="clear" w:color="000000" w:fill="FFFFFF"/>
            <w:noWrap/>
            <w:vAlign w:val="center"/>
            <w:hideMark/>
          </w:tcPr>
          <w:p w14:paraId="687BE75E" w14:textId="77777777" w:rsidR="004415BA" w:rsidRPr="008E0BFA" w:rsidRDefault="004415BA" w:rsidP="004415BA">
            <w:pPr>
              <w:ind w:firstLineChars="100" w:firstLine="161"/>
              <w:jc w:val="right"/>
              <w:rPr>
                <w:rFonts w:eastAsia="Times New Roman" w:cs="Calibri"/>
                <w:b/>
                <w:bCs/>
                <w:color w:val="000000"/>
                <w:sz w:val="16"/>
                <w:szCs w:val="16"/>
                <w:lang w:val="en-GB" w:eastAsia="en-GB"/>
              </w:rPr>
            </w:pPr>
            <w:r w:rsidRPr="008E0BFA">
              <w:rPr>
                <w:rFonts w:eastAsia="Times New Roman" w:cs="Calibri"/>
                <w:b/>
                <w:bCs/>
                <w:color w:val="000000"/>
                <w:sz w:val="16"/>
                <w:szCs w:val="16"/>
                <w:lang w:val="en-GB" w:eastAsia="en-GB"/>
              </w:rPr>
              <w:t>41.4</w:t>
            </w:r>
          </w:p>
        </w:tc>
      </w:tr>
    </w:tbl>
    <w:p w14:paraId="529047D1" w14:textId="77777777" w:rsidR="00C72503" w:rsidRPr="004415BA" w:rsidRDefault="00C72503" w:rsidP="00C72503">
      <w:pPr>
        <w:rPr>
          <w:sz w:val="16"/>
          <w:szCs w:val="16"/>
          <w:lang w:val="pt-BR"/>
        </w:rPr>
      </w:pPr>
    </w:p>
    <w:p w14:paraId="04200EBF" w14:textId="46E197F9" w:rsidR="00CA6653" w:rsidRDefault="004415BA" w:rsidP="004415BA">
      <w:pPr>
        <w:pStyle w:val="Normal0"/>
        <w:ind w:left="720"/>
        <w:rPr>
          <w:rFonts w:ascii="Verdana" w:hAnsi="Verdana" w:cs="Arial"/>
          <w:sz w:val="16"/>
          <w:szCs w:val="16"/>
        </w:rPr>
      </w:pPr>
      <w:r>
        <w:rPr>
          <w:rFonts w:ascii="Verdana" w:hAnsi="Verdana" w:cs="Arial"/>
          <w:sz w:val="16"/>
          <w:szCs w:val="16"/>
        </w:rPr>
        <w:t>*</w:t>
      </w:r>
      <w:r w:rsidRPr="004415BA">
        <w:rPr>
          <w:rFonts w:ascii="Verdana" w:hAnsi="Verdana" w:cs="Arial"/>
          <w:sz w:val="16"/>
          <w:szCs w:val="16"/>
        </w:rPr>
        <w:t xml:space="preserve">The additional </w:t>
      </w:r>
      <w:r>
        <w:rPr>
          <w:rFonts w:ascii="Verdana" w:hAnsi="Verdana" w:cs="Arial"/>
          <w:sz w:val="16"/>
          <w:szCs w:val="16"/>
        </w:rPr>
        <w:t xml:space="preserve">fee of £10,735 incurred recorded in 2019/20 related to </w:t>
      </w:r>
      <w:r w:rsidR="00DF15BC">
        <w:rPr>
          <w:rFonts w:ascii="Verdana" w:hAnsi="Verdana" w:cs="Arial"/>
          <w:sz w:val="16"/>
          <w:szCs w:val="16"/>
        </w:rPr>
        <w:t>audit work undertaken during 2018/19. This variation was agreed with Chief Officers but required approval from PSAA and was therefore not included within the 2018/19 statutory accounts.</w:t>
      </w:r>
    </w:p>
    <w:p w14:paraId="098D4E04" w14:textId="77777777" w:rsidR="004415BA" w:rsidRPr="004415BA" w:rsidRDefault="004415BA" w:rsidP="004415BA">
      <w:pPr>
        <w:pStyle w:val="Normal0"/>
        <w:ind w:left="720"/>
        <w:rPr>
          <w:rFonts w:ascii="Verdana" w:hAnsi="Verdana" w:cs="Arial"/>
          <w:sz w:val="16"/>
          <w:szCs w:val="16"/>
        </w:rPr>
      </w:pPr>
    </w:p>
    <w:p w14:paraId="5CE2657D" w14:textId="77777777" w:rsidR="00CA6653" w:rsidRPr="00BF403A" w:rsidRDefault="00CA6653" w:rsidP="00A31A9E">
      <w:pPr>
        <w:pStyle w:val="Heading1"/>
      </w:pPr>
      <w:bookmarkStart w:id="43" w:name="_Toc75122796"/>
      <w:r w:rsidRPr="00BF403A">
        <w:t>Note 2</w:t>
      </w:r>
      <w:r w:rsidR="00960EC4" w:rsidRPr="00BF403A">
        <w:t>8</w:t>
      </w:r>
      <w:r w:rsidRPr="00BF403A">
        <w:t xml:space="preserve"> - Related Parties</w:t>
      </w:r>
      <w:bookmarkEnd w:id="43"/>
      <w:r w:rsidRPr="00BF403A">
        <w:t xml:space="preserve"> </w:t>
      </w:r>
    </w:p>
    <w:p w14:paraId="745C5DC6" w14:textId="77777777" w:rsidR="002B193A" w:rsidRPr="00BF403A" w:rsidRDefault="002B193A" w:rsidP="002B193A">
      <w:pPr>
        <w:pStyle w:val="Normal0"/>
        <w:spacing w:after="160"/>
        <w:jc w:val="both"/>
        <w:rPr>
          <w:rFonts w:ascii="Verdana" w:eastAsia="Verdana" w:hAnsi="Verdana" w:cs="Verdana"/>
          <w:sz w:val="22"/>
          <w:szCs w:val="22"/>
          <w:lang w:val="en-GB"/>
        </w:rPr>
      </w:pPr>
      <w:r w:rsidRPr="00BF403A">
        <w:rPr>
          <w:rFonts w:ascii="Verdana" w:hAnsi="Verdana"/>
          <w:sz w:val="22"/>
          <w:szCs w:val="22"/>
        </w:rPr>
        <w:t>The Police and Crime Commissioner is required to disclose material transactions with related parties - bodies or individuals that have the potential to control or influence the Police and Crime Commissioner or to be controlled or influenced by the Police and Crime Commissioner. Disclosure of these transactions allows readers to assess the extent to which the Police and Crime Commissioner might have been constrained in her ability to operate independently or might have secured the ability to limit another party's ability to bargain freely with the Police and Crime Commissioner.</w:t>
      </w:r>
    </w:p>
    <w:p w14:paraId="16866E51" w14:textId="77777777" w:rsidR="00427F9B" w:rsidRPr="00BF403A" w:rsidRDefault="00427F9B" w:rsidP="002B193A">
      <w:pPr>
        <w:pStyle w:val="Normal0"/>
        <w:spacing w:after="160"/>
        <w:jc w:val="both"/>
        <w:rPr>
          <w:rFonts w:ascii="Verdana" w:eastAsia="Verdana" w:hAnsi="Verdana" w:cs="Verdana"/>
          <w:b/>
          <w:sz w:val="22"/>
          <w:szCs w:val="22"/>
          <w:lang w:val="en-GB"/>
        </w:rPr>
      </w:pPr>
      <w:r w:rsidRPr="00BF403A">
        <w:rPr>
          <w:rFonts w:ascii="Verdana" w:eastAsia="Verdana" w:hAnsi="Verdana" w:cs="Verdana"/>
          <w:b/>
          <w:sz w:val="22"/>
          <w:szCs w:val="22"/>
          <w:lang w:val="en-GB"/>
        </w:rPr>
        <w:t>Officers of the Police and Crime Commissioner for Surrey and Chief Constable of Surrey</w:t>
      </w:r>
    </w:p>
    <w:p w14:paraId="3E42D6CB" w14:textId="77777777" w:rsidR="00CA6653" w:rsidRPr="00BF403A" w:rsidRDefault="00CA6653" w:rsidP="002B193A">
      <w:pPr>
        <w:pStyle w:val="Normal0"/>
        <w:spacing w:after="160"/>
        <w:jc w:val="both"/>
        <w:rPr>
          <w:rFonts w:ascii="Verdana" w:eastAsia="Verdana" w:hAnsi="Verdana" w:cs="Verdana"/>
          <w:sz w:val="22"/>
          <w:szCs w:val="22"/>
          <w:lang w:val="en-GB"/>
        </w:rPr>
      </w:pPr>
      <w:r w:rsidRPr="00BF403A">
        <w:rPr>
          <w:rFonts w:ascii="Verdana" w:eastAsia="Verdana" w:hAnsi="Verdana" w:cs="Verdana"/>
          <w:sz w:val="22"/>
          <w:szCs w:val="22"/>
          <w:lang w:val="en-GB"/>
        </w:rPr>
        <w:t>Officers of the Police and Crime Commissioner have direct control over financial and operating policies.</w:t>
      </w:r>
    </w:p>
    <w:p w14:paraId="2536FA85" w14:textId="77777777" w:rsidR="00CA6653" w:rsidRPr="00BF403A" w:rsidRDefault="00CA6653" w:rsidP="002B193A">
      <w:pPr>
        <w:pStyle w:val="Normal0"/>
        <w:spacing w:after="160"/>
        <w:jc w:val="both"/>
        <w:rPr>
          <w:rFonts w:ascii="Verdana" w:eastAsia="Verdana" w:hAnsi="Verdana" w:cs="Verdana"/>
          <w:sz w:val="22"/>
          <w:szCs w:val="22"/>
          <w:lang w:val="en-GB"/>
        </w:rPr>
      </w:pPr>
      <w:r w:rsidRPr="00BF403A">
        <w:rPr>
          <w:rFonts w:ascii="Verdana" w:eastAsia="Verdana" w:hAnsi="Verdana" w:cs="Verdana"/>
          <w:sz w:val="22"/>
          <w:szCs w:val="22"/>
          <w:lang w:val="en-GB"/>
        </w:rPr>
        <w:t>Details of all related party transactions are recorded in the Register of Members' Interest.  Officers and Chief Officers of the Force and the Police and Crime Commissioner are required to declare whether they or any member of their immediate family, have had any related party transactions (i.e. significant financial dealings) with the Police and Crime Commissioner for Surrey and or the Chief Constable's Force during the financial year.</w:t>
      </w:r>
    </w:p>
    <w:p w14:paraId="493592D0" w14:textId="77777777" w:rsidR="00CA6653" w:rsidRPr="00BF403A" w:rsidRDefault="00CA6653" w:rsidP="002B193A">
      <w:pPr>
        <w:pStyle w:val="Normal0"/>
        <w:spacing w:after="160"/>
        <w:jc w:val="both"/>
        <w:rPr>
          <w:rFonts w:ascii="Verdana" w:eastAsia="Verdana" w:hAnsi="Verdana" w:cs="Verdana"/>
          <w:sz w:val="22"/>
          <w:szCs w:val="22"/>
          <w:lang w:val="en-GB"/>
        </w:rPr>
      </w:pPr>
      <w:r w:rsidRPr="00BF403A">
        <w:rPr>
          <w:rFonts w:ascii="Verdana" w:eastAsia="Verdana" w:hAnsi="Verdana" w:cs="Verdana"/>
          <w:sz w:val="22"/>
          <w:szCs w:val="22"/>
          <w:lang w:val="en-GB"/>
        </w:rPr>
        <w:t>The Chief Executive has written to all Officers and Chief Officers of the Force and the Police and Crime Commissioner to collect this information.  Responses were received from all recipients of the letter and</w:t>
      </w:r>
      <w:r w:rsidR="0030507D" w:rsidRPr="00BF403A">
        <w:rPr>
          <w:rFonts w:ascii="Verdana" w:eastAsia="Verdana" w:hAnsi="Verdana" w:cs="Verdana"/>
          <w:sz w:val="22"/>
          <w:szCs w:val="22"/>
          <w:lang w:val="en-GB"/>
        </w:rPr>
        <w:t xml:space="preserve"> the following</w:t>
      </w:r>
      <w:r w:rsidRPr="00BF403A">
        <w:rPr>
          <w:rFonts w:ascii="Verdana" w:eastAsia="Verdana" w:hAnsi="Verdana" w:cs="Verdana"/>
          <w:sz w:val="22"/>
          <w:szCs w:val="22"/>
          <w:lang w:val="en-GB"/>
        </w:rPr>
        <w:t xml:space="preserve"> related party transactions are disclosed</w:t>
      </w:r>
      <w:r w:rsidR="0030507D" w:rsidRPr="00BF403A">
        <w:rPr>
          <w:rFonts w:ascii="Verdana" w:eastAsia="Verdana" w:hAnsi="Verdana" w:cs="Verdana"/>
          <w:sz w:val="22"/>
          <w:szCs w:val="22"/>
          <w:lang w:val="en-GB"/>
        </w:rPr>
        <w:t xml:space="preserve"> </w:t>
      </w:r>
      <w:r w:rsidRPr="00BF403A">
        <w:rPr>
          <w:rFonts w:ascii="Verdana" w:eastAsia="Verdana" w:hAnsi="Verdana" w:cs="Verdana"/>
          <w:sz w:val="22"/>
          <w:szCs w:val="22"/>
          <w:lang w:val="en-GB"/>
        </w:rPr>
        <w:t>for the 20</w:t>
      </w:r>
      <w:r w:rsidR="00BF403A">
        <w:rPr>
          <w:rFonts w:ascii="Verdana" w:eastAsia="Verdana" w:hAnsi="Verdana" w:cs="Verdana"/>
          <w:sz w:val="22"/>
          <w:szCs w:val="22"/>
          <w:lang w:val="en-GB"/>
        </w:rPr>
        <w:t>20</w:t>
      </w:r>
      <w:r w:rsidRPr="00BF403A">
        <w:rPr>
          <w:rFonts w:ascii="Verdana" w:eastAsia="Verdana" w:hAnsi="Verdana" w:cs="Verdana"/>
          <w:sz w:val="22"/>
          <w:szCs w:val="22"/>
          <w:lang w:val="en-GB"/>
        </w:rPr>
        <w:t>/</w:t>
      </w:r>
      <w:r w:rsidR="00BC2BA6" w:rsidRPr="00BF403A">
        <w:rPr>
          <w:rFonts w:ascii="Verdana" w:eastAsia="Verdana" w:hAnsi="Verdana" w:cs="Verdana"/>
          <w:sz w:val="22"/>
          <w:szCs w:val="22"/>
          <w:lang w:val="en-GB"/>
        </w:rPr>
        <w:t>2</w:t>
      </w:r>
      <w:r w:rsidR="00BF403A">
        <w:rPr>
          <w:rFonts w:ascii="Verdana" w:eastAsia="Verdana" w:hAnsi="Verdana" w:cs="Verdana"/>
          <w:sz w:val="22"/>
          <w:szCs w:val="22"/>
          <w:lang w:val="en-GB"/>
        </w:rPr>
        <w:t>1</w:t>
      </w:r>
      <w:r w:rsidRPr="00BF403A">
        <w:rPr>
          <w:rFonts w:ascii="Verdana" w:eastAsia="Verdana" w:hAnsi="Verdana" w:cs="Verdana"/>
          <w:sz w:val="22"/>
          <w:szCs w:val="22"/>
          <w:lang w:val="en-GB"/>
        </w:rPr>
        <w:t xml:space="preserve"> year in respect of the Police and Crime Commissioner</w:t>
      </w:r>
      <w:r w:rsidR="0030507D" w:rsidRPr="00BF403A">
        <w:rPr>
          <w:rFonts w:ascii="Verdana" w:eastAsia="Verdana" w:hAnsi="Verdana" w:cs="Verdana"/>
          <w:sz w:val="22"/>
          <w:szCs w:val="22"/>
          <w:lang w:val="en-GB"/>
        </w:rPr>
        <w:t xml:space="preserve"> and Group</w:t>
      </w:r>
      <w:r w:rsidRPr="00BF403A">
        <w:rPr>
          <w:rFonts w:ascii="Verdana" w:eastAsia="Verdana" w:hAnsi="Verdana" w:cs="Verdana"/>
          <w:sz w:val="22"/>
          <w:szCs w:val="22"/>
          <w:lang w:val="en-GB"/>
        </w:rPr>
        <w:t>.</w:t>
      </w:r>
    </w:p>
    <w:p w14:paraId="274E0EE1" w14:textId="77777777" w:rsidR="00CA6653" w:rsidRPr="00C25918" w:rsidRDefault="00CA6653" w:rsidP="002B193A">
      <w:pPr>
        <w:pStyle w:val="Normal0"/>
        <w:spacing w:after="160"/>
        <w:jc w:val="both"/>
        <w:rPr>
          <w:rFonts w:ascii="Verdana" w:eastAsia="Verdana" w:hAnsi="Verdana" w:cs="Verdana"/>
          <w:sz w:val="22"/>
          <w:szCs w:val="22"/>
          <w:lang w:val="en-GB"/>
        </w:rPr>
      </w:pPr>
      <w:r w:rsidRPr="00C25918">
        <w:rPr>
          <w:rFonts w:ascii="Verdana" w:eastAsia="Verdana" w:hAnsi="Verdana" w:cs="Verdana"/>
          <w:sz w:val="22"/>
          <w:szCs w:val="22"/>
          <w:lang w:val="en-GB"/>
        </w:rPr>
        <w:t>Legal services are provided to the Surrey Police Group of circa £</w:t>
      </w:r>
      <w:r w:rsidR="00620D38" w:rsidRPr="00C25918">
        <w:rPr>
          <w:rFonts w:ascii="Verdana" w:eastAsia="Verdana" w:hAnsi="Verdana" w:cs="Verdana"/>
          <w:sz w:val="22"/>
          <w:szCs w:val="22"/>
          <w:lang w:val="en-GB"/>
        </w:rPr>
        <w:t>1</w:t>
      </w:r>
      <w:r w:rsidRPr="00C25918">
        <w:rPr>
          <w:rFonts w:ascii="Verdana" w:eastAsia="Verdana" w:hAnsi="Verdana" w:cs="Verdana"/>
          <w:sz w:val="22"/>
          <w:szCs w:val="22"/>
          <w:lang w:val="en-GB"/>
        </w:rPr>
        <w:t>.</w:t>
      </w:r>
      <w:r w:rsidR="00A423ED">
        <w:rPr>
          <w:rFonts w:ascii="Verdana" w:eastAsia="Verdana" w:hAnsi="Verdana" w:cs="Verdana"/>
          <w:sz w:val="22"/>
          <w:szCs w:val="22"/>
          <w:lang w:val="en-GB"/>
        </w:rPr>
        <w:t>1</w:t>
      </w:r>
      <w:r w:rsidRPr="00C25918">
        <w:rPr>
          <w:rFonts w:ascii="Verdana" w:eastAsia="Verdana" w:hAnsi="Verdana" w:cs="Verdana"/>
          <w:sz w:val="22"/>
          <w:szCs w:val="22"/>
          <w:lang w:val="en-GB"/>
        </w:rPr>
        <w:t>m (201</w:t>
      </w:r>
      <w:r w:rsidR="00C6073E" w:rsidRPr="00C25918">
        <w:rPr>
          <w:rFonts w:ascii="Verdana" w:eastAsia="Verdana" w:hAnsi="Verdana" w:cs="Verdana"/>
          <w:sz w:val="22"/>
          <w:szCs w:val="22"/>
          <w:lang w:val="en-GB"/>
        </w:rPr>
        <w:t>9/20</w:t>
      </w:r>
      <w:r w:rsidRPr="00C25918">
        <w:rPr>
          <w:rFonts w:ascii="Verdana" w:eastAsia="Verdana" w:hAnsi="Verdana" w:cs="Verdana"/>
          <w:sz w:val="22"/>
          <w:szCs w:val="22"/>
          <w:lang w:val="en-GB"/>
        </w:rPr>
        <w:t>: £1.</w:t>
      </w:r>
      <w:r w:rsidR="00C6073E" w:rsidRPr="00C25918">
        <w:rPr>
          <w:rFonts w:ascii="Verdana" w:eastAsia="Verdana" w:hAnsi="Verdana" w:cs="Verdana"/>
          <w:sz w:val="22"/>
          <w:szCs w:val="22"/>
          <w:lang w:val="en-GB"/>
        </w:rPr>
        <w:t>3</w:t>
      </w:r>
      <w:r w:rsidRPr="00C25918">
        <w:rPr>
          <w:rFonts w:ascii="Verdana" w:eastAsia="Verdana" w:hAnsi="Verdana" w:cs="Verdana"/>
          <w:sz w:val="22"/>
          <w:szCs w:val="22"/>
          <w:lang w:val="en-GB"/>
        </w:rPr>
        <w:t>m) by Weightmans LLP Solicitor in the normal course of business during the year, Ms Hannah Walsh (Solicitor to the Surrey Police from 1 April 2017) is employed by Weightmans LLP.</w:t>
      </w:r>
    </w:p>
    <w:p w14:paraId="789D94FE" w14:textId="77777777" w:rsidR="00C6073E" w:rsidRPr="003516A4" w:rsidRDefault="00C6073E" w:rsidP="002B193A">
      <w:pPr>
        <w:pStyle w:val="Normal0"/>
        <w:spacing w:after="160"/>
        <w:jc w:val="both"/>
        <w:rPr>
          <w:rFonts w:ascii="Verdana" w:eastAsia="Verdana" w:hAnsi="Verdana" w:cs="Verdana"/>
          <w:sz w:val="22"/>
          <w:szCs w:val="22"/>
          <w:highlight w:val="yellow"/>
          <w:lang w:val="en-GB"/>
        </w:rPr>
      </w:pPr>
    </w:p>
    <w:p w14:paraId="5069CA82" w14:textId="77777777" w:rsidR="00CA6653" w:rsidRPr="00C6073E" w:rsidRDefault="00CA6653" w:rsidP="002B193A">
      <w:pPr>
        <w:pStyle w:val="Normal0"/>
        <w:spacing w:after="160"/>
        <w:jc w:val="both"/>
        <w:rPr>
          <w:rFonts w:ascii="Verdana" w:eastAsia="Verdana" w:hAnsi="Verdana" w:cs="Verdana"/>
          <w:b/>
          <w:sz w:val="22"/>
          <w:szCs w:val="22"/>
          <w:lang w:val="en-GB"/>
        </w:rPr>
      </w:pPr>
      <w:r w:rsidRPr="00C6073E">
        <w:rPr>
          <w:rFonts w:ascii="Verdana" w:eastAsia="Verdana" w:hAnsi="Verdana" w:cs="Verdana"/>
          <w:b/>
          <w:sz w:val="22"/>
          <w:szCs w:val="22"/>
          <w:lang w:val="en-GB"/>
        </w:rPr>
        <w:t>Central Government and Other Public Organisations</w:t>
      </w:r>
    </w:p>
    <w:p w14:paraId="058ACF59" w14:textId="77777777" w:rsidR="00CA6653" w:rsidRPr="00C6073E" w:rsidRDefault="00CA6653" w:rsidP="00427F9B">
      <w:pPr>
        <w:pStyle w:val="Normal0"/>
        <w:spacing w:after="160"/>
        <w:jc w:val="both"/>
        <w:rPr>
          <w:rFonts w:ascii="Verdana" w:eastAsia="Verdana" w:hAnsi="Verdana" w:cs="Verdana"/>
          <w:sz w:val="22"/>
          <w:szCs w:val="22"/>
          <w:lang w:val="en-GB"/>
        </w:rPr>
      </w:pPr>
      <w:r w:rsidRPr="00C6073E">
        <w:rPr>
          <w:rFonts w:ascii="Verdana" w:eastAsia="Verdana" w:hAnsi="Verdana" w:cs="Verdana"/>
          <w:sz w:val="22"/>
          <w:szCs w:val="22"/>
          <w:lang w:val="en-GB"/>
        </w:rPr>
        <w:t>The Police and Crime Commissioner also has business relationships with the Government and a number of other public organisations such as some local authorities in Surrey.</w:t>
      </w:r>
    </w:p>
    <w:p w14:paraId="39412EF2" w14:textId="77777777" w:rsidR="00CA6653" w:rsidRPr="00C6073E" w:rsidRDefault="00CA6653" w:rsidP="00427F9B">
      <w:pPr>
        <w:pStyle w:val="Normal0"/>
        <w:spacing w:after="160"/>
        <w:jc w:val="both"/>
        <w:rPr>
          <w:rFonts w:ascii="Verdana" w:eastAsia="Verdana" w:hAnsi="Verdana" w:cs="Verdana"/>
          <w:sz w:val="22"/>
          <w:szCs w:val="22"/>
          <w:lang w:val="en-GB"/>
        </w:rPr>
      </w:pPr>
      <w:r w:rsidRPr="00C6073E">
        <w:rPr>
          <w:rFonts w:ascii="Verdana" w:eastAsia="Verdana" w:hAnsi="Verdana" w:cs="Verdana"/>
          <w:sz w:val="22"/>
          <w:szCs w:val="22"/>
          <w:lang w:val="en-GB"/>
        </w:rPr>
        <w:t>These include the Home Office, the Department for Communities and Local Government, and Surrey County Council.</w:t>
      </w:r>
    </w:p>
    <w:p w14:paraId="14B2DACD" w14:textId="77777777" w:rsidR="00CA6653" w:rsidRPr="00C6073E" w:rsidRDefault="00CA6653" w:rsidP="00427F9B">
      <w:pPr>
        <w:pStyle w:val="Normal0"/>
        <w:spacing w:after="160"/>
        <w:jc w:val="both"/>
        <w:rPr>
          <w:rFonts w:ascii="Verdana" w:eastAsia="Verdana" w:hAnsi="Verdana" w:cs="Verdana"/>
          <w:sz w:val="22"/>
          <w:szCs w:val="22"/>
          <w:lang w:val="en-GB"/>
        </w:rPr>
      </w:pPr>
      <w:r w:rsidRPr="00C6073E">
        <w:rPr>
          <w:rFonts w:ascii="Verdana" w:eastAsia="Verdana" w:hAnsi="Verdana" w:cs="Verdana"/>
          <w:sz w:val="22"/>
          <w:szCs w:val="22"/>
          <w:lang w:val="en-GB"/>
        </w:rPr>
        <w:t>Central Government has effective control over the general operations of the Police and Crime Commissioner for Surrey as it is responsible for providing the statutory framework within which the Police and Crime Commissioner operates, provides the majority of its funding in the form of grants and prescribes the terms of many of the transactions that the Police and Crime Commissioner has with other parties (e.g. Precept regimes).</w:t>
      </w:r>
    </w:p>
    <w:p w14:paraId="2C8098A1" w14:textId="77777777" w:rsidR="00CA6653" w:rsidRPr="003516A4" w:rsidRDefault="00CA6653" w:rsidP="00427F9B">
      <w:pPr>
        <w:pStyle w:val="Normal0"/>
        <w:spacing w:after="160"/>
        <w:jc w:val="both"/>
        <w:rPr>
          <w:rFonts w:ascii="Verdana" w:eastAsia="Verdana" w:hAnsi="Verdana" w:cs="Verdana"/>
          <w:sz w:val="22"/>
          <w:szCs w:val="22"/>
          <w:highlight w:val="yellow"/>
          <w:lang w:val="en-GB"/>
        </w:rPr>
      </w:pPr>
      <w:r w:rsidRPr="009B4B70">
        <w:rPr>
          <w:rFonts w:ascii="Verdana" w:eastAsia="Verdana" w:hAnsi="Verdana" w:cs="Verdana"/>
          <w:sz w:val="22"/>
          <w:szCs w:val="22"/>
          <w:lang w:val="en-GB"/>
        </w:rPr>
        <w:t xml:space="preserve">Details of grants received from government departments are set out in the subjective analysis Grant Income </w:t>
      </w:r>
      <w:r w:rsidRPr="003516A4">
        <w:rPr>
          <w:rFonts w:ascii="Verdana" w:eastAsia="Verdana" w:hAnsi="Verdana" w:cs="Verdana"/>
          <w:sz w:val="22"/>
          <w:szCs w:val="22"/>
          <w:highlight w:val="yellow"/>
          <w:lang w:val="en-GB"/>
        </w:rPr>
        <w:t xml:space="preserve">Note 9.  </w:t>
      </w:r>
      <w:r w:rsidRPr="009B4B70">
        <w:rPr>
          <w:rFonts w:ascii="Verdana" w:eastAsia="Verdana" w:hAnsi="Verdana" w:cs="Verdana"/>
          <w:sz w:val="22"/>
          <w:szCs w:val="22"/>
          <w:lang w:val="en-GB"/>
        </w:rPr>
        <w:t xml:space="preserve">Details of Joint working arrangements are included in the Collaboration Arrangements </w:t>
      </w:r>
      <w:r w:rsidRPr="003516A4">
        <w:rPr>
          <w:rFonts w:ascii="Verdana" w:eastAsia="Verdana" w:hAnsi="Verdana" w:cs="Verdana"/>
          <w:sz w:val="22"/>
          <w:szCs w:val="22"/>
          <w:highlight w:val="yellow"/>
          <w:lang w:val="en-GB"/>
        </w:rPr>
        <w:t>Note 2</w:t>
      </w:r>
      <w:r w:rsidR="008B097F" w:rsidRPr="003516A4">
        <w:rPr>
          <w:rFonts w:ascii="Verdana" w:eastAsia="Verdana" w:hAnsi="Verdana" w:cs="Verdana"/>
          <w:sz w:val="22"/>
          <w:szCs w:val="22"/>
          <w:highlight w:val="yellow"/>
          <w:lang w:val="en-GB"/>
        </w:rPr>
        <w:t>1</w:t>
      </w:r>
      <w:r w:rsidRPr="003516A4">
        <w:rPr>
          <w:rFonts w:ascii="Verdana" w:eastAsia="Verdana" w:hAnsi="Verdana" w:cs="Verdana"/>
          <w:sz w:val="22"/>
          <w:szCs w:val="22"/>
          <w:highlight w:val="yellow"/>
          <w:lang w:val="en-GB"/>
        </w:rPr>
        <w:t>.</w:t>
      </w:r>
    </w:p>
    <w:p w14:paraId="5C6C2E21" w14:textId="77777777" w:rsidR="00CA6653" w:rsidRPr="00EB0E41" w:rsidRDefault="00CA6653" w:rsidP="00427F9B">
      <w:pPr>
        <w:pStyle w:val="Normal0"/>
        <w:spacing w:after="160"/>
        <w:jc w:val="both"/>
        <w:rPr>
          <w:rFonts w:ascii="Verdana" w:hAnsi="Verdana"/>
          <w:sz w:val="4"/>
          <w:szCs w:val="4"/>
          <w:lang w:val="pt-BR"/>
        </w:rPr>
      </w:pPr>
    </w:p>
    <w:p w14:paraId="3D32996E" w14:textId="77777777" w:rsidR="00CA6653" w:rsidRPr="00EB0E41" w:rsidRDefault="00CA6653" w:rsidP="00427F9B">
      <w:pPr>
        <w:pStyle w:val="Heading1"/>
        <w:jc w:val="both"/>
      </w:pPr>
      <w:bookmarkStart w:id="44" w:name="_Toc75122797"/>
      <w:r w:rsidRPr="00EB0E41">
        <w:t xml:space="preserve">Note </w:t>
      </w:r>
      <w:r w:rsidR="00960EC4" w:rsidRPr="00EB0E41">
        <w:t>29</w:t>
      </w:r>
      <w:r w:rsidRPr="00EB0E41">
        <w:t xml:space="preserve"> - Contingent Liabilities</w:t>
      </w:r>
      <w:bookmarkEnd w:id="44"/>
      <w:r w:rsidRPr="00EB0E41">
        <w:t xml:space="preserve"> </w:t>
      </w:r>
    </w:p>
    <w:p w14:paraId="5934EAF3" w14:textId="77777777" w:rsidR="00CA6653" w:rsidRPr="00EB0E41" w:rsidRDefault="00CA6653" w:rsidP="00427F9B">
      <w:pPr>
        <w:pStyle w:val="Normal0"/>
        <w:spacing w:after="160"/>
        <w:jc w:val="both"/>
        <w:rPr>
          <w:rFonts w:ascii="Verdana" w:eastAsia="Verdana" w:hAnsi="Verdana" w:cs="Verdana"/>
          <w:sz w:val="22"/>
          <w:szCs w:val="22"/>
          <w:lang w:val="en-GB"/>
        </w:rPr>
      </w:pPr>
      <w:r w:rsidRPr="00EB0E41">
        <w:rPr>
          <w:rFonts w:ascii="Verdana" w:eastAsia="Verdana" w:hAnsi="Verdana" w:cs="Verdana"/>
          <w:sz w:val="22"/>
          <w:szCs w:val="22"/>
          <w:lang w:val="en-GB"/>
        </w:rPr>
        <w:t>Although the accounts include (through the establishment of provisions and creditors) known liabilities faced by the Group at 31 March 20</w:t>
      </w:r>
      <w:r w:rsidR="00427F9B" w:rsidRPr="00EB0E41">
        <w:rPr>
          <w:rFonts w:ascii="Verdana" w:eastAsia="Verdana" w:hAnsi="Verdana" w:cs="Verdana"/>
          <w:sz w:val="22"/>
          <w:szCs w:val="22"/>
          <w:lang w:val="en-GB"/>
        </w:rPr>
        <w:t>2</w:t>
      </w:r>
      <w:r w:rsidR="00EB0E41" w:rsidRPr="00EB0E41">
        <w:rPr>
          <w:rFonts w:ascii="Verdana" w:eastAsia="Verdana" w:hAnsi="Verdana" w:cs="Verdana"/>
          <w:sz w:val="22"/>
          <w:szCs w:val="22"/>
          <w:lang w:val="en-GB"/>
        </w:rPr>
        <w:t>1</w:t>
      </w:r>
      <w:r w:rsidRPr="00EB0E41">
        <w:rPr>
          <w:rFonts w:ascii="Verdana" w:eastAsia="Verdana" w:hAnsi="Verdana" w:cs="Verdana"/>
          <w:sz w:val="22"/>
          <w:szCs w:val="22"/>
          <w:lang w:val="en-GB"/>
        </w:rPr>
        <w:t>, they exclude potential costs where the liability is not yet established and/or the amounts are uncertain.</w:t>
      </w:r>
    </w:p>
    <w:p w14:paraId="5E264BE2" w14:textId="77777777" w:rsidR="00CA6653" w:rsidRPr="00EB0E41" w:rsidRDefault="00CA6653" w:rsidP="00427F9B">
      <w:pPr>
        <w:pStyle w:val="Normal0"/>
        <w:spacing w:after="160"/>
        <w:jc w:val="both"/>
        <w:rPr>
          <w:rFonts w:ascii="Verdana" w:eastAsia="Verdana" w:hAnsi="Verdana" w:cs="Verdana"/>
          <w:sz w:val="22"/>
          <w:szCs w:val="22"/>
          <w:lang w:val="en-GB"/>
        </w:rPr>
      </w:pPr>
      <w:r w:rsidRPr="00EB0E41">
        <w:rPr>
          <w:rFonts w:ascii="Verdana" w:eastAsia="Verdana" w:hAnsi="Verdana" w:cs="Verdana"/>
          <w:sz w:val="22"/>
          <w:szCs w:val="22"/>
          <w:lang w:val="en-GB"/>
        </w:rPr>
        <w:t>At 31 March 20</w:t>
      </w:r>
      <w:r w:rsidR="00427F9B" w:rsidRPr="00EB0E41">
        <w:rPr>
          <w:rFonts w:ascii="Verdana" w:eastAsia="Verdana" w:hAnsi="Verdana" w:cs="Verdana"/>
          <w:sz w:val="22"/>
          <w:szCs w:val="22"/>
          <w:lang w:val="en-GB"/>
        </w:rPr>
        <w:t>2</w:t>
      </w:r>
      <w:r w:rsidR="00EB0E41" w:rsidRPr="00EB0E41">
        <w:rPr>
          <w:rFonts w:ascii="Verdana" w:eastAsia="Verdana" w:hAnsi="Verdana" w:cs="Verdana"/>
          <w:sz w:val="22"/>
          <w:szCs w:val="22"/>
          <w:lang w:val="en-GB"/>
        </w:rPr>
        <w:t>1</w:t>
      </w:r>
      <w:r w:rsidRPr="00EB0E41">
        <w:rPr>
          <w:rFonts w:ascii="Verdana" w:eastAsia="Verdana" w:hAnsi="Verdana" w:cs="Verdana"/>
          <w:sz w:val="22"/>
          <w:szCs w:val="22"/>
          <w:lang w:val="en-GB"/>
        </w:rPr>
        <w:t>, the Police and Crime Commissioner and Chief Constable of Surrey Group had the following contingent liability issues:</w:t>
      </w:r>
    </w:p>
    <w:p w14:paraId="7E3A149C" w14:textId="77777777" w:rsidR="00CA6653" w:rsidRPr="00EB0E41" w:rsidRDefault="00CA6653" w:rsidP="00427F9B">
      <w:pPr>
        <w:pStyle w:val="Normal0"/>
        <w:spacing w:after="160"/>
        <w:jc w:val="both"/>
        <w:rPr>
          <w:rFonts w:ascii="Verdana" w:eastAsia="Verdana" w:hAnsi="Verdana" w:cs="Verdana"/>
          <w:sz w:val="22"/>
          <w:szCs w:val="22"/>
          <w:lang w:val="en-GB"/>
        </w:rPr>
      </w:pPr>
      <w:r w:rsidRPr="00EB0E41">
        <w:rPr>
          <w:rFonts w:ascii="Verdana" w:eastAsia="Verdana" w:hAnsi="Verdana" w:cs="Verdana"/>
          <w:sz w:val="22"/>
          <w:szCs w:val="22"/>
          <w:lang w:val="en-GB"/>
        </w:rPr>
        <w:t>•</w:t>
      </w:r>
      <w:r w:rsidRPr="00EB0E41">
        <w:rPr>
          <w:rFonts w:ascii="Verdana" w:eastAsia="Verdana" w:hAnsi="Verdana" w:cs="Verdana"/>
          <w:sz w:val="22"/>
          <w:szCs w:val="22"/>
          <w:lang w:val="en-GB"/>
        </w:rPr>
        <w:tab/>
      </w:r>
      <w:r w:rsidRPr="00EB0E41">
        <w:rPr>
          <w:rFonts w:ascii="Verdana" w:eastAsia="Verdana" w:hAnsi="Verdana" w:cs="Verdana"/>
          <w:b/>
          <w:sz w:val="22"/>
          <w:szCs w:val="22"/>
          <w:lang w:val="en-GB"/>
        </w:rPr>
        <w:t>Police Regulations On-call Payments</w:t>
      </w:r>
    </w:p>
    <w:p w14:paraId="15359A03" w14:textId="77777777" w:rsidR="00CA6653" w:rsidRPr="00EB0E41" w:rsidRDefault="00CA6653" w:rsidP="00427F9B">
      <w:pPr>
        <w:pStyle w:val="Normal0"/>
        <w:spacing w:after="160"/>
        <w:jc w:val="both"/>
        <w:rPr>
          <w:rFonts w:ascii="Verdana" w:eastAsia="Verdana" w:hAnsi="Verdana" w:cs="Verdana"/>
          <w:sz w:val="22"/>
          <w:szCs w:val="22"/>
          <w:lang w:val="en-GB"/>
        </w:rPr>
      </w:pPr>
      <w:r w:rsidRPr="00EB0E41">
        <w:rPr>
          <w:rFonts w:ascii="Verdana" w:eastAsia="Verdana" w:hAnsi="Verdana" w:cs="Verdana"/>
          <w:sz w:val="22"/>
          <w:szCs w:val="22"/>
          <w:lang w:val="en-GB"/>
        </w:rPr>
        <w:t>The Chief Constable for Surrey Police, along with other Chief Constables has a contingent liability following successful claims in the court case Allard v Devon and Cornwall Police for unpaid overtime following recalls to duty.</w:t>
      </w:r>
    </w:p>
    <w:p w14:paraId="446229F3" w14:textId="77777777" w:rsidR="00CA6653" w:rsidRPr="00EB0E41" w:rsidRDefault="00CA6653" w:rsidP="00427F9B">
      <w:pPr>
        <w:pStyle w:val="Normal0"/>
        <w:spacing w:after="160"/>
        <w:jc w:val="both"/>
        <w:rPr>
          <w:rFonts w:ascii="Verdana" w:eastAsia="Verdana" w:hAnsi="Verdana" w:cs="Verdana"/>
          <w:sz w:val="22"/>
          <w:szCs w:val="22"/>
          <w:lang w:val="en-GB"/>
        </w:rPr>
      </w:pPr>
      <w:r w:rsidRPr="00EB0E41">
        <w:rPr>
          <w:rFonts w:ascii="Verdana" w:eastAsia="Verdana" w:hAnsi="Verdana" w:cs="Verdana"/>
          <w:sz w:val="22"/>
          <w:szCs w:val="22"/>
          <w:lang w:val="en-GB"/>
        </w:rPr>
        <w:t>This case arises from under-cover officers in Devon and Cornwall Police claiming under Police Regulations that they were entitled to on-call payments arising from having to take telephone calls throughout the course of their duties and outside of their normal working hours. This case was upheld against Devon and Cornwall at the High Court and the judge has selected a number of test cases to consider all of the issues arising in these claims against forces across the country.</w:t>
      </w:r>
    </w:p>
    <w:p w14:paraId="04F02659" w14:textId="77777777" w:rsidR="00CA6653" w:rsidRPr="00EB0E41" w:rsidRDefault="00CA6653" w:rsidP="00427F9B">
      <w:pPr>
        <w:pStyle w:val="Normal0"/>
        <w:spacing w:after="160"/>
        <w:jc w:val="both"/>
        <w:rPr>
          <w:rFonts w:ascii="Verdana" w:eastAsia="Verdana" w:hAnsi="Verdana" w:cs="Verdana"/>
          <w:sz w:val="22"/>
          <w:szCs w:val="22"/>
          <w:lang w:val="en-GB"/>
        </w:rPr>
      </w:pPr>
      <w:r w:rsidRPr="00EB0E41">
        <w:rPr>
          <w:rFonts w:ascii="Verdana" w:eastAsia="Verdana" w:hAnsi="Verdana" w:cs="Verdana"/>
          <w:sz w:val="22"/>
          <w:szCs w:val="22"/>
          <w:lang w:val="en-GB"/>
        </w:rPr>
        <w:t>Whilst the outcome of the legal case is not in doubt, the timings and amount of any payments due to the claimants are yet to be ascertained. Work remains ongoing by all forces to identify all claims and the quantum of each payment that is due. For these reasons no provision has been made in the 20</w:t>
      </w:r>
      <w:r w:rsidR="00EB0E41" w:rsidRPr="00EB0E41">
        <w:rPr>
          <w:rFonts w:ascii="Verdana" w:eastAsia="Verdana" w:hAnsi="Verdana" w:cs="Verdana"/>
          <w:sz w:val="22"/>
          <w:szCs w:val="22"/>
          <w:lang w:val="en-GB"/>
        </w:rPr>
        <w:t>20</w:t>
      </w:r>
      <w:r w:rsidRPr="00EB0E41">
        <w:rPr>
          <w:rFonts w:ascii="Verdana" w:eastAsia="Verdana" w:hAnsi="Verdana" w:cs="Verdana"/>
          <w:sz w:val="22"/>
          <w:szCs w:val="22"/>
          <w:lang w:val="en-GB"/>
        </w:rPr>
        <w:t>/</w:t>
      </w:r>
      <w:r w:rsidR="00427F9B" w:rsidRPr="00EB0E41">
        <w:rPr>
          <w:rFonts w:ascii="Verdana" w:eastAsia="Verdana" w:hAnsi="Verdana" w:cs="Verdana"/>
          <w:sz w:val="22"/>
          <w:szCs w:val="22"/>
          <w:lang w:val="en-GB"/>
        </w:rPr>
        <w:t>2</w:t>
      </w:r>
      <w:r w:rsidR="00EB0E41" w:rsidRPr="00EB0E41">
        <w:rPr>
          <w:rFonts w:ascii="Verdana" w:eastAsia="Verdana" w:hAnsi="Verdana" w:cs="Verdana"/>
          <w:sz w:val="22"/>
          <w:szCs w:val="22"/>
          <w:lang w:val="en-GB"/>
        </w:rPr>
        <w:t>1</w:t>
      </w:r>
      <w:r w:rsidRPr="00EB0E41">
        <w:rPr>
          <w:rFonts w:ascii="Verdana" w:eastAsia="Verdana" w:hAnsi="Verdana" w:cs="Verdana"/>
          <w:sz w:val="22"/>
          <w:szCs w:val="22"/>
          <w:lang w:val="en-GB"/>
        </w:rPr>
        <w:t xml:space="preserve"> Statement of Accounts. </w:t>
      </w:r>
    </w:p>
    <w:p w14:paraId="0BFBDA5C" w14:textId="77777777" w:rsidR="00CA6653" w:rsidRPr="00EB0E41" w:rsidRDefault="00CA6653">
      <w:pPr>
        <w:pStyle w:val="Normal0"/>
        <w:spacing w:after="160"/>
        <w:rPr>
          <w:rFonts w:ascii="Verdana" w:eastAsia="Verdana" w:hAnsi="Verdana" w:cs="Verdana"/>
          <w:sz w:val="22"/>
          <w:szCs w:val="22"/>
          <w:lang w:val="en-GB"/>
        </w:rPr>
      </w:pPr>
      <w:r w:rsidRPr="00EB0E41">
        <w:rPr>
          <w:rFonts w:ascii="Verdana" w:eastAsia="Verdana" w:hAnsi="Verdana" w:cs="Verdana"/>
          <w:sz w:val="22"/>
          <w:szCs w:val="22"/>
          <w:lang w:val="en-GB"/>
        </w:rPr>
        <w:t>•</w:t>
      </w:r>
      <w:r w:rsidRPr="00EB0E41">
        <w:rPr>
          <w:rFonts w:ascii="Verdana" w:eastAsia="Verdana" w:hAnsi="Verdana" w:cs="Verdana"/>
          <w:sz w:val="22"/>
          <w:szCs w:val="22"/>
          <w:lang w:val="en-GB"/>
        </w:rPr>
        <w:tab/>
      </w:r>
      <w:r w:rsidRPr="00EB0E41">
        <w:rPr>
          <w:rFonts w:ascii="Verdana" w:eastAsia="Verdana" w:hAnsi="Verdana" w:cs="Verdana"/>
          <w:b/>
          <w:sz w:val="22"/>
          <w:szCs w:val="22"/>
          <w:lang w:val="en-GB"/>
        </w:rPr>
        <w:t>Forensic Service Uncertainty</w:t>
      </w:r>
    </w:p>
    <w:p w14:paraId="57F4AD79" w14:textId="77777777" w:rsidR="00CA6653" w:rsidRPr="00EB0E41" w:rsidRDefault="00CA6653" w:rsidP="00427F9B">
      <w:pPr>
        <w:pStyle w:val="Normal0"/>
        <w:spacing w:after="160"/>
        <w:jc w:val="both"/>
        <w:rPr>
          <w:rFonts w:ascii="Verdana" w:eastAsia="Verdana" w:hAnsi="Verdana" w:cs="Verdana"/>
          <w:sz w:val="22"/>
          <w:szCs w:val="22"/>
          <w:lang w:val="en-GB"/>
        </w:rPr>
      </w:pPr>
      <w:r w:rsidRPr="00EB0E41">
        <w:rPr>
          <w:rFonts w:ascii="Verdana" w:eastAsia="Verdana" w:hAnsi="Verdana" w:cs="Verdana"/>
          <w:sz w:val="22"/>
          <w:szCs w:val="22"/>
          <w:lang w:val="en-GB"/>
        </w:rPr>
        <w:t>The validity of evidence provided by a forensic testing company to the police service is currently under investigation and is an issue impacting on policing across England &amp; Wales.  Re-testing is still underway and it is reasonable to anticipate that some people may have been convicted of offences based on flawed data, and that conviction will have had a significant impact on their personal circumstances.  As a result some kind of litigation may be forthcoming.  At this point in time it is not possible to assess the number of likely claims or the financial exposure arising from them.</w:t>
      </w:r>
    </w:p>
    <w:p w14:paraId="60AFE1AF" w14:textId="77777777" w:rsidR="00CA6653" w:rsidRPr="00EB0E41" w:rsidRDefault="00CA6653" w:rsidP="00CA6653">
      <w:pPr>
        <w:pStyle w:val="Normal0"/>
        <w:spacing w:after="160"/>
        <w:rPr>
          <w:rFonts w:ascii="Verdana" w:hAnsi="Verdana"/>
          <w:sz w:val="4"/>
          <w:szCs w:val="4"/>
          <w:lang w:val="pt-BR"/>
        </w:rPr>
      </w:pPr>
    </w:p>
    <w:p w14:paraId="5671D189" w14:textId="77777777" w:rsidR="00CA6653" w:rsidRPr="00EB0E41" w:rsidRDefault="00CA6653" w:rsidP="00A31A9E">
      <w:pPr>
        <w:pStyle w:val="Heading1"/>
      </w:pPr>
      <w:bookmarkStart w:id="45" w:name="_Toc75122798"/>
      <w:r w:rsidRPr="00EB0E41">
        <w:t xml:space="preserve">Note </w:t>
      </w:r>
      <w:r w:rsidR="004D70DB" w:rsidRPr="00EB0E41">
        <w:t>3</w:t>
      </w:r>
      <w:r w:rsidR="00960EC4" w:rsidRPr="00EB0E41">
        <w:t>0</w:t>
      </w:r>
      <w:r w:rsidRPr="00EB0E41">
        <w:t xml:space="preserve"> - Contingent Assets</w:t>
      </w:r>
      <w:bookmarkEnd w:id="45"/>
      <w:r w:rsidRPr="00EB0E41">
        <w:t xml:space="preserve"> </w:t>
      </w:r>
    </w:p>
    <w:p w14:paraId="6780623D" w14:textId="77777777" w:rsidR="00CA6653" w:rsidRPr="00EB0E41" w:rsidRDefault="00CA6653">
      <w:pPr>
        <w:pStyle w:val="Normal0"/>
        <w:spacing w:after="160"/>
        <w:rPr>
          <w:rFonts w:ascii="Verdana" w:eastAsia="Verdana" w:hAnsi="Verdana" w:cs="Verdana"/>
          <w:sz w:val="22"/>
          <w:szCs w:val="22"/>
          <w:lang w:val="en-GB"/>
        </w:rPr>
      </w:pPr>
      <w:r w:rsidRPr="00EB0E41">
        <w:rPr>
          <w:rFonts w:ascii="Verdana" w:eastAsia="Verdana" w:hAnsi="Verdana" w:cs="Verdana"/>
          <w:sz w:val="22"/>
          <w:szCs w:val="22"/>
          <w:lang w:val="en-GB"/>
        </w:rPr>
        <w:t>The Group has no contingent assets to disclose at 31 March 20</w:t>
      </w:r>
      <w:r w:rsidR="000258B1" w:rsidRPr="00EB0E41">
        <w:rPr>
          <w:rFonts w:ascii="Verdana" w:eastAsia="Verdana" w:hAnsi="Verdana" w:cs="Verdana"/>
          <w:sz w:val="22"/>
          <w:szCs w:val="22"/>
          <w:lang w:val="en-GB"/>
        </w:rPr>
        <w:t>2</w:t>
      </w:r>
      <w:r w:rsidR="00CD2DC7" w:rsidRPr="00EB0E41">
        <w:rPr>
          <w:rFonts w:ascii="Verdana" w:eastAsia="Verdana" w:hAnsi="Verdana" w:cs="Verdana"/>
          <w:sz w:val="22"/>
          <w:szCs w:val="22"/>
          <w:lang w:val="en-GB"/>
        </w:rPr>
        <w:t>1</w:t>
      </w:r>
      <w:r w:rsidRPr="00EB0E41">
        <w:rPr>
          <w:rFonts w:ascii="Verdana" w:eastAsia="Verdana" w:hAnsi="Verdana" w:cs="Verdana"/>
          <w:sz w:val="22"/>
          <w:szCs w:val="22"/>
          <w:lang w:val="en-GB"/>
        </w:rPr>
        <w:t>.</w:t>
      </w:r>
    </w:p>
    <w:p w14:paraId="4345A676" w14:textId="77777777" w:rsidR="004D70DB" w:rsidRPr="009B4B70" w:rsidRDefault="004D70DB">
      <w:pPr>
        <w:pStyle w:val="Normal0"/>
        <w:spacing w:after="160"/>
        <w:rPr>
          <w:rFonts w:ascii="Verdana" w:eastAsia="Verdana" w:hAnsi="Verdana" w:cs="Verdana"/>
          <w:sz w:val="22"/>
          <w:szCs w:val="22"/>
          <w:lang w:val="en-GB"/>
        </w:rPr>
      </w:pPr>
    </w:p>
    <w:p w14:paraId="620FD0B6" w14:textId="77777777" w:rsidR="00CA6653" w:rsidRPr="009B4B70" w:rsidRDefault="00CA6653" w:rsidP="00A31A9E">
      <w:pPr>
        <w:pStyle w:val="Heading1"/>
      </w:pPr>
      <w:bookmarkStart w:id="46" w:name="_Toc75122799"/>
      <w:r w:rsidRPr="009B4B70">
        <w:t xml:space="preserve">Note </w:t>
      </w:r>
      <w:r w:rsidR="00502D6C" w:rsidRPr="009B4B70">
        <w:t>3</w:t>
      </w:r>
      <w:r w:rsidR="00960EC4" w:rsidRPr="009B4B70">
        <w:t>1</w:t>
      </w:r>
      <w:r w:rsidRPr="009B4B70">
        <w:t xml:space="preserve"> - Financial Instruments</w:t>
      </w:r>
      <w:bookmarkEnd w:id="46"/>
      <w:r w:rsidRPr="009B4B70">
        <w:t xml:space="preserve"> </w:t>
      </w:r>
    </w:p>
    <w:tbl>
      <w:tblPr>
        <w:tblW w:w="9094" w:type="dxa"/>
        <w:jc w:val="center"/>
        <w:tblLook w:val="04A0" w:firstRow="1" w:lastRow="0" w:firstColumn="1" w:lastColumn="0" w:noHBand="0" w:noVBand="1"/>
      </w:tblPr>
      <w:tblGrid>
        <w:gridCol w:w="3513"/>
        <w:gridCol w:w="1195"/>
        <w:gridCol w:w="1491"/>
        <w:gridCol w:w="1489"/>
        <w:gridCol w:w="1406"/>
      </w:tblGrid>
      <w:tr w:rsidR="00DC5E2A" w:rsidRPr="003516A4" w14:paraId="0B8FC4EB" w14:textId="77777777" w:rsidTr="00D91109">
        <w:trPr>
          <w:trHeight w:val="154"/>
          <w:jc w:val="center"/>
        </w:trPr>
        <w:tc>
          <w:tcPr>
            <w:tcW w:w="3513" w:type="dxa"/>
            <w:tcBorders>
              <w:top w:val="nil"/>
              <w:left w:val="nil"/>
              <w:bottom w:val="single" w:sz="4" w:space="0" w:color="auto"/>
              <w:right w:val="nil"/>
            </w:tcBorders>
            <w:shd w:val="clear" w:color="auto" w:fill="auto"/>
            <w:noWrap/>
            <w:vAlign w:val="bottom"/>
            <w:hideMark/>
          </w:tcPr>
          <w:p w14:paraId="13C6B9C6" w14:textId="77777777" w:rsidR="00DC5E2A" w:rsidRPr="009B4B70" w:rsidRDefault="00DC5E2A" w:rsidP="00EE6015">
            <w:pPr>
              <w:rPr>
                <w:rFonts w:ascii="Times New Roman" w:eastAsia="Times New Roman" w:hAnsi="Times New Roman" w:cs="Times New Roman"/>
                <w:lang w:val="en-GB" w:eastAsia="en-GB"/>
              </w:rPr>
            </w:pPr>
          </w:p>
        </w:tc>
        <w:tc>
          <w:tcPr>
            <w:tcW w:w="5581" w:type="dxa"/>
            <w:gridSpan w:val="4"/>
            <w:tcBorders>
              <w:top w:val="nil"/>
              <w:left w:val="nil"/>
              <w:bottom w:val="single" w:sz="8" w:space="0" w:color="auto"/>
              <w:right w:val="nil"/>
            </w:tcBorders>
            <w:shd w:val="clear" w:color="auto" w:fill="auto"/>
            <w:noWrap/>
            <w:vAlign w:val="bottom"/>
            <w:hideMark/>
          </w:tcPr>
          <w:p w14:paraId="49D1AABC" w14:textId="77777777" w:rsidR="00DC5E2A" w:rsidRPr="00EC3908" w:rsidRDefault="00C86C86" w:rsidP="00EE6015">
            <w:pPr>
              <w:jc w:val="center"/>
              <w:rPr>
                <w:rFonts w:eastAsia="Times New Roman" w:cs="Calibri"/>
                <w:b/>
                <w:bCs/>
                <w:color w:val="000000"/>
                <w:sz w:val="16"/>
                <w:szCs w:val="16"/>
                <w:lang w:val="en-GB" w:eastAsia="en-GB"/>
              </w:rPr>
            </w:pPr>
            <w:r w:rsidRPr="009B4B70">
              <w:rPr>
                <w:rFonts w:eastAsia="Times New Roman" w:cs="Calibri"/>
                <w:b/>
                <w:bCs/>
                <w:color w:val="000000"/>
                <w:sz w:val="16"/>
                <w:szCs w:val="16"/>
                <w:lang w:val="en-GB" w:eastAsia="en-GB"/>
              </w:rPr>
              <w:t>Non-</w:t>
            </w:r>
            <w:r w:rsidR="00DC5E2A" w:rsidRPr="009B4B70">
              <w:rPr>
                <w:rFonts w:eastAsia="Times New Roman" w:cs="Calibri"/>
                <w:b/>
                <w:bCs/>
                <w:color w:val="000000"/>
                <w:sz w:val="16"/>
                <w:szCs w:val="16"/>
                <w:lang w:val="en-GB" w:eastAsia="en-GB"/>
              </w:rPr>
              <w:t>Current Financial Assets</w:t>
            </w:r>
          </w:p>
        </w:tc>
      </w:tr>
      <w:tr w:rsidR="00DC5E2A" w:rsidRPr="003516A4" w14:paraId="2B189B68" w14:textId="77777777" w:rsidTr="00D91109">
        <w:trPr>
          <w:trHeight w:val="146"/>
          <w:jc w:val="center"/>
        </w:trPr>
        <w:tc>
          <w:tcPr>
            <w:tcW w:w="3513" w:type="dxa"/>
            <w:tcBorders>
              <w:top w:val="single" w:sz="4" w:space="0" w:color="auto"/>
              <w:left w:val="single" w:sz="4" w:space="0" w:color="auto"/>
              <w:bottom w:val="nil"/>
              <w:right w:val="single" w:sz="4" w:space="0" w:color="auto"/>
            </w:tcBorders>
            <w:shd w:val="clear" w:color="auto" w:fill="auto"/>
            <w:noWrap/>
            <w:vAlign w:val="bottom"/>
            <w:hideMark/>
          </w:tcPr>
          <w:p w14:paraId="25821DF3" w14:textId="77777777" w:rsidR="00DC5E2A" w:rsidRPr="00EC3908" w:rsidRDefault="00DC5E2A" w:rsidP="00EE6015">
            <w:pPr>
              <w:jc w:val="center"/>
              <w:rPr>
                <w:rFonts w:eastAsia="Times New Roman" w:cs="Calibri"/>
                <w:b/>
                <w:bCs/>
                <w:color w:val="000000"/>
                <w:sz w:val="16"/>
                <w:szCs w:val="16"/>
                <w:lang w:val="en-GB" w:eastAsia="en-GB"/>
              </w:rPr>
            </w:pPr>
          </w:p>
        </w:tc>
        <w:tc>
          <w:tcPr>
            <w:tcW w:w="2686" w:type="dxa"/>
            <w:gridSpan w:val="2"/>
            <w:tcBorders>
              <w:top w:val="single" w:sz="8" w:space="0" w:color="auto"/>
              <w:left w:val="single" w:sz="4" w:space="0" w:color="auto"/>
              <w:bottom w:val="nil"/>
              <w:right w:val="single" w:sz="8" w:space="0" w:color="000000"/>
            </w:tcBorders>
            <w:shd w:val="clear" w:color="auto" w:fill="auto"/>
            <w:noWrap/>
            <w:vAlign w:val="bottom"/>
            <w:hideMark/>
          </w:tcPr>
          <w:p w14:paraId="0BC3BE0F" w14:textId="77777777" w:rsidR="00DC5E2A" w:rsidRPr="00EC3908" w:rsidRDefault="00DC5E2A" w:rsidP="00EE6015">
            <w:pPr>
              <w:jc w:val="center"/>
              <w:rPr>
                <w:rFonts w:eastAsia="Times New Roman" w:cs="Calibri"/>
                <w:b/>
                <w:bCs/>
                <w:color w:val="000000"/>
                <w:sz w:val="16"/>
                <w:szCs w:val="16"/>
                <w:lang w:val="en-GB" w:eastAsia="en-GB"/>
              </w:rPr>
            </w:pPr>
            <w:r w:rsidRPr="00EC3908">
              <w:rPr>
                <w:rFonts w:eastAsia="Times New Roman" w:cs="Calibri"/>
                <w:b/>
                <w:bCs/>
                <w:color w:val="000000"/>
                <w:sz w:val="16"/>
                <w:szCs w:val="16"/>
                <w:lang w:val="en-GB" w:eastAsia="en-GB"/>
              </w:rPr>
              <w:t>Debtor</w:t>
            </w:r>
          </w:p>
        </w:tc>
        <w:tc>
          <w:tcPr>
            <w:tcW w:w="2895" w:type="dxa"/>
            <w:gridSpan w:val="2"/>
            <w:tcBorders>
              <w:top w:val="single" w:sz="8" w:space="0" w:color="auto"/>
              <w:left w:val="nil"/>
              <w:bottom w:val="nil"/>
              <w:right w:val="single" w:sz="8" w:space="0" w:color="000000"/>
            </w:tcBorders>
            <w:shd w:val="clear" w:color="auto" w:fill="auto"/>
            <w:noWrap/>
            <w:vAlign w:val="bottom"/>
            <w:hideMark/>
          </w:tcPr>
          <w:p w14:paraId="6F5F0390" w14:textId="77777777" w:rsidR="00DC5E2A" w:rsidRPr="00EC3908" w:rsidRDefault="00DC5E2A" w:rsidP="00EE6015">
            <w:pPr>
              <w:jc w:val="center"/>
              <w:rPr>
                <w:rFonts w:eastAsia="Times New Roman" w:cs="Calibri"/>
                <w:b/>
                <w:bCs/>
                <w:color w:val="000000"/>
                <w:sz w:val="16"/>
                <w:szCs w:val="16"/>
                <w:lang w:val="en-GB" w:eastAsia="en-GB"/>
              </w:rPr>
            </w:pPr>
            <w:r w:rsidRPr="00EC3908">
              <w:rPr>
                <w:rFonts w:eastAsia="Times New Roman" w:cs="Calibri"/>
                <w:b/>
                <w:bCs/>
                <w:color w:val="000000"/>
                <w:sz w:val="16"/>
                <w:szCs w:val="16"/>
                <w:lang w:val="en-GB" w:eastAsia="en-GB"/>
              </w:rPr>
              <w:t>Total</w:t>
            </w:r>
          </w:p>
        </w:tc>
      </w:tr>
      <w:tr w:rsidR="00DC5E2A" w:rsidRPr="003516A4" w14:paraId="59BDA6ED" w14:textId="77777777" w:rsidTr="00D91109">
        <w:trPr>
          <w:trHeight w:val="146"/>
          <w:jc w:val="center"/>
        </w:trPr>
        <w:tc>
          <w:tcPr>
            <w:tcW w:w="3513" w:type="dxa"/>
            <w:tcBorders>
              <w:top w:val="nil"/>
              <w:left w:val="single" w:sz="4" w:space="0" w:color="auto"/>
              <w:bottom w:val="nil"/>
              <w:right w:val="single" w:sz="4" w:space="0" w:color="auto"/>
            </w:tcBorders>
            <w:shd w:val="clear" w:color="auto" w:fill="auto"/>
            <w:noWrap/>
            <w:vAlign w:val="bottom"/>
            <w:hideMark/>
          </w:tcPr>
          <w:p w14:paraId="6A0EB46E" w14:textId="77777777" w:rsidR="00DC5E2A" w:rsidRPr="00EC3908" w:rsidRDefault="00DC5E2A" w:rsidP="00EE6015">
            <w:pPr>
              <w:jc w:val="center"/>
              <w:rPr>
                <w:rFonts w:eastAsia="Times New Roman" w:cs="Calibri"/>
                <w:b/>
                <w:bCs/>
                <w:color w:val="000000"/>
                <w:sz w:val="16"/>
                <w:szCs w:val="16"/>
                <w:lang w:val="en-GB" w:eastAsia="en-GB"/>
              </w:rPr>
            </w:pPr>
          </w:p>
        </w:tc>
        <w:tc>
          <w:tcPr>
            <w:tcW w:w="1195" w:type="dxa"/>
            <w:tcBorders>
              <w:top w:val="nil"/>
              <w:left w:val="single" w:sz="4" w:space="0" w:color="auto"/>
              <w:bottom w:val="nil"/>
              <w:right w:val="nil"/>
            </w:tcBorders>
            <w:shd w:val="clear" w:color="auto" w:fill="auto"/>
            <w:noWrap/>
            <w:vAlign w:val="bottom"/>
            <w:hideMark/>
          </w:tcPr>
          <w:p w14:paraId="512CBD05" w14:textId="77777777" w:rsidR="00DC5E2A" w:rsidRPr="00EC3908" w:rsidRDefault="00DC5E2A" w:rsidP="00CD2DC7">
            <w:pPr>
              <w:jc w:val="right"/>
              <w:rPr>
                <w:rFonts w:eastAsia="Times New Roman" w:cs="Calibri"/>
                <w:b/>
                <w:bCs/>
                <w:color w:val="000000"/>
                <w:sz w:val="16"/>
                <w:szCs w:val="16"/>
                <w:lang w:val="en-GB" w:eastAsia="en-GB"/>
              </w:rPr>
            </w:pPr>
            <w:r w:rsidRPr="00EC3908">
              <w:rPr>
                <w:rFonts w:eastAsia="Times New Roman" w:cs="Calibri"/>
                <w:b/>
                <w:bCs/>
                <w:color w:val="000000"/>
                <w:sz w:val="16"/>
                <w:szCs w:val="16"/>
                <w:lang w:val="en-GB" w:eastAsia="en-GB"/>
              </w:rPr>
              <w:t>31-Mar-</w:t>
            </w:r>
            <w:r w:rsidR="00CD2DC7" w:rsidRPr="00EC3908">
              <w:rPr>
                <w:rFonts w:eastAsia="Times New Roman" w:cs="Calibri"/>
                <w:b/>
                <w:bCs/>
                <w:color w:val="000000"/>
                <w:sz w:val="16"/>
                <w:szCs w:val="16"/>
                <w:lang w:val="en-GB" w:eastAsia="en-GB"/>
              </w:rPr>
              <w:t>20</w:t>
            </w:r>
          </w:p>
        </w:tc>
        <w:tc>
          <w:tcPr>
            <w:tcW w:w="1491" w:type="dxa"/>
            <w:tcBorders>
              <w:top w:val="nil"/>
              <w:left w:val="nil"/>
              <w:bottom w:val="nil"/>
              <w:right w:val="single" w:sz="8" w:space="0" w:color="auto"/>
            </w:tcBorders>
            <w:shd w:val="clear" w:color="auto" w:fill="auto"/>
            <w:noWrap/>
            <w:vAlign w:val="bottom"/>
            <w:hideMark/>
          </w:tcPr>
          <w:p w14:paraId="3C5C5996" w14:textId="77777777" w:rsidR="00DC5E2A" w:rsidRPr="00EC3908" w:rsidRDefault="00DC5E2A" w:rsidP="00CD2DC7">
            <w:pPr>
              <w:jc w:val="right"/>
              <w:rPr>
                <w:rFonts w:eastAsia="Times New Roman" w:cs="Calibri"/>
                <w:b/>
                <w:bCs/>
                <w:color w:val="000000"/>
                <w:sz w:val="16"/>
                <w:szCs w:val="16"/>
                <w:lang w:val="en-GB" w:eastAsia="en-GB"/>
              </w:rPr>
            </w:pPr>
            <w:r w:rsidRPr="00EC3908">
              <w:rPr>
                <w:rFonts w:eastAsia="Times New Roman" w:cs="Calibri"/>
                <w:b/>
                <w:bCs/>
                <w:color w:val="000000"/>
                <w:sz w:val="16"/>
                <w:szCs w:val="16"/>
                <w:lang w:val="en-GB" w:eastAsia="en-GB"/>
              </w:rPr>
              <w:t>31-Mar-2</w:t>
            </w:r>
            <w:r w:rsidR="00CD2DC7" w:rsidRPr="00EC3908">
              <w:rPr>
                <w:rFonts w:eastAsia="Times New Roman" w:cs="Calibri"/>
                <w:b/>
                <w:bCs/>
                <w:color w:val="000000"/>
                <w:sz w:val="16"/>
                <w:szCs w:val="16"/>
                <w:lang w:val="en-GB" w:eastAsia="en-GB"/>
              </w:rPr>
              <w:t>1</w:t>
            </w:r>
          </w:p>
        </w:tc>
        <w:tc>
          <w:tcPr>
            <w:tcW w:w="1489" w:type="dxa"/>
            <w:tcBorders>
              <w:top w:val="nil"/>
              <w:left w:val="nil"/>
              <w:bottom w:val="nil"/>
              <w:right w:val="nil"/>
            </w:tcBorders>
            <w:shd w:val="clear" w:color="auto" w:fill="auto"/>
            <w:noWrap/>
            <w:vAlign w:val="bottom"/>
            <w:hideMark/>
          </w:tcPr>
          <w:p w14:paraId="3DE59121" w14:textId="77777777" w:rsidR="00DC5E2A" w:rsidRPr="00EC3908" w:rsidRDefault="00DC5E2A" w:rsidP="00CD2DC7">
            <w:pPr>
              <w:jc w:val="right"/>
              <w:rPr>
                <w:rFonts w:eastAsia="Times New Roman" w:cs="Calibri"/>
                <w:b/>
                <w:bCs/>
                <w:color w:val="000000"/>
                <w:sz w:val="16"/>
                <w:szCs w:val="16"/>
                <w:lang w:val="en-GB" w:eastAsia="en-GB"/>
              </w:rPr>
            </w:pPr>
            <w:r w:rsidRPr="00EC3908">
              <w:rPr>
                <w:rFonts w:eastAsia="Times New Roman" w:cs="Calibri"/>
                <w:b/>
                <w:bCs/>
                <w:color w:val="000000"/>
                <w:sz w:val="16"/>
                <w:szCs w:val="16"/>
                <w:lang w:val="en-GB" w:eastAsia="en-GB"/>
              </w:rPr>
              <w:t>31-Mar-</w:t>
            </w:r>
            <w:r w:rsidR="00CD2DC7" w:rsidRPr="00EC3908">
              <w:rPr>
                <w:rFonts w:eastAsia="Times New Roman" w:cs="Calibri"/>
                <w:b/>
                <w:bCs/>
                <w:color w:val="000000"/>
                <w:sz w:val="16"/>
                <w:szCs w:val="16"/>
                <w:lang w:val="en-GB" w:eastAsia="en-GB"/>
              </w:rPr>
              <w:t>20</w:t>
            </w:r>
          </w:p>
        </w:tc>
        <w:tc>
          <w:tcPr>
            <w:tcW w:w="1406" w:type="dxa"/>
            <w:tcBorders>
              <w:top w:val="nil"/>
              <w:left w:val="nil"/>
              <w:bottom w:val="nil"/>
              <w:right w:val="single" w:sz="8" w:space="0" w:color="auto"/>
            </w:tcBorders>
            <w:shd w:val="clear" w:color="auto" w:fill="auto"/>
            <w:noWrap/>
            <w:vAlign w:val="bottom"/>
            <w:hideMark/>
          </w:tcPr>
          <w:p w14:paraId="2AFD7D53" w14:textId="77777777" w:rsidR="00DC5E2A" w:rsidRPr="00EC3908" w:rsidRDefault="00DC5E2A" w:rsidP="00CD2DC7">
            <w:pPr>
              <w:jc w:val="right"/>
              <w:rPr>
                <w:rFonts w:eastAsia="Times New Roman" w:cs="Calibri"/>
                <w:b/>
                <w:bCs/>
                <w:color w:val="000000"/>
                <w:sz w:val="16"/>
                <w:szCs w:val="16"/>
                <w:lang w:val="en-GB" w:eastAsia="en-GB"/>
              </w:rPr>
            </w:pPr>
            <w:r w:rsidRPr="00EC3908">
              <w:rPr>
                <w:rFonts w:eastAsia="Times New Roman" w:cs="Calibri"/>
                <w:b/>
                <w:bCs/>
                <w:color w:val="000000"/>
                <w:sz w:val="16"/>
                <w:szCs w:val="16"/>
                <w:lang w:val="en-GB" w:eastAsia="en-GB"/>
              </w:rPr>
              <w:t>31-Mar-2</w:t>
            </w:r>
            <w:r w:rsidR="00CD2DC7" w:rsidRPr="00EC3908">
              <w:rPr>
                <w:rFonts w:eastAsia="Times New Roman" w:cs="Calibri"/>
                <w:b/>
                <w:bCs/>
                <w:color w:val="000000"/>
                <w:sz w:val="16"/>
                <w:szCs w:val="16"/>
                <w:lang w:val="en-GB" w:eastAsia="en-GB"/>
              </w:rPr>
              <w:t>1</w:t>
            </w:r>
          </w:p>
        </w:tc>
      </w:tr>
      <w:tr w:rsidR="00DC5E2A" w:rsidRPr="003516A4" w14:paraId="10D8F15B" w14:textId="77777777" w:rsidTr="00D91109">
        <w:trPr>
          <w:trHeight w:val="146"/>
          <w:jc w:val="center"/>
        </w:trPr>
        <w:tc>
          <w:tcPr>
            <w:tcW w:w="3513" w:type="dxa"/>
            <w:tcBorders>
              <w:top w:val="nil"/>
              <w:left w:val="single" w:sz="4" w:space="0" w:color="auto"/>
              <w:bottom w:val="single" w:sz="4" w:space="0" w:color="auto"/>
              <w:right w:val="single" w:sz="4" w:space="0" w:color="auto"/>
            </w:tcBorders>
            <w:shd w:val="clear" w:color="auto" w:fill="auto"/>
            <w:noWrap/>
            <w:vAlign w:val="bottom"/>
            <w:hideMark/>
          </w:tcPr>
          <w:p w14:paraId="5BB9C0C4" w14:textId="77777777" w:rsidR="00DC5E2A" w:rsidRPr="00EC3908" w:rsidRDefault="00DC5E2A" w:rsidP="00EE6015">
            <w:pPr>
              <w:rPr>
                <w:rFonts w:eastAsia="Times New Roman" w:cs="Calibri"/>
                <w:color w:val="000000"/>
                <w:sz w:val="16"/>
                <w:szCs w:val="16"/>
                <w:lang w:val="en-GB" w:eastAsia="en-GB"/>
              </w:rPr>
            </w:pPr>
            <w:r w:rsidRPr="00EC3908">
              <w:rPr>
                <w:rFonts w:eastAsia="Times New Roman" w:cs="Calibri"/>
                <w:color w:val="000000"/>
                <w:sz w:val="16"/>
                <w:szCs w:val="16"/>
                <w:lang w:val="en-GB" w:eastAsia="en-GB"/>
              </w:rPr>
              <w:t> </w:t>
            </w:r>
          </w:p>
        </w:tc>
        <w:tc>
          <w:tcPr>
            <w:tcW w:w="1195" w:type="dxa"/>
            <w:tcBorders>
              <w:top w:val="nil"/>
              <w:left w:val="single" w:sz="4" w:space="0" w:color="auto"/>
              <w:bottom w:val="single" w:sz="4" w:space="0" w:color="auto"/>
              <w:right w:val="nil"/>
            </w:tcBorders>
            <w:shd w:val="clear" w:color="auto" w:fill="auto"/>
            <w:noWrap/>
            <w:vAlign w:val="bottom"/>
            <w:hideMark/>
          </w:tcPr>
          <w:p w14:paraId="002503E9" w14:textId="77777777" w:rsidR="00DC5E2A" w:rsidRPr="00EC3908" w:rsidRDefault="00DC5E2A" w:rsidP="00EE6015">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£000</w:t>
            </w:r>
          </w:p>
        </w:tc>
        <w:tc>
          <w:tcPr>
            <w:tcW w:w="1491" w:type="dxa"/>
            <w:tcBorders>
              <w:top w:val="nil"/>
              <w:left w:val="nil"/>
              <w:bottom w:val="single" w:sz="4" w:space="0" w:color="auto"/>
              <w:right w:val="single" w:sz="8" w:space="0" w:color="auto"/>
            </w:tcBorders>
            <w:shd w:val="clear" w:color="auto" w:fill="auto"/>
            <w:noWrap/>
            <w:vAlign w:val="bottom"/>
            <w:hideMark/>
          </w:tcPr>
          <w:p w14:paraId="2713B9EB" w14:textId="77777777" w:rsidR="00DC5E2A" w:rsidRPr="00EC3908" w:rsidRDefault="00DC5E2A" w:rsidP="00EE6015">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£000</w:t>
            </w:r>
          </w:p>
        </w:tc>
        <w:tc>
          <w:tcPr>
            <w:tcW w:w="1489" w:type="dxa"/>
            <w:tcBorders>
              <w:top w:val="nil"/>
              <w:left w:val="nil"/>
              <w:bottom w:val="single" w:sz="4" w:space="0" w:color="auto"/>
              <w:right w:val="nil"/>
            </w:tcBorders>
            <w:shd w:val="clear" w:color="auto" w:fill="auto"/>
            <w:noWrap/>
            <w:vAlign w:val="bottom"/>
            <w:hideMark/>
          </w:tcPr>
          <w:p w14:paraId="3AD02FA9" w14:textId="77777777" w:rsidR="00DC5E2A" w:rsidRPr="00EC3908" w:rsidRDefault="00DC5E2A" w:rsidP="00EE6015">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5FC12C9A" w14:textId="77777777" w:rsidR="00DC5E2A" w:rsidRPr="00EC3908" w:rsidRDefault="00DC5E2A" w:rsidP="00EE6015">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£000</w:t>
            </w:r>
          </w:p>
        </w:tc>
      </w:tr>
      <w:tr w:rsidR="00CD2DC7" w:rsidRPr="003516A4" w14:paraId="462A9CE1" w14:textId="77777777" w:rsidTr="00CD2DC7">
        <w:trPr>
          <w:trHeight w:val="146"/>
          <w:jc w:val="center"/>
        </w:trPr>
        <w:tc>
          <w:tcPr>
            <w:tcW w:w="3513" w:type="dxa"/>
            <w:tcBorders>
              <w:top w:val="nil"/>
              <w:left w:val="single" w:sz="4" w:space="0" w:color="auto"/>
              <w:bottom w:val="single" w:sz="4" w:space="0" w:color="auto"/>
              <w:right w:val="single" w:sz="4" w:space="0" w:color="auto"/>
            </w:tcBorders>
            <w:shd w:val="clear" w:color="auto" w:fill="auto"/>
            <w:noWrap/>
            <w:vAlign w:val="bottom"/>
            <w:hideMark/>
          </w:tcPr>
          <w:p w14:paraId="6DAFE8A1" w14:textId="77777777" w:rsidR="00CD2DC7" w:rsidRPr="00EC3908" w:rsidRDefault="00CD2DC7" w:rsidP="00CD2DC7">
            <w:pPr>
              <w:rPr>
                <w:rFonts w:eastAsia="Times New Roman" w:cs="Calibri"/>
                <w:color w:val="000000"/>
                <w:sz w:val="16"/>
                <w:szCs w:val="16"/>
                <w:lang w:val="en-GB" w:eastAsia="en-GB"/>
              </w:rPr>
            </w:pPr>
            <w:r w:rsidRPr="00EC3908">
              <w:rPr>
                <w:rFonts w:eastAsia="Times New Roman" w:cs="Calibri"/>
                <w:color w:val="000000"/>
                <w:sz w:val="16"/>
                <w:szCs w:val="16"/>
                <w:lang w:val="en-GB" w:eastAsia="en-GB"/>
              </w:rPr>
              <w:t>Amortised Cost</w:t>
            </w:r>
          </w:p>
        </w:tc>
        <w:tc>
          <w:tcPr>
            <w:tcW w:w="1195" w:type="dxa"/>
            <w:tcBorders>
              <w:top w:val="nil"/>
              <w:left w:val="single" w:sz="4" w:space="0" w:color="auto"/>
              <w:bottom w:val="single" w:sz="4" w:space="0" w:color="auto"/>
              <w:right w:val="nil"/>
            </w:tcBorders>
            <w:shd w:val="clear" w:color="auto" w:fill="auto"/>
            <w:noWrap/>
            <w:vAlign w:val="bottom"/>
            <w:hideMark/>
          </w:tcPr>
          <w:p w14:paraId="107C47A7" w14:textId="77777777" w:rsidR="00CD2DC7" w:rsidRPr="00EC3908" w:rsidRDefault="00CD2DC7" w:rsidP="00CD2DC7">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586</w:t>
            </w:r>
          </w:p>
        </w:tc>
        <w:tc>
          <w:tcPr>
            <w:tcW w:w="1491" w:type="dxa"/>
            <w:tcBorders>
              <w:top w:val="nil"/>
              <w:left w:val="nil"/>
              <w:bottom w:val="single" w:sz="4" w:space="0" w:color="auto"/>
              <w:right w:val="single" w:sz="8" w:space="0" w:color="auto"/>
            </w:tcBorders>
            <w:shd w:val="clear" w:color="auto" w:fill="auto"/>
            <w:noWrap/>
            <w:vAlign w:val="bottom"/>
            <w:hideMark/>
          </w:tcPr>
          <w:p w14:paraId="0AD57929" w14:textId="77777777" w:rsidR="00CD2DC7" w:rsidRPr="00EC3908" w:rsidRDefault="00EC3908" w:rsidP="00CD2DC7">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586</w:t>
            </w:r>
          </w:p>
        </w:tc>
        <w:tc>
          <w:tcPr>
            <w:tcW w:w="1489" w:type="dxa"/>
            <w:tcBorders>
              <w:top w:val="nil"/>
              <w:left w:val="nil"/>
              <w:bottom w:val="single" w:sz="4" w:space="0" w:color="auto"/>
              <w:right w:val="nil"/>
            </w:tcBorders>
            <w:shd w:val="clear" w:color="auto" w:fill="auto"/>
            <w:noWrap/>
            <w:vAlign w:val="bottom"/>
            <w:hideMark/>
          </w:tcPr>
          <w:p w14:paraId="3A95C2CE" w14:textId="77777777" w:rsidR="00CD2DC7" w:rsidRPr="00EC3908" w:rsidRDefault="00CD2DC7" w:rsidP="00CD2DC7">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 xml:space="preserve">                  586 </w:t>
            </w:r>
          </w:p>
        </w:tc>
        <w:tc>
          <w:tcPr>
            <w:tcW w:w="1406" w:type="dxa"/>
            <w:tcBorders>
              <w:top w:val="nil"/>
              <w:left w:val="nil"/>
              <w:bottom w:val="single" w:sz="4" w:space="0" w:color="auto"/>
              <w:right w:val="single" w:sz="8" w:space="0" w:color="auto"/>
            </w:tcBorders>
            <w:shd w:val="clear" w:color="auto" w:fill="auto"/>
            <w:noWrap/>
            <w:vAlign w:val="bottom"/>
          </w:tcPr>
          <w:p w14:paraId="1E5F396C" w14:textId="77777777" w:rsidR="00CD2DC7" w:rsidRPr="00EC3908" w:rsidRDefault="00EC3908" w:rsidP="00CD2DC7">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586</w:t>
            </w:r>
          </w:p>
        </w:tc>
      </w:tr>
      <w:tr w:rsidR="00CD2DC7" w:rsidRPr="003516A4" w14:paraId="2E03E3D3" w14:textId="77777777" w:rsidTr="00CD2DC7">
        <w:trPr>
          <w:trHeight w:val="154"/>
          <w:jc w:val="center"/>
        </w:trPr>
        <w:tc>
          <w:tcPr>
            <w:tcW w:w="3513" w:type="dxa"/>
            <w:tcBorders>
              <w:top w:val="nil"/>
              <w:left w:val="single" w:sz="4" w:space="0" w:color="auto"/>
              <w:bottom w:val="single" w:sz="8" w:space="0" w:color="auto"/>
              <w:right w:val="single" w:sz="4" w:space="0" w:color="auto"/>
            </w:tcBorders>
            <w:shd w:val="clear" w:color="auto" w:fill="auto"/>
            <w:noWrap/>
            <w:vAlign w:val="bottom"/>
            <w:hideMark/>
          </w:tcPr>
          <w:p w14:paraId="6BD149DD" w14:textId="77777777" w:rsidR="00CD2DC7" w:rsidRPr="00EC3908" w:rsidRDefault="00CD2DC7" w:rsidP="00CD2DC7">
            <w:pPr>
              <w:rPr>
                <w:rFonts w:eastAsia="Times New Roman" w:cs="Calibri"/>
                <w:b/>
                <w:color w:val="000000"/>
                <w:sz w:val="16"/>
                <w:szCs w:val="16"/>
                <w:lang w:val="en-GB" w:eastAsia="en-GB"/>
              </w:rPr>
            </w:pPr>
            <w:r w:rsidRPr="00EC3908">
              <w:rPr>
                <w:rFonts w:eastAsia="Times New Roman" w:cs="Calibri"/>
                <w:b/>
                <w:color w:val="000000"/>
                <w:sz w:val="16"/>
                <w:szCs w:val="16"/>
                <w:lang w:val="en-GB" w:eastAsia="en-GB"/>
              </w:rPr>
              <w:t>Total financial assets</w:t>
            </w:r>
          </w:p>
        </w:tc>
        <w:tc>
          <w:tcPr>
            <w:tcW w:w="1195" w:type="dxa"/>
            <w:tcBorders>
              <w:top w:val="nil"/>
              <w:left w:val="single" w:sz="4" w:space="0" w:color="auto"/>
              <w:bottom w:val="single" w:sz="8" w:space="0" w:color="auto"/>
              <w:right w:val="nil"/>
            </w:tcBorders>
            <w:shd w:val="clear" w:color="auto" w:fill="auto"/>
            <w:noWrap/>
            <w:vAlign w:val="bottom"/>
            <w:hideMark/>
          </w:tcPr>
          <w:p w14:paraId="570B933A" w14:textId="77777777" w:rsidR="00CD2DC7" w:rsidRPr="00EC3908" w:rsidRDefault="00CD2DC7" w:rsidP="00CD2DC7">
            <w:pPr>
              <w:jc w:val="right"/>
              <w:rPr>
                <w:rFonts w:eastAsia="Times New Roman" w:cs="Calibri"/>
                <w:b/>
                <w:color w:val="000000"/>
                <w:sz w:val="16"/>
                <w:szCs w:val="16"/>
                <w:lang w:val="en-GB" w:eastAsia="en-GB"/>
              </w:rPr>
            </w:pPr>
            <w:r w:rsidRPr="00EC3908">
              <w:rPr>
                <w:rFonts w:eastAsia="Times New Roman" w:cs="Calibri"/>
                <w:b/>
                <w:color w:val="000000"/>
                <w:sz w:val="16"/>
                <w:szCs w:val="16"/>
                <w:lang w:val="en-GB" w:eastAsia="en-GB"/>
              </w:rPr>
              <w:t xml:space="preserve">                      586 </w:t>
            </w:r>
          </w:p>
        </w:tc>
        <w:tc>
          <w:tcPr>
            <w:tcW w:w="1491" w:type="dxa"/>
            <w:tcBorders>
              <w:top w:val="nil"/>
              <w:left w:val="nil"/>
              <w:bottom w:val="single" w:sz="8" w:space="0" w:color="auto"/>
              <w:right w:val="single" w:sz="8" w:space="0" w:color="auto"/>
            </w:tcBorders>
            <w:shd w:val="clear" w:color="auto" w:fill="auto"/>
            <w:noWrap/>
            <w:vAlign w:val="bottom"/>
            <w:hideMark/>
          </w:tcPr>
          <w:p w14:paraId="721C004B" w14:textId="77777777" w:rsidR="00CD2DC7" w:rsidRPr="00EC3908" w:rsidRDefault="00EC3908" w:rsidP="00CD2DC7">
            <w:pPr>
              <w:jc w:val="right"/>
              <w:rPr>
                <w:rFonts w:eastAsia="Times New Roman" w:cs="Calibri"/>
                <w:b/>
                <w:color w:val="000000"/>
                <w:sz w:val="16"/>
                <w:szCs w:val="16"/>
                <w:lang w:val="en-GB" w:eastAsia="en-GB"/>
              </w:rPr>
            </w:pPr>
            <w:r w:rsidRPr="00EC3908">
              <w:rPr>
                <w:rFonts w:eastAsia="Times New Roman" w:cs="Calibri"/>
                <w:b/>
                <w:color w:val="000000"/>
                <w:sz w:val="16"/>
                <w:szCs w:val="16"/>
                <w:lang w:val="en-GB" w:eastAsia="en-GB"/>
              </w:rPr>
              <w:t>586</w:t>
            </w:r>
            <w:r w:rsidR="00CD2DC7" w:rsidRPr="00EC3908">
              <w:rPr>
                <w:rFonts w:eastAsia="Times New Roman" w:cs="Calibri"/>
                <w:b/>
                <w:color w:val="000000"/>
                <w:sz w:val="16"/>
                <w:szCs w:val="16"/>
                <w:lang w:val="en-GB" w:eastAsia="en-GB"/>
              </w:rPr>
              <w:t xml:space="preserve">                      </w:t>
            </w:r>
          </w:p>
        </w:tc>
        <w:tc>
          <w:tcPr>
            <w:tcW w:w="1489" w:type="dxa"/>
            <w:tcBorders>
              <w:top w:val="nil"/>
              <w:left w:val="nil"/>
              <w:bottom w:val="single" w:sz="8" w:space="0" w:color="auto"/>
              <w:right w:val="nil"/>
            </w:tcBorders>
            <w:shd w:val="clear" w:color="auto" w:fill="auto"/>
            <w:noWrap/>
            <w:vAlign w:val="bottom"/>
            <w:hideMark/>
          </w:tcPr>
          <w:p w14:paraId="3744307D" w14:textId="77777777" w:rsidR="00CD2DC7" w:rsidRPr="00EC3908" w:rsidRDefault="00CD2DC7" w:rsidP="00CD2DC7">
            <w:pPr>
              <w:jc w:val="right"/>
              <w:rPr>
                <w:rFonts w:eastAsia="Times New Roman" w:cs="Calibri"/>
                <w:b/>
                <w:color w:val="000000"/>
                <w:sz w:val="16"/>
                <w:szCs w:val="16"/>
                <w:lang w:val="en-GB" w:eastAsia="en-GB"/>
              </w:rPr>
            </w:pPr>
            <w:r w:rsidRPr="00EC3908">
              <w:rPr>
                <w:rFonts w:eastAsia="Times New Roman" w:cs="Calibri"/>
                <w:b/>
                <w:color w:val="000000"/>
                <w:sz w:val="16"/>
                <w:szCs w:val="16"/>
                <w:lang w:val="en-GB" w:eastAsia="en-GB"/>
              </w:rPr>
              <w:t xml:space="preserve">                  586 </w:t>
            </w:r>
          </w:p>
        </w:tc>
        <w:tc>
          <w:tcPr>
            <w:tcW w:w="1406" w:type="dxa"/>
            <w:tcBorders>
              <w:top w:val="nil"/>
              <w:left w:val="nil"/>
              <w:bottom w:val="single" w:sz="8" w:space="0" w:color="auto"/>
              <w:right w:val="single" w:sz="8" w:space="0" w:color="auto"/>
            </w:tcBorders>
            <w:shd w:val="clear" w:color="auto" w:fill="auto"/>
            <w:noWrap/>
            <w:vAlign w:val="bottom"/>
          </w:tcPr>
          <w:p w14:paraId="4E04ECF9" w14:textId="77777777" w:rsidR="00CD2DC7" w:rsidRPr="00EC3908" w:rsidRDefault="00EC3908" w:rsidP="00CD2DC7">
            <w:pPr>
              <w:jc w:val="right"/>
              <w:rPr>
                <w:rFonts w:eastAsia="Times New Roman" w:cs="Calibri"/>
                <w:b/>
                <w:color w:val="000000"/>
                <w:sz w:val="16"/>
                <w:szCs w:val="16"/>
                <w:lang w:val="en-GB" w:eastAsia="en-GB"/>
              </w:rPr>
            </w:pPr>
            <w:r w:rsidRPr="00EC3908">
              <w:rPr>
                <w:rFonts w:eastAsia="Times New Roman" w:cs="Calibri"/>
                <w:b/>
                <w:color w:val="000000"/>
                <w:sz w:val="16"/>
                <w:szCs w:val="16"/>
                <w:lang w:val="en-GB" w:eastAsia="en-GB"/>
              </w:rPr>
              <w:t>586</w:t>
            </w:r>
          </w:p>
        </w:tc>
      </w:tr>
      <w:tr w:rsidR="009B4B70" w:rsidRPr="003516A4" w14:paraId="1B67EA9D" w14:textId="77777777" w:rsidTr="00CD2DC7">
        <w:trPr>
          <w:trHeight w:val="146"/>
          <w:jc w:val="center"/>
        </w:trPr>
        <w:tc>
          <w:tcPr>
            <w:tcW w:w="3513" w:type="dxa"/>
            <w:tcBorders>
              <w:top w:val="nil"/>
              <w:left w:val="single" w:sz="4" w:space="0" w:color="auto"/>
              <w:bottom w:val="single" w:sz="4" w:space="0" w:color="auto"/>
              <w:right w:val="single" w:sz="4" w:space="0" w:color="auto"/>
            </w:tcBorders>
            <w:shd w:val="clear" w:color="auto" w:fill="auto"/>
            <w:noWrap/>
            <w:vAlign w:val="bottom"/>
            <w:hideMark/>
          </w:tcPr>
          <w:p w14:paraId="6647E78C" w14:textId="77777777" w:rsidR="009B4B70" w:rsidRPr="00EC3908" w:rsidRDefault="009B4B70" w:rsidP="009B4B70">
            <w:pPr>
              <w:rPr>
                <w:rFonts w:eastAsia="Times New Roman" w:cs="Calibri"/>
                <w:color w:val="000000"/>
                <w:sz w:val="16"/>
                <w:szCs w:val="16"/>
                <w:lang w:val="en-GB" w:eastAsia="en-GB"/>
              </w:rPr>
            </w:pPr>
            <w:r w:rsidRPr="00EC3908">
              <w:rPr>
                <w:rFonts w:eastAsia="Times New Roman" w:cs="Calibri"/>
                <w:color w:val="000000"/>
                <w:sz w:val="16"/>
                <w:szCs w:val="16"/>
                <w:lang w:val="en-GB" w:eastAsia="en-GB"/>
              </w:rPr>
              <w:t>Non - financial Assets</w:t>
            </w:r>
          </w:p>
        </w:tc>
        <w:tc>
          <w:tcPr>
            <w:tcW w:w="1195" w:type="dxa"/>
            <w:tcBorders>
              <w:top w:val="nil"/>
              <w:left w:val="single" w:sz="4" w:space="0" w:color="auto"/>
              <w:bottom w:val="single" w:sz="4" w:space="0" w:color="auto"/>
              <w:right w:val="nil"/>
            </w:tcBorders>
            <w:shd w:val="clear" w:color="auto" w:fill="auto"/>
            <w:noWrap/>
            <w:vAlign w:val="bottom"/>
            <w:hideMark/>
          </w:tcPr>
          <w:p w14:paraId="6F8AD427" w14:textId="77777777" w:rsidR="009B4B70" w:rsidRPr="00EC3908" w:rsidRDefault="009B4B70" w:rsidP="009B4B70">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 xml:space="preserve">                 134,498 </w:t>
            </w:r>
          </w:p>
        </w:tc>
        <w:tc>
          <w:tcPr>
            <w:tcW w:w="1491" w:type="dxa"/>
            <w:tcBorders>
              <w:top w:val="nil"/>
              <w:left w:val="nil"/>
              <w:bottom w:val="single" w:sz="4" w:space="0" w:color="auto"/>
              <w:right w:val="single" w:sz="8" w:space="0" w:color="auto"/>
            </w:tcBorders>
            <w:shd w:val="clear" w:color="auto" w:fill="auto"/>
            <w:noWrap/>
            <w:vAlign w:val="bottom"/>
            <w:hideMark/>
          </w:tcPr>
          <w:p w14:paraId="3BF9C465" w14:textId="49FE29DD" w:rsidR="009B4B70" w:rsidRPr="00EC3908" w:rsidRDefault="009B4B70" w:rsidP="009B4B70">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137,053</w:t>
            </w:r>
            <w:r w:rsidRPr="00EC3908">
              <w:rPr>
                <w:rFonts w:eastAsia="Times New Roman" w:cs="Calibri"/>
                <w:color w:val="000000"/>
                <w:sz w:val="16"/>
                <w:szCs w:val="16"/>
                <w:lang w:val="en-GB" w:eastAsia="en-GB"/>
              </w:rPr>
              <w:t xml:space="preserve">                 </w:t>
            </w:r>
          </w:p>
        </w:tc>
        <w:tc>
          <w:tcPr>
            <w:tcW w:w="1489" w:type="dxa"/>
            <w:tcBorders>
              <w:top w:val="nil"/>
              <w:left w:val="nil"/>
              <w:bottom w:val="single" w:sz="4" w:space="0" w:color="auto"/>
              <w:right w:val="nil"/>
            </w:tcBorders>
            <w:shd w:val="clear" w:color="auto" w:fill="auto"/>
            <w:noWrap/>
            <w:vAlign w:val="bottom"/>
            <w:hideMark/>
          </w:tcPr>
          <w:p w14:paraId="77F023A4" w14:textId="77777777" w:rsidR="009B4B70" w:rsidRPr="00EC3908" w:rsidRDefault="009B4B70" w:rsidP="009B4B70">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 xml:space="preserve">            134,498 </w:t>
            </w:r>
          </w:p>
        </w:tc>
        <w:tc>
          <w:tcPr>
            <w:tcW w:w="1406" w:type="dxa"/>
            <w:tcBorders>
              <w:top w:val="nil"/>
              <w:left w:val="nil"/>
              <w:bottom w:val="single" w:sz="4" w:space="0" w:color="auto"/>
              <w:right w:val="single" w:sz="8" w:space="0" w:color="auto"/>
            </w:tcBorders>
            <w:shd w:val="clear" w:color="auto" w:fill="auto"/>
            <w:noWrap/>
            <w:vAlign w:val="bottom"/>
          </w:tcPr>
          <w:p w14:paraId="52943952" w14:textId="7C916020" w:rsidR="009B4B70" w:rsidRPr="00EC3908" w:rsidRDefault="009B4B70" w:rsidP="009B4B70">
            <w:pPr>
              <w:jc w:val="right"/>
              <w:rPr>
                <w:rFonts w:eastAsia="Times New Roman" w:cs="Calibri"/>
                <w:color w:val="000000"/>
                <w:sz w:val="16"/>
                <w:szCs w:val="16"/>
                <w:lang w:val="en-GB" w:eastAsia="en-GB"/>
              </w:rPr>
            </w:pPr>
            <w:r>
              <w:rPr>
                <w:rFonts w:eastAsia="Times New Roman" w:cs="Calibri"/>
                <w:color w:val="000000"/>
                <w:sz w:val="16"/>
                <w:szCs w:val="16"/>
                <w:lang w:val="en-GB" w:eastAsia="en-GB"/>
              </w:rPr>
              <w:t>137,053</w:t>
            </w:r>
            <w:r w:rsidRPr="00EC3908">
              <w:rPr>
                <w:rFonts w:eastAsia="Times New Roman" w:cs="Calibri"/>
                <w:color w:val="000000"/>
                <w:sz w:val="16"/>
                <w:szCs w:val="16"/>
                <w:lang w:val="en-GB" w:eastAsia="en-GB"/>
              </w:rPr>
              <w:t xml:space="preserve">                 </w:t>
            </w:r>
          </w:p>
        </w:tc>
      </w:tr>
      <w:tr w:rsidR="009B4B70" w:rsidRPr="003516A4" w14:paraId="775F7550" w14:textId="77777777" w:rsidTr="00CD2DC7">
        <w:trPr>
          <w:trHeight w:val="154"/>
          <w:jc w:val="center"/>
        </w:trPr>
        <w:tc>
          <w:tcPr>
            <w:tcW w:w="3513" w:type="dxa"/>
            <w:tcBorders>
              <w:top w:val="nil"/>
              <w:left w:val="single" w:sz="4" w:space="0" w:color="auto"/>
              <w:bottom w:val="single" w:sz="4" w:space="0" w:color="auto"/>
              <w:right w:val="single" w:sz="4" w:space="0" w:color="auto"/>
            </w:tcBorders>
            <w:shd w:val="clear" w:color="auto" w:fill="auto"/>
            <w:noWrap/>
            <w:vAlign w:val="bottom"/>
            <w:hideMark/>
          </w:tcPr>
          <w:p w14:paraId="7CA04B1E" w14:textId="77777777" w:rsidR="009B4B70" w:rsidRPr="00EC3908" w:rsidRDefault="009B4B70" w:rsidP="009B4B70">
            <w:pPr>
              <w:rPr>
                <w:rFonts w:eastAsia="Times New Roman" w:cs="Calibri"/>
                <w:b/>
                <w:color w:val="000000"/>
                <w:sz w:val="16"/>
                <w:szCs w:val="16"/>
                <w:lang w:val="en-GB" w:eastAsia="en-GB"/>
              </w:rPr>
            </w:pPr>
            <w:r w:rsidRPr="00EC3908">
              <w:rPr>
                <w:rFonts w:eastAsia="Times New Roman" w:cs="Calibri"/>
                <w:b/>
                <w:color w:val="000000"/>
                <w:sz w:val="16"/>
                <w:szCs w:val="16"/>
                <w:lang w:val="en-GB" w:eastAsia="en-GB"/>
              </w:rPr>
              <w:t>Total non-current financial assets</w:t>
            </w:r>
          </w:p>
        </w:tc>
        <w:tc>
          <w:tcPr>
            <w:tcW w:w="1195" w:type="dxa"/>
            <w:tcBorders>
              <w:top w:val="nil"/>
              <w:left w:val="single" w:sz="4" w:space="0" w:color="auto"/>
              <w:bottom w:val="single" w:sz="8" w:space="0" w:color="auto"/>
              <w:right w:val="nil"/>
            </w:tcBorders>
            <w:shd w:val="clear" w:color="auto" w:fill="auto"/>
            <w:noWrap/>
            <w:vAlign w:val="bottom"/>
            <w:hideMark/>
          </w:tcPr>
          <w:p w14:paraId="2C6EC60B" w14:textId="77777777" w:rsidR="009B4B70" w:rsidRPr="00EC3908" w:rsidRDefault="009B4B70" w:rsidP="009B4B70">
            <w:pPr>
              <w:jc w:val="right"/>
              <w:rPr>
                <w:rFonts w:eastAsia="Times New Roman" w:cs="Calibri"/>
                <w:b/>
                <w:color w:val="000000"/>
                <w:sz w:val="16"/>
                <w:szCs w:val="16"/>
                <w:lang w:val="en-GB" w:eastAsia="en-GB"/>
              </w:rPr>
            </w:pPr>
            <w:r w:rsidRPr="00EC3908">
              <w:rPr>
                <w:rFonts w:eastAsia="Times New Roman" w:cs="Calibri"/>
                <w:b/>
                <w:color w:val="000000"/>
                <w:sz w:val="16"/>
                <w:szCs w:val="16"/>
                <w:lang w:val="en-GB" w:eastAsia="en-GB"/>
              </w:rPr>
              <w:t xml:space="preserve">                 135,084 </w:t>
            </w:r>
          </w:p>
        </w:tc>
        <w:tc>
          <w:tcPr>
            <w:tcW w:w="1491" w:type="dxa"/>
            <w:tcBorders>
              <w:top w:val="nil"/>
              <w:left w:val="nil"/>
              <w:bottom w:val="single" w:sz="8" w:space="0" w:color="auto"/>
              <w:right w:val="single" w:sz="8" w:space="0" w:color="auto"/>
            </w:tcBorders>
            <w:shd w:val="clear" w:color="auto" w:fill="auto"/>
            <w:noWrap/>
            <w:vAlign w:val="bottom"/>
            <w:hideMark/>
          </w:tcPr>
          <w:p w14:paraId="30B06F7C" w14:textId="63FD12D8" w:rsidR="009B4B70" w:rsidRPr="00EC3908" w:rsidRDefault="009B4B70" w:rsidP="009B4B70">
            <w:pPr>
              <w:jc w:val="right"/>
              <w:rPr>
                <w:rFonts w:eastAsia="Times New Roman" w:cs="Calibri"/>
                <w:b/>
                <w:color w:val="000000"/>
                <w:sz w:val="16"/>
                <w:szCs w:val="16"/>
                <w:lang w:val="en-GB" w:eastAsia="en-GB"/>
              </w:rPr>
            </w:pPr>
            <w:r>
              <w:rPr>
                <w:rFonts w:eastAsia="Times New Roman" w:cs="Calibri"/>
                <w:b/>
                <w:color w:val="000000"/>
                <w:sz w:val="16"/>
                <w:szCs w:val="16"/>
                <w:lang w:val="en-GB" w:eastAsia="en-GB"/>
              </w:rPr>
              <w:t>137,639</w:t>
            </w:r>
            <w:r w:rsidRPr="00EC3908">
              <w:rPr>
                <w:rFonts w:eastAsia="Times New Roman" w:cs="Calibri"/>
                <w:b/>
                <w:color w:val="000000"/>
                <w:sz w:val="16"/>
                <w:szCs w:val="16"/>
                <w:lang w:val="en-GB" w:eastAsia="en-GB"/>
              </w:rPr>
              <w:t xml:space="preserve">                 </w:t>
            </w:r>
          </w:p>
        </w:tc>
        <w:tc>
          <w:tcPr>
            <w:tcW w:w="1489" w:type="dxa"/>
            <w:tcBorders>
              <w:top w:val="nil"/>
              <w:left w:val="nil"/>
              <w:bottom w:val="single" w:sz="8" w:space="0" w:color="auto"/>
              <w:right w:val="nil"/>
            </w:tcBorders>
            <w:shd w:val="clear" w:color="auto" w:fill="auto"/>
            <w:noWrap/>
            <w:vAlign w:val="bottom"/>
            <w:hideMark/>
          </w:tcPr>
          <w:p w14:paraId="7BB1B991" w14:textId="77777777" w:rsidR="009B4B70" w:rsidRPr="00EC3908" w:rsidRDefault="009B4B70" w:rsidP="009B4B70">
            <w:pPr>
              <w:jc w:val="right"/>
              <w:rPr>
                <w:rFonts w:eastAsia="Times New Roman" w:cs="Calibri"/>
                <w:b/>
                <w:color w:val="000000"/>
                <w:sz w:val="16"/>
                <w:szCs w:val="16"/>
                <w:lang w:val="en-GB" w:eastAsia="en-GB"/>
              </w:rPr>
            </w:pPr>
            <w:r w:rsidRPr="00EC3908">
              <w:rPr>
                <w:rFonts w:eastAsia="Times New Roman" w:cs="Calibri"/>
                <w:b/>
                <w:color w:val="000000"/>
                <w:sz w:val="16"/>
                <w:szCs w:val="16"/>
                <w:lang w:val="en-GB" w:eastAsia="en-GB"/>
              </w:rPr>
              <w:t xml:space="preserve">            135,084 </w:t>
            </w:r>
          </w:p>
        </w:tc>
        <w:tc>
          <w:tcPr>
            <w:tcW w:w="1406" w:type="dxa"/>
            <w:tcBorders>
              <w:top w:val="nil"/>
              <w:left w:val="nil"/>
              <w:bottom w:val="single" w:sz="8" w:space="0" w:color="auto"/>
              <w:right w:val="single" w:sz="8" w:space="0" w:color="auto"/>
            </w:tcBorders>
            <w:shd w:val="clear" w:color="auto" w:fill="auto"/>
            <w:noWrap/>
            <w:vAlign w:val="bottom"/>
          </w:tcPr>
          <w:p w14:paraId="6C28E17D" w14:textId="5442F2EF" w:rsidR="009B4B70" w:rsidRPr="00EC3908" w:rsidRDefault="009B4B70" w:rsidP="009B4B70">
            <w:pPr>
              <w:jc w:val="right"/>
              <w:rPr>
                <w:rFonts w:eastAsia="Times New Roman" w:cs="Calibri"/>
                <w:b/>
                <w:color w:val="000000"/>
                <w:sz w:val="16"/>
                <w:szCs w:val="16"/>
                <w:lang w:val="en-GB" w:eastAsia="en-GB"/>
              </w:rPr>
            </w:pPr>
            <w:r>
              <w:rPr>
                <w:rFonts w:eastAsia="Times New Roman" w:cs="Calibri"/>
                <w:b/>
                <w:color w:val="000000"/>
                <w:sz w:val="16"/>
                <w:szCs w:val="16"/>
                <w:lang w:val="en-GB" w:eastAsia="en-GB"/>
              </w:rPr>
              <w:t>137,639</w:t>
            </w:r>
            <w:r w:rsidRPr="00EC3908">
              <w:rPr>
                <w:rFonts w:eastAsia="Times New Roman" w:cs="Calibri"/>
                <w:b/>
                <w:color w:val="000000"/>
                <w:sz w:val="16"/>
                <w:szCs w:val="16"/>
                <w:lang w:val="en-GB" w:eastAsia="en-GB"/>
              </w:rPr>
              <w:t xml:space="preserve">                 </w:t>
            </w:r>
          </w:p>
        </w:tc>
      </w:tr>
      <w:tr w:rsidR="00CD2DC7" w:rsidRPr="003516A4" w14:paraId="532C730E" w14:textId="77777777" w:rsidTr="00D91109">
        <w:trPr>
          <w:trHeight w:val="146"/>
          <w:jc w:val="center"/>
        </w:trPr>
        <w:tc>
          <w:tcPr>
            <w:tcW w:w="3513" w:type="dxa"/>
            <w:tcBorders>
              <w:top w:val="single" w:sz="4" w:space="0" w:color="auto"/>
              <w:left w:val="nil"/>
              <w:bottom w:val="nil"/>
              <w:right w:val="nil"/>
            </w:tcBorders>
            <w:shd w:val="clear" w:color="auto" w:fill="auto"/>
            <w:noWrap/>
            <w:vAlign w:val="bottom"/>
            <w:hideMark/>
          </w:tcPr>
          <w:p w14:paraId="24247679" w14:textId="77777777" w:rsidR="00CD2DC7" w:rsidRPr="003516A4" w:rsidRDefault="00CD2DC7" w:rsidP="00CD2DC7">
            <w:pPr>
              <w:rPr>
                <w:rFonts w:eastAsia="Times New Roman" w:cs="Calibri"/>
                <w:color w:val="000000"/>
                <w:sz w:val="16"/>
                <w:szCs w:val="16"/>
                <w:highlight w:val="yellow"/>
                <w:lang w:val="en-GB" w:eastAsia="en-GB"/>
              </w:rPr>
            </w:pPr>
          </w:p>
        </w:tc>
        <w:tc>
          <w:tcPr>
            <w:tcW w:w="1195" w:type="dxa"/>
            <w:tcBorders>
              <w:top w:val="nil"/>
              <w:left w:val="nil"/>
              <w:bottom w:val="nil"/>
              <w:right w:val="nil"/>
            </w:tcBorders>
            <w:shd w:val="clear" w:color="auto" w:fill="auto"/>
            <w:noWrap/>
            <w:vAlign w:val="bottom"/>
            <w:hideMark/>
          </w:tcPr>
          <w:p w14:paraId="25E1D5E7" w14:textId="77777777" w:rsidR="00CD2DC7" w:rsidRPr="003516A4" w:rsidRDefault="00CD2DC7" w:rsidP="00CD2DC7">
            <w:pPr>
              <w:rPr>
                <w:rFonts w:ascii="Times New Roman" w:eastAsia="Times New Roman" w:hAnsi="Times New Roman" w:cs="Times New Roman"/>
                <w:sz w:val="20"/>
                <w:szCs w:val="20"/>
                <w:highlight w:val="yellow"/>
                <w:lang w:val="en-GB" w:eastAsia="en-GB"/>
              </w:rPr>
            </w:pPr>
          </w:p>
        </w:tc>
        <w:tc>
          <w:tcPr>
            <w:tcW w:w="1491" w:type="dxa"/>
            <w:tcBorders>
              <w:top w:val="nil"/>
              <w:left w:val="nil"/>
              <w:bottom w:val="nil"/>
              <w:right w:val="nil"/>
            </w:tcBorders>
            <w:shd w:val="clear" w:color="auto" w:fill="auto"/>
            <w:noWrap/>
            <w:vAlign w:val="bottom"/>
            <w:hideMark/>
          </w:tcPr>
          <w:p w14:paraId="63D7BF81" w14:textId="77777777" w:rsidR="00CD2DC7" w:rsidRPr="003516A4" w:rsidRDefault="00CD2DC7" w:rsidP="00CD2DC7">
            <w:pPr>
              <w:rPr>
                <w:rFonts w:ascii="Times New Roman" w:eastAsia="Times New Roman" w:hAnsi="Times New Roman" w:cs="Times New Roman"/>
                <w:sz w:val="20"/>
                <w:szCs w:val="20"/>
                <w:highlight w:val="yellow"/>
                <w:lang w:val="en-GB" w:eastAsia="en-GB"/>
              </w:rPr>
            </w:pPr>
          </w:p>
        </w:tc>
        <w:tc>
          <w:tcPr>
            <w:tcW w:w="1489" w:type="dxa"/>
            <w:tcBorders>
              <w:top w:val="nil"/>
              <w:left w:val="nil"/>
              <w:bottom w:val="nil"/>
              <w:right w:val="nil"/>
            </w:tcBorders>
            <w:shd w:val="clear" w:color="auto" w:fill="auto"/>
            <w:noWrap/>
            <w:vAlign w:val="bottom"/>
            <w:hideMark/>
          </w:tcPr>
          <w:p w14:paraId="66DAA7BB" w14:textId="77777777" w:rsidR="00CD2DC7" w:rsidRPr="003516A4" w:rsidRDefault="00CD2DC7" w:rsidP="00CD2DC7">
            <w:pPr>
              <w:rPr>
                <w:rFonts w:ascii="Times New Roman" w:eastAsia="Times New Roman" w:hAnsi="Times New Roman" w:cs="Times New Roman"/>
                <w:sz w:val="20"/>
                <w:szCs w:val="20"/>
                <w:highlight w:val="yellow"/>
                <w:lang w:val="en-GB" w:eastAsia="en-GB"/>
              </w:rPr>
            </w:pPr>
          </w:p>
        </w:tc>
        <w:tc>
          <w:tcPr>
            <w:tcW w:w="1406" w:type="dxa"/>
            <w:tcBorders>
              <w:top w:val="nil"/>
              <w:left w:val="nil"/>
              <w:bottom w:val="nil"/>
              <w:right w:val="nil"/>
            </w:tcBorders>
            <w:shd w:val="clear" w:color="auto" w:fill="auto"/>
            <w:noWrap/>
            <w:vAlign w:val="bottom"/>
            <w:hideMark/>
          </w:tcPr>
          <w:p w14:paraId="6D61920A" w14:textId="77777777" w:rsidR="00CD2DC7" w:rsidRPr="003516A4" w:rsidRDefault="00CD2DC7" w:rsidP="00CD2DC7">
            <w:pPr>
              <w:rPr>
                <w:rFonts w:ascii="Times New Roman" w:eastAsia="Times New Roman" w:hAnsi="Times New Roman" w:cs="Times New Roman"/>
                <w:sz w:val="20"/>
                <w:szCs w:val="20"/>
                <w:highlight w:val="yellow"/>
                <w:lang w:val="en-GB" w:eastAsia="en-GB"/>
              </w:rPr>
            </w:pPr>
          </w:p>
        </w:tc>
      </w:tr>
    </w:tbl>
    <w:p w14:paraId="6B46CFCD" w14:textId="77777777" w:rsidR="00DC5E2A" w:rsidRPr="00EC3908" w:rsidRDefault="00DC5E2A" w:rsidP="00EC3908">
      <w:pPr>
        <w:rPr>
          <w:lang w:val="pt-BR"/>
        </w:rPr>
      </w:pPr>
    </w:p>
    <w:tbl>
      <w:tblPr>
        <w:tblW w:w="9653" w:type="dxa"/>
        <w:jc w:val="center"/>
        <w:tblLook w:val="04A0" w:firstRow="1" w:lastRow="0" w:firstColumn="1" w:lastColumn="0" w:noHBand="0" w:noVBand="1"/>
      </w:tblPr>
      <w:tblGrid>
        <w:gridCol w:w="2127"/>
        <w:gridCol w:w="1275"/>
        <w:gridCol w:w="1470"/>
        <w:gridCol w:w="1276"/>
        <w:gridCol w:w="1276"/>
        <w:gridCol w:w="1244"/>
        <w:gridCol w:w="1184"/>
      </w:tblGrid>
      <w:tr w:rsidR="00DC5E2A" w:rsidRPr="00EC3908" w14:paraId="4D38402D" w14:textId="77777777" w:rsidTr="00EE6015">
        <w:trPr>
          <w:trHeight w:val="224"/>
          <w:jc w:val="center"/>
        </w:trPr>
        <w:tc>
          <w:tcPr>
            <w:tcW w:w="2127" w:type="dxa"/>
            <w:tcBorders>
              <w:top w:val="nil"/>
              <w:left w:val="nil"/>
              <w:bottom w:val="single" w:sz="4" w:space="0" w:color="auto"/>
              <w:right w:val="nil"/>
            </w:tcBorders>
            <w:shd w:val="clear" w:color="auto" w:fill="auto"/>
            <w:noWrap/>
            <w:vAlign w:val="bottom"/>
            <w:hideMark/>
          </w:tcPr>
          <w:p w14:paraId="169EE502" w14:textId="77777777" w:rsidR="00DC5E2A" w:rsidRPr="00EC3908" w:rsidRDefault="00DC5E2A" w:rsidP="00EC3908">
            <w:pPr>
              <w:rPr>
                <w:rFonts w:ascii="Times New Roman" w:eastAsia="Times New Roman" w:hAnsi="Times New Roman" w:cs="Times New Roman"/>
                <w:lang w:val="en-GB" w:eastAsia="en-GB"/>
              </w:rPr>
            </w:pPr>
          </w:p>
        </w:tc>
        <w:tc>
          <w:tcPr>
            <w:tcW w:w="7526" w:type="dxa"/>
            <w:gridSpan w:val="6"/>
            <w:tcBorders>
              <w:top w:val="nil"/>
              <w:left w:val="nil"/>
              <w:bottom w:val="single" w:sz="8" w:space="0" w:color="auto"/>
              <w:right w:val="nil"/>
            </w:tcBorders>
            <w:shd w:val="clear" w:color="auto" w:fill="auto"/>
            <w:noWrap/>
            <w:vAlign w:val="bottom"/>
            <w:hideMark/>
          </w:tcPr>
          <w:p w14:paraId="68C4492D" w14:textId="77777777" w:rsidR="00DC5E2A" w:rsidRPr="00EC3908" w:rsidRDefault="00DC5E2A" w:rsidP="00EC3908">
            <w:pPr>
              <w:jc w:val="center"/>
              <w:rPr>
                <w:rFonts w:eastAsia="Times New Roman" w:cs="Calibri"/>
                <w:b/>
                <w:bCs/>
                <w:color w:val="000000"/>
                <w:sz w:val="16"/>
                <w:szCs w:val="16"/>
                <w:lang w:val="en-GB" w:eastAsia="en-GB"/>
              </w:rPr>
            </w:pPr>
            <w:r w:rsidRPr="00EC3908">
              <w:rPr>
                <w:rFonts w:eastAsia="Times New Roman" w:cs="Calibri"/>
                <w:b/>
                <w:bCs/>
                <w:color w:val="000000"/>
                <w:sz w:val="16"/>
                <w:szCs w:val="16"/>
                <w:lang w:val="en-GB" w:eastAsia="en-GB"/>
              </w:rPr>
              <w:t>Current Financial Assets</w:t>
            </w:r>
          </w:p>
        </w:tc>
      </w:tr>
      <w:tr w:rsidR="00DC5E2A" w:rsidRPr="00EC3908" w14:paraId="6F7015FC" w14:textId="77777777" w:rsidTr="00EE6015">
        <w:trPr>
          <w:trHeight w:val="212"/>
          <w:jc w:val="center"/>
        </w:trPr>
        <w:tc>
          <w:tcPr>
            <w:tcW w:w="2127" w:type="dxa"/>
            <w:tcBorders>
              <w:top w:val="single" w:sz="4" w:space="0" w:color="auto"/>
              <w:left w:val="single" w:sz="4" w:space="0" w:color="auto"/>
              <w:bottom w:val="nil"/>
              <w:right w:val="single" w:sz="4" w:space="0" w:color="auto"/>
            </w:tcBorders>
            <w:shd w:val="clear" w:color="auto" w:fill="auto"/>
            <w:noWrap/>
            <w:vAlign w:val="bottom"/>
            <w:hideMark/>
          </w:tcPr>
          <w:p w14:paraId="0202EFB8" w14:textId="77777777" w:rsidR="00DC5E2A" w:rsidRPr="00EC3908" w:rsidRDefault="00DC5E2A" w:rsidP="00EC3908">
            <w:pPr>
              <w:jc w:val="center"/>
              <w:rPr>
                <w:rFonts w:eastAsia="Times New Roman" w:cs="Calibri"/>
                <w:b/>
                <w:bCs/>
                <w:color w:val="000000"/>
                <w:sz w:val="16"/>
                <w:szCs w:val="16"/>
                <w:lang w:val="en-GB" w:eastAsia="en-GB"/>
              </w:rPr>
            </w:pPr>
          </w:p>
        </w:tc>
        <w:tc>
          <w:tcPr>
            <w:tcW w:w="1275" w:type="dxa"/>
            <w:tcBorders>
              <w:top w:val="nil"/>
              <w:left w:val="single" w:sz="4" w:space="0" w:color="auto"/>
              <w:bottom w:val="nil"/>
              <w:right w:val="nil"/>
            </w:tcBorders>
            <w:shd w:val="clear" w:color="auto" w:fill="auto"/>
            <w:noWrap/>
            <w:vAlign w:val="bottom"/>
            <w:hideMark/>
          </w:tcPr>
          <w:p w14:paraId="45B31280" w14:textId="77777777" w:rsidR="00DC5E2A" w:rsidRPr="00EC3908" w:rsidRDefault="00DC5E2A" w:rsidP="00EC3908">
            <w:pPr>
              <w:jc w:val="center"/>
              <w:rPr>
                <w:rFonts w:eastAsia="Times New Roman" w:cs="Calibri"/>
                <w:color w:val="000000"/>
                <w:sz w:val="16"/>
                <w:szCs w:val="16"/>
                <w:lang w:val="en-GB" w:eastAsia="en-GB"/>
              </w:rPr>
            </w:pPr>
            <w:r w:rsidRPr="00EC3908">
              <w:rPr>
                <w:rFonts w:eastAsia="Times New Roman" w:cs="Calibri"/>
                <w:color w:val="000000"/>
                <w:sz w:val="16"/>
                <w:szCs w:val="16"/>
                <w:lang w:val="en-GB" w:eastAsia="en-GB"/>
              </w:rPr>
              <w:t> </w:t>
            </w:r>
          </w:p>
        </w:tc>
        <w:tc>
          <w:tcPr>
            <w:tcW w:w="1276" w:type="dxa"/>
            <w:tcBorders>
              <w:top w:val="nil"/>
              <w:left w:val="nil"/>
              <w:bottom w:val="nil"/>
              <w:right w:val="single" w:sz="8" w:space="0" w:color="auto"/>
            </w:tcBorders>
            <w:shd w:val="clear" w:color="auto" w:fill="auto"/>
            <w:noWrap/>
            <w:vAlign w:val="bottom"/>
            <w:hideMark/>
          </w:tcPr>
          <w:p w14:paraId="01D99C3C" w14:textId="77777777" w:rsidR="00DC5E2A" w:rsidRPr="00EC3908" w:rsidRDefault="00DC5E2A" w:rsidP="00EC3908">
            <w:pPr>
              <w:rPr>
                <w:rFonts w:eastAsia="Times New Roman" w:cs="Calibri"/>
                <w:b/>
                <w:bCs/>
                <w:color w:val="000000"/>
                <w:sz w:val="16"/>
                <w:szCs w:val="16"/>
                <w:lang w:val="en-GB" w:eastAsia="en-GB"/>
              </w:rPr>
            </w:pPr>
            <w:r w:rsidRPr="00EC3908">
              <w:rPr>
                <w:rFonts w:eastAsia="Times New Roman" w:cs="Calibri"/>
                <w:b/>
                <w:bCs/>
                <w:color w:val="000000"/>
                <w:sz w:val="16"/>
                <w:szCs w:val="16"/>
                <w:lang w:val="en-GB" w:eastAsia="en-GB"/>
              </w:rPr>
              <w:t>Debtor</w:t>
            </w:r>
          </w:p>
        </w:tc>
        <w:tc>
          <w:tcPr>
            <w:tcW w:w="1276" w:type="dxa"/>
            <w:tcBorders>
              <w:top w:val="nil"/>
              <w:left w:val="nil"/>
              <w:bottom w:val="nil"/>
              <w:right w:val="nil"/>
            </w:tcBorders>
            <w:shd w:val="clear" w:color="auto" w:fill="auto"/>
            <w:noWrap/>
            <w:vAlign w:val="bottom"/>
            <w:hideMark/>
          </w:tcPr>
          <w:p w14:paraId="144B6B36" w14:textId="77777777" w:rsidR="00DC5E2A" w:rsidRPr="00EC3908" w:rsidRDefault="00DC5E2A" w:rsidP="00EC3908">
            <w:pPr>
              <w:jc w:val="center"/>
              <w:rPr>
                <w:rFonts w:eastAsia="Times New Roman" w:cs="Calibri"/>
                <w:color w:val="000000"/>
                <w:sz w:val="16"/>
                <w:szCs w:val="16"/>
                <w:lang w:val="en-GB" w:eastAsia="en-GB"/>
              </w:rPr>
            </w:pPr>
            <w:r w:rsidRPr="00EC3908">
              <w:rPr>
                <w:rFonts w:eastAsia="Times New Roman" w:cs="Calibri"/>
                <w:color w:val="000000"/>
                <w:sz w:val="16"/>
                <w:szCs w:val="16"/>
                <w:lang w:val="en-GB" w:eastAsia="en-GB"/>
              </w:rPr>
              <w:t> </w:t>
            </w:r>
          </w:p>
        </w:tc>
        <w:tc>
          <w:tcPr>
            <w:tcW w:w="1276" w:type="dxa"/>
            <w:tcBorders>
              <w:top w:val="nil"/>
              <w:left w:val="nil"/>
              <w:bottom w:val="nil"/>
              <w:right w:val="single" w:sz="8" w:space="0" w:color="auto"/>
            </w:tcBorders>
            <w:shd w:val="clear" w:color="auto" w:fill="auto"/>
            <w:noWrap/>
            <w:vAlign w:val="bottom"/>
            <w:hideMark/>
          </w:tcPr>
          <w:p w14:paraId="2C5CC00D" w14:textId="77777777" w:rsidR="00DC5E2A" w:rsidRPr="00EC3908" w:rsidRDefault="00DC5E2A" w:rsidP="00EC3908">
            <w:pPr>
              <w:rPr>
                <w:rFonts w:eastAsia="Times New Roman" w:cs="Calibri"/>
                <w:b/>
                <w:bCs/>
                <w:color w:val="000000"/>
                <w:sz w:val="16"/>
                <w:szCs w:val="16"/>
                <w:lang w:val="en-GB" w:eastAsia="en-GB"/>
              </w:rPr>
            </w:pPr>
            <w:r w:rsidRPr="00EC3908">
              <w:rPr>
                <w:rFonts w:eastAsia="Times New Roman" w:cs="Calibri"/>
                <w:b/>
                <w:bCs/>
                <w:color w:val="000000"/>
                <w:sz w:val="16"/>
                <w:szCs w:val="16"/>
                <w:lang w:val="en-GB" w:eastAsia="en-GB"/>
              </w:rPr>
              <w:t>Cash</w:t>
            </w:r>
          </w:p>
        </w:tc>
        <w:tc>
          <w:tcPr>
            <w:tcW w:w="1244" w:type="dxa"/>
            <w:tcBorders>
              <w:top w:val="nil"/>
              <w:left w:val="nil"/>
              <w:bottom w:val="nil"/>
              <w:right w:val="nil"/>
            </w:tcBorders>
            <w:shd w:val="clear" w:color="auto" w:fill="auto"/>
            <w:noWrap/>
            <w:vAlign w:val="bottom"/>
            <w:hideMark/>
          </w:tcPr>
          <w:p w14:paraId="7D407D7F" w14:textId="77777777" w:rsidR="00DC5E2A" w:rsidRPr="00EC3908" w:rsidRDefault="00DC5E2A" w:rsidP="00EC3908">
            <w:pPr>
              <w:rPr>
                <w:rFonts w:eastAsia="Times New Roman" w:cs="Calibri"/>
                <w:color w:val="000000"/>
                <w:sz w:val="16"/>
                <w:szCs w:val="16"/>
                <w:lang w:val="en-GB" w:eastAsia="en-GB"/>
              </w:rPr>
            </w:pPr>
          </w:p>
        </w:tc>
        <w:tc>
          <w:tcPr>
            <w:tcW w:w="1179" w:type="dxa"/>
            <w:tcBorders>
              <w:top w:val="nil"/>
              <w:left w:val="nil"/>
              <w:bottom w:val="nil"/>
              <w:right w:val="single" w:sz="8" w:space="0" w:color="auto"/>
            </w:tcBorders>
            <w:shd w:val="clear" w:color="auto" w:fill="auto"/>
            <w:noWrap/>
            <w:vAlign w:val="bottom"/>
            <w:hideMark/>
          </w:tcPr>
          <w:p w14:paraId="2E1B7BFB" w14:textId="77777777" w:rsidR="00DC5E2A" w:rsidRPr="00EC3908" w:rsidRDefault="00DC5E2A" w:rsidP="00EC3908">
            <w:pPr>
              <w:rPr>
                <w:rFonts w:eastAsia="Times New Roman" w:cs="Calibri"/>
                <w:b/>
                <w:bCs/>
                <w:color w:val="000000"/>
                <w:sz w:val="16"/>
                <w:szCs w:val="16"/>
                <w:lang w:val="en-GB" w:eastAsia="en-GB"/>
              </w:rPr>
            </w:pPr>
            <w:r w:rsidRPr="00EC3908">
              <w:rPr>
                <w:rFonts w:eastAsia="Times New Roman" w:cs="Calibri"/>
                <w:b/>
                <w:bCs/>
                <w:color w:val="000000"/>
                <w:sz w:val="16"/>
                <w:szCs w:val="16"/>
                <w:lang w:val="en-GB" w:eastAsia="en-GB"/>
              </w:rPr>
              <w:t>Total</w:t>
            </w:r>
          </w:p>
        </w:tc>
      </w:tr>
      <w:tr w:rsidR="00DC5E2A" w:rsidRPr="00EC3908" w14:paraId="48A3A467" w14:textId="77777777" w:rsidTr="00EE6015">
        <w:trPr>
          <w:trHeight w:val="212"/>
          <w:jc w:val="center"/>
        </w:trPr>
        <w:tc>
          <w:tcPr>
            <w:tcW w:w="2127" w:type="dxa"/>
            <w:tcBorders>
              <w:top w:val="nil"/>
              <w:left w:val="single" w:sz="4" w:space="0" w:color="auto"/>
              <w:bottom w:val="nil"/>
              <w:right w:val="single" w:sz="4" w:space="0" w:color="auto"/>
            </w:tcBorders>
            <w:shd w:val="clear" w:color="auto" w:fill="auto"/>
            <w:noWrap/>
            <w:vAlign w:val="bottom"/>
            <w:hideMark/>
          </w:tcPr>
          <w:p w14:paraId="3A086187" w14:textId="77777777" w:rsidR="00DC5E2A" w:rsidRPr="00EC3908" w:rsidRDefault="00DC5E2A" w:rsidP="00EC3908">
            <w:pPr>
              <w:rPr>
                <w:rFonts w:eastAsia="Times New Roman" w:cs="Calibri"/>
                <w:b/>
                <w:bCs/>
                <w:color w:val="000000"/>
                <w:sz w:val="16"/>
                <w:szCs w:val="16"/>
                <w:lang w:val="en-GB" w:eastAsia="en-GB"/>
              </w:rPr>
            </w:pPr>
          </w:p>
        </w:tc>
        <w:tc>
          <w:tcPr>
            <w:tcW w:w="1275" w:type="dxa"/>
            <w:tcBorders>
              <w:top w:val="nil"/>
              <w:left w:val="single" w:sz="4" w:space="0" w:color="auto"/>
              <w:bottom w:val="nil"/>
              <w:right w:val="nil"/>
            </w:tcBorders>
            <w:shd w:val="clear" w:color="auto" w:fill="auto"/>
            <w:noWrap/>
            <w:vAlign w:val="bottom"/>
            <w:hideMark/>
          </w:tcPr>
          <w:p w14:paraId="6E9250FB" w14:textId="77777777" w:rsidR="00DC5E2A" w:rsidRPr="00EC3908" w:rsidRDefault="00DC5E2A" w:rsidP="00EC3908">
            <w:pPr>
              <w:jc w:val="right"/>
              <w:rPr>
                <w:rFonts w:eastAsia="Times New Roman" w:cs="Calibri"/>
                <w:b/>
                <w:bCs/>
                <w:color w:val="000000"/>
                <w:sz w:val="16"/>
                <w:szCs w:val="16"/>
                <w:lang w:val="en-GB" w:eastAsia="en-GB"/>
              </w:rPr>
            </w:pPr>
            <w:r w:rsidRPr="00EC3908">
              <w:rPr>
                <w:rFonts w:eastAsia="Times New Roman" w:cs="Calibri"/>
                <w:b/>
                <w:bCs/>
                <w:color w:val="000000"/>
                <w:sz w:val="16"/>
                <w:szCs w:val="16"/>
                <w:lang w:val="en-GB" w:eastAsia="en-GB"/>
              </w:rPr>
              <w:t>31-Mar-</w:t>
            </w:r>
            <w:r w:rsidR="00CD2DC7" w:rsidRPr="00EC3908">
              <w:rPr>
                <w:rFonts w:eastAsia="Times New Roman" w:cs="Calibri"/>
                <w:b/>
                <w:bCs/>
                <w:color w:val="000000"/>
                <w:sz w:val="16"/>
                <w:szCs w:val="16"/>
                <w:lang w:val="en-GB" w:eastAsia="en-GB"/>
              </w:rPr>
              <w:t>20</w:t>
            </w:r>
          </w:p>
        </w:tc>
        <w:tc>
          <w:tcPr>
            <w:tcW w:w="1276" w:type="dxa"/>
            <w:tcBorders>
              <w:top w:val="nil"/>
              <w:left w:val="nil"/>
              <w:bottom w:val="nil"/>
              <w:right w:val="single" w:sz="8" w:space="0" w:color="auto"/>
            </w:tcBorders>
            <w:shd w:val="clear" w:color="auto" w:fill="auto"/>
            <w:noWrap/>
            <w:vAlign w:val="bottom"/>
            <w:hideMark/>
          </w:tcPr>
          <w:p w14:paraId="7E399E52" w14:textId="77777777" w:rsidR="00DC5E2A" w:rsidRPr="00EC3908" w:rsidRDefault="00DC5E2A" w:rsidP="00EC3908">
            <w:pPr>
              <w:jc w:val="right"/>
              <w:rPr>
                <w:rFonts w:eastAsia="Times New Roman" w:cs="Calibri"/>
                <w:b/>
                <w:bCs/>
                <w:color w:val="000000"/>
                <w:sz w:val="16"/>
                <w:szCs w:val="16"/>
                <w:lang w:val="en-GB" w:eastAsia="en-GB"/>
              </w:rPr>
            </w:pPr>
            <w:r w:rsidRPr="00EC3908">
              <w:rPr>
                <w:rFonts w:eastAsia="Times New Roman" w:cs="Calibri"/>
                <w:b/>
                <w:bCs/>
                <w:color w:val="000000"/>
                <w:sz w:val="16"/>
                <w:szCs w:val="16"/>
                <w:lang w:val="en-GB" w:eastAsia="en-GB"/>
              </w:rPr>
              <w:t>31-Mar-2</w:t>
            </w:r>
            <w:r w:rsidR="00CD2DC7" w:rsidRPr="00EC3908">
              <w:rPr>
                <w:rFonts w:eastAsia="Times New Roman" w:cs="Calibri"/>
                <w:b/>
                <w:bCs/>
                <w:color w:val="000000"/>
                <w:sz w:val="16"/>
                <w:szCs w:val="16"/>
                <w:lang w:val="en-GB" w:eastAsia="en-GB"/>
              </w:rPr>
              <w:t>1</w:t>
            </w:r>
          </w:p>
        </w:tc>
        <w:tc>
          <w:tcPr>
            <w:tcW w:w="1276" w:type="dxa"/>
            <w:tcBorders>
              <w:top w:val="nil"/>
              <w:left w:val="nil"/>
              <w:bottom w:val="nil"/>
              <w:right w:val="nil"/>
            </w:tcBorders>
            <w:shd w:val="clear" w:color="auto" w:fill="auto"/>
            <w:noWrap/>
            <w:vAlign w:val="bottom"/>
            <w:hideMark/>
          </w:tcPr>
          <w:p w14:paraId="037BBAC9" w14:textId="77777777" w:rsidR="00DC5E2A" w:rsidRPr="00EC3908" w:rsidRDefault="00DC5E2A" w:rsidP="00EC3908">
            <w:pPr>
              <w:jc w:val="right"/>
              <w:rPr>
                <w:rFonts w:eastAsia="Times New Roman" w:cs="Calibri"/>
                <w:b/>
                <w:bCs/>
                <w:color w:val="000000"/>
                <w:sz w:val="16"/>
                <w:szCs w:val="16"/>
                <w:lang w:val="en-GB" w:eastAsia="en-GB"/>
              </w:rPr>
            </w:pPr>
            <w:r w:rsidRPr="00EC3908">
              <w:rPr>
                <w:rFonts w:eastAsia="Times New Roman" w:cs="Calibri"/>
                <w:b/>
                <w:bCs/>
                <w:color w:val="000000"/>
                <w:sz w:val="16"/>
                <w:szCs w:val="16"/>
                <w:lang w:val="en-GB" w:eastAsia="en-GB"/>
              </w:rPr>
              <w:t>31-Mar-</w:t>
            </w:r>
            <w:r w:rsidR="00CD2DC7" w:rsidRPr="00EC3908">
              <w:rPr>
                <w:rFonts w:eastAsia="Times New Roman" w:cs="Calibri"/>
                <w:b/>
                <w:bCs/>
                <w:color w:val="000000"/>
                <w:sz w:val="16"/>
                <w:szCs w:val="16"/>
                <w:lang w:val="en-GB" w:eastAsia="en-GB"/>
              </w:rPr>
              <w:t>20</w:t>
            </w:r>
          </w:p>
        </w:tc>
        <w:tc>
          <w:tcPr>
            <w:tcW w:w="1276" w:type="dxa"/>
            <w:tcBorders>
              <w:top w:val="nil"/>
              <w:left w:val="nil"/>
              <w:bottom w:val="nil"/>
              <w:right w:val="single" w:sz="8" w:space="0" w:color="auto"/>
            </w:tcBorders>
            <w:shd w:val="clear" w:color="auto" w:fill="auto"/>
            <w:noWrap/>
            <w:vAlign w:val="bottom"/>
            <w:hideMark/>
          </w:tcPr>
          <w:p w14:paraId="3CB96266" w14:textId="77777777" w:rsidR="00DC5E2A" w:rsidRPr="00EC3908" w:rsidRDefault="00DC5E2A" w:rsidP="00EC3908">
            <w:pPr>
              <w:jc w:val="right"/>
              <w:rPr>
                <w:rFonts w:eastAsia="Times New Roman" w:cs="Calibri"/>
                <w:b/>
                <w:bCs/>
                <w:color w:val="000000"/>
                <w:sz w:val="16"/>
                <w:szCs w:val="16"/>
                <w:lang w:val="en-GB" w:eastAsia="en-GB"/>
              </w:rPr>
            </w:pPr>
            <w:r w:rsidRPr="00EC3908">
              <w:rPr>
                <w:rFonts w:eastAsia="Times New Roman" w:cs="Calibri"/>
                <w:b/>
                <w:bCs/>
                <w:color w:val="000000"/>
                <w:sz w:val="16"/>
                <w:szCs w:val="16"/>
                <w:lang w:val="en-GB" w:eastAsia="en-GB"/>
              </w:rPr>
              <w:t>31-Mar-2</w:t>
            </w:r>
            <w:r w:rsidR="00CD2DC7" w:rsidRPr="00EC3908">
              <w:rPr>
                <w:rFonts w:eastAsia="Times New Roman" w:cs="Calibri"/>
                <w:b/>
                <w:bCs/>
                <w:color w:val="000000"/>
                <w:sz w:val="16"/>
                <w:szCs w:val="16"/>
                <w:lang w:val="en-GB" w:eastAsia="en-GB"/>
              </w:rPr>
              <w:t>1</w:t>
            </w:r>
          </w:p>
        </w:tc>
        <w:tc>
          <w:tcPr>
            <w:tcW w:w="1244" w:type="dxa"/>
            <w:tcBorders>
              <w:top w:val="nil"/>
              <w:left w:val="nil"/>
              <w:bottom w:val="nil"/>
              <w:right w:val="nil"/>
            </w:tcBorders>
            <w:shd w:val="clear" w:color="auto" w:fill="auto"/>
            <w:noWrap/>
            <w:vAlign w:val="bottom"/>
            <w:hideMark/>
          </w:tcPr>
          <w:p w14:paraId="2F00B16E" w14:textId="77777777" w:rsidR="00DC5E2A" w:rsidRPr="00EC3908" w:rsidRDefault="00DC5E2A" w:rsidP="00EC3908">
            <w:pPr>
              <w:jc w:val="right"/>
              <w:rPr>
                <w:rFonts w:eastAsia="Times New Roman" w:cs="Calibri"/>
                <w:b/>
                <w:bCs/>
                <w:color w:val="000000"/>
                <w:sz w:val="16"/>
                <w:szCs w:val="16"/>
                <w:lang w:val="en-GB" w:eastAsia="en-GB"/>
              </w:rPr>
            </w:pPr>
            <w:r w:rsidRPr="00EC3908">
              <w:rPr>
                <w:rFonts w:eastAsia="Times New Roman" w:cs="Calibri"/>
                <w:b/>
                <w:bCs/>
                <w:color w:val="000000"/>
                <w:sz w:val="16"/>
                <w:szCs w:val="16"/>
                <w:lang w:val="en-GB" w:eastAsia="en-GB"/>
              </w:rPr>
              <w:t>31-Mar-</w:t>
            </w:r>
            <w:r w:rsidR="00CD2DC7" w:rsidRPr="00EC3908">
              <w:rPr>
                <w:rFonts w:eastAsia="Times New Roman" w:cs="Calibri"/>
                <w:b/>
                <w:bCs/>
                <w:color w:val="000000"/>
                <w:sz w:val="16"/>
                <w:szCs w:val="16"/>
                <w:lang w:val="en-GB" w:eastAsia="en-GB"/>
              </w:rPr>
              <w:t>20</w:t>
            </w:r>
          </w:p>
        </w:tc>
        <w:tc>
          <w:tcPr>
            <w:tcW w:w="1179" w:type="dxa"/>
            <w:tcBorders>
              <w:top w:val="nil"/>
              <w:left w:val="nil"/>
              <w:bottom w:val="nil"/>
              <w:right w:val="single" w:sz="8" w:space="0" w:color="auto"/>
            </w:tcBorders>
            <w:shd w:val="clear" w:color="auto" w:fill="auto"/>
            <w:noWrap/>
            <w:vAlign w:val="bottom"/>
            <w:hideMark/>
          </w:tcPr>
          <w:p w14:paraId="48A3A2A6" w14:textId="77777777" w:rsidR="00DC5E2A" w:rsidRPr="00EC3908" w:rsidRDefault="00DC5E2A" w:rsidP="00EC3908">
            <w:pPr>
              <w:jc w:val="right"/>
              <w:rPr>
                <w:rFonts w:eastAsia="Times New Roman" w:cs="Calibri"/>
                <w:b/>
                <w:bCs/>
                <w:color w:val="000000"/>
                <w:sz w:val="16"/>
                <w:szCs w:val="16"/>
                <w:lang w:val="en-GB" w:eastAsia="en-GB"/>
              </w:rPr>
            </w:pPr>
            <w:r w:rsidRPr="00EC3908">
              <w:rPr>
                <w:rFonts w:eastAsia="Times New Roman" w:cs="Calibri"/>
                <w:b/>
                <w:bCs/>
                <w:color w:val="000000"/>
                <w:sz w:val="16"/>
                <w:szCs w:val="16"/>
                <w:lang w:val="en-GB" w:eastAsia="en-GB"/>
              </w:rPr>
              <w:t>31-Mar-2</w:t>
            </w:r>
            <w:r w:rsidR="00CD2DC7" w:rsidRPr="00EC3908">
              <w:rPr>
                <w:rFonts w:eastAsia="Times New Roman" w:cs="Calibri"/>
                <w:b/>
                <w:bCs/>
                <w:color w:val="000000"/>
                <w:sz w:val="16"/>
                <w:szCs w:val="16"/>
                <w:lang w:val="en-GB" w:eastAsia="en-GB"/>
              </w:rPr>
              <w:t>1</w:t>
            </w:r>
          </w:p>
        </w:tc>
      </w:tr>
      <w:tr w:rsidR="00DC5E2A" w:rsidRPr="00EC3908" w14:paraId="32CC5BDD" w14:textId="77777777" w:rsidTr="00EE6015">
        <w:trPr>
          <w:trHeight w:val="212"/>
          <w:jc w:val="center"/>
        </w:trPr>
        <w:tc>
          <w:tcPr>
            <w:tcW w:w="2127" w:type="dxa"/>
            <w:tcBorders>
              <w:top w:val="nil"/>
              <w:left w:val="single" w:sz="4" w:space="0" w:color="auto"/>
              <w:bottom w:val="nil"/>
              <w:right w:val="single" w:sz="4" w:space="0" w:color="auto"/>
            </w:tcBorders>
            <w:shd w:val="clear" w:color="auto" w:fill="auto"/>
            <w:noWrap/>
            <w:vAlign w:val="bottom"/>
            <w:hideMark/>
          </w:tcPr>
          <w:p w14:paraId="48E6E50D" w14:textId="77777777" w:rsidR="00DC5E2A" w:rsidRPr="00EC3908" w:rsidRDefault="00DC5E2A" w:rsidP="00EC3908">
            <w:pPr>
              <w:jc w:val="right"/>
              <w:rPr>
                <w:rFonts w:eastAsia="Times New Roman" w:cs="Calibri"/>
                <w:b/>
                <w:bCs/>
                <w:color w:val="000000"/>
                <w:sz w:val="16"/>
                <w:szCs w:val="16"/>
                <w:lang w:val="en-GB" w:eastAsia="en-GB"/>
              </w:rPr>
            </w:pPr>
          </w:p>
        </w:tc>
        <w:tc>
          <w:tcPr>
            <w:tcW w:w="1275" w:type="dxa"/>
            <w:tcBorders>
              <w:top w:val="nil"/>
              <w:left w:val="single" w:sz="4" w:space="0" w:color="auto"/>
              <w:bottom w:val="single" w:sz="4" w:space="0" w:color="auto"/>
              <w:right w:val="nil"/>
            </w:tcBorders>
            <w:shd w:val="clear" w:color="auto" w:fill="auto"/>
            <w:noWrap/>
            <w:vAlign w:val="bottom"/>
            <w:hideMark/>
          </w:tcPr>
          <w:p w14:paraId="5CEDF132" w14:textId="77777777" w:rsidR="00DC5E2A" w:rsidRPr="00EC3908" w:rsidRDefault="00DC5E2A" w:rsidP="00EC3908">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2F4B0453" w14:textId="77777777" w:rsidR="00DC5E2A" w:rsidRPr="00EC3908" w:rsidRDefault="00DC5E2A" w:rsidP="00EC3908">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£000</w:t>
            </w:r>
          </w:p>
        </w:tc>
        <w:tc>
          <w:tcPr>
            <w:tcW w:w="1276" w:type="dxa"/>
            <w:tcBorders>
              <w:top w:val="nil"/>
              <w:left w:val="nil"/>
              <w:bottom w:val="single" w:sz="4" w:space="0" w:color="auto"/>
              <w:right w:val="nil"/>
            </w:tcBorders>
            <w:shd w:val="clear" w:color="auto" w:fill="auto"/>
            <w:noWrap/>
            <w:vAlign w:val="bottom"/>
            <w:hideMark/>
          </w:tcPr>
          <w:p w14:paraId="6BF1B2F9" w14:textId="77777777" w:rsidR="00DC5E2A" w:rsidRPr="00EC3908" w:rsidRDefault="00DC5E2A" w:rsidP="00EC3908">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326BFDF5" w14:textId="77777777" w:rsidR="00DC5E2A" w:rsidRPr="00EC3908" w:rsidRDefault="00DC5E2A" w:rsidP="00EC3908">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£000</w:t>
            </w:r>
          </w:p>
        </w:tc>
        <w:tc>
          <w:tcPr>
            <w:tcW w:w="1244" w:type="dxa"/>
            <w:tcBorders>
              <w:top w:val="nil"/>
              <w:left w:val="nil"/>
              <w:bottom w:val="single" w:sz="4" w:space="0" w:color="auto"/>
              <w:right w:val="nil"/>
            </w:tcBorders>
            <w:shd w:val="clear" w:color="auto" w:fill="auto"/>
            <w:noWrap/>
            <w:vAlign w:val="bottom"/>
            <w:hideMark/>
          </w:tcPr>
          <w:p w14:paraId="73FA7173" w14:textId="77777777" w:rsidR="00DC5E2A" w:rsidRPr="00EC3908" w:rsidRDefault="00DC5E2A" w:rsidP="00EC3908">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£000</w:t>
            </w:r>
          </w:p>
        </w:tc>
        <w:tc>
          <w:tcPr>
            <w:tcW w:w="1179" w:type="dxa"/>
            <w:tcBorders>
              <w:top w:val="nil"/>
              <w:left w:val="nil"/>
              <w:bottom w:val="single" w:sz="4" w:space="0" w:color="auto"/>
              <w:right w:val="single" w:sz="8" w:space="0" w:color="auto"/>
            </w:tcBorders>
            <w:shd w:val="clear" w:color="auto" w:fill="auto"/>
            <w:noWrap/>
            <w:vAlign w:val="bottom"/>
            <w:hideMark/>
          </w:tcPr>
          <w:p w14:paraId="69DF339F" w14:textId="77777777" w:rsidR="00DC5E2A" w:rsidRPr="00EC3908" w:rsidRDefault="00DC5E2A" w:rsidP="00EC3908">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£000</w:t>
            </w:r>
          </w:p>
        </w:tc>
      </w:tr>
      <w:tr w:rsidR="00CD2DC7" w:rsidRPr="00EC3908" w14:paraId="7A8A2756" w14:textId="77777777" w:rsidTr="00CD2DC7">
        <w:trPr>
          <w:trHeight w:val="115"/>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4ED05D9" w14:textId="77777777" w:rsidR="00CD2DC7" w:rsidRPr="00EC3908" w:rsidRDefault="00CD2DC7" w:rsidP="00EC3908">
            <w:pPr>
              <w:rPr>
                <w:rFonts w:eastAsia="Times New Roman" w:cs="Calibri"/>
                <w:color w:val="000000"/>
                <w:sz w:val="16"/>
                <w:szCs w:val="16"/>
                <w:lang w:val="en-GB" w:eastAsia="en-GB"/>
              </w:rPr>
            </w:pPr>
            <w:r w:rsidRPr="00EC3908">
              <w:rPr>
                <w:rFonts w:eastAsia="Times New Roman" w:cs="Calibri"/>
                <w:color w:val="000000"/>
                <w:sz w:val="16"/>
                <w:szCs w:val="16"/>
                <w:lang w:val="en-GB" w:eastAsia="en-GB"/>
              </w:rPr>
              <w:t>Amortised Cost</w:t>
            </w:r>
          </w:p>
        </w:tc>
        <w:tc>
          <w:tcPr>
            <w:tcW w:w="1275" w:type="dxa"/>
            <w:tcBorders>
              <w:top w:val="nil"/>
              <w:left w:val="single" w:sz="4" w:space="0" w:color="auto"/>
              <w:bottom w:val="single" w:sz="4" w:space="0" w:color="auto"/>
              <w:right w:val="nil"/>
            </w:tcBorders>
            <w:shd w:val="clear" w:color="auto" w:fill="auto"/>
            <w:noWrap/>
            <w:vAlign w:val="bottom"/>
            <w:hideMark/>
          </w:tcPr>
          <w:p w14:paraId="74064A7E" w14:textId="77777777" w:rsidR="00CD2DC7" w:rsidRPr="00EC3908" w:rsidRDefault="00CD2DC7" w:rsidP="00EC3908">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830</w:t>
            </w:r>
          </w:p>
        </w:tc>
        <w:tc>
          <w:tcPr>
            <w:tcW w:w="1276" w:type="dxa"/>
            <w:tcBorders>
              <w:top w:val="nil"/>
              <w:left w:val="nil"/>
              <w:bottom w:val="single" w:sz="4" w:space="0" w:color="auto"/>
              <w:right w:val="single" w:sz="8" w:space="0" w:color="auto"/>
            </w:tcBorders>
            <w:shd w:val="clear" w:color="auto" w:fill="auto"/>
            <w:noWrap/>
            <w:vAlign w:val="bottom"/>
          </w:tcPr>
          <w:p w14:paraId="3064BCDC" w14:textId="77777777" w:rsidR="00CD2DC7" w:rsidRPr="00EC3908" w:rsidRDefault="00EC3908" w:rsidP="00EC3908">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633</w:t>
            </w:r>
          </w:p>
        </w:tc>
        <w:tc>
          <w:tcPr>
            <w:tcW w:w="1276" w:type="dxa"/>
            <w:tcBorders>
              <w:top w:val="nil"/>
              <w:left w:val="nil"/>
              <w:bottom w:val="single" w:sz="4" w:space="0" w:color="auto"/>
              <w:right w:val="nil"/>
            </w:tcBorders>
            <w:shd w:val="clear" w:color="auto" w:fill="auto"/>
            <w:noWrap/>
            <w:vAlign w:val="bottom"/>
            <w:hideMark/>
          </w:tcPr>
          <w:p w14:paraId="23AE0BC8" w14:textId="77777777" w:rsidR="00CD2DC7" w:rsidRPr="00EC3908" w:rsidRDefault="00CD2DC7" w:rsidP="00EC3908">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12,408</w:t>
            </w:r>
          </w:p>
        </w:tc>
        <w:tc>
          <w:tcPr>
            <w:tcW w:w="1276" w:type="dxa"/>
            <w:tcBorders>
              <w:top w:val="nil"/>
              <w:left w:val="nil"/>
              <w:bottom w:val="single" w:sz="4" w:space="0" w:color="auto"/>
              <w:right w:val="single" w:sz="8" w:space="0" w:color="auto"/>
            </w:tcBorders>
            <w:shd w:val="clear" w:color="auto" w:fill="auto"/>
            <w:noWrap/>
            <w:vAlign w:val="bottom"/>
          </w:tcPr>
          <w:p w14:paraId="6706B28C" w14:textId="77777777" w:rsidR="00CD2DC7" w:rsidRPr="00EC3908" w:rsidRDefault="00EC3908" w:rsidP="00EC3908">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12,680</w:t>
            </w:r>
          </w:p>
        </w:tc>
        <w:tc>
          <w:tcPr>
            <w:tcW w:w="1244" w:type="dxa"/>
            <w:tcBorders>
              <w:top w:val="nil"/>
              <w:left w:val="nil"/>
              <w:bottom w:val="single" w:sz="4" w:space="0" w:color="auto"/>
              <w:right w:val="nil"/>
            </w:tcBorders>
            <w:shd w:val="clear" w:color="auto" w:fill="auto"/>
            <w:noWrap/>
            <w:vAlign w:val="bottom"/>
            <w:hideMark/>
          </w:tcPr>
          <w:p w14:paraId="06FC9C39" w14:textId="77777777" w:rsidR="00CD2DC7" w:rsidRPr="00EC3908" w:rsidRDefault="00CD2DC7" w:rsidP="00EC3908">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13,238</w:t>
            </w:r>
          </w:p>
        </w:tc>
        <w:tc>
          <w:tcPr>
            <w:tcW w:w="1179" w:type="dxa"/>
            <w:tcBorders>
              <w:top w:val="nil"/>
              <w:left w:val="nil"/>
              <w:bottom w:val="single" w:sz="4" w:space="0" w:color="auto"/>
              <w:right w:val="single" w:sz="8" w:space="0" w:color="auto"/>
            </w:tcBorders>
            <w:shd w:val="clear" w:color="auto" w:fill="auto"/>
            <w:noWrap/>
            <w:vAlign w:val="bottom"/>
          </w:tcPr>
          <w:p w14:paraId="2401F7BF" w14:textId="77777777" w:rsidR="00CD2DC7" w:rsidRPr="00EC3908" w:rsidRDefault="00EC3908" w:rsidP="00EC3908">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13,313</w:t>
            </w:r>
          </w:p>
        </w:tc>
      </w:tr>
      <w:tr w:rsidR="00CD2DC7" w:rsidRPr="00EC3908" w14:paraId="60EFA7FB" w14:textId="77777777" w:rsidTr="00CD2DC7">
        <w:trPr>
          <w:trHeight w:val="224"/>
          <w:jc w:val="center"/>
        </w:trPr>
        <w:tc>
          <w:tcPr>
            <w:tcW w:w="2127" w:type="dxa"/>
            <w:tcBorders>
              <w:top w:val="nil"/>
              <w:left w:val="single" w:sz="4" w:space="0" w:color="auto"/>
              <w:bottom w:val="single" w:sz="8" w:space="0" w:color="auto"/>
              <w:right w:val="single" w:sz="4" w:space="0" w:color="auto"/>
            </w:tcBorders>
            <w:shd w:val="clear" w:color="auto" w:fill="auto"/>
            <w:noWrap/>
            <w:vAlign w:val="bottom"/>
            <w:hideMark/>
          </w:tcPr>
          <w:p w14:paraId="2113FCFD" w14:textId="77777777" w:rsidR="00CD2DC7" w:rsidRPr="00EC3908" w:rsidRDefault="00CD2DC7" w:rsidP="00EC3908">
            <w:pPr>
              <w:rPr>
                <w:rFonts w:eastAsia="Times New Roman" w:cs="Calibri"/>
                <w:b/>
                <w:color w:val="000000"/>
                <w:sz w:val="16"/>
                <w:szCs w:val="16"/>
                <w:lang w:val="en-GB" w:eastAsia="en-GB"/>
              </w:rPr>
            </w:pPr>
            <w:r w:rsidRPr="00EC3908">
              <w:rPr>
                <w:rFonts w:eastAsia="Times New Roman" w:cs="Calibri"/>
                <w:b/>
                <w:color w:val="000000"/>
                <w:sz w:val="16"/>
                <w:szCs w:val="16"/>
                <w:lang w:val="en-GB" w:eastAsia="en-GB"/>
              </w:rPr>
              <w:t>Total financial assets</w:t>
            </w:r>
          </w:p>
        </w:tc>
        <w:tc>
          <w:tcPr>
            <w:tcW w:w="1275" w:type="dxa"/>
            <w:tcBorders>
              <w:top w:val="nil"/>
              <w:left w:val="single" w:sz="4" w:space="0" w:color="auto"/>
              <w:bottom w:val="single" w:sz="8" w:space="0" w:color="auto"/>
              <w:right w:val="nil"/>
            </w:tcBorders>
            <w:shd w:val="clear" w:color="auto" w:fill="auto"/>
            <w:noWrap/>
            <w:vAlign w:val="bottom"/>
            <w:hideMark/>
          </w:tcPr>
          <w:p w14:paraId="16DD3B5F" w14:textId="77777777" w:rsidR="00CD2DC7" w:rsidRPr="00EC3908" w:rsidRDefault="00CD2DC7" w:rsidP="00EC3908">
            <w:pPr>
              <w:jc w:val="right"/>
              <w:rPr>
                <w:rFonts w:eastAsia="Times New Roman" w:cs="Calibri"/>
                <w:b/>
                <w:color w:val="000000"/>
                <w:sz w:val="16"/>
                <w:szCs w:val="16"/>
                <w:lang w:val="en-GB" w:eastAsia="en-GB"/>
              </w:rPr>
            </w:pPr>
            <w:r w:rsidRPr="00EC3908">
              <w:rPr>
                <w:rFonts w:eastAsia="Times New Roman" w:cs="Calibri"/>
                <w:b/>
                <w:color w:val="000000"/>
                <w:sz w:val="16"/>
                <w:szCs w:val="16"/>
                <w:lang w:val="en-GB" w:eastAsia="en-GB"/>
              </w:rPr>
              <w:t>830</w:t>
            </w:r>
          </w:p>
        </w:tc>
        <w:tc>
          <w:tcPr>
            <w:tcW w:w="1276" w:type="dxa"/>
            <w:tcBorders>
              <w:top w:val="nil"/>
              <w:left w:val="nil"/>
              <w:bottom w:val="single" w:sz="8" w:space="0" w:color="auto"/>
              <w:right w:val="single" w:sz="8" w:space="0" w:color="auto"/>
            </w:tcBorders>
            <w:shd w:val="clear" w:color="auto" w:fill="auto"/>
            <w:noWrap/>
            <w:vAlign w:val="bottom"/>
          </w:tcPr>
          <w:p w14:paraId="403B6D99" w14:textId="77777777" w:rsidR="00CD2DC7" w:rsidRPr="009B4B70" w:rsidRDefault="00EC3908" w:rsidP="00EC3908">
            <w:pPr>
              <w:jc w:val="right"/>
              <w:rPr>
                <w:rFonts w:eastAsia="Times New Roman" w:cs="Calibri"/>
                <w:b/>
                <w:color w:val="000000"/>
                <w:sz w:val="16"/>
                <w:szCs w:val="16"/>
                <w:lang w:val="en-GB" w:eastAsia="en-GB"/>
              </w:rPr>
            </w:pPr>
            <w:r w:rsidRPr="009B4B70">
              <w:rPr>
                <w:rFonts w:eastAsia="Times New Roman" w:cs="Calibri"/>
                <w:b/>
                <w:color w:val="000000"/>
                <w:sz w:val="16"/>
                <w:szCs w:val="16"/>
                <w:lang w:val="en-GB" w:eastAsia="en-GB"/>
              </w:rPr>
              <w:t>633</w:t>
            </w:r>
          </w:p>
        </w:tc>
        <w:tc>
          <w:tcPr>
            <w:tcW w:w="1276" w:type="dxa"/>
            <w:tcBorders>
              <w:top w:val="nil"/>
              <w:left w:val="nil"/>
              <w:bottom w:val="single" w:sz="8" w:space="0" w:color="auto"/>
              <w:right w:val="nil"/>
            </w:tcBorders>
            <w:shd w:val="clear" w:color="auto" w:fill="auto"/>
            <w:noWrap/>
            <w:vAlign w:val="bottom"/>
            <w:hideMark/>
          </w:tcPr>
          <w:p w14:paraId="42E8685D" w14:textId="77777777" w:rsidR="00CD2DC7" w:rsidRPr="009B4B70" w:rsidRDefault="00CD2DC7" w:rsidP="00EC3908">
            <w:pPr>
              <w:jc w:val="right"/>
              <w:rPr>
                <w:rFonts w:eastAsia="Times New Roman" w:cs="Calibri"/>
                <w:b/>
                <w:color w:val="000000"/>
                <w:sz w:val="16"/>
                <w:szCs w:val="16"/>
                <w:lang w:val="en-GB" w:eastAsia="en-GB"/>
              </w:rPr>
            </w:pPr>
            <w:r w:rsidRPr="009B4B70">
              <w:rPr>
                <w:rFonts w:eastAsia="Times New Roman" w:cs="Calibri"/>
                <w:b/>
                <w:color w:val="000000"/>
                <w:sz w:val="16"/>
                <w:szCs w:val="16"/>
                <w:lang w:val="en-GB" w:eastAsia="en-GB"/>
              </w:rPr>
              <w:t>12,408</w:t>
            </w:r>
          </w:p>
        </w:tc>
        <w:tc>
          <w:tcPr>
            <w:tcW w:w="1276" w:type="dxa"/>
            <w:tcBorders>
              <w:top w:val="nil"/>
              <w:left w:val="nil"/>
              <w:bottom w:val="single" w:sz="8" w:space="0" w:color="auto"/>
              <w:right w:val="single" w:sz="8" w:space="0" w:color="auto"/>
            </w:tcBorders>
            <w:shd w:val="clear" w:color="auto" w:fill="auto"/>
            <w:noWrap/>
            <w:vAlign w:val="bottom"/>
          </w:tcPr>
          <w:p w14:paraId="68F89332" w14:textId="77777777" w:rsidR="00CD2DC7" w:rsidRPr="009B4B70" w:rsidRDefault="00EC3908" w:rsidP="00EC3908">
            <w:pPr>
              <w:jc w:val="right"/>
              <w:rPr>
                <w:rFonts w:eastAsia="Times New Roman" w:cs="Calibri"/>
                <w:b/>
                <w:color w:val="000000"/>
                <w:sz w:val="16"/>
                <w:szCs w:val="16"/>
                <w:lang w:val="en-GB" w:eastAsia="en-GB"/>
              </w:rPr>
            </w:pPr>
            <w:r w:rsidRPr="009B4B70">
              <w:rPr>
                <w:rFonts w:eastAsia="Times New Roman" w:cs="Calibri"/>
                <w:b/>
                <w:color w:val="000000"/>
                <w:sz w:val="16"/>
                <w:szCs w:val="16"/>
                <w:lang w:val="en-GB" w:eastAsia="en-GB"/>
              </w:rPr>
              <w:t>12,680</w:t>
            </w:r>
          </w:p>
        </w:tc>
        <w:tc>
          <w:tcPr>
            <w:tcW w:w="1244" w:type="dxa"/>
            <w:tcBorders>
              <w:top w:val="nil"/>
              <w:left w:val="nil"/>
              <w:bottom w:val="single" w:sz="8" w:space="0" w:color="auto"/>
              <w:right w:val="nil"/>
            </w:tcBorders>
            <w:shd w:val="clear" w:color="auto" w:fill="auto"/>
            <w:noWrap/>
            <w:vAlign w:val="bottom"/>
            <w:hideMark/>
          </w:tcPr>
          <w:p w14:paraId="2333D615" w14:textId="77777777" w:rsidR="00CD2DC7" w:rsidRPr="009B4B70" w:rsidRDefault="00CD2DC7" w:rsidP="00EC3908">
            <w:pPr>
              <w:jc w:val="right"/>
              <w:rPr>
                <w:rFonts w:eastAsia="Times New Roman" w:cs="Calibri"/>
                <w:b/>
                <w:color w:val="000000"/>
                <w:sz w:val="16"/>
                <w:szCs w:val="16"/>
                <w:lang w:val="en-GB" w:eastAsia="en-GB"/>
              </w:rPr>
            </w:pPr>
            <w:r w:rsidRPr="009B4B70">
              <w:rPr>
                <w:rFonts w:eastAsia="Times New Roman" w:cs="Calibri"/>
                <w:b/>
                <w:color w:val="000000"/>
                <w:sz w:val="16"/>
                <w:szCs w:val="16"/>
                <w:lang w:val="en-GB" w:eastAsia="en-GB"/>
              </w:rPr>
              <w:t>13,238</w:t>
            </w:r>
          </w:p>
        </w:tc>
        <w:tc>
          <w:tcPr>
            <w:tcW w:w="1179" w:type="dxa"/>
            <w:tcBorders>
              <w:top w:val="nil"/>
              <w:left w:val="nil"/>
              <w:bottom w:val="single" w:sz="8" w:space="0" w:color="auto"/>
              <w:right w:val="single" w:sz="8" w:space="0" w:color="auto"/>
            </w:tcBorders>
            <w:shd w:val="clear" w:color="auto" w:fill="auto"/>
            <w:noWrap/>
            <w:vAlign w:val="bottom"/>
          </w:tcPr>
          <w:p w14:paraId="16A8B335" w14:textId="77777777" w:rsidR="00CD2DC7" w:rsidRPr="009B4B70" w:rsidRDefault="00EC3908" w:rsidP="00EC3908">
            <w:pPr>
              <w:jc w:val="right"/>
              <w:rPr>
                <w:rFonts w:eastAsia="Times New Roman" w:cs="Calibri"/>
                <w:b/>
                <w:color w:val="000000"/>
                <w:sz w:val="16"/>
                <w:szCs w:val="16"/>
                <w:lang w:val="en-GB" w:eastAsia="en-GB"/>
              </w:rPr>
            </w:pPr>
            <w:r w:rsidRPr="009B4B70">
              <w:rPr>
                <w:rFonts w:eastAsia="Times New Roman" w:cs="Calibri"/>
                <w:b/>
                <w:color w:val="000000"/>
                <w:sz w:val="16"/>
                <w:szCs w:val="16"/>
                <w:lang w:val="en-GB" w:eastAsia="en-GB"/>
              </w:rPr>
              <w:t>13,313</w:t>
            </w:r>
          </w:p>
        </w:tc>
      </w:tr>
      <w:tr w:rsidR="00CD2DC7" w:rsidRPr="00EC3908" w14:paraId="3489AB24" w14:textId="77777777" w:rsidTr="00CD2DC7">
        <w:trPr>
          <w:trHeight w:val="212"/>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50C3D12" w14:textId="77777777" w:rsidR="00CD2DC7" w:rsidRPr="00EC3908" w:rsidRDefault="00CD2DC7" w:rsidP="00EC3908">
            <w:pPr>
              <w:rPr>
                <w:rFonts w:eastAsia="Times New Roman" w:cs="Calibri"/>
                <w:color w:val="000000"/>
                <w:sz w:val="16"/>
                <w:szCs w:val="16"/>
                <w:lang w:val="en-GB" w:eastAsia="en-GB"/>
              </w:rPr>
            </w:pPr>
            <w:r w:rsidRPr="00EC3908">
              <w:rPr>
                <w:rFonts w:eastAsia="Times New Roman" w:cs="Calibri"/>
                <w:color w:val="000000"/>
                <w:sz w:val="16"/>
                <w:szCs w:val="16"/>
                <w:lang w:val="en-GB" w:eastAsia="en-GB"/>
              </w:rPr>
              <w:t>Non - financial Assets</w:t>
            </w:r>
          </w:p>
        </w:tc>
        <w:tc>
          <w:tcPr>
            <w:tcW w:w="1275" w:type="dxa"/>
            <w:tcBorders>
              <w:top w:val="nil"/>
              <w:left w:val="single" w:sz="4" w:space="0" w:color="auto"/>
              <w:bottom w:val="single" w:sz="4" w:space="0" w:color="auto"/>
              <w:right w:val="nil"/>
            </w:tcBorders>
            <w:shd w:val="clear" w:color="auto" w:fill="auto"/>
            <w:noWrap/>
            <w:vAlign w:val="bottom"/>
            <w:hideMark/>
          </w:tcPr>
          <w:p w14:paraId="218FC32B" w14:textId="77777777" w:rsidR="00CD2DC7" w:rsidRPr="00EC3908" w:rsidRDefault="00CD2DC7" w:rsidP="00EC3908">
            <w:pPr>
              <w:jc w:val="right"/>
              <w:rPr>
                <w:rFonts w:eastAsia="Times New Roman" w:cs="Calibri"/>
                <w:color w:val="000000"/>
                <w:sz w:val="16"/>
                <w:szCs w:val="16"/>
                <w:lang w:val="en-GB" w:eastAsia="en-GB"/>
              </w:rPr>
            </w:pPr>
            <w:r w:rsidRPr="00EC3908">
              <w:rPr>
                <w:rFonts w:eastAsia="Times New Roman" w:cs="Calibri"/>
                <w:color w:val="000000"/>
                <w:sz w:val="16"/>
                <w:szCs w:val="16"/>
                <w:lang w:val="en-GB" w:eastAsia="en-GB"/>
              </w:rPr>
              <w:t xml:space="preserve">      25,536 </w:t>
            </w:r>
          </w:p>
        </w:tc>
        <w:tc>
          <w:tcPr>
            <w:tcW w:w="1276" w:type="dxa"/>
            <w:tcBorders>
              <w:top w:val="nil"/>
              <w:left w:val="nil"/>
              <w:bottom w:val="single" w:sz="4" w:space="0" w:color="auto"/>
              <w:right w:val="single" w:sz="8" w:space="0" w:color="auto"/>
            </w:tcBorders>
            <w:shd w:val="clear" w:color="auto" w:fill="auto"/>
            <w:noWrap/>
            <w:vAlign w:val="bottom"/>
          </w:tcPr>
          <w:p w14:paraId="233F041E" w14:textId="3FC071C2" w:rsidR="00CD2DC7" w:rsidRPr="009B4B70" w:rsidRDefault="00EC3908">
            <w:pPr>
              <w:jc w:val="right"/>
              <w:rPr>
                <w:rFonts w:eastAsia="Times New Roman" w:cs="Calibri"/>
                <w:color w:val="000000"/>
                <w:sz w:val="16"/>
                <w:szCs w:val="16"/>
                <w:lang w:val="en-GB" w:eastAsia="en-GB"/>
              </w:rPr>
            </w:pPr>
            <w:r w:rsidRPr="009B4B70">
              <w:rPr>
                <w:rFonts w:eastAsia="Times New Roman" w:cs="Calibri"/>
                <w:color w:val="000000"/>
                <w:sz w:val="16"/>
                <w:szCs w:val="16"/>
                <w:lang w:val="en-GB" w:eastAsia="en-GB"/>
              </w:rPr>
              <w:t>22,</w:t>
            </w:r>
            <w:r w:rsidR="00ED58B2">
              <w:rPr>
                <w:rFonts w:eastAsia="Times New Roman" w:cs="Calibri"/>
                <w:color w:val="000000"/>
                <w:sz w:val="16"/>
                <w:szCs w:val="16"/>
                <w:lang w:val="en-GB" w:eastAsia="en-GB"/>
              </w:rPr>
              <w:t>88</w:t>
            </w:r>
            <w:r w:rsidR="00064612">
              <w:rPr>
                <w:rFonts w:eastAsia="Times New Roman" w:cs="Calibri"/>
                <w:color w:val="000000"/>
                <w:sz w:val="16"/>
                <w:szCs w:val="16"/>
                <w:lang w:val="en-GB" w:eastAsia="en-GB"/>
              </w:rPr>
              <w:t>7</w:t>
            </w:r>
          </w:p>
        </w:tc>
        <w:tc>
          <w:tcPr>
            <w:tcW w:w="1276" w:type="dxa"/>
            <w:tcBorders>
              <w:top w:val="nil"/>
              <w:left w:val="nil"/>
              <w:bottom w:val="single" w:sz="4" w:space="0" w:color="auto"/>
              <w:right w:val="nil"/>
            </w:tcBorders>
            <w:shd w:val="clear" w:color="auto" w:fill="auto"/>
            <w:noWrap/>
            <w:vAlign w:val="bottom"/>
            <w:hideMark/>
          </w:tcPr>
          <w:p w14:paraId="438DAEEB" w14:textId="77777777" w:rsidR="00CD2DC7" w:rsidRPr="009B4B70" w:rsidRDefault="00CD2DC7" w:rsidP="00EC3908">
            <w:pPr>
              <w:jc w:val="right"/>
              <w:rPr>
                <w:rFonts w:eastAsia="Times New Roman" w:cs="Calibri"/>
                <w:color w:val="000000"/>
                <w:sz w:val="16"/>
                <w:szCs w:val="16"/>
                <w:lang w:val="en-GB" w:eastAsia="en-GB"/>
              </w:rPr>
            </w:pPr>
            <w:r w:rsidRPr="009B4B70">
              <w:rPr>
                <w:rFonts w:eastAsia="Times New Roman" w:cs="Calibri"/>
                <w:color w:val="000000"/>
                <w:sz w:val="16"/>
                <w:szCs w:val="16"/>
                <w:lang w:val="en-GB" w:eastAsia="en-GB"/>
              </w:rPr>
              <w:t xml:space="preserve">            -   </w:t>
            </w:r>
          </w:p>
        </w:tc>
        <w:tc>
          <w:tcPr>
            <w:tcW w:w="1276" w:type="dxa"/>
            <w:tcBorders>
              <w:top w:val="nil"/>
              <w:left w:val="nil"/>
              <w:bottom w:val="single" w:sz="4" w:space="0" w:color="auto"/>
              <w:right w:val="single" w:sz="8" w:space="0" w:color="auto"/>
            </w:tcBorders>
            <w:shd w:val="clear" w:color="auto" w:fill="auto"/>
            <w:noWrap/>
            <w:vAlign w:val="bottom"/>
          </w:tcPr>
          <w:p w14:paraId="2D7C33CE" w14:textId="77777777" w:rsidR="00CD2DC7" w:rsidRPr="009B4B70" w:rsidRDefault="00EC3908" w:rsidP="00EC3908">
            <w:pPr>
              <w:jc w:val="right"/>
              <w:rPr>
                <w:rFonts w:eastAsia="Times New Roman" w:cs="Calibri"/>
                <w:color w:val="000000"/>
                <w:sz w:val="16"/>
                <w:szCs w:val="16"/>
                <w:lang w:val="en-GB" w:eastAsia="en-GB"/>
              </w:rPr>
            </w:pPr>
            <w:r w:rsidRPr="009B4B70">
              <w:rPr>
                <w:rFonts w:eastAsia="Times New Roman" w:cs="Calibri"/>
                <w:color w:val="000000"/>
                <w:sz w:val="16"/>
                <w:szCs w:val="16"/>
                <w:lang w:val="en-GB" w:eastAsia="en-GB"/>
              </w:rPr>
              <w:t>-</w:t>
            </w:r>
          </w:p>
        </w:tc>
        <w:tc>
          <w:tcPr>
            <w:tcW w:w="1244" w:type="dxa"/>
            <w:tcBorders>
              <w:top w:val="nil"/>
              <w:left w:val="nil"/>
              <w:bottom w:val="single" w:sz="4" w:space="0" w:color="auto"/>
              <w:right w:val="nil"/>
            </w:tcBorders>
            <w:shd w:val="clear" w:color="auto" w:fill="auto"/>
            <w:noWrap/>
            <w:vAlign w:val="bottom"/>
            <w:hideMark/>
          </w:tcPr>
          <w:p w14:paraId="10DC35CA" w14:textId="77777777" w:rsidR="00CD2DC7" w:rsidRPr="009B4B70" w:rsidRDefault="00CD2DC7" w:rsidP="00EC3908">
            <w:pPr>
              <w:jc w:val="right"/>
              <w:rPr>
                <w:rFonts w:eastAsia="Times New Roman" w:cs="Calibri"/>
                <w:color w:val="000000"/>
                <w:sz w:val="16"/>
                <w:szCs w:val="16"/>
                <w:lang w:val="en-GB" w:eastAsia="en-GB"/>
              </w:rPr>
            </w:pPr>
            <w:r w:rsidRPr="009B4B70">
              <w:rPr>
                <w:rFonts w:eastAsia="Times New Roman" w:cs="Calibri"/>
                <w:color w:val="000000"/>
                <w:sz w:val="16"/>
                <w:szCs w:val="16"/>
                <w:lang w:val="en-GB" w:eastAsia="en-GB"/>
              </w:rPr>
              <w:t xml:space="preserve">       25,536 </w:t>
            </w:r>
          </w:p>
        </w:tc>
        <w:tc>
          <w:tcPr>
            <w:tcW w:w="1179" w:type="dxa"/>
            <w:tcBorders>
              <w:top w:val="nil"/>
              <w:left w:val="nil"/>
              <w:bottom w:val="single" w:sz="4" w:space="0" w:color="auto"/>
              <w:right w:val="single" w:sz="8" w:space="0" w:color="auto"/>
            </w:tcBorders>
            <w:shd w:val="clear" w:color="auto" w:fill="auto"/>
            <w:noWrap/>
            <w:vAlign w:val="bottom"/>
          </w:tcPr>
          <w:p w14:paraId="6B083297" w14:textId="54D8F7AB" w:rsidR="00CD2DC7" w:rsidRPr="009B4B70" w:rsidRDefault="00EC3908">
            <w:pPr>
              <w:jc w:val="right"/>
              <w:rPr>
                <w:rFonts w:eastAsia="Times New Roman" w:cs="Calibri"/>
                <w:color w:val="000000"/>
                <w:sz w:val="16"/>
                <w:szCs w:val="16"/>
                <w:lang w:val="en-GB" w:eastAsia="en-GB"/>
              </w:rPr>
            </w:pPr>
            <w:r w:rsidRPr="009B4B70">
              <w:rPr>
                <w:rFonts w:eastAsia="Times New Roman" w:cs="Calibri"/>
                <w:color w:val="000000"/>
                <w:sz w:val="16"/>
                <w:szCs w:val="16"/>
                <w:lang w:val="en-GB" w:eastAsia="en-GB"/>
              </w:rPr>
              <w:t>22,</w:t>
            </w:r>
            <w:r w:rsidR="00ED58B2">
              <w:rPr>
                <w:rFonts w:eastAsia="Times New Roman" w:cs="Calibri"/>
                <w:color w:val="000000"/>
                <w:sz w:val="16"/>
                <w:szCs w:val="16"/>
                <w:lang w:val="en-GB" w:eastAsia="en-GB"/>
              </w:rPr>
              <w:t>88</w:t>
            </w:r>
            <w:r w:rsidR="00064612">
              <w:rPr>
                <w:rFonts w:eastAsia="Times New Roman" w:cs="Calibri"/>
                <w:color w:val="000000"/>
                <w:sz w:val="16"/>
                <w:szCs w:val="16"/>
                <w:lang w:val="en-GB" w:eastAsia="en-GB"/>
              </w:rPr>
              <w:t>7</w:t>
            </w:r>
          </w:p>
        </w:tc>
      </w:tr>
      <w:tr w:rsidR="00CD2DC7" w:rsidRPr="00EC3908" w14:paraId="65B867E7" w14:textId="77777777" w:rsidTr="00CD2DC7">
        <w:trPr>
          <w:trHeight w:val="224"/>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077474B" w14:textId="77777777" w:rsidR="00CD2DC7" w:rsidRPr="00EC3908" w:rsidRDefault="00CD2DC7" w:rsidP="00EC3908">
            <w:pPr>
              <w:rPr>
                <w:rFonts w:eastAsia="Times New Roman" w:cs="Calibri"/>
                <w:b/>
                <w:color w:val="000000"/>
                <w:sz w:val="16"/>
                <w:szCs w:val="16"/>
                <w:lang w:val="en-GB" w:eastAsia="en-GB"/>
              </w:rPr>
            </w:pPr>
            <w:r w:rsidRPr="00EC3908">
              <w:rPr>
                <w:rFonts w:eastAsia="Times New Roman" w:cs="Calibri"/>
                <w:b/>
                <w:color w:val="000000"/>
                <w:sz w:val="16"/>
                <w:szCs w:val="16"/>
                <w:lang w:val="en-GB" w:eastAsia="en-GB"/>
              </w:rPr>
              <w:t>Total current assets</w:t>
            </w:r>
          </w:p>
        </w:tc>
        <w:tc>
          <w:tcPr>
            <w:tcW w:w="1275" w:type="dxa"/>
            <w:tcBorders>
              <w:top w:val="nil"/>
              <w:left w:val="single" w:sz="4" w:space="0" w:color="auto"/>
              <w:bottom w:val="single" w:sz="8" w:space="0" w:color="auto"/>
              <w:right w:val="nil"/>
            </w:tcBorders>
            <w:shd w:val="clear" w:color="auto" w:fill="auto"/>
            <w:noWrap/>
            <w:vAlign w:val="bottom"/>
            <w:hideMark/>
          </w:tcPr>
          <w:p w14:paraId="1AF6B91A" w14:textId="77777777" w:rsidR="00CD2DC7" w:rsidRPr="00EC3908" w:rsidRDefault="00CD2DC7" w:rsidP="00EC3908">
            <w:pPr>
              <w:jc w:val="right"/>
              <w:rPr>
                <w:rFonts w:eastAsia="Times New Roman" w:cs="Calibri"/>
                <w:b/>
                <w:color w:val="000000"/>
                <w:sz w:val="16"/>
                <w:szCs w:val="16"/>
                <w:lang w:val="en-GB" w:eastAsia="en-GB"/>
              </w:rPr>
            </w:pPr>
            <w:r w:rsidRPr="00EC3908">
              <w:rPr>
                <w:rFonts w:eastAsia="Times New Roman" w:cs="Calibri"/>
                <w:b/>
                <w:color w:val="000000"/>
                <w:sz w:val="16"/>
                <w:szCs w:val="16"/>
                <w:lang w:val="en-GB" w:eastAsia="en-GB"/>
              </w:rPr>
              <w:t xml:space="preserve">      26,366 </w:t>
            </w:r>
          </w:p>
        </w:tc>
        <w:tc>
          <w:tcPr>
            <w:tcW w:w="1276" w:type="dxa"/>
            <w:tcBorders>
              <w:top w:val="nil"/>
              <w:left w:val="nil"/>
              <w:bottom w:val="single" w:sz="8" w:space="0" w:color="auto"/>
              <w:right w:val="single" w:sz="8" w:space="0" w:color="auto"/>
            </w:tcBorders>
            <w:shd w:val="clear" w:color="auto" w:fill="auto"/>
            <w:noWrap/>
            <w:vAlign w:val="bottom"/>
          </w:tcPr>
          <w:p w14:paraId="0627DE69" w14:textId="42A300E1" w:rsidR="00CD2DC7" w:rsidRPr="009B4B70" w:rsidRDefault="00064612">
            <w:pPr>
              <w:jc w:val="right"/>
              <w:rPr>
                <w:rFonts w:eastAsia="Times New Roman" w:cs="Calibri"/>
                <w:b/>
                <w:color w:val="000000"/>
                <w:sz w:val="16"/>
                <w:szCs w:val="16"/>
                <w:lang w:val="en-GB" w:eastAsia="en-GB"/>
              </w:rPr>
            </w:pPr>
            <w:r>
              <w:rPr>
                <w:rFonts w:eastAsia="Times New Roman" w:cs="Calibri"/>
                <w:b/>
                <w:color w:val="000000"/>
                <w:sz w:val="16"/>
                <w:szCs w:val="16"/>
                <w:lang w:val="en-GB" w:eastAsia="en-GB"/>
              </w:rPr>
              <w:t>23,520</w:t>
            </w:r>
          </w:p>
        </w:tc>
        <w:tc>
          <w:tcPr>
            <w:tcW w:w="1276" w:type="dxa"/>
            <w:tcBorders>
              <w:top w:val="nil"/>
              <w:left w:val="nil"/>
              <w:bottom w:val="single" w:sz="8" w:space="0" w:color="auto"/>
              <w:right w:val="nil"/>
            </w:tcBorders>
            <w:shd w:val="clear" w:color="auto" w:fill="auto"/>
            <w:noWrap/>
            <w:vAlign w:val="bottom"/>
            <w:hideMark/>
          </w:tcPr>
          <w:p w14:paraId="428C0BF4" w14:textId="77777777" w:rsidR="00CD2DC7" w:rsidRPr="009B4B70" w:rsidRDefault="00CD2DC7" w:rsidP="00EC3908">
            <w:pPr>
              <w:jc w:val="right"/>
              <w:rPr>
                <w:rFonts w:eastAsia="Times New Roman" w:cs="Calibri"/>
                <w:b/>
                <w:color w:val="000000"/>
                <w:sz w:val="16"/>
                <w:szCs w:val="16"/>
                <w:lang w:val="en-GB" w:eastAsia="en-GB"/>
              </w:rPr>
            </w:pPr>
            <w:r w:rsidRPr="009B4B70">
              <w:rPr>
                <w:rFonts w:eastAsia="Times New Roman" w:cs="Calibri"/>
                <w:b/>
                <w:color w:val="000000"/>
                <w:sz w:val="16"/>
                <w:szCs w:val="16"/>
                <w:lang w:val="en-GB" w:eastAsia="en-GB"/>
              </w:rPr>
              <w:t xml:space="preserve">       12,408 </w:t>
            </w:r>
          </w:p>
        </w:tc>
        <w:tc>
          <w:tcPr>
            <w:tcW w:w="1276" w:type="dxa"/>
            <w:tcBorders>
              <w:top w:val="nil"/>
              <w:left w:val="nil"/>
              <w:bottom w:val="single" w:sz="8" w:space="0" w:color="auto"/>
              <w:right w:val="single" w:sz="8" w:space="0" w:color="auto"/>
            </w:tcBorders>
            <w:shd w:val="clear" w:color="auto" w:fill="auto"/>
            <w:noWrap/>
            <w:vAlign w:val="bottom"/>
          </w:tcPr>
          <w:p w14:paraId="11B3771F" w14:textId="77777777" w:rsidR="00CD2DC7" w:rsidRPr="009B4B70" w:rsidRDefault="00EC3908" w:rsidP="00EC3908">
            <w:pPr>
              <w:jc w:val="right"/>
              <w:rPr>
                <w:rFonts w:eastAsia="Times New Roman" w:cs="Calibri"/>
                <w:b/>
                <w:color w:val="000000"/>
                <w:sz w:val="16"/>
                <w:szCs w:val="16"/>
                <w:lang w:val="en-GB" w:eastAsia="en-GB"/>
              </w:rPr>
            </w:pPr>
            <w:r w:rsidRPr="009B4B70">
              <w:rPr>
                <w:rFonts w:eastAsia="Times New Roman" w:cs="Calibri"/>
                <w:b/>
                <w:color w:val="000000"/>
                <w:sz w:val="16"/>
                <w:szCs w:val="16"/>
                <w:lang w:val="en-GB" w:eastAsia="en-GB"/>
              </w:rPr>
              <w:t>12,680</w:t>
            </w:r>
          </w:p>
        </w:tc>
        <w:tc>
          <w:tcPr>
            <w:tcW w:w="1244" w:type="dxa"/>
            <w:tcBorders>
              <w:top w:val="nil"/>
              <w:left w:val="nil"/>
              <w:bottom w:val="single" w:sz="8" w:space="0" w:color="auto"/>
              <w:right w:val="nil"/>
            </w:tcBorders>
            <w:shd w:val="clear" w:color="auto" w:fill="auto"/>
            <w:noWrap/>
            <w:vAlign w:val="bottom"/>
            <w:hideMark/>
          </w:tcPr>
          <w:p w14:paraId="2CED8DD2" w14:textId="77777777" w:rsidR="00CD2DC7" w:rsidRPr="009B4B70" w:rsidRDefault="00CD2DC7" w:rsidP="00EC3908">
            <w:pPr>
              <w:jc w:val="right"/>
              <w:rPr>
                <w:rFonts w:eastAsia="Times New Roman" w:cs="Calibri"/>
                <w:b/>
                <w:color w:val="000000"/>
                <w:sz w:val="16"/>
                <w:szCs w:val="16"/>
                <w:lang w:val="en-GB" w:eastAsia="en-GB"/>
              </w:rPr>
            </w:pPr>
            <w:r w:rsidRPr="009B4B70">
              <w:rPr>
                <w:rFonts w:eastAsia="Times New Roman" w:cs="Calibri"/>
                <w:b/>
                <w:color w:val="000000"/>
                <w:sz w:val="16"/>
                <w:szCs w:val="16"/>
                <w:lang w:val="en-GB" w:eastAsia="en-GB"/>
              </w:rPr>
              <w:t xml:space="preserve">       38,774 </w:t>
            </w:r>
          </w:p>
        </w:tc>
        <w:tc>
          <w:tcPr>
            <w:tcW w:w="1179" w:type="dxa"/>
            <w:tcBorders>
              <w:top w:val="nil"/>
              <w:left w:val="nil"/>
              <w:bottom w:val="single" w:sz="8" w:space="0" w:color="auto"/>
              <w:right w:val="single" w:sz="8" w:space="0" w:color="auto"/>
            </w:tcBorders>
            <w:shd w:val="clear" w:color="auto" w:fill="auto"/>
            <w:noWrap/>
            <w:vAlign w:val="bottom"/>
          </w:tcPr>
          <w:p w14:paraId="3066758D" w14:textId="02657DBA" w:rsidR="00CD2DC7" w:rsidRPr="009B4B70" w:rsidRDefault="00EC3908">
            <w:pPr>
              <w:jc w:val="right"/>
              <w:rPr>
                <w:rFonts w:eastAsia="Times New Roman" w:cs="Calibri"/>
                <w:b/>
                <w:color w:val="000000"/>
                <w:sz w:val="16"/>
                <w:szCs w:val="16"/>
                <w:lang w:val="en-GB" w:eastAsia="en-GB"/>
              </w:rPr>
            </w:pPr>
            <w:r w:rsidRPr="009B4B70">
              <w:rPr>
                <w:rFonts w:eastAsia="Times New Roman" w:cs="Calibri"/>
                <w:b/>
                <w:color w:val="000000"/>
                <w:sz w:val="16"/>
                <w:szCs w:val="16"/>
                <w:lang w:val="en-GB" w:eastAsia="en-GB"/>
              </w:rPr>
              <w:t>36,</w:t>
            </w:r>
            <w:r w:rsidR="00ED58B2">
              <w:rPr>
                <w:rFonts w:eastAsia="Times New Roman" w:cs="Calibri"/>
                <w:b/>
                <w:color w:val="000000"/>
                <w:sz w:val="16"/>
                <w:szCs w:val="16"/>
                <w:lang w:val="en-GB" w:eastAsia="en-GB"/>
              </w:rPr>
              <w:t>20</w:t>
            </w:r>
            <w:r w:rsidR="00064612">
              <w:rPr>
                <w:rFonts w:eastAsia="Times New Roman" w:cs="Calibri"/>
                <w:b/>
                <w:color w:val="000000"/>
                <w:sz w:val="16"/>
                <w:szCs w:val="16"/>
                <w:lang w:val="en-GB" w:eastAsia="en-GB"/>
              </w:rPr>
              <w:t>0</w:t>
            </w:r>
          </w:p>
        </w:tc>
      </w:tr>
    </w:tbl>
    <w:p w14:paraId="6E770645" w14:textId="77777777" w:rsidR="00DC5E2A" w:rsidRPr="00EC3908" w:rsidRDefault="00EC3908" w:rsidP="00EC3908">
      <w:pPr>
        <w:rPr>
          <w:lang w:val="pt-BR"/>
        </w:rPr>
      </w:pPr>
      <w:r w:rsidRPr="00EC3908">
        <w:rPr>
          <w:lang w:val="pt-BR"/>
        </w:rPr>
        <w:t>12</w:t>
      </w:r>
    </w:p>
    <w:p w14:paraId="673880D9" w14:textId="77777777" w:rsidR="00DC5E2A" w:rsidRPr="003516A4" w:rsidRDefault="00DC5E2A" w:rsidP="00DC5E2A">
      <w:pPr>
        <w:pStyle w:val="T1TableStyle"/>
        <w:rPr>
          <w:rFonts w:ascii="Verdana" w:eastAsia="Verdana" w:hAnsi="Verdana" w:cs="Verdana"/>
          <w:sz w:val="22"/>
          <w:highlight w:val="yellow"/>
          <w:lang w:val="en-GB"/>
        </w:rPr>
      </w:pPr>
    </w:p>
    <w:tbl>
      <w:tblPr>
        <w:tblW w:w="9542" w:type="dxa"/>
        <w:jc w:val="center"/>
        <w:tblLook w:val="04A0" w:firstRow="1" w:lastRow="0" w:firstColumn="1" w:lastColumn="0" w:noHBand="0" w:noVBand="1"/>
      </w:tblPr>
      <w:tblGrid>
        <w:gridCol w:w="426"/>
        <w:gridCol w:w="2522"/>
        <w:gridCol w:w="1648"/>
        <w:gridCol w:w="1649"/>
        <w:gridCol w:w="1648"/>
        <w:gridCol w:w="1649"/>
      </w:tblGrid>
      <w:tr w:rsidR="00DC5E2A" w:rsidRPr="00574941" w14:paraId="53AE4222" w14:textId="77777777" w:rsidTr="00D91109">
        <w:trPr>
          <w:gridBefore w:val="1"/>
          <w:wBefore w:w="426" w:type="dxa"/>
          <w:trHeight w:val="217"/>
          <w:jc w:val="center"/>
        </w:trPr>
        <w:tc>
          <w:tcPr>
            <w:tcW w:w="2522" w:type="dxa"/>
            <w:tcBorders>
              <w:top w:val="nil"/>
              <w:left w:val="nil"/>
              <w:bottom w:val="single" w:sz="4" w:space="0" w:color="auto"/>
              <w:right w:val="nil"/>
            </w:tcBorders>
            <w:shd w:val="clear" w:color="auto" w:fill="auto"/>
            <w:noWrap/>
            <w:vAlign w:val="bottom"/>
            <w:hideMark/>
          </w:tcPr>
          <w:p w14:paraId="7DB3E15D" w14:textId="77777777" w:rsidR="00DC5E2A" w:rsidRPr="00574941" w:rsidRDefault="00DC5E2A" w:rsidP="00EE6015">
            <w:pPr>
              <w:jc w:val="center"/>
              <w:rPr>
                <w:rFonts w:eastAsia="Times New Roman" w:cs="Calibri"/>
                <w:color w:val="000000"/>
                <w:sz w:val="16"/>
                <w:szCs w:val="16"/>
                <w:lang w:val="en-GB" w:eastAsia="en-GB"/>
              </w:rPr>
            </w:pPr>
          </w:p>
        </w:tc>
        <w:tc>
          <w:tcPr>
            <w:tcW w:w="6594" w:type="dxa"/>
            <w:gridSpan w:val="4"/>
            <w:tcBorders>
              <w:top w:val="nil"/>
              <w:left w:val="nil"/>
              <w:bottom w:val="single" w:sz="8" w:space="0" w:color="auto"/>
              <w:right w:val="nil"/>
            </w:tcBorders>
            <w:shd w:val="clear" w:color="auto" w:fill="auto"/>
            <w:noWrap/>
            <w:vAlign w:val="bottom"/>
            <w:hideMark/>
          </w:tcPr>
          <w:p w14:paraId="78D9B97F" w14:textId="77777777" w:rsidR="00DC5E2A" w:rsidRPr="00574941" w:rsidRDefault="00C86C86" w:rsidP="00EE6015">
            <w:pPr>
              <w:jc w:val="center"/>
              <w:rPr>
                <w:rFonts w:eastAsia="Times New Roman" w:cs="Calibri"/>
                <w:b/>
                <w:bCs/>
                <w:color w:val="000000"/>
                <w:sz w:val="16"/>
                <w:szCs w:val="16"/>
                <w:lang w:val="en-GB" w:eastAsia="en-GB"/>
              </w:rPr>
            </w:pPr>
            <w:r w:rsidRPr="00574941">
              <w:rPr>
                <w:rFonts w:eastAsia="Times New Roman" w:cs="Calibri"/>
                <w:b/>
                <w:bCs/>
                <w:color w:val="000000"/>
                <w:sz w:val="16"/>
                <w:szCs w:val="16"/>
                <w:lang w:val="en-GB" w:eastAsia="en-GB"/>
              </w:rPr>
              <w:t>Non-</w:t>
            </w:r>
            <w:r w:rsidR="00DC5E2A" w:rsidRPr="00574941">
              <w:rPr>
                <w:rFonts w:eastAsia="Times New Roman" w:cs="Calibri"/>
                <w:b/>
                <w:bCs/>
                <w:color w:val="000000"/>
                <w:sz w:val="16"/>
                <w:szCs w:val="16"/>
                <w:lang w:val="en-GB" w:eastAsia="en-GB"/>
              </w:rPr>
              <w:t>Current Financial Liabilities</w:t>
            </w:r>
          </w:p>
        </w:tc>
      </w:tr>
      <w:tr w:rsidR="00DC5E2A" w:rsidRPr="00574941" w14:paraId="36248B8B" w14:textId="77777777" w:rsidTr="00D91109">
        <w:trPr>
          <w:trHeight w:val="205"/>
          <w:jc w:val="center"/>
        </w:trPr>
        <w:tc>
          <w:tcPr>
            <w:tcW w:w="2948" w:type="dxa"/>
            <w:gridSpan w:val="2"/>
            <w:tcBorders>
              <w:top w:val="single" w:sz="4" w:space="0" w:color="auto"/>
              <w:left w:val="single" w:sz="4" w:space="0" w:color="auto"/>
              <w:bottom w:val="nil"/>
              <w:right w:val="single" w:sz="4" w:space="0" w:color="auto"/>
            </w:tcBorders>
            <w:shd w:val="clear" w:color="auto" w:fill="auto"/>
            <w:noWrap/>
            <w:vAlign w:val="bottom"/>
            <w:hideMark/>
          </w:tcPr>
          <w:p w14:paraId="5F2BFC13" w14:textId="77777777" w:rsidR="00DC5E2A" w:rsidRPr="00574941" w:rsidRDefault="00DC5E2A" w:rsidP="00EE6015">
            <w:pPr>
              <w:jc w:val="center"/>
              <w:rPr>
                <w:rFonts w:eastAsia="Times New Roman" w:cs="Calibri"/>
                <w:b/>
                <w:bCs/>
                <w:color w:val="000000"/>
                <w:sz w:val="16"/>
                <w:szCs w:val="16"/>
                <w:lang w:val="en-GB" w:eastAsia="en-GB"/>
              </w:rPr>
            </w:pPr>
          </w:p>
        </w:tc>
        <w:tc>
          <w:tcPr>
            <w:tcW w:w="3297" w:type="dxa"/>
            <w:gridSpan w:val="2"/>
            <w:tcBorders>
              <w:top w:val="single" w:sz="8" w:space="0" w:color="auto"/>
              <w:left w:val="single" w:sz="4" w:space="0" w:color="auto"/>
              <w:bottom w:val="nil"/>
              <w:right w:val="single" w:sz="8" w:space="0" w:color="000000"/>
            </w:tcBorders>
            <w:shd w:val="clear" w:color="auto" w:fill="auto"/>
            <w:noWrap/>
            <w:vAlign w:val="bottom"/>
            <w:hideMark/>
          </w:tcPr>
          <w:p w14:paraId="35724A0E" w14:textId="77777777" w:rsidR="00DC5E2A" w:rsidRPr="00574941" w:rsidRDefault="00DC5E2A" w:rsidP="00EE6015">
            <w:pPr>
              <w:jc w:val="center"/>
              <w:rPr>
                <w:rFonts w:eastAsia="Times New Roman" w:cs="Calibri"/>
                <w:b/>
                <w:bCs/>
                <w:color w:val="000000"/>
                <w:sz w:val="16"/>
                <w:szCs w:val="16"/>
                <w:lang w:val="en-GB" w:eastAsia="en-GB"/>
              </w:rPr>
            </w:pPr>
            <w:r w:rsidRPr="00574941">
              <w:rPr>
                <w:rFonts w:eastAsia="Times New Roman" w:cs="Calibri"/>
                <w:b/>
                <w:bCs/>
                <w:color w:val="000000"/>
                <w:sz w:val="16"/>
                <w:szCs w:val="16"/>
                <w:lang w:val="en-GB" w:eastAsia="en-GB"/>
              </w:rPr>
              <w:t>Borrowing</w:t>
            </w:r>
          </w:p>
        </w:tc>
        <w:tc>
          <w:tcPr>
            <w:tcW w:w="3297" w:type="dxa"/>
            <w:gridSpan w:val="2"/>
            <w:tcBorders>
              <w:top w:val="single" w:sz="8" w:space="0" w:color="auto"/>
              <w:left w:val="nil"/>
              <w:bottom w:val="nil"/>
              <w:right w:val="single" w:sz="8" w:space="0" w:color="000000"/>
            </w:tcBorders>
            <w:shd w:val="clear" w:color="auto" w:fill="auto"/>
            <w:noWrap/>
            <w:vAlign w:val="bottom"/>
            <w:hideMark/>
          </w:tcPr>
          <w:p w14:paraId="7C8FDD2A" w14:textId="77777777" w:rsidR="00DC5E2A" w:rsidRPr="00574941" w:rsidRDefault="00DC5E2A" w:rsidP="00EE6015">
            <w:pPr>
              <w:jc w:val="center"/>
              <w:rPr>
                <w:rFonts w:eastAsia="Times New Roman" w:cs="Calibri"/>
                <w:b/>
                <w:bCs/>
                <w:color w:val="000000"/>
                <w:sz w:val="16"/>
                <w:szCs w:val="16"/>
                <w:lang w:val="en-GB" w:eastAsia="en-GB"/>
              </w:rPr>
            </w:pPr>
            <w:r w:rsidRPr="00574941">
              <w:rPr>
                <w:rFonts w:eastAsia="Times New Roman" w:cs="Calibri"/>
                <w:b/>
                <w:bCs/>
                <w:color w:val="000000"/>
                <w:sz w:val="16"/>
                <w:szCs w:val="16"/>
                <w:lang w:val="en-GB" w:eastAsia="en-GB"/>
              </w:rPr>
              <w:t>Total</w:t>
            </w:r>
          </w:p>
        </w:tc>
      </w:tr>
      <w:tr w:rsidR="00DC5E2A" w:rsidRPr="00574941" w14:paraId="20AE1564" w14:textId="77777777" w:rsidTr="00D91109">
        <w:trPr>
          <w:trHeight w:val="205"/>
          <w:jc w:val="center"/>
        </w:trPr>
        <w:tc>
          <w:tcPr>
            <w:tcW w:w="2948" w:type="dxa"/>
            <w:gridSpan w:val="2"/>
            <w:tcBorders>
              <w:top w:val="nil"/>
              <w:left w:val="single" w:sz="4" w:space="0" w:color="auto"/>
              <w:bottom w:val="nil"/>
              <w:right w:val="single" w:sz="4" w:space="0" w:color="auto"/>
            </w:tcBorders>
            <w:shd w:val="clear" w:color="auto" w:fill="auto"/>
            <w:noWrap/>
            <w:vAlign w:val="bottom"/>
            <w:hideMark/>
          </w:tcPr>
          <w:p w14:paraId="330A33EE" w14:textId="77777777" w:rsidR="00DC5E2A" w:rsidRPr="00574941" w:rsidRDefault="00DC5E2A" w:rsidP="00EE6015">
            <w:pPr>
              <w:jc w:val="center"/>
              <w:rPr>
                <w:rFonts w:eastAsia="Times New Roman" w:cs="Calibri"/>
                <w:b/>
                <w:bCs/>
                <w:color w:val="000000"/>
                <w:sz w:val="16"/>
                <w:szCs w:val="16"/>
                <w:lang w:val="en-GB" w:eastAsia="en-GB"/>
              </w:rPr>
            </w:pPr>
          </w:p>
        </w:tc>
        <w:tc>
          <w:tcPr>
            <w:tcW w:w="1648" w:type="dxa"/>
            <w:tcBorders>
              <w:top w:val="nil"/>
              <w:left w:val="single" w:sz="4" w:space="0" w:color="auto"/>
              <w:bottom w:val="nil"/>
              <w:right w:val="nil"/>
            </w:tcBorders>
            <w:shd w:val="clear" w:color="auto" w:fill="auto"/>
            <w:noWrap/>
            <w:vAlign w:val="bottom"/>
            <w:hideMark/>
          </w:tcPr>
          <w:p w14:paraId="29770289" w14:textId="77777777" w:rsidR="00DC5E2A" w:rsidRPr="00574941" w:rsidRDefault="00DC5E2A" w:rsidP="00CD2DC7">
            <w:pPr>
              <w:jc w:val="right"/>
              <w:rPr>
                <w:rFonts w:eastAsia="Times New Roman" w:cs="Calibri"/>
                <w:b/>
                <w:bCs/>
                <w:color w:val="000000"/>
                <w:sz w:val="16"/>
                <w:szCs w:val="16"/>
                <w:lang w:val="en-GB" w:eastAsia="en-GB"/>
              </w:rPr>
            </w:pPr>
            <w:r w:rsidRPr="00574941">
              <w:rPr>
                <w:rFonts w:eastAsia="Times New Roman" w:cs="Calibri"/>
                <w:b/>
                <w:bCs/>
                <w:color w:val="000000"/>
                <w:sz w:val="16"/>
                <w:szCs w:val="16"/>
                <w:lang w:val="en-GB" w:eastAsia="en-GB"/>
              </w:rPr>
              <w:t>31-Mar-</w:t>
            </w:r>
            <w:r w:rsidR="00CD2DC7" w:rsidRPr="00574941">
              <w:rPr>
                <w:rFonts w:eastAsia="Times New Roman" w:cs="Calibri"/>
                <w:b/>
                <w:bCs/>
                <w:color w:val="000000"/>
                <w:sz w:val="16"/>
                <w:szCs w:val="16"/>
                <w:lang w:val="en-GB" w:eastAsia="en-GB"/>
              </w:rPr>
              <w:t>20</w:t>
            </w:r>
          </w:p>
        </w:tc>
        <w:tc>
          <w:tcPr>
            <w:tcW w:w="1649" w:type="dxa"/>
            <w:tcBorders>
              <w:top w:val="nil"/>
              <w:left w:val="nil"/>
              <w:bottom w:val="nil"/>
              <w:right w:val="single" w:sz="8" w:space="0" w:color="auto"/>
            </w:tcBorders>
            <w:shd w:val="clear" w:color="auto" w:fill="auto"/>
            <w:noWrap/>
            <w:vAlign w:val="bottom"/>
            <w:hideMark/>
          </w:tcPr>
          <w:p w14:paraId="55A909C6" w14:textId="77777777" w:rsidR="00DC5E2A" w:rsidRPr="00574941" w:rsidRDefault="00DC5E2A" w:rsidP="00CD2DC7">
            <w:pPr>
              <w:jc w:val="right"/>
              <w:rPr>
                <w:rFonts w:eastAsia="Times New Roman" w:cs="Calibri"/>
                <w:b/>
                <w:bCs/>
                <w:color w:val="000000"/>
                <w:sz w:val="16"/>
                <w:szCs w:val="16"/>
                <w:lang w:val="en-GB" w:eastAsia="en-GB"/>
              </w:rPr>
            </w:pPr>
            <w:r w:rsidRPr="00574941">
              <w:rPr>
                <w:rFonts w:eastAsia="Times New Roman" w:cs="Calibri"/>
                <w:b/>
                <w:bCs/>
                <w:color w:val="000000"/>
                <w:sz w:val="16"/>
                <w:szCs w:val="16"/>
                <w:lang w:val="en-GB" w:eastAsia="en-GB"/>
              </w:rPr>
              <w:t>31-Mar-2</w:t>
            </w:r>
            <w:r w:rsidR="00CD2DC7" w:rsidRPr="00574941">
              <w:rPr>
                <w:rFonts w:eastAsia="Times New Roman" w:cs="Calibri"/>
                <w:b/>
                <w:bCs/>
                <w:color w:val="000000"/>
                <w:sz w:val="16"/>
                <w:szCs w:val="16"/>
                <w:lang w:val="en-GB" w:eastAsia="en-GB"/>
              </w:rPr>
              <w:t>1</w:t>
            </w:r>
          </w:p>
        </w:tc>
        <w:tc>
          <w:tcPr>
            <w:tcW w:w="1648" w:type="dxa"/>
            <w:tcBorders>
              <w:top w:val="nil"/>
              <w:left w:val="nil"/>
              <w:bottom w:val="nil"/>
              <w:right w:val="nil"/>
            </w:tcBorders>
            <w:shd w:val="clear" w:color="auto" w:fill="auto"/>
            <w:noWrap/>
            <w:vAlign w:val="bottom"/>
            <w:hideMark/>
          </w:tcPr>
          <w:p w14:paraId="50E8E01F" w14:textId="77777777" w:rsidR="00DC5E2A" w:rsidRPr="00574941" w:rsidRDefault="00DC5E2A" w:rsidP="00CD2DC7">
            <w:pPr>
              <w:jc w:val="right"/>
              <w:rPr>
                <w:rFonts w:eastAsia="Times New Roman" w:cs="Calibri"/>
                <w:b/>
                <w:bCs/>
                <w:color w:val="000000"/>
                <w:sz w:val="16"/>
                <w:szCs w:val="16"/>
                <w:lang w:val="en-GB" w:eastAsia="en-GB"/>
              </w:rPr>
            </w:pPr>
            <w:r w:rsidRPr="00574941">
              <w:rPr>
                <w:rFonts w:eastAsia="Times New Roman" w:cs="Calibri"/>
                <w:b/>
                <w:bCs/>
                <w:color w:val="000000"/>
                <w:sz w:val="16"/>
                <w:szCs w:val="16"/>
                <w:lang w:val="en-GB" w:eastAsia="en-GB"/>
              </w:rPr>
              <w:t>31-Mar-</w:t>
            </w:r>
            <w:r w:rsidR="00CD2DC7" w:rsidRPr="00574941">
              <w:rPr>
                <w:rFonts w:eastAsia="Times New Roman" w:cs="Calibri"/>
                <w:b/>
                <w:bCs/>
                <w:color w:val="000000"/>
                <w:sz w:val="16"/>
                <w:szCs w:val="16"/>
                <w:lang w:val="en-GB" w:eastAsia="en-GB"/>
              </w:rPr>
              <w:t>20</w:t>
            </w:r>
          </w:p>
        </w:tc>
        <w:tc>
          <w:tcPr>
            <w:tcW w:w="1649" w:type="dxa"/>
            <w:tcBorders>
              <w:top w:val="nil"/>
              <w:left w:val="nil"/>
              <w:bottom w:val="nil"/>
              <w:right w:val="single" w:sz="8" w:space="0" w:color="auto"/>
            </w:tcBorders>
            <w:shd w:val="clear" w:color="auto" w:fill="auto"/>
            <w:noWrap/>
            <w:vAlign w:val="bottom"/>
            <w:hideMark/>
          </w:tcPr>
          <w:p w14:paraId="10EAF462" w14:textId="77777777" w:rsidR="00DC5E2A" w:rsidRPr="00574941" w:rsidRDefault="00DC5E2A" w:rsidP="00CD2DC7">
            <w:pPr>
              <w:jc w:val="right"/>
              <w:rPr>
                <w:rFonts w:eastAsia="Times New Roman" w:cs="Calibri"/>
                <w:b/>
                <w:bCs/>
                <w:color w:val="000000"/>
                <w:sz w:val="16"/>
                <w:szCs w:val="16"/>
                <w:lang w:val="en-GB" w:eastAsia="en-GB"/>
              </w:rPr>
            </w:pPr>
            <w:r w:rsidRPr="00574941">
              <w:rPr>
                <w:rFonts w:eastAsia="Times New Roman" w:cs="Calibri"/>
                <w:b/>
                <w:bCs/>
                <w:color w:val="000000"/>
                <w:sz w:val="16"/>
                <w:szCs w:val="16"/>
                <w:lang w:val="en-GB" w:eastAsia="en-GB"/>
              </w:rPr>
              <w:t>31-Mar-2</w:t>
            </w:r>
            <w:r w:rsidR="00CD2DC7" w:rsidRPr="00574941">
              <w:rPr>
                <w:rFonts w:eastAsia="Times New Roman" w:cs="Calibri"/>
                <w:b/>
                <w:bCs/>
                <w:color w:val="000000"/>
                <w:sz w:val="16"/>
                <w:szCs w:val="16"/>
                <w:lang w:val="en-GB" w:eastAsia="en-GB"/>
              </w:rPr>
              <w:t>1</w:t>
            </w:r>
          </w:p>
        </w:tc>
      </w:tr>
      <w:tr w:rsidR="00DC5E2A" w:rsidRPr="00574941" w14:paraId="22B7C098" w14:textId="77777777" w:rsidTr="00D91109">
        <w:trPr>
          <w:trHeight w:val="205"/>
          <w:jc w:val="center"/>
        </w:trPr>
        <w:tc>
          <w:tcPr>
            <w:tcW w:w="29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77633C" w14:textId="77777777" w:rsidR="00DC5E2A" w:rsidRPr="00574941" w:rsidRDefault="00DC5E2A" w:rsidP="00EE6015">
            <w:pPr>
              <w:rPr>
                <w:rFonts w:eastAsia="Times New Roman" w:cs="Calibri"/>
                <w:color w:val="000000"/>
                <w:sz w:val="16"/>
                <w:szCs w:val="16"/>
                <w:lang w:val="en-GB" w:eastAsia="en-GB"/>
              </w:rPr>
            </w:pPr>
            <w:r w:rsidRPr="00574941">
              <w:rPr>
                <w:rFonts w:eastAsia="Times New Roman" w:cs="Calibri"/>
                <w:color w:val="000000"/>
                <w:sz w:val="16"/>
                <w:szCs w:val="16"/>
                <w:lang w:val="en-GB" w:eastAsia="en-GB"/>
              </w:rPr>
              <w:t> </w:t>
            </w:r>
          </w:p>
        </w:tc>
        <w:tc>
          <w:tcPr>
            <w:tcW w:w="1648" w:type="dxa"/>
            <w:tcBorders>
              <w:top w:val="nil"/>
              <w:left w:val="single" w:sz="4" w:space="0" w:color="auto"/>
              <w:bottom w:val="single" w:sz="4" w:space="0" w:color="auto"/>
              <w:right w:val="nil"/>
            </w:tcBorders>
            <w:shd w:val="clear" w:color="auto" w:fill="auto"/>
            <w:noWrap/>
            <w:vAlign w:val="bottom"/>
            <w:hideMark/>
          </w:tcPr>
          <w:p w14:paraId="6C26E0B1" w14:textId="77777777" w:rsidR="00DC5E2A" w:rsidRPr="00574941" w:rsidRDefault="00DC5E2A" w:rsidP="00EE6015">
            <w:pPr>
              <w:jc w:val="right"/>
              <w:rPr>
                <w:rFonts w:eastAsia="Times New Roman" w:cs="Calibri"/>
                <w:color w:val="000000"/>
                <w:sz w:val="16"/>
                <w:szCs w:val="16"/>
                <w:lang w:val="en-GB" w:eastAsia="en-GB"/>
              </w:rPr>
            </w:pPr>
            <w:r w:rsidRPr="00574941">
              <w:rPr>
                <w:rFonts w:eastAsia="Times New Roman" w:cs="Calibri"/>
                <w:color w:val="000000"/>
                <w:sz w:val="16"/>
                <w:szCs w:val="16"/>
                <w:lang w:val="en-GB" w:eastAsia="en-GB"/>
              </w:rPr>
              <w:t>£000</w:t>
            </w:r>
          </w:p>
        </w:tc>
        <w:tc>
          <w:tcPr>
            <w:tcW w:w="1649" w:type="dxa"/>
            <w:tcBorders>
              <w:top w:val="nil"/>
              <w:left w:val="nil"/>
              <w:bottom w:val="single" w:sz="4" w:space="0" w:color="auto"/>
              <w:right w:val="single" w:sz="8" w:space="0" w:color="auto"/>
            </w:tcBorders>
            <w:shd w:val="clear" w:color="auto" w:fill="auto"/>
            <w:noWrap/>
            <w:vAlign w:val="bottom"/>
            <w:hideMark/>
          </w:tcPr>
          <w:p w14:paraId="2A86D5B9" w14:textId="77777777" w:rsidR="00DC5E2A" w:rsidRPr="00574941" w:rsidRDefault="00DC5E2A" w:rsidP="00EE6015">
            <w:pPr>
              <w:jc w:val="right"/>
              <w:rPr>
                <w:rFonts w:eastAsia="Times New Roman" w:cs="Calibri"/>
                <w:color w:val="000000"/>
                <w:sz w:val="16"/>
                <w:szCs w:val="16"/>
                <w:lang w:val="en-GB" w:eastAsia="en-GB"/>
              </w:rPr>
            </w:pPr>
            <w:r w:rsidRPr="00574941">
              <w:rPr>
                <w:rFonts w:eastAsia="Times New Roman" w:cs="Calibri"/>
                <w:color w:val="000000"/>
                <w:sz w:val="16"/>
                <w:szCs w:val="16"/>
                <w:lang w:val="en-GB" w:eastAsia="en-GB"/>
              </w:rPr>
              <w:t>£000</w:t>
            </w:r>
          </w:p>
        </w:tc>
        <w:tc>
          <w:tcPr>
            <w:tcW w:w="1648" w:type="dxa"/>
            <w:tcBorders>
              <w:top w:val="nil"/>
              <w:left w:val="nil"/>
              <w:bottom w:val="single" w:sz="4" w:space="0" w:color="auto"/>
              <w:right w:val="nil"/>
            </w:tcBorders>
            <w:shd w:val="clear" w:color="auto" w:fill="auto"/>
            <w:noWrap/>
            <w:vAlign w:val="bottom"/>
            <w:hideMark/>
          </w:tcPr>
          <w:p w14:paraId="11C1D195" w14:textId="77777777" w:rsidR="00DC5E2A" w:rsidRPr="00574941" w:rsidRDefault="00DC5E2A" w:rsidP="00EE6015">
            <w:pPr>
              <w:jc w:val="right"/>
              <w:rPr>
                <w:rFonts w:eastAsia="Times New Roman" w:cs="Calibri"/>
                <w:color w:val="000000"/>
                <w:sz w:val="16"/>
                <w:szCs w:val="16"/>
                <w:lang w:val="en-GB" w:eastAsia="en-GB"/>
              </w:rPr>
            </w:pPr>
            <w:r w:rsidRPr="00574941">
              <w:rPr>
                <w:rFonts w:eastAsia="Times New Roman" w:cs="Calibri"/>
                <w:color w:val="000000"/>
                <w:sz w:val="16"/>
                <w:szCs w:val="16"/>
                <w:lang w:val="en-GB" w:eastAsia="en-GB"/>
              </w:rPr>
              <w:t>£000</w:t>
            </w:r>
          </w:p>
        </w:tc>
        <w:tc>
          <w:tcPr>
            <w:tcW w:w="1649" w:type="dxa"/>
            <w:tcBorders>
              <w:top w:val="nil"/>
              <w:left w:val="nil"/>
              <w:bottom w:val="single" w:sz="4" w:space="0" w:color="auto"/>
              <w:right w:val="single" w:sz="8" w:space="0" w:color="auto"/>
            </w:tcBorders>
            <w:shd w:val="clear" w:color="auto" w:fill="auto"/>
            <w:noWrap/>
            <w:vAlign w:val="bottom"/>
            <w:hideMark/>
          </w:tcPr>
          <w:p w14:paraId="5391FD85" w14:textId="77777777" w:rsidR="00DC5E2A" w:rsidRPr="00574941" w:rsidRDefault="00DC5E2A" w:rsidP="00EE6015">
            <w:pPr>
              <w:jc w:val="right"/>
              <w:rPr>
                <w:rFonts w:eastAsia="Times New Roman" w:cs="Calibri"/>
                <w:color w:val="000000"/>
                <w:sz w:val="16"/>
                <w:szCs w:val="16"/>
                <w:lang w:val="en-GB" w:eastAsia="en-GB"/>
              </w:rPr>
            </w:pPr>
            <w:r w:rsidRPr="00574941">
              <w:rPr>
                <w:rFonts w:eastAsia="Times New Roman" w:cs="Calibri"/>
                <w:color w:val="000000"/>
                <w:sz w:val="16"/>
                <w:szCs w:val="16"/>
                <w:lang w:val="en-GB" w:eastAsia="en-GB"/>
              </w:rPr>
              <w:t>£000</w:t>
            </w:r>
          </w:p>
        </w:tc>
      </w:tr>
      <w:tr w:rsidR="00CD2DC7" w:rsidRPr="00574941" w14:paraId="477AC52C" w14:textId="77777777" w:rsidTr="00CD2DC7">
        <w:trPr>
          <w:trHeight w:val="205"/>
          <w:jc w:val="center"/>
        </w:trPr>
        <w:tc>
          <w:tcPr>
            <w:tcW w:w="29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64428F" w14:textId="77777777" w:rsidR="00CD2DC7" w:rsidRPr="00574941" w:rsidRDefault="00CD2DC7" w:rsidP="00CD2DC7">
            <w:pPr>
              <w:rPr>
                <w:rFonts w:eastAsia="Times New Roman" w:cs="Calibri"/>
                <w:color w:val="000000"/>
                <w:sz w:val="16"/>
                <w:szCs w:val="16"/>
                <w:lang w:val="en-GB" w:eastAsia="en-GB"/>
              </w:rPr>
            </w:pPr>
            <w:r w:rsidRPr="00574941">
              <w:rPr>
                <w:rFonts w:eastAsia="Times New Roman" w:cs="Calibri"/>
                <w:color w:val="000000"/>
                <w:sz w:val="16"/>
                <w:szCs w:val="16"/>
                <w:lang w:val="en-GB" w:eastAsia="en-GB"/>
              </w:rPr>
              <w:t>Amortised Cost</w:t>
            </w:r>
          </w:p>
        </w:tc>
        <w:tc>
          <w:tcPr>
            <w:tcW w:w="1648" w:type="dxa"/>
            <w:tcBorders>
              <w:top w:val="nil"/>
              <w:left w:val="single" w:sz="4" w:space="0" w:color="auto"/>
              <w:bottom w:val="single" w:sz="4" w:space="0" w:color="auto"/>
              <w:right w:val="nil"/>
            </w:tcBorders>
            <w:shd w:val="clear" w:color="auto" w:fill="auto"/>
            <w:noWrap/>
            <w:vAlign w:val="bottom"/>
            <w:hideMark/>
          </w:tcPr>
          <w:p w14:paraId="675A62C1" w14:textId="77777777" w:rsidR="00CD2DC7" w:rsidRPr="00574941" w:rsidRDefault="00CD2DC7" w:rsidP="00CD2DC7">
            <w:pPr>
              <w:jc w:val="right"/>
              <w:rPr>
                <w:rFonts w:eastAsia="Times New Roman" w:cs="Calibri"/>
                <w:color w:val="000000"/>
                <w:sz w:val="16"/>
                <w:szCs w:val="16"/>
                <w:lang w:val="en-GB" w:eastAsia="en-GB"/>
              </w:rPr>
            </w:pPr>
            <w:r w:rsidRPr="00574941">
              <w:rPr>
                <w:rFonts w:eastAsia="Times New Roman" w:cs="Calibri"/>
                <w:color w:val="000000"/>
                <w:sz w:val="16"/>
                <w:szCs w:val="16"/>
                <w:lang w:val="en-GB" w:eastAsia="en-GB"/>
              </w:rPr>
              <w:t>(15,084)</w:t>
            </w:r>
          </w:p>
        </w:tc>
        <w:tc>
          <w:tcPr>
            <w:tcW w:w="1649" w:type="dxa"/>
            <w:tcBorders>
              <w:top w:val="nil"/>
              <w:left w:val="nil"/>
              <w:bottom w:val="single" w:sz="4" w:space="0" w:color="auto"/>
              <w:right w:val="single" w:sz="8" w:space="0" w:color="auto"/>
            </w:tcBorders>
            <w:shd w:val="clear" w:color="auto" w:fill="auto"/>
            <w:noWrap/>
            <w:vAlign w:val="bottom"/>
          </w:tcPr>
          <w:p w14:paraId="118B7B3B" w14:textId="56C9BB69" w:rsidR="00CD2DC7" w:rsidRPr="00574941" w:rsidRDefault="00574941" w:rsidP="009B4B70">
            <w:pPr>
              <w:jc w:val="right"/>
              <w:rPr>
                <w:rFonts w:eastAsia="Times New Roman" w:cs="Calibri"/>
                <w:color w:val="000000"/>
                <w:sz w:val="16"/>
                <w:szCs w:val="16"/>
                <w:lang w:val="en-GB" w:eastAsia="en-GB"/>
              </w:rPr>
            </w:pPr>
            <w:r w:rsidRPr="00574941">
              <w:rPr>
                <w:rFonts w:eastAsia="Times New Roman" w:cs="Calibri"/>
                <w:color w:val="000000"/>
                <w:sz w:val="16"/>
                <w:szCs w:val="16"/>
                <w:lang w:val="en-GB" w:eastAsia="en-GB"/>
              </w:rPr>
              <w:t>(14,56</w:t>
            </w:r>
            <w:r w:rsidR="009B4B70">
              <w:rPr>
                <w:rFonts w:eastAsia="Times New Roman" w:cs="Calibri"/>
                <w:color w:val="000000"/>
                <w:sz w:val="16"/>
                <w:szCs w:val="16"/>
                <w:lang w:val="en-GB" w:eastAsia="en-GB"/>
              </w:rPr>
              <w:t>2</w:t>
            </w:r>
            <w:r w:rsidRPr="00574941">
              <w:rPr>
                <w:rFonts w:eastAsia="Times New Roman" w:cs="Calibri"/>
                <w:color w:val="000000"/>
                <w:sz w:val="16"/>
                <w:szCs w:val="16"/>
                <w:lang w:val="en-GB" w:eastAsia="en-GB"/>
              </w:rPr>
              <w:t>)</w:t>
            </w:r>
          </w:p>
        </w:tc>
        <w:tc>
          <w:tcPr>
            <w:tcW w:w="1648" w:type="dxa"/>
            <w:tcBorders>
              <w:top w:val="nil"/>
              <w:left w:val="nil"/>
              <w:bottom w:val="single" w:sz="4" w:space="0" w:color="auto"/>
              <w:right w:val="nil"/>
            </w:tcBorders>
            <w:shd w:val="clear" w:color="auto" w:fill="auto"/>
            <w:noWrap/>
            <w:vAlign w:val="bottom"/>
            <w:hideMark/>
          </w:tcPr>
          <w:p w14:paraId="2F03363D" w14:textId="77777777" w:rsidR="00CD2DC7" w:rsidRPr="00574941" w:rsidRDefault="00CD2DC7" w:rsidP="00CD2DC7">
            <w:pPr>
              <w:jc w:val="right"/>
              <w:rPr>
                <w:rFonts w:eastAsia="Times New Roman" w:cs="Calibri"/>
                <w:color w:val="000000"/>
                <w:sz w:val="16"/>
                <w:szCs w:val="16"/>
                <w:lang w:val="en-GB" w:eastAsia="en-GB"/>
              </w:rPr>
            </w:pPr>
            <w:r w:rsidRPr="00574941">
              <w:rPr>
                <w:rFonts w:eastAsia="Times New Roman" w:cs="Calibri"/>
                <w:color w:val="000000"/>
                <w:sz w:val="16"/>
                <w:szCs w:val="16"/>
                <w:lang w:val="en-GB" w:eastAsia="en-GB"/>
              </w:rPr>
              <w:t>(15,084)</w:t>
            </w:r>
          </w:p>
        </w:tc>
        <w:tc>
          <w:tcPr>
            <w:tcW w:w="1649" w:type="dxa"/>
            <w:tcBorders>
              <w:top w:val="nil"/>
              <w:left w:val="nil"/>
              <w:bottom w:val="single" w:sz="4" w:space="0" w:color="auto"/>
              <w:right w:val="single" w:sz="8" w:space="0" w:color="auto"/>
            </w:tcBorders>
            <w:shd w:val="clear" w:color="auto" w:fill="auto"/>
            <w:noWrap/>
            <w:vAlign w:val="bottom"/>
          </w:tcPr>
          <w:p w14:paraId="294497A8" w14:textId="7F27A38B" w:rsidR="00CD2DC7" w:rsidRPr="00574941" w:rsidRDefault="00574941" w:rsidP="009B4B70">
            <w:pPr>
              <w:jc w:val="right"/>
              <w:rPr>
                <w:rFonts w:eastAsia="Times New Roman" w:cs="Calibri"/>
                <w:color w:val="000000"/>
                <w:sz w:val="16"/>
                <w:szCs w:val="16"/>
                <w:lang w:val="en-GB" w:eastAsia="en-GB"/>
              </w:rPr>
            </w:pPr>
            <w:r w:rsidRPr="00574941">
              <w:rPr>
                <w:rFonts w:eastAsia="Times New Roman" w:cs="Calibri"/>
                <w:color w:val="000000"/>
                <w:sz w:val="16"/>
                <w:szCs w:val="16"/>
                <w:lang w:val="en-GB" w:eastAsia="en-GB"/>
              </w:rPr>
              <w:t>(14,56</w:t>
            </w:r>
            <w:r w:rsidR="009B4B70">
              <w:rPr>
                <w:rFonts w:eastAsia="Times New Roman" w:cs="Calibri"/>
                <w:color w:val="000000"/>
                <w:sz w:val="16"/>
                <w:szCs w:val="16"/>
                <w:lang w:val="en-GB" w:eastAsia="en-GB"/>
              </w:rPr>
              <w:t>2</w:t>
            </w:r>
            <w:r w:rsidRPr="00574941">
              <w:rPr>
                <w:rFonts w:eastAsia="Times New Roman" w:cs="Calibri"/>
                <w:color w:val="000000"/>
                <w:sz w:val="16"/>
                <w:szCs w:val="16"/>
                <w:lang w:val="en-GB" w:eastAsia="en-GB"/>
              </w:rPr>
              <w:t>)</w:t>
            </w:r>
          </w:p>
        </w:tc>
      </w:tr>
      <w:tr w:rsidR="00CD2DC7" w:rsidRPr="00574941" w14:paraId="6727CBDD" w14:textId="77777777" w:rsidTr="00CD2DC7">
        <w:trPr>
          <w:trHeight w:val="217"/>
          <w:jc w:val="center"/>
        </w:trPr>
        <w:tc>
          <w:tcPr>
            <w:tcW w:w="2948" w:type="dxa"/>
            <w:gridSpan w:val="2"/>
            <w:tcBorders>
              <w:top w:val="nil"/>
              <w:left w:val="single" w:sz="4" w:space="0" w:color="auto"/>
              <w:bottom w:val="single" w:sz="8" w:space="0" w:color="auto"/>
              <w:right w:val="single" w:sz="4" w:space="0" w:color="auto"/>
            </w:tcBorders>
            <w:shd w:val="clear" w:color="auto" w:fill="auto"/>
            <w:noWrap/>
            <w:vAlign w:val="bottom"/>
            <w:hideMark/>
          </w:tcPr>
          <w:p w14:paraId="4BEB0B37" w14:textId="77777777" w:rsidR="00CD2DC7" w:rsidRPr="00574941" w:rsidRDefault="00CD2DC7" w:rsidP="00CD2DC7">
            <w:pPr>
              <w:rPr>
                <w:rFonts w:eastAsia="Times New Roman" w:cs="Calibri"/>
                <w:b/>
                <w:color w:val="000000"/>
                <w:sz w:val="16"/>
                <w:szCs w:val="16"/>
                <w:lang w:val="en-GB" w:eastAsia="en-GB"/>
              </w:rPr>
            </w:pPr>
            <w:r w:rsidRPr="00574941">
              <w:rPr>
                <w:rFonts w:eastAsia="Times New Roman" w:cs="Calibri"/>
                <w:b/>
                <w:color w:val="000000"/>
                <w:sz w:val="16"/>
                <w:szCs w:val="16"/>
                <w:lang w:val="en-GB" w:eastAsia="en-GB"/>
              </w:rPr>
              <w:t>Total financial liabilities</w:t>
            </w:r>
          </w:p>
        </w:tc>
        <w:tc>
          <w:tcPr>
            <w:tcW w:w="1648" w:type="dxa"/>
            <w:tcBorders>
              <w:top w:val="nil"/>
              <w:left w:val="single" w:sz="4" w:space="0" w:color="auto"/>
              <w:bottom w:val="single" w:sz="8" w:space="0" w:color="auto"/>
              <w:right w:val="nil"/>
            </w:tcBorders>
            <w:shd w:val="clear" w:color="auto" w:fill="auto"/>
            <w:noWrap/>
            <w:vAlign w:val="bottom"/>
            <w:hideMark/>
          </w:tcPr>
          <w:p w14:paraId="131A1BD8" w14:textId="77777777" w:rsidR="00CD2DC7" w:rsidRPr="00574941" w:rsidRDefault="00CD2DC7" w:rsidP="00CD2DC7">
            <w:pPr>
              <w:jc w:val="right"/>
              <w:rPr>
                <w:rFonts w:eastAsia="Times New Roman" w:cs="Calibri"/>
                <w:b/>
                <w:color w:val="000000"/>
                <w:sz w:val="16"/>
                <w:szCs w:val="16"/>
                <w:lang w:val="en-GB" w:eastAsia="en-GB"/>
              </w:rPr>
            </w:pPr>
            <w:r w:rsidRPr="00574941">
              <w:rPr>
                <w:rFonts w:eastAsia="Times New Roman" w:cs="Calibri"/>
                <w:b/>
                <w:color w:val="000000"/>
                <w:sz w:val="16"/>
                <w:szCs w:val="16"/>
                <w:lang w:val="en-GB" w:eastAsia="en-GB"/>
              </w:rPr>
              <w:t>(15,084)</w:t>
            </w:r>
          </w:p>
        </w:tc>
        <w:tc>
          <w:tcPr>
            <w:tcW w:w="1649" w:type="dxa"/>
            <w:tcBorders>
              <w:top w:val="nil"/>
              <w:left w:val="nil"/>
              <w:bottom w:val="single" w:sz="8" w:space="0" w:color="auto"/>
              <w:right w:val="single" w:sz="8" w:space="0" w:color="auto"/>
            </w:tcBorders>
            <w:shd w:val="clear" w:color="auto" w:fill="auto"/>
            <w:noWrap/>
            <w:vAlign w:val="bottom"/>
          </w:tcPr>
          <w:p w14:paraId="6BAADF4B" w14:textId="4CDD556E" w:rsidR="00CD2DC7" w:rsidRPr="00574941" w:rsidRDefault="00574941" w:rsidP="009B4B70">
            <w:pPr>
              <w:jc w:val="right"/>
              <w:rPr>
                <w:rFonts w:eastAsia="Times New Roman" w:cs="Calibri"/>
                <w:b/>
                <w:color w:val="000000"/>
                <w:sz w:val="16"/>
                <w:szCs w:val="16"/>
                <w:lang w:val="en-GB" w:eastAsia="en-GB"/>
              </w:rPr>
            </w:pPr>
            <w:r w:rsidRPr="00574941">
              <w:rPr>
                <w:rFonts w:eastAsia="Times New Roman" w:cs="Calibri"/>
                <w:b/>
                <w:color w:val="000000"/>
                <w:sz w:val="16"/>
                <w:szCs w:val="16"/>
                <w:lang w:val="en-GB" w:eastAsia="en-GB"/>
              </w:rPr>
              <w:t>(14,56</w:t>
            </w:r>
            <w:r w:rsidR="009B4B70">
              <w:rPr>
                <w:rFonts w:eastAsia="Times New Roman" w:cs="Calibri"/>
                <w:b/>
                <w:color w:val="000000"/>
                <w:sz w:val="16"/>
                <w:szCs w:val="16"/>
                <w:lang w:val="en-GB" w:eastAsia="en-GB"/>
              </w:rPr>
              <w:t>2</w:t>
            </w:r>
            <w:r w:rsidRPr="00574941">
              <w:rPr>
                <w:rFonts w:eastAsia="Times New Roman" w:cs="Calibri"/>
                <w:b/>
                <w:color w:val="000000"/>
                <w:sz w:val="16"/>
                <w:szCs w:val="16"/>
                <w:lang w:val="en-GB" w:eastAsia="en-GB"/>
              </w:rPr>
              <w:t>)</w:t>
            </w:r>
          </w:p>
        </w:tc>
        <w:tc>
          <w:tcPr>
            <w:tcW w:w="1648" w:type="dxa"/>
            <w:tcBorders>
              <w:top w:val="nil"/>
              <w:left w:val="nil"/>
              <w:bottom w:val="single" w:sz="8" w:space="0" w:color="auto"/>
              <w:right w:val="nil"/>
            </w:tcBorders>
            <w:shd w:val="clear" w:color="auto" w:fill="auto"/>
            <w:noWrap/>
            <w:vAlign w:val="bottom"/>
            <w:hideMark/>
          </w:tcPr>
          <w:p w14:paraId="1545386F" w14:textId="77777777" w:rsidR="00CD2DC7" w:rsidRPr="00574941" w:rsidRDefault="00CD2DC7" w:rsidP="00CD2DC7">
            <w:pPr>
              <w:jc w:val="right"/>
              <w:rPr>
                <w:rFonts w:eastAsia="Times New Roman" w:cs="Calibri"/>
                <w:b/>
                <w:color w:val="000000"/>
                <w:sz w:val="16"/>
                <w:szCs w:val="16"/>
                <w:lang w:val="en-GB" w:eastAsia="en-GB"/>
              </w:rPr>
            </w:pPr>
            <w:r w:rsidRPr="00574941">
              <w:rPr>
                <w:rFonts w:eastAsia="Times New Roman" w:cs="Calibri"/>
                <w:b/>
                <w:color w:val="000000"/>
                <w:sz w:val="16"/>
                <w:szCs w:val="16"/>
                <w:lang w:val="en-GB" w:eastAsia="en-GB"/>
              </w:rPr>
              <w:t>(15,084)</w:t>
            </w:r>
          </w:p>
        </w:tc>
        <w:tc>
          <w:tcPr>
            <w:tcW w:w="1649" w:type="dxa"/>
            <w:tcBorders>
              <w:top w:val="nil"/>
              <w:left w:val="nil"/>
              <w:bottom w:val="single" w:sz="8" w:space="0" w:color="auto"/>
              <w:right w:val="single" w:sz="8" w:space="0" w:color="auto"/>
            </w:tcBorders>
            <w:shd w:val="clear" w:color="auto" w:fill="auto"/>
            <w:noWrap/>
            <w:vAlign w:val="bottom"/>
          </w:tcPr>
          <w:p w14:paraId="1B92BB4A" w14:textId="30011EFD" w:rsidR="00CD2DC7" w:rsidRPr="00574941" w:rsidRDefault="009B4B70" w:rsidP="00CD2DC7">
            <w:pPr>
              <w:jc w:val="right"/>
              <w:rPr>
                <w:rFonts w:eastAsia="Times New Roman" w:cs="Calibri"/>
                <w:b/>
                <w:color w:val="000000"/>
                <w:sz w:val="16"/>
                <w:szCs w:val="16"/>
                <w:lang w:val="en-GB" w:eastAsia="en-GB"/>
              </w:rPr>
            </w:pPr>
            <w:r>
              <w:rPr>
                <w:rFonts w:eastAsia="Times New Roman" w:cs="Calibri"/>
                <w:b/>
                <w:color w:val="000000"/>
                <w:sz w:val="16"/>
                <w:szCs w:val="16"/>
                <w:lang w:val="en-GB" w:eastAsia="en-GB"/>
              </w:rPr>
              <w:t>(14,562</w:t>
            </w:r>
            <w:r w:rsidR="00574941" w:rsidRPr="00574941">
              <w:rPr>
                <w:rFonts w:eastAsia="Times New Roman" w:cs="Calibri"/>
                <w:b/>
                <w:color w:val="000000"/>
                <w:sz w:val="16"/>
                <w:szCs w:val="16"/>
                <w:lang w:val="en-GB" w:eastAsia="en-GB"/>
              </w:rPr>
              <w:t>)</w:t>
            </w:r>
          </w:p>
        </w:tc>
      </w:tr>
      <w:tr w:rsidR="009B4B70" w:rsidRPr="00574941" w14:paraId="63204861" w14:textId="77777777" w:rsidTr="00CD2DC7">
        <w:trPr>
          <w:trHeight w:val="205"/>
          <w:jc w:val="center"/>
        </w:trPr>
        <w:tc>
          <w:tcPr>
            <w:tcW w:w="29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C4D026" w14:textId="77777777" w:rsidR="009B4B70" w:rsidRPr="00574941" w:rsidRDefault="009B4B70" w:rsidP="009B4B70">
            <w:pPr>
              <w:rPr>
                <w:rFonts w:eastAsia="Times New Roman" w:cs="Calibri"/>
                <w:color w:val="000000"/>
                <w:sz w:val="16"/>
                <w:szCs w:val="16"/>
                <w:lang w:val="en-GB" w:eastAsia="en-GB"/>
              </w:rPr>
            </w:pPr>
            <w:r w:rsidRPr="00574941">
              <w:rPr>
                <w:rFonts w:eastAsia="Times New Roman" w:cs="Calibri"/>
                <w:color w:val="000000"/>
                <w:sz w:val="16"/>
                <w:szCs w:val="16"/>
                <w:lang w:val="en-GB" w:eastAsia="en-GB"/>
              </w:rPr>
              <w:t>Non - Financial Liabilities</w:t>
            </w:r>
          </w:p>
        </w:tc>
        <w:tc>
          <w:tcPr>
            <w:tcW w:w="1648" w:type="dxa"/>
            <w:tcBorders>
              <w:top w:val="nil"/>
              <w:left w:val="single" w:sz="4" w:space="0" w:color="auto"/>
              <w:bottom w:val="single" w:sz="4" w:space="0" w:color="auto"/>
              <w:right w:val="nil"/>
            </w:tcBorders>
            <w:shd w:val="clear" w:color="auto" w:fill="auto"/>
            <w:noWrap/>
            <w:vAlign w:val="bottom"/>
            <w:hideMark/>
          </w:tcPr>
          <w:p w14:paraId="25722D1B" w14:textId="77777777" w:rsidR="009B4B70" w:rsidRPr="00574941" w:rsidRDefault="009B4B70" w:rsidP="009B4B70">
            <w:pPr>
              <w:jc w:val="right"/>
              <w:rPr>
                <w:rFonts w:eastAsia="Times New Roman" w:cs="Calibri"/>
                <w:color w:val="000000"/>
                <w:sz w:val="16"/>
                <w:szCs w:val="16"/>
                <w:lang w:val="en-GB" w:eastAsia="en-GB"/>
              </w:rPr>
            </w:pPr>
            <w:r w:rsidRPr="00574941">
              <w:rPr>
                <w:rFonts w:eastAsia="Times New Roman" w:cs="Calibri"/>
                <w:color w:val="000000"/>
                <w:sz w:val="16"/>
                <w:szCs w:val="16"/>
                <w:lang w:val="en-GB" w:eastAsia="en-GB"/>
              </w:rPr>
              <w:t>(2,027,958)</w:t>
            </w:r>
          </w:p>
        </w:tc>
        <w:tc>
          <w:tcPr>
            <w:tcW w:w="1649" w:type="dxa"/>
            <w:tcBorders>
              <w:top w:val="nil"/>
              <w:left w:val="nil"/>
              <w:bottom w:val="single" w:sz="4" w:space="0" w:color="auto"/>
              <w:right w:val="single" w:sz="8" w:space="0" w:color="auto"/>
            </w:tcBorders>
            <w:shd w:val="clear" w:color="auto" w:fill="auto"/>
            <w:noWrap/>
            <w:vAlign w:val="bottom"/>
          </w:tcPr>
          <w:p w14:paraId="28391C7B" w14:textId="1DF5A30D" w:rsidR="009B4B70" w:rsidRPr="00574941" w:rsidRDefault="009B4B70" w:rsidP="009B4B70">
            <w:pPr>
              <w:jc w:val="right"/>
              <w:rPr>
                <w:rFonts w:eastAsia="Times New Roman" w:cs="Calibri"/>
                <w:color w:val="000000"/>
                <w:sz w:val="16"/>
                <w:szCs w:val="16"/>
                <w:lang w:val="en-GB" w:eastAsia="en-GB"/>
              </w:rPr>
            </w:pPr>
            <w:r w:rsidRPr="009B4B70">
              <w:rPr>
                <w:rFonts w:eastAsia="Times New Roman" w:cs="Calibri"/>
                <w:color w:val="000000"/>
                <w:sz w:val="16"/>
                <w:szCs w:val="16"/>
                <w:lang w:val="en-GB" w:eastAsia="en-GB"/>
              </w:rPr>
              <w:t>(2,</w:t>
            </w:r>
            <w:r>
              <w:rPr>
                <w:rFonts w:eastAsia="Times New Roman" w:cs="Calibri"/>
                <w:color w:val="000000"/>
                <w:sz w:val="16"/>
                <w:szCs w:val="16"/>
                <w:lang w:val="en-GB" w:eastAsia="en-GB"/>
              </w:rPr>
              <w:t>176,507</w:t>
            </w:r>
            <w:r w:rsidRPr="009B4B70">
              <w:rPr>
                <w:rFonts w:eastAsia="Times New Roman" w:cs="Calibri"/>
                <w:color w:val="000000"/>
                <w:sz w:val="16"/>
                <w:szCs w:val="16"/>
                <w:lang w:val="en-GB" w:eastAsia="en-GB"/>
              </w:rPr>
              <w:t>)</w:t>
            </w:r>
          </w:p>
        </w:tc>
        <w:tc>
          <w:tcPr>
            <w:tcW w:w="1648" w:type="dxa"/>
            <w:tcBorders>
              <w:top w:val="nil"/>
              <w:left w:val="nil"/>
              <w:bottom w:val="single" w:sz="4" w:space="0" w:color="auto"/>
              <w:right w:val="nil"/>
            </w:tcBorders>
            <w:shd w:val="clear" w:color="auto" w:fill="auto"/>
            <w:noWrap/>
            <w:vAlign w:val="bottom"/>
            <w:hideMark/>
          </w:tcPr>
          <w:p w14:paraId="320672F3" w14:textId="77777777" w:rsidR="009B4B70" w:rsidRPr="00574941" w:rsidRDefault="009B4B70" w:rsidP="009B4B70">
            <w:pPr>
              <w:jc w:val="right"/>
              <w:rPr>
                <w:rFonts w:eastAsia="Times New Roman" w:cs="Calibri"/>
                <w:color w:val="000000"/>
                <w:sz w:val="16"/>
                <w:szCs w:val="16"/>
                <w:lang w:val="en-GB" w:eastAsia="en-GB"/>
              </w:rPr>
            </w:pPr>
            <w:r w:rsidRPr="00574941">
              <w:rPr>
                <w:rFonts w:eastAsia="Times New Roman" w:cs="Calibri"/>
                <w:color w:val="000000"/>
                <w:sz w:val="16"/>
                <w:szCs w:val="16"/>
                <w:lang w:val="en-GB" w:eastAsia="en-GB"/>
              </w:rPr>
              <w:t>(2,027,958)</w:t>
            </w:r>
          </w:p>
        </w:tc>
        <w:tc>
          <w:tcPr>
            <w:tcW w:w="1649" w:type="dxa"/>
            <w:tcBorders>
              <w:top w:val="nil"/>
              <w:left w:val="nil"/>
              <w:bottom w:val="single" w:sz="4" w:space="0" w:color="auto"/>
              <w:right w:val="single" w:sz="8" w:space="0" w:color="auto"/>
            </w:tcBorders>
            <w:shd w:val="clear" w:color="auto" w:fill="auto"/>
            <w:noWrap/>
            <w:vAlign w:val="bottom"/>
          </w:tcPr>
          <w:p w14:paraId="3C74AD11" w14:textId="475AF375" w:rsidR="009B4B70" w:rsidRPr="00574941" w:rsidRDefault="009B4B70" w:rsidP="009B4B70">
            <w:pPr>
              <w:jc w:val="right"/>
              <w:rPr>
                <w:rFonts w:eastAsia="Times New Roman" w:cs="Calibri"/>
                <w:color w:val="000000"/>
                <w:sz w:val="16"/>
                <w:szCs w:val="16"/>
                <w:lang w:val="en-GB" w:eastAsia="en-GB"/>
              </w:rPr>
            </w:pPr>
            <w:r w:rsidRPr="009B4B70">
              <w:rPr>
                <w:rFonts w:eastAsia="Times New Roman" w:cs="Calibri"/>
                <w:color w:val="000000"/>
                <w:sz w:val="16"/>
                <w:szCs w:val="16"/>
                <w:lang w:val="en-GB" w:eastAsia="en-GB"/>
              </w:rPr>
              <w:t>(2,</w:t>
            </w:r>
            <w:r>
              <w:rPr>
                <w:rFonts w:eastAsia="Times New Roman" w:cs="Calibri"/>
                <w:color w:val="000000"/>
                <w:sz w:val="16"/>
                <w:szCs w:val="16"/>
                <w:lang w:val="en-GB" w:eastAsia="en-GB"/>
              </w:rPr>
              <w:t>176,507</w:t>
            </w:r>
            <w:r w:rsidRPr="009B4B70">
              <w:rPr>
                <w:rFonts w:eastAsia="Times New Roman" w:cs="Calibri"/>
                <w:color w:val="000000"/>
                <w:sz w:val="16"/>
                <w:szCs w:val="16"/>
                <w:lang w:val="en-GB" w:eastAsia="en-GB"/>
              </w:rPr>
              <w:t>)</w:t>
            </w:r>
          </w:p>
        </w:tc>
      </w:tr>
      <w:tr w:rsidR="009B4B70" w:rsidRPr="00574941" w14:paraId="136242F2" w14:textId="77777777" w:rsidTr="00CD2DC7">
        <w:trPr>
          <w:trHeight w:val="217"/>
          <w:jc w:val="center"/>
        </w:trPr>
        <w:tc>
          <w:tcPr>
            <w:tcW w:w="29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859DF5" w14:textId="77777777" w:rsidR="009B4B70" w:rsidRPr="00574941" w:rsidRDefault="009B4B70" w:rsidP="009B4B70">
            <w:pPr>
              <w:rPr>
                <w:rFonts w:eastAsia="Times New Roman" w:cs="Calibri"/>
                <w:b/>
                <w:color w:val="000000"/>
                <w:sz w:val="16"/>
                <w:szCs w:val="16"/>
                <w:lang w:val="en-GB" w:eastAsia="en-GB"/>
              </w:rPr>
            </w:pPr>
            <w:r w:rsidRPr="00574941">
              <w:rPr>
                <w:rFonts w:eastAsia="Times New Roman" w:cs="Calibri"/>
                <w:b/>
                <w:color w:val="000000"/>
                <w:sz w:val="16"/>
                <w:szCs w:val="16"/>
                <w:lang w:val="en-GB" w:eastAsia="en-GB"/>
              </w:rPr>
              <w:t>Total non-current liabilities</w:t>
            </w:r>
          </w:p>
        </w:tc>
        <w:tc>
          <w:tcPr>
            <w:tcW w:w="1648" w:type="dxa"/>
            <w:tcBorders>
              <w:top w:val="nil"/>
              <w:left w:val="single" w:sz="4" w:space="0" w:color="auto"/>
              <w:bottom w:val="single" w:sz="8" w:space="0" w:color="auto"/>
              <w:right w:val="nil"/>
            </w:tcBorders>
            <w:shd w:val="clear" w:color="auto" w:fill="auto"/>
            <w:noWrap/>
            <w:vAlign w:val="bottom"/>
            <w:hideMark/>
          </w:tcPr>
          <w:p w14:paraId="6909AF58" w14:textId="77777777" w:rsidR="009B4B70" w:rsidRPr="00574941" w:rsidRDefault="009B4B70" w:rsidP="009B4B70">
            <w:pPr>
              <w:jc w:val="right"/>
              <w:rPr>
                <w:rFonts w:eastAsia="Times New Roman" w:cs="Calibri"/>
                <w:b/>
                <w:color w:val="000000"/>
                <w:sz w:val="16"/>
                <w:szCs w:val="16"/>
                <w:lang w:val="en-GB" w:eastAsia="en-GB"/>
              </w:rPr>
            </w:pPr>
            <w:r w:rsidRPr="00574941">
              <w:rPr>
                <w:rFonts w:eastAsia="Times New Roman" w:cs="Calibri"/>
                <w:b/>
                <w:color w:val="000000"/>
                <w:sz w:val="16"/>
                <w:szCs w:val="16"/>
                <w:lang w:val="en-GB" w:eastAsia="en-GB"/>
              </w:rPr>
              <w:t>(2,043,042)</w:t>
            </w:r>
          </w:p>
        </w:tc>
        <w:tc>
          <w:tcPr>
            <w:tcW w:w="1649" w:type="dxa"/>
            <w:tcBorders>
              <w:top w:val="nil"/>
              <w:left w:val="nil"/>
              <w:bottom w:val="single" w:sz="8" w:space="0" w:color="auto"/>
              <w:right w:val="single" w:sz="8" w:space="0" w:color="auto"/>
            </w:tcBorders>
            <w:shd w:val="clear" w:color="auto" w:fill="auto"/>
            <w:noWrap/>
            <w:vAlign w:val="bottom"/>
          </w:tcPr>
          <w:p w14:paraId="3398C006" w14:textId="0B797D02" w:rsidR="009B4B70" w:rsidRPr="00574941" w:rsidRDefault="009B4B70" w:rsidP="009B4B70">
            <w:pPr>
              <w:jc w:val="right"/>
              <w:rPr>
                <w:rFonts w:eastAsia="Times New Roman" w:cs="Calibri"/>
                <w:b/>
                <w:color w:val="000000"/>
                <w:sz w:val="16"/>
                <w:szCs w:val="16"/>
                <w:lang w:val="en-GB" w:eastAsia="en-GB"/>
              </w:rPr>
            </w:pPr>
            <w:r>
              <w:rPr>
                <w:rFonts w:eastAsia="Times New Roman" w:cs="Calibri"/>
                <w:b/>
                <w:color w:val="000000"/>
                <w:sz w:val="16"/>
                <w:szCs w:val="16"/>
                <w:lang w:val="en-GB" w:eastAsia="en-GB"/>
              </w:rPr>
              <w:t>(2,191,069</w:t>
            </w:r>
            <w:r w:rsidRPr="00574941">
              <w:rPr>
                <w:rFonts w:eastAsia="Times New Roman" w:cs="Calibri"/>
                <w:b/>
                <w:color w:val="000000"/>
                <w:sz w:val="16"/>
                <w:szCs w:val="16"/>
                <w:lang w:val="en-GB" w:eastAsia="en-GB"/>
              </w:rPr>
              <w:t>)</w:t>
            </w:r>
          </w:p>
        </w:tc>
        <w:tc>
          <w:tcPr>
            <w:tcW w:w="1648" w:type="dxa"/>
            <w:tcBorders>
              <w:top w:val="nil"/>
              <w:left w:val="nil"/>
              <w:bottom w:val="single" w:sz="8" w:space="0" w:color="auto"/>
              <w:right w:val="nil"/>
            </w:tcBorders>
            <w:shd w:val="clear" w:color="auto" w:fill="auto"/>
            <w:noWrap/>
            <w:vAlign w:val="bottom"/>
            <w:hideMark/>
          </w:tcPr>
          <w:p w14:paraId="060B8617" w14:textId="77777777" w:rsidR="009B4B70" w:rsidRPr="00574941" w:rsidRDefault="009B4B70" w:rsidP="009B4B70">
            <w:pPr>
              <w:jc w:val="right"/>
              <w:rPr>
                <w:rFonts w:eastAsia="Times New Roman" w:cs="Calibri"/>
                <w:b/>
                <w:color w:val="000000"/>
                <w:sz w:val="16"/>
                <w:szCs w:val="16"/>
                <w:lang w:val="en-GB" w:eastAsia="en-GB"/>
              </w:rPr>
            </w:pPr>
            <w:r w:rsidRPr="00574941">
              <w:rPr>
                <w:rFonts w:eastAsia="Times New Roman" w:cs="Calibri"/>
                <w:b/>
                <w:color w:val="000000"/>
                <w:sz w:val="16"/>
                <w:szCs w:val="16"/>
                <w:lang w:val="en-GB" w:eastAsia="en-GB"/>
              </w:rPr>
              <w:t>(2,043,042)</w:t>
            </w:r>
          </w:p>
        </w:tc>
        <w:tc>
          <w:tcPr>
            <w:tcW w:w="1649" w:type="dxa"/>
            <w:tcBorders>
              <w:top w:val="nil"/>
              <w:left w:val="nil"/>
              <w:bottom w:val="single" w:sz="8" w:space="0" w:color="auto"/>
              <w:right w:val="single" w:sz="8" w:space="0" w:color="auto"/>
            </w:tcBorders>
            <w:shd w:val="clear" w:color="auto" w:fill="auto"/>
            <w:noWrap/>
            <w:vAlign w:val="bottom"/>
          </w:tcPr>
          <w:p w14:paraId="0323E704" w14:textId="6EC4BA8E" w:rsidR="009B4B70" w:rsidRPr="00574941" w:rsidRDefault="009B4B70" w:rsidP="009B4B70">
            <w:pPr>
              <w:jc w:val="right"/>
              <w:rPr>
                <w:rFonts w:eastAsia="Times New Roman" w:cs="Calibri"/>
                <w:b/>
                <w:color w:val="000000"/>
                <w:sz w:val="16"/>
                <w:szCs w:val="16"/>
                <w:lang w:val="en-GB" w:eastAsia="en-GB"/>
              </w:rPr>
            </w:pPr>
            <w:r>
              <w:rPr>
                <w:rFonts w:eastAsia="Times New Roman" w:cs="Calibri"/>
                <w:b/>
                <w:color w:val="000000"/>
                <w:sz w:val="16"/>
                <w:szCs w:val="16"/>
                <w:lang w:val="en-GB" w:eastAsia="en-GB"/>
              </w:rPr>
              <w:t>(2,191,069</w:t>
            </w:r>
            <w:r w:rsidRPr="00574941">
              <w:rPr>
                <w:rFonts w:eastAsia="Times New Roman" w:cs="Calibri"/>
                <w:b/>
                <w:color w:val="000000"/>
                <w:sz w:val="16"/>
                <w:szCs w:val="16"/>
                <w:lang w:val="en-GB" w:eastAsia="en-GB"/>
              </w:rPr>
              <w:t>)</w:t>
            </w:r>
          </w:p>
        </w:tc>
      </w:tr>
    </w:tbl>
    <w:p w14:paraId="3BAF0420" w14:textId="77777777" w:rsidR="00DC5E2A" w:rsidRPr="003516A4" w:rsidRDefault="00DC5E2A" w:rsidP="00DC5E2A">
      <w:pPr>
        <w:pStyle w:val="T1TableStyle"/>
        <w:rPr>
          <w:rFonts w:ascii="Verdana" w:eastAsia="Verdana" w:hAnsi="Verdana" w:cs="Verdana"/>
          <w:sz w:val="22"/>
          <w:highlight w:val="yellow"/>
          <w:lang w:val="en-GB"/>
        </w:rPr>
      </w:pPr>
    </w:p>
    <w:p w14:paraId="443E11AC" w14:textId="77777777" w:rsidR="004A4E51" w:rsidRPr="00EA6CCE" w:rsidRDefault="004A4E51" w:rsidP="000D6EF8">
      <w:pPr>
        <w:rPr>
          <w:lang w:val="pt-BR"/>
        </w:rPr>
      </w:pPr>
    </w:p>
    <w:p w14:paraId="1C38C95B" w14:textId="77777777" w:rsidR="00A24354" w:rsidRPr="00EA6CCE" w:rsidRDefault="00A24354" w:rsidP="00DC5E2A">
      <w:pPr>
        <w:pStyle w:val="T1TableStyle"/>
        <w:jc w:val="both"/>
        <w:rPr>
          <w:rFonts w:ascii="Verdana" w:eastAsia="Verdana" w:hAnsi="Verdana" w:cs="Verdana"/>
          <w:sz w:val="22"/>
          <w:lang w:val="en-GB"/>
        </w:rPr>
      </w:pPr>
      <w:r w:rsidRPr="00EA6CCE">
        <w:rPr>
          <w:rFonts w:ascii="Verdana" w:eastAsia="Verdana" w:hAnsi="Verdana" w:cs="Verdana"/>
          <w:sz w:val="22"/>
          <w:lang w:val="en-GB"/>
        </w:rPr>
        <w:t>The loan from the PWLB Board was borrowed for capital purposes in line with the CIPFA Prudential Code for Capital Finance. The year-end balance represents totals for long term finance borrowing and loans.</w:t>
      </w:r>
    </w:p>
    <w:p w14:paraId="499161AE" w14:textId="77777777" w:rsidR="00A24354" w:rsidRPr="003516A4" w:rsidRDefault="00A24354" w:rsidP="00DC5E2A">
      <w:pPr>
        <w:pStyle w:val="T1TableStyle"/>
        <w:jc w:val="both"/>
        <w:rPr>
          <w:rFonts w:ascii="Verdana" w:eastAsia="Verdana" w:hAnsi="Verdana" w:cs="Verdana"/>
          <w:sz w:val="22"/>
          <w:highlight w:val="yellow"/>
          <w:lang w:val="en-GB"/>
        </w:rPr>
      </w:pPr>
    </w:p>
    <w:p w14:paraId="695D1DD6" w14:textId="77777777" w:rsidR="00A24354" w:rsidRPr="009768C6" w:rsidRDefault="00A24354" w:rsidP="00DC5E2A">
      <w:pPr>
        <w:pStyle w:val="T1TableStyle"/>
        <w:jc w:val="both"/>
        <w:rPr>
          <w:rFonts w:ascii="Verdana" w:eastAsia="Verdana" w:hAnsi="Verdana" w:cs="Verdana"/>
          <w:sz w:val="22"/>
          <w:lang w:val="en-GB"/>
        </w:rPr>
      </w:pPr>
      <w:r w:rsidRPr="009768C6">
        <w:rPr>
          <w:rFonts w:ascii="Verdana" w:eastAsia="Verdana" w:hAnsi="Verdana" w:cs="Verdana"/>
          <w:sz w:val="22"/>
          <w:lang w:val="en-GB"/>
        </w:rPr>
        <w:t xml:space="preserve">• For the loan from the Public Works Loan Board (PWLB), premature repayment rates from the PWLB have been applied to provide the fair value under PWLB debt redemption procedures. </w:t>
      </w:r>
    </w:p>
    <w:p w14:paraId="344E7B7A" w14:textId="77777777" w:rsidR="00A24354" w:rsidRPr="009768C6" w:rsidRDefault="00A24354" w:rsidP="00DC5E2A">
      <w:pPr>
        <w:pStyle w:val="T1TableStyle"/>
        <w:jc w:val="both"/>
        <w:rPr>
          <w:rFonts w:ascii="Verdana" w:eastAsia="Verdana" w:hAnsi="Verdana" w:cs="Verdana"/>
          <w:sz w:val="22"/>
          <w:lang w:val="en-GB"/>
        </w:rPr>
      </w:pPr>
      <w:r w:rsidRPr="009768C6">
        <w:rPr>
          <w:rFonts w:ascii="Verdana" w:eastAsia="Verdana" w:hAnsi="Verdana" w:cs="Verdana"/>
          <w:sz w:val="22"/>
          <w:lang w:val="en-GB"/>
        </w:rPr>
        <w:t>• Estimated interest rates at 31 March 202</w:t>
      </w:r>
      <w:r w:rsidR="00147F92" w:rsidRPr="009768C6">
        <w:rPr>
          <w:rFonts w:ascii="Verdana" w:eastAsia="Verdana" w:hAnsi="Verdana" w:cs="Verdana"/>
          <w:sz w:val="22"/>
          <w:lang w:val="en-GB"/>
        </w:rPr>
        <w:t>1</w:t>
      </w:r>
      <w:r w:rsidRPr="009768C6">
        <w:rPr>
          <w:rFonts w:ascii="Verdana" w:eastAsia="Verdana" w:hAnsi="Verdana" w:cs="Verdana"/>
          <w:sz w:val="22"/>
          <w:lang w:val="en-GB"/>
        </w:rPr>
        <w:t xml:space="preserve"> for loans from the PWLB are based on a loan rate of</w:t>
      </w:r>
      <w:r w:rsidR="009768C6" w:rsidRPr="009768C6">
        <w:rPr>
          <w:rFonts w:ascii="Verdana" w:eastAsia="Verdana" w:hAnsi="Verdana" w:cs="Verdana"/>
          <w:sz w:val="22"/>
          <w:lang w:val="en-GB"/>
        </w:rPr>
        <w:t xml:space="preserve"> 2.34% discounted at a rate of 1</w:t>
      </w:r>
      <w:r w:rsidRPr="009768C6">
        <w:rPr>
          <w:rFonts w:ascii="Verdana" w:eastAsia="Verdana" w:hAnsi="Verdana" w:cs="Verdana"/>
          <w:sz w:val="22"/>
          <w:lang w:val="en-GB"/>
        </w:rPr>
        <w:t>.</w:t>
      </w:r>
      <w:r w:rsidR="009768C6" w:rsidRPr="009768C6">
        <w:rPr>
          <w:rFonts w:ascii="Verdana" w:eastAsia="Verdana" w:hAnsi="Verdana" w:cs="Verdana"/>
          <w:sz w:val="22"/>
          <w:lang w:val="en-GB"/>
        </w:rPr>
        <w:t>04</w:t>
      </w:r>
      <w:r w:rsidRPr="009768C6">
        <w:rPr>
          <w:rFonts w:ascii="Verdana" w:eastAsia="Verdana" w:hAnsi="Verdana" w:cs="Verdana"/>
          <w:sz w:val="22"/>
          <w:lang w:val="en-GB"/>
        </w:rPr>
        <w:t xml:space="preserve">%. </w:t>
      </w:r>
    </w:p>
    <w:p w14:paraId="41E3BDE7" w14:textId="77777777" w:rsidR="00A24354" w:rsidRPr="009768C6" w:rsidRDefault="00A24354" w:rsidP="00DC5E2A">
      <w:pPr>
        <w:pStyle w:val="T1TableStyle"/>
        <w:jc w:val="both"/>
        <w:rPr>
          <w:rFonts w:ascii="Verdana" w:eastAsia="Verdana" w:hAnsi="Verdana" w:cs="Verdana"/>
          <w:sz w:val="22"/>
          <w:lang w:val="en-GB"/>
        </w:rPr>
      </w:pPr>
      <w:r w:rsidRPr="009768C6">
        <w:rPr>
          <w:rFonts w:ascii="Verdana" w:eastAsia="Verdana" w:hAnsi="Verdana" w:cs="Verdana"/>
          <w:sz w:val="22"/>
          <w:lang w:val="en-GB"/>
        </w:rPr>
        <w:t xml:space="preserve">• No early repayment or impairment is recognised. </w:t>
      </w:r>
    </w:p>
    <w:p w14:paraId="58F924CD" w14:textId="77777777" w:rsidR="00A24354" w:rsidRPr="009768C6" w:rsidRDefault="00A24354" w:rsidP="00DC5E2A">
      <w:pPr>
        <w:pStyle w:val="T1TableStyle"/>
        <w:jc w:val="both"/>
        <w:rPr>
          <w:rFonts w:ascii="Verdana" w:eastAsia="Verdana" w:hAnsi="Verdana" w:cs="Verdana"/>
          <w:sz w:val="22"/>
          <w:lang w:val="en-GB"/>
        </w:rPr>
      </w:pPr>
      <w:r w:rsidRPr="009768C6">
        <w:rPr>
          <w:rFonts w:ascii="Verdana" w:eastAsia="Verdana" w:hAnsi="Verdana" w:cs="Verdana"/>
          <w:sz w:val="22"/>
          <w:lang w:val="en-GB"/>
        </w:rPr>
        <w:t>The fair value of the PWLB loan is calculated at £</w:t>
      </w:r>
      <w:r w:rsidR="009768C6" w:rsidRPr="009768C6">
        <w:rPr>
          <w:rFonts w:ascii="Verdana" w:eastAsia="Verdana" w:hAnsi="Verdana" w:cs="Verdana"/>
          <w:sz w:val="22"/>
          <w:lang w:val="en-GB"/>
        </w:rPr>
        <w:t>17</w:t>
      </w:r>
      <w:r w:rsidRPr="009768C6">
        <w:rPr>
          <w:rFonts w:ascii="Verdana" w:eastAsia="Verdana" w:hAnsi="Verdana" w:cs="Verdana"/>
          <w:sz w:val="22"/>
          <w:lang w:val="en-GB"/>
        </w:rPr>
        <w:t>.0m as at 31 March 202</w:t>
      </w:r>
      <w:r w:rsidR="009768C6" w:rsidRPr="009768C6">
        <w:rPr>
          <w:rFonts w:ascii="Verdana" w:eastAsia="Verdana" w:hAnsi="Verdana" w:cs="Verdana"/>
          <w:sz w:val="22"/>
          <w:lang w:val="en-GB"/>
        </w:rPr>
        <w:t>1</w:t>
      </w:r>
      <w:r w:rsidRPr="009768C6">
        <w:rPr>
          <w:rFonts w:ascii="Verdana" w:eastAsia="Verdana" w:hAnsi="Verdana" w:cs="Verdana"/>
          <w:sz w:val="22"/>
          <w:lang w:val="en-GB"/>
        </w:rPr>
        <w:t xml:space="preserve">. </w:t>
      </w:r>
    </w:p>
    <w:p w14:paraId="6905BD2A" w14:textId="77777777" w:rsidR="00A24354" w:rsidRPr="009768C6" w:rsidRDefault="00A24354" w:rsidP="00DC5E2A">
      <w:pPr>
        <w:pStyle w:val="T1TableStyle"/>
        <w:jc w:val="both"/>
        <w:rPr>
          <w:rFonts w:ascii="Verdana" w:eastAsia="Verdana" w:hAnsi="Verdana" w:cs="Verdana"/>
          <w:sz w:val="22"/>
          <w:lang w:val="en-GB"/>
        </w:rPr>
      </w:pPr>
    </w:p>
    <w:p w14:paraId="1C36D54B" w14:textId="77777777" w:rsidR="00A24354" w:rsidRPr="009768C6" w:rsidRDefault="00A24354" w:rsidP="00DC5E2A">
      <w:pPr>
        <w:pStyle w:val="T1TableStyle"/>
        <w:jc w:val="both"/>
        <w:rPr>
          <w:rFonts w:ascii="Verdana" w:eastAsia="Verdana" w:hAnsi="Verdana" w:cs="Verdana"/>
          <w:sz w:val="22"/>
          <w:lang w:val="en-GB"/>
        </w:rPr>
      </w:pPr>
      <w:r w:rsidRPr="009768C6">
        <w:rPr>
          <w:rFonts w:ascii="Verdana" w:eastAsia="Verdana" w:hAnsi="Verdana" w:cs="Verdana"/>
          <w:sz w:val="22"/>
          <w:lang w:val="en-GB"/>
        </w:rPr>
        <w:t>The fair values of short term trade payables and receivables, cash and cash equivalents are assumed to equal the book values. These are exempt from IFRS13.</w:t>
      </w:r>
    </w:p>
    <w:p w14:paraId="7EA15A56" w14:textId="77777777" w:rsidR="00A24354" w:rsidRPr="009768C6" w:rsidRDefault="00A24354" w:rsidP="00DC5E2A">
      <w:pPr>
        <w:pStyle w:val="T1TableStyle"/>
        <w:jc w:val="both"/>
        <w:rPr>
          <w:rFonts w:ascii="Verdana" w:eastAsia="Verdana" w:hAnsi="Verdana" w:cs="Verdana"/>
          <w:sz w:val="22"/>
          <w:lang w:val="en-GB"/>
        </w:rPr>
      </w:pPr>
      <w:r w:rsidRPr="009768C6">
        <w:rPr>
          <w:rFonts w:ascii="Verdana" w:eastAsia="Verdana" w:hAnsi="Verdana" w:cs="Verdana"/>
          <w:sz w:val="22"/>
          <w:lang w:val="en-GB"/>
        </w:rPr>
        <w:t>The fair value of the PWLB loan is higher than the carrying amount because the fixed rate loan's interest rate payable is higher than the prevailing rates at the Balance Sheet date. This shows a notional future loss (based on economic conditions at 31 March 202</w:t>
      </w:r>
      <w:r w:rsidR="00FF3EC3">
        <w:rPr>
          <w:rFonts w:ascii="Verdana" w:eastAsia="Verdana" w:hAnsi="Verdana" w:cs="Verdana"/>
          <w:sz w:val="22"/>
          <w:lang w:val="en-GB"/>
        </w:rPr>
        <w:t>1</w:t>
      </w:r>
      <w:r w:rsidRPr="009768C6">
        <w:rPr>
          <w:rFonts w:ascii="Verdana" w:eastAsia="Verdana" w:hAnsi="Verdana" w:cs="Verdana"/>
          <w:sz w:val="22"/>
          <w:lang w:val="en-GB"/>
        </w:rPr>
        <w:t xml:space="preserve">) arising from a commitment to pay interest to lenders above current market rates. </w:t>
      </w:r>
    </w:p>
    <w:p w14:paraId="0F138902" w14:textId="77777777" w:rsidR="00A24354" w:rsidRPr="00147F92" w:rsidRDefault="00A24354" w:rsidP="00DC5E2A">
      <w:pPr>
        <w:pStyle w:val="T1TableStyle"/>
        <w:jc w:val="both"/>
        <w:rPr>
          <w:rFonts w:ascii="Verdana" w:eastAsia="Verdana" w:hAnsi="Verdana" w:cs="Verdana"/>
          <w:sz w:val="22"/>
          <w:lang w:val="en-GB"/>
        </w:rPr>
      </w:pPr>
    </w:p>
    <w:p w14:paraId="7B7BDDA0" w14:textId="77777777" w:rsidR="00A24354" w:rsidRPr="00147F92" w:rsidRDefault="00A24354" w:rsidP="00DC5E2A">
      <w:pPr>
        <w:pStyle w:val="T1TableStyle"/>
        <w:jc w:val="both"/>
        <w:rPr>
          <w:rFonts w:ascii="Verdana" w:eastAsia="Verdana" w:hAnsi="Verdana" w:cs="Verdana"/>
          <w:sz w:val="22"/>
          <w:lang w:val="en-GB"/>
        </w:rPr>
      </w:pPr>
      <w:r w:rsidRPr="00147F92">
        <w:rPr>
          <w:rFonts w:ascii="Verdana" w:eastAsia="Verdana" w:hAnsi="Verdana" w:cs="Verdana"/>
          <w:sz w:val="22"/>
          <w:lang w:val="en-GB"/>
        </w:rPr>
        <w:t xml:space="preserve">Short term debtors and creditors are carried at cost as this is a fair approximation of their value. </w:t>
      </w:r>
    </w:p>
    <w:p w14:paraId="59F24367" w14:textId="77777777" w:rsidR="00A24354" w:rsidRPr="00147F92" w:rsidRDefault="00A24354" w:rsidP="00DC5E2A">
      <w:pPr>
        <w:pStyle w:val="T1TableStyle"/>
        <w:jc w:val="both"/>
        <w:rPr>
          <w:rFonts w:ascii="Verdana" w:eastAsia="Verdana" w:hAnsi="Verdana" w:cs="Verdana"/>
          <w:sz w:val="22"/>
          <w:lang w:val="en-GB"/>
        </w:rPr>
      </w:pPr>
    </w:p>
    <w:p w14:paraId="3E109F0F" w14:textId="77777777" w:rsidR="00A24354" w:rsidRPr="00147F92" w:rsidRDefault="00A24354" w:rsidP="00DC5E2A">
      <w:pPr>
        <w:pStyle w:val="T1TableStyle"/>
        <w:jc w:val="both"/>
        <w:rPr>
          <w:rFonts w:ascii="Verdana" w:eastAsia="Verdana" w:hAnsi="Verdana" w:cs="Verdana"/>
          <w:sz w:val="22"/>
          <w:lang w:val="en-GB"/>
        </w:rPr>
      </w:pPr>
      <w:r w:rsidRPr="00147F92">
        <w:rPr>
          <w:rFonts w:ascii="Verdana" w:eastAsia="Verdana" w:hAnsi="Verdana" w:cs="Verdana"/>
          <w:sz w:val="22"/>
          <w:lang w:val="en-GB"/>
        </w:rPr>
        <w:t xml:space="preserve">Assets and Liabilities are measured at fair value using the IFRS13 Fair Value market approach which uses prices and other relevant information (inputs) generated by market transactions involving similar assets or liabilities. The IFRS on Fair Value includes a fair value hierarchy that categorises the inputs to valuation techniques used to measure fair value into three input levels as follows: </w:t>
      </w:r>
    </w:p>
    <w:p w14:paraId="1EB2D7B8" w14:textId="77777777" w:rsidR="00A24354" w:rsidRPr="00147F92" w:rsidRDefault="00A24354" w:rsidP="00DC5E2A">
      <w:pPr>
        <w:pStyle w:val="T1TableStyle"/>
        <w:jc w:val="both"/>
        <w:rPr>
          <w:rFonts w:ascii="Verdana" w:eastAsia="Verdana" w:hAnsi="Verdana" w:cs="Verdana"/>
          <w:sz w:val="22"/>
          <w:lang w:val="en-GB"/>
        </w:rPr>
      </w:pPr>
    </w:p>
    <w:p w14:paraId="4E0A7C71" w14:textId="77777777" w:rsidR="00A24354" w:rsidRPr="00147F92" w:rsidRDefault="00A24354" w:rsidP="00A24354">
      <w:pPr>
        <w:pStyle w:val="T1TableStyle"/>
        <w:rPr>
          <w:rFonts w:ascii="Verdana" w:eastAsia="Verdana" w:hAnsi="Verdana" w:cs="Verdana"/>
          <w:sz w:val="22"/>
          <w:lang w:val="en-GB"/>
        </w:rPr>
      </w:pPr>
      <w:r w:rsidRPr="00147F92">
        <w:rPr>
          <w:rFonts w:ascii="Verdana" w:eastAsia="Verdana" w:hAnsi="Verdana" w:cs="Verdana"/>
          <w:sz w:val="22"/>
          <w:lang w:val="en-GB"/>
        </w:rPr>
        <w:t xml:space="preserve">• Level 1 Inputs – quoted prices (unadjusted) in active markets for identical assets or liabilities that the authority can access at the measurement date. </w:t>
      </w:r>
    </w:p>
    <w:p w14:paraId="0354E9A6" w14:textId="77777777" w:rsidR="00A24354" w:rsidRPr="00147F92" w:rsidRDefault="00A24354" w:rsidP="00A24354">
      <w:pPr>
        <w:pStyle w:val="T1TableStyle"/>
        <w:rPr>
          <w:rFonts w:ascii="Verdana" w:eastAsia="Verdana" w:hAnsi="Verdana" w:cs="Verdana"/>
          <w:sz w:val="22"/>
          <w:lang w:val="en-GB"/>
        </w:rPr>
      </w:pPr>
      <w:r w:rsidRPr="00147F92">
        <w:rPr>
          <w:rFonts w:ascii="Verdana" w:eastAsia="Verdana" w:hAnsi="Verdana" w:cs="Verdana"/>
          <w:sz w:val="22"/>
          <w:lang w:val="en-GB"/>
        </w:rPr>
        <w:t xml:space="preserve">• Level 2 Inputs – inputs other than quoted prices included within Level 1 that are observable for the asset or liability, either directly or indirectly. </w:t>
      </w:r>
    </w:p>
    <w:p w14:paraId="6B943CAD" w14:textId="77777777" w:rsidR="00A24354" w:rsidRPr="00147F92" w:rsidRDefault="00A24354" w:rsidP="00A24354">
      <w:pPr>
        <w:pStyle w:val="T1TableStyle"/>
        <w:rPr>
          <w:rFonts w:ascii="Verdana" w:eastAsia="Verdana" w:hAnsi="Verdana" w:cs="Verdana"/>
          <w:sz w:val="22"/>
          <w:lang w:val="en-GB"/>
        </w:rPr>
      </w:pPr>
      <w:r w:rsidRPr="00147F92">
        <w:rPr>
          <w:rFonts w:ascii="Verdana" w:eastAsia="Verdana" w:hAnsi="Verdana" w:cs="Verdana"/>
          <w:sz w:val="22"/>
          <w:lang w:val="en-GB"/>
        </w:rPr>
        <w:t xml:space="preserve">• Level 3 Inputs – unobservable inputs for the asset or liability. </w:t>
      </w:r>
    </w:p>
    <w:p w14:paraId="30E89B9B" w14:textId="77777777" w:rsidR="00A24354" w:rsidRPr="00147F92" w:rsidRDefault="00A24354" w:rsidP="00A24354">
      <w:pPr>
        <w:pStyle w:val="T1TableStyle"/>
        <w:rPr>
          <w:rFonts w:ascii="Verdana" w:eastAsia="Verdana" w:hAnsi="Verdana" w:cs="Verdana"/>
          <w:sz w:val="22"/>
          <w:lang w:val="en-GB"/>
        </w:rPr>
      </w:pPr>
    </w:p>
    <w:p w14:paraId="66A6634C" w14:textId="77777777" w:rsidR="00A24354" w:rsidRDefault="00A24354" w:rsidP="00A24354">
      <w:pPr>
        <w:pStyle w:val="T1TableStyle"/>
        <w:rPr>
          <w:rFonts w:ascii="Verdana" w:eastAsia="Verdana" w:hAnsi="Verdana" w:cs="Verdana"/>
          <w:sz w:val="22"/>
          <w:lang w:val="en-GB"/>
        </w:rPr>
      </w:pPr>
      <w:r w:rsidRPr="00147F92">
        <w:rPr>
          <w:rFonts w:ascii="Verdana" w:eastAsia="Verdana" w:hAnsi="Verdana" w:cs="Verdana"/>
          <w:sz w:val="22"/>
          <w:lang w:val="en-GB"/>
        </w:rPr>
        <w:t>We have therefore categorised the valuations of the long term PWLB borrowing as a Level 1 input in the IFRS 13 fair value hierarchy.</w:t>
      </w:r>
    </w:p>
    <w:p w14:paraId="0C35C7CF" w14:textId="77777777" w:rsidR="009B4B70" w:rsidRPr="00147F92" w:rsidRDefault="009B4B70" w:rsidP="00A24354">
      <w:pPr>
        <w:pStyle w:val="T1TableStyle"/>
        <w:rPr>
          <w:rFonts w:ascii="Verdana" w:eastAsia="Verdana" w:hAnsi="Verdana" w:cs="Verdana"/>
          <w:sz w:val="22"/>
          <w:lang w:val="en-GB"/>
        </w:rPr>
      </w:pPr>
    </w:p>
    <w:p w14:paraId="183C3A38" w14:textId="77777777" w:rsidR="00CA6653" w:rsidRPr="009C2404" w:rsidRDefault="00CA6653">
      <w:pPr>
        <w:pStyle w:val="T1TableStyle"/>
        <w:rPr>
          <w:rFonts w:ascii="Verdana" w:eastAsia="Verdana" w:hAnsi="Verdana" w:cs="Verdana"/>
          <w:sz w:val="22"/>
          <w:lang w:val="en-GB"/>
        </w:rPr>
      </w:pPr>
    </w:p>
    <w:tbl>
      <w:tblPr>
        <w:tblW w:w="9021" w:type="dxa"/>
        <w:jc w:val="center"/>
        <w:tblLook w:val="04A0" w:firstRow="1" w:lastRow="0" w:firstColumn="1" w:lastColumn="0" w:noHBand="0" w:noVBand="1"/>
      </w:tblPr>
      <w:tblGrid>
        <w:gridCol w:w="993"/>
        <w:gridCol w:w="2952"/>
        <w:gridCol w:w="1180"/>
        <w:gridCol w:w="1644"/>
        <w:gridCol w:w="1180"/>
        <w:gridCol w:w="1644"/>
      </w:tblGrid>
      <w:tr w:rsidR="00DC5E2A" w:rsidRPr="009C2404" w14:paraId="75113975" w14:textId="77777777" w:rsidTr="00D91109">
        <w:trPr>
          <w:gridBefore w:val="1"/>
          <w:wBefore w:w="993" w:type="dxa"/>
          <w:trHeight w:val="221"/>
          <w:jc w:val="center"/>
        </w:trPr>
        <w:tc>
          <w:tcPr>
            <w:tcW w:w="2952" w:type="dxa"/>
            <w:tcBorders>
              <w:top w:val="nil"/>
              <w:left w:val="nil"/>
              <w:bottom w:val="single" w:sz="4" w:space="0" w:color="auto"/>
              <w:right w:val="nil"/>
            </w:tcBorders>
            <w:shd w:val="clear" w:color="auto" w:fill="auto"/>
            <w:noWrap/>
            <w:vAlign w:val="bottom"/>
            <w:hideMark/>
          </w:tcPr>
          <w:p w14:paraId="5992477D" w14:textId="77777777" w:rsidR="00DC5E2A" w:rsidRPr="009C2404" w:rsidRDefault="00E7291F" w:rsidP="00EE6015">
            <w:pPr>
              <w:rPr>
                <w:rFonts w:eastAsia="Times New Roman" w:cs="Calibri"/>
                <w:color w:val="000000"/>
                <w:sz w:val="16"/>
                <w:szCs w:val="16"/>
                <w:lang w:val="en-GB" w:eastAsia="en-GB"/>
              </w:rPr>
            </w:pPr>
            <w:r w:rsidRPr="009C2404">
              <w:br w:type="page"/>
            </w:r>
            <w:r w:rsidR="00DC5E2A" w:rsidRPr="009C2404">
              <w:rPr>
                <w:rFonts w:eastAsia="Times New Roman" w:cs="Calibri"/>
                <w:color w:val="000000"/>
                <w:sz w:val="16"/>
                <w:szCs w:val="16"/>
                <w:lang w:val="en-GB" w:eastAsia="en-GB"/>
              </w:rPr>
              <w:t> </w:t>
            </w:r>
          </w:p>
        </w:tc>
        <w:tc>
          <w:tcPr>
            <w:tcW w:w="5076" w:type="dxa"/>
            <w:gridSpan w:val="4"/>
            <w:tcBorders>
              <w:top w:val="nil"/>
              <w:left w:val="nil"/>
              <w:bottom w:val="single" w:sz="8" w:space="0" w:color="auto"/>
              <w:right w:val="nil"/>
            </w:tcBorders>
            <w:shd w:val="clear" w:color="auto" w:fill="auto"/>
            <w:noWrap/>
            <w:vAlign w:val="bottom"/>
            <w:hideMark/>
          </w:tcPr>
          <w:p w14:paraId="5BCD7BBF" w14:textId="77777777" w:rsidR="00DC5E2A" w:rsidRPr="009C2404" w:rsidRDefault="00DC5E2A" w:rsidP="00EE6015">
            <w:pPr>
              <w:jc w:val="center"/>
              <w:rPr>
                <w:rFonts w:eastAsia="Times New Roman" w:cs="Calibri"/>
                <w:b/>
                <w:bCs/>
                <w:color w:val="000000"/>
                <w:sz w:val="16"/>
                <w:szCs w:val="16"/>
                <w:lang w:val="en-GB" w:eastAsia="en-GB"/>
              </w:rPr>
            </w:pPr>
            <w:r w:rsidRPr="009C2404">
              <w:rPr>
                <w:rFonts w:eastAsia="Times New Roman" w:cs="Calibri"/>
                <w:b/>
                <w:bCs/>
                <w:color w:val="000000"/>
                <w:sz w:val="16"/>
                <w:szCs w:val="16"/>
                <w:lang w:val="en-GB" w:eastAsia="en-GB"/>
              </w:rPr>
              <w:t>Current Financial Liabilities</w:t>
            </w:r>
          </w:p>
        </w:tc>
      </w:tr>
      <w:tr w:rsidR="00DC5E2A" w:rsidRPr="009C2404" w14:paraId="2346FAEC" w14:textId="77777777" w:rsidTr="00D91109">
        <w:trPr>
          <w:trHeight w:val="209"/>
          <w:jc w:val="center"/>
        </w:trPr>
        <w:tc>
          <w:tcPr>
            <w:tcW w:w="3945" w:type="dxa"/>
            <w:gridSpan w:val="2"/>
            <w:tcBorders>
              <w:top w:val="single" w:sz="4" w:space="0" w:color="auto"/>
              <w:left w:val="single" w:sz="4" w:space="0" w:color="auto"/>
              <w:bottom w:val="nil"/>
              <w:right w:val="single" w:sz="4" w:space="0" w:color="auto"/>
            </w:tcBorders>
            <w:shd w:val="clear" w:color="auto" w:fill="auto"/>
            <w:noWrap/>
            <w:vAlign w:val="bottom"/>
            <w:hideMark/>
          </w:tcPr>
          <w:p w14:paraId="30D62D00" w14:textId="77777777" w:rsidR="00DC5E2A" w:rsidRPr="009C2404" w:rsidRDefault="00DC5E2A" w:rsidP="00EE6015">
            <w:pPr>
              <w:jc w:val="center"/>
              <w:rPr>
                <w:rFonts w:eastAsia="Times New Roman" w:cs="Calibri"/>
                <w:b/>
                <w:bCs/>
                <w:color w:val="000000"/>
                <w:sz w:val="16"/>
                <w:szCs w:val="16"/>
                <w:lang w:val="en-GB" w:eastAsia="en-GB"/>
              </w:rPr>
            </w:pPr>
          </w:p>
        </w:tc>
        <w:tc>
          <w:tcPr>
            <w:tcW w:w="2538" w:type="dxa"/>
            <w:gridSpan w:val="2"/>
            <w:tcBorders>
              <w:top w:val="single" w:sz="8" w:space="0" w:color="auto"/>
              <w:left w:val="single" w:sz="4" w:space="0" w:color="auto"/>
              <w:bottom w:val="nil"/>
              <w:right w:val="single" w:sz="8" w:space="0" w:color="000000"/>
            </w:tcBorders>
            <w:shd w:val="clear" w:color="auto" w:fill="auto"/>
            <w:noWrap/>
            <w:vAlign w:val="bottom"/>
            <w:hideMark/>
          </w:tcPr>
          <w:p w14:paraId="23891744" w14:textId="77777777" w:rsidR="00DC5E2A" w:rsidRPr="009C2404" w:rsidRDefault="00DC5E2A" w:rsidP="00EE6015">
            <w:pPr>
              <w:jc w:val="center"/>
              <w:rPr>
                <w:rFonts w:eastAsia="Times New Roman" w:cs="Calibri"/>
                <w:b/>
                <w:bCs/>
                <w:color w:val="000000"/>
                <w:sz w:val="16"/>
                <w:szCs w:val="16"/>
                <w:lang w:val="en-GB" w:eastAsia="en-GB"/>
              </w:rPr>
            </w:pPr>
            <w:r w:rsidRPr="009C2404">
              <w:rPr>
                <w:rFonts w:eastAsia="Times New Roman" w:cs="Calibri"/>
                <w:b/>
                <w:bCs/>
                <w:color w:val="000000"/>
                <w:sz w:val="16"/>
                <w:szCs w:val="16"/>
                <w:lang w:val="en-GB" w:eastAsia="en-GB"/>
              </w:rPr>
              <w:t>Creditors</w:t>
            </w:r>
          </w:p>
        </w:tc>
        <w:tc>
          <w:tcPr>
            <w:tcW w:w="2538" w:type="dxa"/>
            <w:gridSpan w:val="2"/>
            <w:tcBorders>
              <w:top w:val="single" w:sz="8" w:space="0" w:color="auto"/>
              <w:left w:val="nil"/>
              <w:bottom w:val="nil"/>
              <w:right w:val="single" w:sz="8" w:space="0" w:color="000000"/>
            </w:tcBorders>
            <w:shd w:val="clear" w:color="auto" w:fill="auto"/>
            <w:noWrap/>
            <w:vAlign w:val="bottom"/>
            <w:hideMark/>
          </w:tcPr>
          <w:p w14:paraId="5D4E635E" w14:textId="77777777" w:rsidR="00DC5E2A" w:rsidRPr="009C2404" w:rsidRDefault="00DC5E2A" w:rsidP="00EE6015">
            <w:pPr>
              <w:jc w:val="center"/>
              <w:rPr>
                <w:rFonts w:eastAsia="Times New Roman" w:cs="Calibri"/>
                <w:b/>
                <w:bCs/>
                <w:color w:val="000000"/>
                <w:sz w:val="16"/>
                <w:szCs w:val="16"/>
                <w:lang w:val="en-GB" w:eastAsia="en-GB"/>
              </w:rPr>
            </w:pPr>
            <w:r w:rsidRPr="009C2404">
              <w:rPr>
                <w:rFonts w:eastAsia="Times New Roman" w:cs="Calibri"/>
                <w:b/>
                <w:bCs/>
                <w:color w:val="000000"/>
                <w:sz w:val="16"/>
                <w:szCs w:val="16"/>
                <w:lang w:val="en-GB" w:eastAsia="en-GB"/>
              </w:rPr>
              <w:t>Total</w:t>
            </w:r>
          </w:p>
        </w:tc>
      </w:tr>
      <w:tr w:rsidR="00DC5E2A" w:rsidRPr="009C2404" w14:paraId="3DBA2051" w14:textId="77777777" w:rsidTr="00D91109">
        <w:trPr>
          <w:trHeight w:val="209"/>
          <w:jc w:val="center"/>
        </w:trPr>
        <w:tc>
          <w:tcPr>
            <w:tcW w:w="3945" w:type="dxa"/>
            <w:gridSpan w:val="2"/>
            <w:tcBorders>
              <w:top w:val="nil"/>
              <w:left w:val="single" w:sz="4" w:space="0" w:color="auto"/>
              <w:bottom w:val="nil"/>
              <w:right w:val="single" w:sz="4" w:space="0" w:color="auto"/>
            </w:tcBorders>
            <w:shd w:val="clear" w:color="auto" w:fill="auto"/>
            <w:noWrap/>
            <w:vAlign w:val="bottom"/>
            <w:hideMark/>
          </w:tcPr>
          <w:p w14:paraId="7514E72E" w14:textId="77777777" w:rsidR="00DC5E2A" w:rsidRPr="009C2404" w:rsidRDefault="00DC5E2A" w:rsidP="00EE6015">
            <w:pPr>
              <w:jc w:val="center"/>
              <w:rPr>
                <w:rFonts w:eastAsia="Times New Roman" w:cs="Calibri"/>
                <w:b/>
                <w:bCs/>
                <w:color w:val="000000"/>
                <w:sz w:val="16"/>
                <w:szCs w:val="16"/>
                <w:lang w:val="en-GB" w:eastAsia="en-GB"/>
              </w:rPr>
            </w:pPr>
          </w:p>
        </w:tc>
        <w:tc>
          <w:tcPr>
            <w:tcW w:w="1180" w:type="dxa"/>
            <w:tcBorders>
              <w:top w:val="nil"/>
              <w:left w:val="single" w:sz="4" w:space="0" w:color="auto"/>
              <w:bottom w:val="nil"/>
              <w:right w:val="nil"/>
            </w:tcBorders>
            <w:shd w:val="clear" w:color="auto" w:fill="auto"/>
            <w:noWrap/>
            <w:vAlign w:val="bottom"/>
            <w:hideMark/>
          </w:tcPr>
          <w:p w14:paraId="3DF5B96F" w14:textId="77777777" w:rsidR="00DC5E2A" w:rsidRPr="009C2404" w:rsidRDefault="00DC5E2A" w:rsidP="00C82FC1">
            <w:pPr>
              <w:jc w:val="right"/>
              <w:rPr>
                <w:rFonts w:eastAsia="Times New Roman" w:cs="Calibri"/>
                <w:b/>
                <w:bCs/>
                <w:color w:val="000000"/>
                <w:sz w:val="16"/>
                <w:szCs w:val="16"/>
                <w:lang w:val="en-GB" w:eastAsia="en-GB"/>
              </w:rPr>
            </w:pPr>
            <w:r w:rsidRPr="009C2404">
              <w:rPr>
                <w:rFonts w:eastAsia="Times New Roman" w:cs="Calibri"/>
                <w:b/>
                <w:bCs/>
                <w:color w:val="000000"/>
                <w:sz w:val="16"/>
                <w:szCs w:val="16"/>
                <w:lang w:val="en-GB" w:eastAsia="en-GB"/>
              </w:rPr>
              <w:t>31-Mar-</w:t>
            </w:r>
            <w:r w:rsidR="00C82FC1" w:rsidRPr="009C2404">
              <w:rPr>
                <w:rFonts w:eastAsia="Times New Roman" w:cs="Calibri"/>
                <w:b/>
                <w:bCs/>
                <w:color w:val="000000"/>
                <w:sz w:val="16"/>
                <w:szCs w:val="16"/>
                <w:lang w:val="en-GB" w:eastAsia="en-GB"/>
              </w:rPr>
              <w:t>20</w:t>
            </w:r>
          </w:p>
        </w:tc>
        <w:tc>
          <w:tcPr>
            <w:tcW w:w="1358" w:type="dxa"/>
            <w:tcBorders>
              <w:top w:val="nil"/>
              <w:left w:val="nil"/>
              <w:bottom w:val="nil"/>
              <w:right w:val="single" w:sz="8" w:space="0" w:color="auto"/>
            </w:tcBorders>
            <w:shd w:val="clear" w:color="auto" w:fill="auto"/>
            <w:noWrap/>
            <w:vAlign w:val="bottom"/>
            <w:hideMark/>
          </w:tcPr>
          <w:p w14:paraId="16D7BC8E" w14:textId="77777777" w:rsidR="00DC5E2A" w:rsidRPr="009C2404" w:rsidRDefault="00DC5E2A" w:rsidP="00C82FC1">
            <w:pPr>
              <w:jc w:val="right"/>
              <w:rPr>
                <w:rFonts w:eastAsia="Times New Roman" w:cs="Calibri"/>
                <w:b/>
                <w:bCs/>
                <w:color w:val="000000"/>
                <w:sz w:val="16"/>
                <w:szCs w:val="16"/>
                <w:lang w:val="en-GB" w:eastAsia="en-GB"/>
              </w:rPr>
            </w:pPr>
            <w:r w:rsidRPr="009C2404">
              <w:rPr>
                <w:rFonts w:eastAsia="Times New Roman" w:cs="Calibri"/>
                <w:b/>
                <w:bCs/>
                <w:color w:val="000000"/>
                <w:sz w:val="16"/>
                <w:szCs w:val="16"/>
                <w:lang w:val="en-GB" w:eastAsia="en-GB"/>
              </w:rPr>
              <w:t>31-Mar-2</w:t>
            </w:r>
            <w:r w:rsidR="00C82FC1" w:rsidRPr="009C2404">
              <w:rPr>
                <w:rFonts w:eastAsia="Times New Roman" w:cs="Calibri"/>
                <w:b/>
                <w:bCs/>
                <w:color w:val="000000"/>
                <w:sz w:val="16"/>
                <w:szCs w:val="16"/>
                <w:lang w:val="en-GB" w:eastAsia="en-GB"/>
              </w:rPr>
              <w:t>1</w:t>
            </w:r>
          </w:p>
        </w:tc>
        <w:tc>
          <w:tcPr>
            <w:tcW w:w="1180" w:type="dxa"/>
            <w:tcBorders>
              <w:top w:val="nil"/>
              <w:left w:val="nil"/>
              <w:bottom w:val="nil"/>
              <w:right w:val="nil"/>
            </w:tcBorders>
            <w:shd w:val="clear" w:color="auto" w:fill="auto"/>
            <w:noWrap/>
            <w:vAlign w:val="bottom"/>
            <w:hideMark/>
          </w:tcPr>
          <w:p w14:paraId="6D695645" w14:textId="77777777" w:rsidR="00DC5E2A" w:rsidRPr="009C2404" w:rsidRDefault="00DC5E2A" w:rsidP="00C82FC1">
            <w:pPr>
              <w:jc w:val="right"/>
              <w:rPr>
                <w:rFonts w:eastAsia="Times New Roman" w:cs="Calibri"/>
                <w:b/>
                <w:bCs/>
                <w:color w:val="000000"/>
                <w:sz w:val="16"/>
                <w:szCs w:val="16"/>
                <w:lang w:val="en-GB" w:eastAsia="en-GB"/>
              </w:rPr>
            </w:pPr>
            <w:r w:rsidRPr="009C2404">
              <w:rPr>
                <w:rFonts w:eastAsia="Times New Roman" w:cs="Calibri"/>
                <w:b/>
                <w:bCs/>
                <w:color w:val="000000"/>
                <w:sz w:val="16"/>
                <w:szCs w:val="16"/>
                <w:lang w:val="en-GB" w:eastAsia="en-GB"/>
              </w:rPr>
              <w:t>31-Mar-</w:t>
            </w:r>
            <w:r w:rsidR="00C82FC1" w:rsidRPr="009C2404">
              <w:rPr>
                <w:rFonts w:eastAsia="Times New Roman" w:cs="Calibri"/>
                <w:b/>
                <w:bCs/>
                <w:color w:val="000000"/>
                <w:sz w:val="16"/>
                <w:szCs w:val="16"/>
                <w:lang w:val="en-GB" w:eastAsia="en-GB"/>
              </w:rPr>
              <w:t>20</w:t>
            </w:r>
          </w:p>
        </w:tc>
        <w:tc>
          <w:tcPr>
            <w:tcW w:w="1358" w:type="dxa"/>
            <w:tcBorders>
              <w:top w:val="nil"/>
              <w:left w:val="nil"/>
              <w:bottom w:val="nil"/>
              <w:right w:val="single" w:sz="8" w:space="0" w:color="auto"/>
            </w:tcBorders>
            <w:shd w:val="clear" w:color="auto" w:fill="auto"/>
            <w:noWrap/>
            <w:vAlign w:val="bottom"/>
            <w:hideMark/>
          </w:tcPr>
          <w:p w14:paraId="7D1F883A" w14:textId="77777777" w:rsidR="00DC5E2A" w:rsidRPr="009C2404" w:rsidRDefault="00DC5E2A" w:rsidP="00C82FC1">
            <w:pPr>
              <w:jc w:val="right"/>
              <w:rPr>
                <w:rFonts w:eastAsia="Times New Roman" w:cs="Calibri"/>
                <w:b/>
                <w:bCs/>
                <w:color w:val="000000"/>
                <w:sz w:val="16"/>
                <w:szCs w:val="16"/>
                <w:lang w:val="en-GB" w:eastAsia="en-GB"/>
              </w:rPr>
            </w:pPr>
            <w:r w:rsidRPr="009C2404">
              <w:rPr>
                <w:rFonts w:eastAsia="Times New Roman" w:cs="Calibri"/>
                <w:b/>
                <w:bCs/>
                <w:color w:val="000000"/>
                <w:sz w:val="16"/>
                <w:szCs w:val="16"/>
                <w:lang w:val="en-GB" w:eastAsia="en-GB"/>
              </w:rPr>
              <w:t>31-Mar-2</w:t>
            </w:r>
            <w:r w:rsidR="00C82FC1" w:rsidRPr="009C2404">
              <w:rPr>
                <w:rFonts w:eastAsia="Times New Roman" w:cs="Calibri"/>
                <w:b/>
                <w:bCs/>
                <w:color w:val="000000"/>
                <w:sz w:val="16"/>
                <w:szCs w:val="16"/>
                <w:lang w:val="en-GB" w:eastAsia="en-GB"/>
              </w:rPr>
              <w:t>1`</w:t>
            </w:r>
          </w:p>
        </w:tc>
      </w:tr>
      <w:tr w:rsidR="00DC5E2A" w:rsidRPr="009C2404" w14:paraId="4AEB3182" w14:textId="77777777" w:rsidTr="00D91109">
        <w:trPr>
          <w:trHeight w:val="209"/>
          <w:jc w:val="center"/>
        </w:trPr>
        <w:tc>
          <w:tcPr>
            <w:tcW w:w="394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769806" w14:textId="77777777" w:rsidR="00DC5E2A" w:rsidRPr="009C2404" w:rsidRDefault="00DC5E2A" w:rsidP="00EE6015">
            <w:pPr>
              <w:rPr>
                <w:rFonts w:eastAsia="Times New Roman" w:cs="Calibri"/>
                <w:color w:val="000000"/>
                <w:sz w:val="16"/>
                <w:szCs w:val="16"/>
                <w:lang w:val="en-GB" w:eastAsia="en-GB"/>
              </w:rPr>
            </w:pPr>
            <w:r w:rsidRPr="009C2404">
              <w:rPr>
                <w:rFonts w:eastAsia="Times New Roman" w:cs="Calibri"/>
                <w:color w:val="000000"/>
                <w:sz w:val="16"/>
                <w:szCs w:val="16"/>
                <w:lang w:val="en-GB" w:eastAsia="en-GB"/>
              </w:rPr>
              <w:t> </w:t>
            </w:r>
          </w:p>
        </w:tc>
        <w:tc>
          <w:tcPr>
            <w:tcW w:w="1180" w:type="dxa"/>
            <w:tcBorders>
              <w:top w:val="nil"/>
              <w:left w:val="single" w:sz="4" w:space="0" w:color="auto"/>
              <w:bottom w:val="single" w:sz="4" w:space="0" w:color="auto"/>
              <w:right w:val="nil"/>
            </w:tcBorders>
            <w:shd w:val="clear" w:color="auto" w:fill="auto"/>
            <w:noWrap/>
            <w:vAlign w:val="bottom"/>
            <w:hideMark/>
          </w:tcPr>
          <w:p w14:paraId="68B2D46D" w14:textId="77777777" w:rsidR="00DC5E2A" w:rsidRPr="009C2404" w:rsidRDefault="00DC5E2A" w:rsidP="00EE6015">
            <w:pPr>
              <w:jc w:val="right"/>
              <w:rPr>
                <w:rFonts w:eastAsia="Times New Roman" w:cs="Calibri"/>
                <w:color w:val="000000"/>
                <w:sz w:val="16"/>
                <w:szCs w:val="16"/>
                <w:lang w:val="en-GB" w:eastAsia="en-GB"/>
              </w:rPr>
            </w:pPr>
            <w:r w:rsidRPr="009C2404">
              <w:rPr>
                <w:rFonts w:eastAsia="Times New Roman" w:cs="Calibri"/>
                <w:color w:val="000000"/>
                <w:sz w:val="16"/>
                <w:szCs w:val="16"/>
                <w:lang w:val="en-GB" w:eastAsia="en-GB"/>
              </w:rPr>
              <w:t>£000</w:t>
            </w:r>
          </w:p>
        </w:tc>
        <w:tc>
          <w:tcPr>
            <w:tcW w:w="1358" w:type="dxa"/>
            <w:tcBorders>
              <w:top w:val="nil"/>
              <w:left w:val="nil"/>
              <w:bottom w:val="single" w:sz="4" w:space="0" w:color="auto"/>
              <w:right w:val="single" w:sz="8" w:space="0" w:color="auto"/>
            </w:tcBorders>
            <w:shd w:val="clear" w:color="auto" w:fill="auto"/>
            <w:noWrap/>
            <w:vAlign w:val="bottom"/>
            <w:hideMark/>
          </w:tcPr>
          <w:p w14:paraId="2F8C46EB" w14:textId="77777777" w:rsidR="00DC5E2A" w:rsidRPr="009C2404" w:rsidRDefault="00DC5E2A" w:rsidP="00EE6015">
            <w:pPr>
              <w:jc w:val="right"/>
              <w:rPr>
                <w:rFonts w:eastAsia="Times New Roman" w:cs="Calibri"/>
                <w:color w:val="000000"/>
                <w:sz w:val="16"/>
                <w:szCs w:val="16"/>
                <w:lang w:val="en-GB" w:eastAsia="en-GB"/>
              </w:rPr>
            </w:pPr>
            <w:r w:rsidRPr="009C2404">
              <w:rPr>
                <w:rFonts w:eastAsia="Times New Roman" w:cs="Calibri"/>
                <w:color w:val="000000"/>
                <w:sz w:val="16"/>
                <w:szCs w:val="16"/>
                <w:lang w:val="en-GB" w:eastAsia="en-GB"/>
              </w:rPr>
              <w:t>£000</w:t>
            </w:r>
          </w:p>
        </w:tc>
        <w:tc>
          <w:tcPr>
            <w:tcW w:w="1180" w:type="dxa"/>
            <w:tcBorders>
              <w:top w:val="nil"/>
              <w:left w:val="nil"/>
              <w:bottom w:val="single" w:sz="4" w:space="0" w:color="auto"/>
              <w:right w:val="nil"/>
            </w:tcBorders>
            <w:shd w:val="clear" w:color="auto" w:fill="auto"/>
            <w:noWrap/>
            <w:vAlign w:val="bottom"/>
            <w:hideMark/>
          </w:tcPr>
          <w:p w14:paraId="33897FBC" w14:textId="77777777" w:rsidR="00DC5E2A" w:rsidRPr="009C2404" w:rsidRDefault="00DC5E2A" w:rsidP="00EE6015">
            <w:pPr>
              <w:jc w:val="right"/>
              <w:rPr>
                <w:rFonts w:eastAsia="Times New Roman" w:cs="Calibri"/>
                <w:color w:val="000000"/>
                <w:sz w:val="16"/>
                <w:szCs w:val="16"/>
                <w:lang w:val="en-GB" w:eastAsia="en-GB"/>
              </w:rPr>
            </w:pPr>
            <w:r w:rsidRPr="009C2404">
              <w:rPr>
                <w:rFonts w:eastAsia="Times New Roman" w:cs="Calibri"/>
                <w:color w:val="000000"/>
                <w:sz w:val="16"/>
                <w:szCs w:val="16"/>
                <w:lang w:val="en-GB" w:eastAsia="en-GB"/>
              </w:rPr>
              <w:t>£000</w:t>
            </w:r>
          </w:p>
        </w:tc>
        <w:tc>
          <w:tcPr>
            <w:tcW w:w="1358" w:type="dxa"/>
            <w:tcBorders>
              <w:top w:val="nil"/>
              <w:left w:val="nil"/>
              <w:bottom w:val="single" w:sz="4" w:space="0" w:color="auto"/>
              <w:right w:val="single" w:sz="8" w:space="0" w:color="auto"/>
            </w:tcBorders>
            <w:shd w:val="clear" w:color="auto" w:fill="auto"/>
            <w:noWrap/>
            <w:vAlign w:val="bottom"/>
            <w:hideMark/>
          </w:tcPr>
          <w:p w14:paraId="3CF62B62" w14:textId="77777777" w:rsidR="00DC5E2A" w:rsidRPr="009C2404" w:rsidRDefault="00DC5E2A" w:rsidP="00EE6015">
            <w:pPr>
              <w:jc w:val="right"/>
              <w:rPr>
                <w:rFonts w:eastAsia="Times New Roman" w:cs="Calibri"/>
                <w:color w:val="000000"/>
                <w:sz w:val="16"/>
                <w:szCs w:val="16"/>
                <w:lang w:val="en-GB" w:eastAsia="en-GB"/>
              </w:rPr>
            </w:pPr>
            <w:r w:rsidRPr="009C2404">
              <w:rPr>
                <w:rFonts w:eastAsia="Times New Roman" w:cs="Calibri"/>
                <w:color w:val="000000"/>
                <w:sz w:val="16"/>
                <w:szCs w:val="16"/>
                <w:lang w:val="en-GB" w:eastAsia="en-GB"/>
              </w:rPr>
              <w:t>£000</w:t>
            </w:r>
          </w:p>
        </w:tc>
      </w:tr>
      <w:tr w:rsidR="00C82FC1" w:rsidRPr="009C2404" w14:paraId="49299DF8" w14:textId="77777777" w:rsidTr="00D91109">
        <w:trPr>
          <w:trHeight w:val="209"/>
          <w:jc w:val="center"/>
        </w:trPr>
        <w:tc>
          <w:tcPr>
            <w:tcW w:w="3945" w:type="dxa"/>
            <w:gridSpan w:val="2"/>
            <w:tcBorders>
              <w:top w:val="nil"/>
              <w:left w:val="single" w:sz="4" w:space="0" w:color="auto"/>
              <w:bottom w:val="single" w:sz="4" w:space="0" w:color="auto"/>
              <w:right w:val="single" w:sz="4" w:space="0" w:color="auto"/>
            </w:tcBorders>
            <w:shd w:val="clear" w:color="auto" w:fill="auto"/>
            <w:noWrap/>
            <w:vAlign w:val="bottom"/>
          </w:tcPr>
          <w:p w14:paraId="3BD71913" w14:textId="77777777" w:rsidR="00C82FC1" w:rsidRPr="009C2404" w:rsidRDefault="00C82FC1" w:rsidP="00C82FC1">
            <w:pPr>
              <w:rPr>
                <w:rFonts w:eastAsia="Times New Roman" w:cs="Calibri"/>
                <w:color w:val="000000"/>
                <w:sz w:val="16"/>
                <w:szCs w:val="16"/>
                <w:lang w:val="en-GB" w:eastAsia="en-GB"/>
              </w:rPr>
            </w:pPr>
            <w:r w:rsidRPr="009C2404">
              <w:rPr>
                <w:rFonts w:eastAsia="Times New Roman" w:cs="Calibri"/>
                <w:color w:val="000000"/>
                <w:sz w:val="16"/>
                <w:szCs w:val="16"/>
                <w:lang w:val="en-GB" w:eastAsia="en-GB"/>
              </w:rPr>
              <w:t>Fair Value through profit &amp; loss</w:t>
            </w:r>
          </w:p>
        </w:tc>
        <w:tc>
          <w:tcPr>
            <w:tcW w:w="1180" w:type="dxa"/>
            <w:tcBorders>
              <w:top w:val="nil"/>
              <w:left w:val="single" w:sz="4" w:space="0" w:color="auto"/>
              <w:bottom w:val="single" w:sz="4" w:space="0" w:color="auto"/>
              <w:right w:val="nil"/>
            </w:tcBorders>
            <w:shd w:val="clear" w:color="auto" w:fill="auto"/>
            <w:noWrap/>
            <w:vAlign w:val="bottom"/>
          </w:tcPr>
          <w:p w14:paraId="45E9C75E" w14:textId="77777777" w:rsidR="00C82FC1" w:rsidRPr="009C2404" w:rsidRDefault="00C82FC1" w:rsidP="00C82FC1">
            <w:pPr>
              <w:jc w:val="right"/>
              <w:rPr>
                <w:rFonts w:eastAsia="Times New Roman" w:cs="Calibri"/>
                <w:color w:val="000000"/>
                <w:sz w:val="16"/>
                <w:szCs w:val="16"/>
                <w:lang w:val="en-GB" w:eastAsia="en-GB"/>
              </w:rPr>
            </w:pPr>
            <w:r w:rsidRPr="009C2404">
              <w:rPr>
                <w:rFonts w:eastAsia="Times New Roman" w:cs="Calibri"/>
                <w:color w:val="000000"/>
                <w:sz w:val="16"/>
                <w:szCs w:val="16"/>
                <w:lang w:val="en-GB" w:eastAsia="en-GB"/>
              </w:rPr>
              <w:t>0</w:t>
            </w:r>
          </w:p>
        </w:tc>
        <w:tc>
          <w:tcPr>
            <w:tcW w:w="1358" w:type="dxa"/>
            <w:tcBorders>
              <w:top w:val="nil"/>
              <w:left w:val="nil"/>
              <w:bottom w:val="single" w:sz="4" w:space="0" w:color="auto"/>
              <w:right w:val="single" w:sz="8" w:space="0" w:color="auto"/>
            </w:tcBorders>
            <w:shd w:val="clear" w:color="auto" w:fill="auto"/>
            <w:noWrap/>
            <w:vAlign w:val="bottom"/>
          </w:tcPr>
          <w:p w14:paraId="34923658" w14:textId="77777777" w:rsidR="00C82FC1" w:rsidRPr="009C2404" w:rsidRDefault="00F96461" w:rsidP="00C82FC1">
            <w:pPr>
              <w:jc w:val="right"/>
              <w:rPr>
                <w:rFonts w:eastAsia="Times New Roman" w:cs="Calibri"/>
                <w:color w:val="000000"/>
                <w:sz w:val="16"/>
                <w:szCs w:val="16"/>
                <w:lang w:val="en-GB" w:eastAsia="en-GB"/>
              </w:rPr>
            </w:pPr>
            <w:r w:rsidRPr="009C2404">
              <w:rPr>
                <w:rFonts w:eastAsia="Times New Roman" w:cs="Calibri"/>
                <w:color w:val="000000"/>
                <w:sz w:val="16"/>
                <w:szCs w:val="16"/>
                <w:lang w:val="en-GB" w:eastAsia="en-GB"/>
              </w:rPr>
              <w:t>0</w:t>
            </w:r>
          </w:p>
        </w:tc>
        <w:tc>
          <w:tcPr>
            <w:tcW w:w="1180" w:type="dxa"/>
            <w:tcBorders>
              <w:top w:val="nil"/>
              <w:left w:val="nil"/>
              <w:bottom w:val="single" w:sz="4" w:space="0" w:color="auto"/>
              <w:right w:val="nil"/>
            </w:tcBorders>
            <w:shd w:val="clear" w:color="auto" w:fill="auto"/>
            <w:noWrap/>
            <w:vAlign w:val="bottom"/>
          </w:tcPr>
          <w:p w14:paraId="683B9599" w14:textId="77777777" w:rsidR="00C82FC1" w:rsidRPr="009C2404" w:rsidRDefault="00C82FC1" w:rsidP="00C82FC1">
            <w:pPr>
              <w:jc w:val="right"/>
              <w:rPr>
                <w:rFonts w:eastAsia="Times New Roman" w:cs="Calibri"/>
                <w:color w:val="000000"/>
                <w:sz w:val="16"/>
                <w:szCs w:val="16"/>
                <w:lang w:val="en-GB" w:eastAsia="en-GB"/>
              </w:rPr>
            </w:pPr>
            <w:r w:rsidRPr="009C2404">
              <w:rPr>
                <w:rFonts w:eastAsia="Times New Roman" w:cs="Calibri"/>
                <w:color w:val="000000"/>
                <w:sz w:val="16"/>
                <w:szCs w:val="16"/>
                <w:lang w:val="en-GB" w:eastAsia="en-GB"/>
              </w:rPr>
              <w:t>0</w:t>
            </w:r>
          </w:p>
        </w:tc>
        <w:tc>
          <w:tcPr>
            <w:tcW w:w="1358" w:type="dxa"/>
            <w:tcBorders>
              <w:top w:val="nil"/>
              <w:left w:val="nil"/>
              <w:bottom w:val="single" w:sz="4" w:space="0" w:color="auto"/>
              <w:right w:val="single" w:sz="8" w:space="0" w:color="auto"/>
            </w:tcBorders>
            <w:shd w:val="clear" w:color="auto" w:fill="auto"/>
            <w:noWrap/>
            <w:vAlign w:val="bottom"/>
          </w:tcPr>
          <w:p w14:paraId="50E7014C" w14:textId="77777777" w:rsidR="00C82FC1" w:rsidRPr="009C2404" w:rsidRDefault="00F96461" w:rsidP="00C82FC1">
            <w:pPr>
              <w:jc w:val="right"/>
              <w:rPr>
                <w:rFonts w:eastAsia="Times New Roman" w:cs="Calibri"/>
                <w:color w:val="000000"/>
                <w:sz w:val="16"/>
                <w:szCs w:val="16"/>
                <w:lang w:val="en-GB" w:eastAsia="en-GB"/>
              </w:rPr>
            </w:pPr>
            <w:r w:rsidRPr="009C2404">
              <w:rPr>
                <w:rFonts w:eastAsia="Times New Roman" w:cs="Calibri"/>
                <w:color w:val="000000"/>
                <w:sz w:val="16"/>
                <w:szCs w:val="16"/>
                <w:lang w:val="en-GB" w:eastAsia="en-GB"/>
              </w:rPr>
              <w:t>0</w:t>
            </w:r>
          </w:p>
        </w:tc>
      </w:tr>
      <w:tr w:rsidR="00C82FC1" w:rsidRPr="009C2404" w14:paraId="18EED4BD" w14:textId="77777777" w:rsidTr="00C82FC1">
        <w:trPr>
          <w:trHeight w:val="209"/>
          <w:jc w:val="center"/>
        </w:trPr>
        <w:tc>
          <w:tcPr>
            <w:tcW w:w="394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9E195F" w14:textId="77777777" w:rsidR="00C82FC1" w:rsidRPr="009C2404" w:rsidRDefault="00C82FC1" w:rsidP="00C82FC1">
            <w:pPr>
              <w:rPr>
                <w:rFonts w:eastAsia="Times New Roman" w:cs="Calibri"/>
                <w:color w:val="000000"/>
                <w:sz w:val="16"/>
                <w:szCs w:val="16"/>
                <w:lang w:val="en-GB" w:eastAsia="en-GB"/>
              </w:rPr>
            </w:pPr>
            <w:r w:rsidRPr="009C2404">
              <w:rPr>
                <w:rFonts w:eastAsia="Times New Roman" w:cs="Calibri"/>
                <w:color w:val="000000"/>
                <w:sz w:val="16"/>
                <w:szCs w:val="16"/>
                <w:lang w:val="en-GB" w:eastAsia="en-GB"/>
              </w:rPr>
              <w:t>Amortised Cost</w:t>
            </w:r>
          </w:p>
        </w:tc>
        <w:tc>
          <w:tcPr>
            <w:tcW w:w="1180" w:type="dxa"/>
            <w:tcBorders>
              <w:top w:val="nil"/>
              <w:left w:val="single" w:sz="4" w:space="0" w:color="auto"/>
              <w:bottom w:val="single" w:sz="4" w:space="0" w:color="auto"/>
              <w:right w:val="nil"/>
            </w:tcBorders>
            <w:shd w:val="clear" w:color="auto" w:fill="auto"/>
            <w:noWrap/>
            <w:vAlign w:val="bottom"/>
            <w:hideMark/>
          </w:tcPr>
          <w:p w14:paraId="38402907" w14:textId="77777777" w:rsidR="00C82FC1" w:rsidRPr="009C2404" w:rsidRDefault="00C82FC1" w:rsidP="00C82FC1">
            <w:pPr>
              <w:jc w:val="right"/>
              <w:rPr>
                <w:rFonts w:eastAsia="Times New Roman" w:cs="Calibri"/>
                <w:color w:val="000000"/>
                <w:sz w:val="16"/>
                <w:szCs w:val="16"/>
                <w:lang w:val="en-GB" w:eastAsia="en-GB"/>
              </w:rPr>
            </w:pPr>
            <w:r w:rsidRPr="009C2404">
              <w:rPr>
                <w:rFonts w:eastAsia="Times New Roman" w:cs="Calibri"/>
                <w:color w:val="000000"/>
                <w:sz w:val="16"/>
                <w:szCs w:val="16"/>
                <w:lang w:val="en-GB" w:eastAsia="en-GB"/>
              </w:rPr>
              <w:t>(136)</w:t>
            </w:r>
          </w:p>
        </w:tc>
        <w:tc>
          <w:tcPr>
            <w:tcW w:w="1358" w:type="dxa"/>
            <w:tcBorders>
              <w:top w:val="nil"/>
              <w:left w:val="nil"/>
              <w:bottom w:val="single" w:sz="4" w:space="0" w:color="auto"/>
              <w:right w:val="single" w:sz="8" w:space="0" w:color="auto"/>
            </w:tcBorders>
            <w:shd w:val="clear" w:color="auto" w:fill="auto"/>
            <w:noWrap/>
            <w:vAlign w:val="bottom"/>
          </w:tcPr>
          <w:p w14:paraId="1072D161" w14:textId="77777777" w:rsidR="00C82FC1" w:rsidRPr="009C2404" w:rsidRDefault="00F96461" w:rsidP="00C82FC1">
            <w:pPr>
              <w:jc w:val="right"/>
              <w:rPr>
                <w:rFonts w:eastAsia="Times New Roman" w:cs="Calibri"/>
                <w:color w:val="000000"/>
                <w:sz w:val="16"/>
                <w:szCs w:val="16"/>
                <w:lang w:val="en-GB" w:eastAsia="en-GB"/>
              </w:rPr>
            </w:pPr>
            <w:r w:rsidRPr="009C2404">
              <w:rPr>
                <w:rFonts w:eastAsia="Times New Roman" w:cs="Calibri"/>
                <w:color w:val="000000"/>
                <w:sz w:val="16"/>
                <w:szCs w:val="16"/>
                <w:lang w:val="en-GB" w:eastAsia="en-GB"/>
              </w:rPr>
              <w:t>(413)</w:t>
            </w:r>
          </w:p>
        </w:tc>
        <w:tc>
          <w:tcPr>
            <w:tcW w:w="1180" w:type="dxa"/>
            <w:tcBorders>
              <w:top w:val="nil"/>
              <w:left w:val="nil"/>
              <w:bottom w:val="single" w:sz="4" w:space="0" w:color="auto"/>
              <w:right w:val="nil"/>
            </w:tcBorders>
            <w:shd w:val="clear" w:color="auto" w:fill="auto"/>
            <w:noWrap/>
            <w:vAlign w:val="bottom"/>
            <w:hideMark/>
          </w:tcPr>
          <w:p w14:paraId="1FD735EE" w14:textId="77777777" w:rsidR="00C82FC1" w:rsidRPr="009C2404" w:rsidRDefault="00C82FC1" w:rsidP="00C82FC1">
            <w:pPr>
              <w:jc w:val="right"/>
              <w:rPr>
                <w:rFonts w:eastAsia="Times New Roman" w:cs="Calibri"/>
                <w:color w:val="000000"/>
                <w:sz w:val="16"/>
                <w:szCs w:val="16"/>
                <w:lang w:val="en-GB" w:eastAsia="en-GB"/>
              </w:rPr>
            </w:pPr>
            <w:r w:rsidRPr="009C2404">
              <w:rPr>
                <w:rFonts w:eastAsia="Times New Roman" w:cs="Calibri"/>
                <w:color w:val="000000"/>
                <w:sz w:val="16"/>
                <w:szCs w:val="16"/>
                <w:lang w:val="en-GB" w:eastAsia="en-GB"/>
              </w:rPr>
              <w:t>(136)</w:t>
            </w:r>
          </w:p>
        </w:tc>
        <w:tc>
          <w:tcPr>
            <w:tcW w:w="1358" w:type="dxa"/>
            <w:tcBorders>
              <w:top w:val="nil"/>
              <w:left w:val="nil"/>
              <w:bottom w:val="single" w:sz="4" w:space="0" w:color="auto"/>
              <w:right w:val="single" w:sz="8" w:space="0" w:color="auto"/>
            </w:tcBorders>
            <w:shd w:val="clear" w:color="auto" w:fill="auto"/>
            <w:noWrap/>
            <w:vAlign w:val="bottom"/>
          </w:tcPr>
          <w:p w14:paraId="1E3CAE13" w14:textId="77777777" w:rsidR="00C82FC1" w:rsidRPr="009C2404" w:rsidRDefault="00F96461" w:rsidP="00C82FC1">
            <w:pPr>
              <w:jc w:val="right"/>
              <w:rPr>
                <w:rFonts w:eastAsia="Times New Roman" w:cs="Calibri"/>
                <w:color w:val="000000"/>
                <w:sz w:val="16"/>
                <w:szCs w:val="16"/>
                <w:lang w:val="en-GB" w:eastAsia="en-GB"/>
              </w:rPr>
            </w:pPr>
            <w:r w:rsidRPr="009C2404">
              <w:rPr>
                <w:rFonts w:eastAsia="Times New Roman" w:cs="Calibri"/>
                <w:color w:val="000000"/>
                <w:sz w:val="16"/>
                <w:szCs w:val="16"/>
                <w:lang w:val="en-GB" w:eastAsia="en-GB"/>
              </w:rPr>
              <w:t>(413)</w:t>
            </w:r>
          </w:p>
        </w:tc>
      </w:tr>
      <w:tr w:rsidR="00C82FC1" w:rsidRPr="009C2404" w14:paraId="2C53B9A3" w14:textId="77777777" w:rsidTr="00C82FC1">
        <w:trPr>
          <w:trHeight w:val="221"/>
          <w:jc w:val="center"/>
        </w:trPr>
        <w:tc>
          <w:tcPr>
            <w:tcW w:w="3945" w:type="dxa"/>
            <w:gridSpan w:val="2"/>
            <w:tcBorders>
              <w:top w:val="nil"/>
              <w:left w:val="single" w:sz="4" w:space="0" w:color="auto"/>
              <w:bottom w:val="single" w:sz="8" w:space="0" w:color="auto"/>
              <w:right w:val="single" w:sz="4" w:space="0" w:color="auto"/>
            </w:tcBorders>
            <w:shd w:val="clear" w:color="auto" w:fill="auto"/>
            <w:noWrap/>
            <w:vAlign w:val="bottom"/>
            <w:hideMark/>
          </w:tcPr>
          <w:p w14:paraId="1D64153A" w14:textId="77777777" w:rsidR="00C82FC1" w:rsidRPr="009C2404" w:rsidRDefault="00C82FC1" w:rsidP="00C82FC1">
            <w:pPr>
              <w:rPr>
                <w:rFonts w:eastAsia="Times New Roman" w:cs="Calibri"/>
                <w:b/>
                <w:color w:val="000000"/>
                <w:sz w:val="16"/>
                <w:szCs w:val="16"/>
                <w:lang w:val="en-GB" w:eastAsia="en-GB"/>
              </w:rPr>
            </w:pPr>
            <w:r w:rsidRPr="009C2404">
              <w:rPr>
                <w:rFonts w:eastAsia="Times New Roman" w:cs="Calibri"/>
                <w:b/>
                <w:color w:val="000000"/>
                <w:sz w:val="16"/>
                <w:szCs w:val="16"/>
                <w:lang w:val="en-GB" w:eastAsia="en-GB"/>
              </w:rPr>
              <w:t>Total financial assets</w:t>
            </w:r>
          </w:p>
        </w:tc>
        <w:tc>
          <w:tcPr>
            <w:tcW w:w="1180" w:type="dxa"/>
            <w:tcBorders>
              <w:top w:val="nil"/>
              <w:left w:val="single" w:sz="4" w:space="0" w:color="auto"/>
              <w:bottom w:val="single" w:sz="8" w:space="0" w:color="auto"/>
              <w:right w:val="nil"/>
            </w:tcBorders>
            <w:shd w:val="clear" w:color="auto" w:fill="auto"/>
            <w:noWrap/>
            <w:vAlign w:val="bottom"/>
            <w:hideMark/>
          </w:tcPr>
          <w:p w14:paraId="238F1F40" w14:textId="77777777" w:rsidR="00C82FC1" w:rsidRPr="009C2404" w:rsidRDefault="00C82FC1" w:rsidP="00C82FC1">
            <w:pPr>
              <w:jc w:val="right"/>
              <w:rPr>
                <w:rFonts w:eastAsia="Times New Roman" w:cs="Calibri"/>
                <w:b/>
                <w:color w:val="000000"/>
                <w:sz w:val="16"/>
                <w:szCs w:val="16"/>
                <w:lang w:val="en-GB" w:eastAsia="en-GB"/>
              </w:rPr>
            </w:pPr>
            <w:r w:rsidRPr="009C2404">
              <w:rPr>
                <w:rFonts w:eastAsia="Times New Roman" w:cs="Calibri"/>
                <w:b/>
                <w:color w:val="000000"/>
                <w:sz w:val="16"/>
                <w:szCs w:val="16"/>
                <w:lang w:val="en-GB" w:eastAsia="en-GB"/>
              </w:rPr>
              <w:t>(136)</w:t>
            </w:r>
          </w:p>
        </w:tc>
        <w:tc>
          <w:tcPr>
            <w:tcW w:w="1358" w:type="dxa"/>
            <w:tcBorders>
              <w:top w:val="nil"/>
              <w:left w:val="nil"/>
              <w:bottom w:val="single" w:sz="8" w:space="0" w:color="auto"/>
              <w:right w:val="single" w:sz="8" w:space="0" w:color="auto"/>
            </w:tcBorders>
            <w:shd w:val="clear" w:color="auto" w:fill="auto"/>
            <w:noWrap/>
            <w:vAlign w:val="bottom"/>
          </w:tcPr>
          <w:p w14:paraId="44AE912C" w14:textId="77777777" w:rsidR="00C82FC1" w:rsidRPr="009C2404" w:rsidRDefault="00F96461" w:rsidP="00C82FC1">
            <w:pPr>
              <w:jc w:val="right"/>
              <w:rPr>
                <w:rFonts w:eastAsia="Times New Roman" w:cs="Calibri"/>
                <w:b/>
                <w:color w:val="000000"/>
                <w:sz w:val="16"/>
                <w:szCs w:val="16"/>
                <w:lang w:val="en-GB" w:eastAsia="en-GB"/>
              </w:rPr>
            </w:pPr>
            <w:r w:rsidRPr="009C2404">
              <w:rPr>
                <w:rFonts w:eastAsia="Times New Roman" w:cs="Calibri"/>
                <w:b/>
                <w:color w:val="000000"/>
                <w:sz w:val="16"/>
                <w:szCs w:val="16"/>
                <w:lang w:val="en-GB" w:eastAsia="en-GB"/>
              </w:rPr>
              <w:t>(413)</w:t>
            </w:r>
          </w:p>
        </w:tc>
        <w:tc>
          <w:tcPr>
            <w:tcW w:w="1180" w:type="dxa"/>
            <w:tcBorders>
              <w:top w:val="nil"/>
              <w:left w:val="nil"/>
              <w:bottom w:val="single" w:sz="8" w:space="0" w:color="auto"/>
              <w:right w:val="nil"/>
            </w:tcBorders>
            <w:shd w:val="clear" w:color="auto" w:fill="auto"/>
            <w:noWrap/>
            <w:vAlign w:val="bottom"/>
            <w:hideMark/>
          </w:tcPr>
          <w:p w14:paraId="7804244A" w14:textId="77777777" w:rsidR="00C82FC1" w:rsidRPr="009C2404" w:rsidRDefault="00C82FC1" w:rsidP="00C82FC1">
            <w:pPr>
              <w:jc w:val="right"/>
              <w:rPr>
                <w:rFonts w:eastAsia="Times New Roman" w:cs="Calibri"/>
                <w:b/>
                <w:color w:val="000000"/>
                <w:sz w:val="16"/>
                <w:szCs w:val="16"/>
                <w:lang w:val="en-GB" w:eastAsia="en-GB"/>
              </w:rPr>
            </w:pPr>
            <w:r w:rsidRPr="009C2404">
              <w:rPr>
                <w:rFonts w:eastAsia="Times New Roman" w:cs="Calibri"/>
                <w:b/>
                <w:color w:val="000000"/>
                <w:sz w:val="16"/>
                <w:szCs w:val="16"/>
                <w:lang w:val="en-GB" w:eastAsia="en-GB"/>
              </w:rPr>
              <w:t>(136)</w:t>
            </w:r>
          </w:p>
        </w:tc>
        <w:tc>
          <w:tcPr>
            <w:tcW w:w="1358" w:type="dxa"/>
            <w:tcBorders>
              <w:top w:val="nil"/>
              <w:left w:val="nil"/>
              <w:bottom w:val="single" w:sz="8" w:space="0" w:color="auto"/>
              <w:right w:val="single" w:sz="8" w:space="0" w:color="auto"/>
            </w:tcBorders>
            <w:shd w:val="clear" w:color="auto" w:fill="auto"/>
            <w:noWrap/>
            <w:vAlign w:val="bottom"/>
          </w:tcPr>
          <w:p w14:paraId="51F12CE2" w14:textId="77777777" w:rsidR="00C82FC1" w:rsidRPr="009C2404" w:rsidRDefault="00F96461" w:rsidP="00C82FC1">
            <w:pPr>
              <w:jc w:val="right"/>
              <w:rPr>
                <w:rFonts w:eastAsia="Times New Roman" w:cs="Calibri"/>
                <w:b/>
                <w:color w:val="000000"/>
                <w:sz w:val="16"/>
                <w:szCs w:val="16"/>
                <w:lang w:val="en-GB" w:eastAsia="en-GB"/>
              </w:rPr>
            </w:pPr>
            <w:r w:rsidRPr="009C2404">
              <w:rPr>
                <w:rFonts w:eastAsia="Times New Roman" w:cs="Calibri"/>
                <w:b/>
                <w:color w:val="000000"/>
                <w:sz w:val="16"/>
                <w:szCs w:val="16"/>
                <w:lang w:val="en-GB" w:eastAsia="en-GB"/>
              </w:rPr>
              <w:t>(413)</w:t>
            </w:r>
          </w:p>
        </w:tc>
      </w:tr>
      <w:tr w:rsidR="00C82FC1" w:rsidRPr="009C2404" w14:paraId="14917686" w14:textId="77777777" w:rsidTr="00C82FC1">
        <w:trPr>
          <w:trHeight w:val="209"/>
          <w:jc w:val="center"/>
        </w:trPr>
        <w:tc>
          <w:tcPr>
            <w:tcW w:w="394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056C65" w14:textId="77777777" w:rsidR="00C82FC1" w:rsidRPr="009C2404" w:rsidRDefault="00C82FC1" w:rsidP="00C82FC1">
            <w:pPr>
              <w:rPr>
                <w:rFonts w:eastAsia="Times New Roman" w:cs="Calibri"/>
                <w:color w:val="000000"/>
                <w:sz w:val="16"/>
                <w:szCs w:val="16"/>
                <w:lang w:val="en-GB" w:eastAsia="en-GB"/>
              </w:rPr>
            </w:pPr>
            <w:r w:rsidRPr="009C2404">
              <w:rPr>
                <w:rFonts w:eastAsia="Times New Roman" w:cs="Calibri"/>
                <w:color w:val="000000"/>
                <w:sz w:val="16"/>
                <w:szCs w:val="16"/>
                <w:lang w:val="en-GB" w:eastAsia="en-GB"/>
              </w:rPr>
              <w:t>Non - Financial Liabilities</w:t>
            </w:r>
          </w:p>
        </w:tc>
        <w:tc>
          <w:tcPr>
            <w:tcW w:w="1180" w:type="dxa"/>
            <w:tcBorders>
              <w:top w:val="nil"/>
              <w:left w:val="single" w:sz="4" w:space="0" w:color="auto"/>
              <w:bottom w:val="single" w:sz="4" w:space="0" w:color="auto"/>
              <w:right w:val="nil"/>
            </w:tcBorders>
            <w:shd w:val="clear" w:color="auto" w:fill="auto"/>
            <w:noWrap/>
            <w:vAlign w:val="bottom"/>
            <w:hideMark/>
          </w:tcPr>
          <w:p w14:paraId="221C31CA" w14:textId="77777777" w:rsidR="00C82FC1" w:rsidRPr="009C2404" w:rsidRDefault="00C82FC1" w:rsidP="00C82FC1">
            <w:pPr>
              <w:jc w:val="right"/>
              <w:rPr>
                <w:rFonts w:eastAsia="Times New Roman" w:cs="Calibri"/>
                <w:color w:val="000000"/>
                <w:sz w:val="16"/>
                <w:szCs w:val="16"/>
                <w:lang w:val="en-GB" w:eastAsia="en-GB"/>
              </w:rPr>
            </w:pPr>
            <w:r w:rsidRPr="009C2404">
              <w:rPr>
                <w:rFonts w:eastAsia="Times New Roman" w:cs="Calibri"/>
                <w:color w:val="000000"/>
                <w:sz w:val="16"/>
                <w:szCs w:val="16"/>
                <w:lang w:val="en-GB" w:eastAsia="en-GB"/>
              </w:rPr>
              <w:t>(27,468)</w:t>
            </w:r>
          </w:p>
        </w:tc>
        <w:tc>
          <w:tcPr>
            <w:tcW w:w="1358" w:type="dxa"/>
            <w:tcBorders>
              <w:top w:val="nil"/>
              <w:left w:val="nil"/>
              <w:bottom w:val="single" w:sz="4" w:space="0" w:color="auto"/>
              <w:right w:val="single" w:sz="8" w:space="0" w:color="auto"/>
            </w:tcBorders>
            <w:shd w:val="clear" w:color="auto" w:fill="auto"/>
            <w:noWrap/>
            <w:vAlign w:val="bottom"/>
          </w:tcPr>
          <w:p w14:paraId="2EAED6B8" w14:textId="0A94EEB6" w:rsidR="00C82FC1" w:rsidRPr="009C2404" w:rsidRDefault="00F96461">
            <w:pPr>
              <w:jc w:val="right"/>
              <w:rPr>
                <w:rFonts w:eastAsia="Times New Roman" w:cs="Calibri"/>
                <w:color w:val="000000"/>
                <w:sz w:val="16"/>
                <w:szCs w:val="16"/>
                <w:lang w:val="en-GB" w:eastAsia="en-GB"/>
              </w:rPr>
            </w:pPr>
            <w:r w:rsidRPr="009B4B70">
              <w:rPr>
                <w:rFonts w:eastAsia="Times New Roman" w:cs="Calibri"/>
                <w:color w:val="000000"/>
                <w:sz w:val="16"/>
                <w:szCs w:val="16"/>
                <w:lang w:val="en-GB" w:eastAsia="en-GB"/>
              </w:rPr>
              <w:t>(</w:t>
            </w:r>
            <w:r w:rsidR="00064612">
              <w:rPr>
                <w:rFonts w:eastAsia="Times New Roman" w:cs="Calibri"/>
                <w:color w:val="000000"/>
                <w:sz w:val="16"/>
                <w:szCs w:val="16"/>
                <w:lang w:val="en-GB" w:eastAsia="en-GB"/>
              </w:rPr>
              <w:t>30,171</w:t>
            </w:r>
            <w:r w:rsidRPr="009B4B70">
              <w:rPr>
                <w:rFonts w:eastAsia="Times New Roman" w:cs="Calibri"/>
                <w:color w:val="000000"/>
                <w:sz w:val="16"/>
                <w:szCs w:val="16"/>
                <w:lang w:val="en-GB" w:eastAsia="en-GB"/>
              </w:rPr>
              <w:t>)</w:t>
            </w:r>
          </w:p>
        </w:tc>
        <w:tc>
          <w:tcPr>
            <w:tcW w:w="1180" w:type="dxa"/>
            <w:tcBorders>
              <w:top w:val="nil"/>
              <w:left w:val="nil"/>
              <w:bottom w:val="single" w:sz="4" w:space="0" w:color="auto"/>
              <w:right w:val="nil"/>
            </w:tcBorders>
            <w:shd w:val="clear" w:color="auto" w:fill="auto"/>
            <w:noWrap/>
            <w:vAlign w:val="bottom"/>
            <w:hideMark/>
          </w:tcPr>
          <w:p w14:paraId="04701D80" w14:textId="77777777" w:rsidR="00C82FC1" w:rsidRPr="009C2404" w:rsidRDefault="00C82FC1" w:rsidP="00C82FC1">
            <w:pPr>
              <w:jc w:val="right"/>
              <w:rPr>
                <w:rFonts w:eastAsia="Times New Roman" w:cs="Calibri"/>
                <w:color w:val="000000"/>
                <w:sz w:val="16"/>
                <w:szCs w:val="16"/>
                <w:lang w:val="en-GB" w:eastAsia="en-GB"/>
              </w:rPr>
            </w:pPr>
            <w:r w:rsidRPr="009C2404">
              <w:rPr>
                <w:rFonts w:eastAsia="Times New Roman" w:cs="Calibri"/>
                <w:color w:val="000000"/>
                <w:sz w:val="16"/>
                <w:szCs w:val="16"/>
                <w:lang w:val="en-GB" w:eastAsia="en-GB"/>
              </w:rPr>
              <w:t>(27,468)</w:t>
            </w:r>
          </w:p>
        </w:tc>
        <w:tc>
          <w:tcPr>
            <w:tcW w:w="1358" w:type="dxa"/>
            <w:tcBorders>
              <w:top w:val="nil"/>
              <w:left w:val="nil"/>
              <w:bottom w:val="single" w:sz="4" w:space="0" w:color="auto"/>
              <w:right w:val="single" w:sz="8" w:space="0" w:color="auto"/>
            </w:tcBorders>
            <w:shd w:val="clear" w:color="auto" w:fill="auto"/>
            <w:noWrap/>
            <w:vAlign w:val="bottom"/>
          </w:tcPr>
          <w:p w14:paraId="5C286402" w14:textId="0E96810F" w:rsidR="00C82FC1" w:rsidRPr="009C2404" w:rsidRDefault="009B4B70">
            <w:pPr>
              <w:jc w:val="right"/>
              <w:rPr>
                <w:rFonts w:eastAsia="Times New Roman" w:cs="Calibri"/>
                <w:color w:val="000000"/>
                <w:sz w:val="16"/>
                <w:szCs w:val="16"/>
                <w:lang w:val="en-GB" w:eastAsia="en-GB"/>
              </w:rPr>
            </w:pPr>
            <w:r w:rsidRPr="009B4B70">
              <w:rPr>
                <w:rFonts w:eastAsia="Times New Roman" w:cs="Calibri"/>
                <w:color w:val="000000"/>
                <w:sz w:val="16"/>
                <w:szCs w:val="16"/>
                <w:lang w:val="en-GB" w:eastAsia="en-GB"/>
              </w:rPr>
              <w:t>(</w:t>
            </w:r>
            <w:r w:rsidR="00064612">
              <w:rPr>
                <w:rFonts w:eastAsia="Times New Roman" w:cs="Calibri"/>
                <w:color w:val="000000"/>
                <w:sz w:val="16"/>
                <w:szCs w:val="16"/>
                <w:lang w:val="en-GB" w:eastAsia="en-GB"/>
              </w:rPr>
              <w:t>30,171</w:t>
            </w:r>
            <w:r w:rsidRPr="009B4B70">
              <w:rPr>
                <w:rFonts w:eastAsia="Times New Roman" w:cs="Calibri"/>
                <w:color w:val="000000"/>
                <w:sz w:val="16"/>
                <w:szCs w:val="16"/>
                <w:lang w:val="en-GB" w:eastAsia="en-GB"/>
              </w:rPr>
              <w:t>)</w:t>
            </w:r>
          </w:p>
        </w:tc>
      </w:tr>
      <w:tr w:rsidR="00C82FC1" w:rsidRPr="003516A4" w14:paraId="24924811" w14:textId="77777777" w:rsidTr="00C82FC1">
        <w:trPr>
          <w:trHeight w:val="221"/>
          <w:jc w:val="center"/>
        </w:trPr>
        <w:tc>
          <w:tcPr>
            <w:tcW w:w="394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7CA555" w14:textId="77777777" w:rsidR="00C82FC1" w:rsidRPr="009C2404" w:rsidRDefault="00C82FC1" w:rsidP="00C82FC1">
            <w:pPr>
              <w:rPr>
                <w:rFonts w:eastAsia="Times New Roman" w:cs="Calibri"/>
                <w:b/>
                <w:color w:val="000000"/>
                <w:sz w:val="16"/>
                <w:szCs w:val="16"/>
                <w:lang w:val="en-GB" w:eastAsia="en-GB"/>
              </w:rPr>
            </w:pPr>
            <w:r w:rsidRPr="009C2404">
              <w:rPr>
                <w:rFonts w:eastAsia="Times New Roman" w:cs="Calibri"/>
                <w:b/>
                <w:color w:val="000000"/>
                <w:sz w:val="16"/>
                <w:szCs w:val="16"/>
                <w:lang w:val="en-GB" w:eastAsia="en-GB"/>
              </w:rPr>
              <w:t>Total non-current financial liabilities</w:t>
            </w:r>
          </w:p>
        </w:tc>
        <w:tc>
          <w:tcPr>
            <w:tcW w:w="1180" w:type="dxa"/>
            <w:tcBorders>
              <w:top w:val="nil"/>
              <w:left w:val="single" w:sz="4" w:space="0" w:color="auto"/>
              <w:bottom w:val="single" w:sz="8" w:space="0" w:color="auto"/>
              <w:right w:val="nil"/>
            </w:tcBorders>
            <w:shd w:val="clear" w:color="auto" w:fill="auto"/>
            <w:noWrap/>
            <w:vAlign w:val="bottom"/>
            <w:hideMark/>
          </w:tcPr>
          <w:p w14:paraId="67DF7FA0" w14:textId="77777777" w:rsidR="00C82FC1" w:rsidRPr="009C2404" w:rsidRDefault="00C82FC1" w:rsidP="00C82FC1">
            <w:pPr>
              <w:jc w:val="right"/>
              <w:rPr>
                <w:rFonts w:eastAsia="Times New Roman" w:cs="Calibri"/>
                <w:b/>
                <w:color w:val="000000"/>
                <w:sz w:val="16"/>
                <w:szCs w:val="16"/>
                <w:lang w:val="en-GB" w:eastAsia="en-GB"/>
              </w:rPr>
            </w:pPr>
            <w:r w:rsidRPr="009C2404">
              <w:rPr>
                <w:rFonts w:eastAsia="Times New Roman" w:cs="Calibri"/>
                <w:b/>
                <w:color w:val="000000"/>
                <w:sz w:val="16"/>
                <w:szCs w:val="16"/>
                <w:lang w:val="en-GB" w:eastAsia="en-GB"/>
              </w:rPr>
              <w:t>(27,604)</w:t>
            </w:r>
          </w:p>
        </w:tc>
        <w:tc>
          <w:tcPr>
            <w:tcW w:w="1358" w:type="dxa"/>
            <w:tcBorders>
              <w:top w:val="nil"/>
              <w:left w:val="nil"/>
              <w:bottom w:val="single" w:sz="8" w:space="0" w:color="auto"/>
              <w:right w:val="single" w:sz="8" w:space="0" w:color="auto"/>
            </w:tcBorders>
            <w:shd w:val="clear" w:color="auto" w:fill="auto"/>
            <w:noWrap/>
            <w:vAlign w:val="bottom"/>
          </w:tcPr>
          <w:p w14:paraId="042FFD7D" w14:textId="7645E010" w:rsidR="00C82FC1" w:rsidRPr="009C2404" w:rsidRDefault="00F96461">
            <w:pPr>
              <w:jc w:val="right"/>
              <w:rPr>
                <w:rFonts w:eastAsia="Times New Roman" w:cs="Calibri"/>
                <w:b/>
                <w:color w:val="000000"/>
                <w:sz w:val="16"/>
                <w:szCs w:val="16"/>
                <w:lang w:val="en-GB" w:eastAsia="en-GB"/>
              </w:rPr>
            </w:pPr>
            <w:r w:rsidRPr="009C2404">
              <w:rPr>
                <w:rFonts w:eastAsia="Times New Roman" w:cs="Calibri"/>
                <w:b/>
                <w:color w:val="000000"/>
                <w:sz w:val="16"/>
                <w:szCs w:val="16"/>
                <w:lang w:val="en-GB" w:eastAsia="en-GB"/>
              </w:rPr>
              <w:t>(</w:t>
            </w:r>
            <w:r w:rsidR="00064612">
              <w:rPr>
                <w:rFonts w:eastAsia="Times New Roman" w:cs="Calibri"/>
                <w:b/>
                <w:color w:val="000000"/>
                <w:sz w:val="16"/>
                <w:szCs w:val="16"/>
                <w:lang w:val="en-GB" w:eastAsia="en-GB"/>
              </w:rPr>
              <w:t>30,584</w:t>
            </w:r>
            <w:r w:rsidRPr="009C2404">
              <w:rPr>
                <w:rFonts w:eastAsia="Times New Roman" w:cs="Calibri"/>
                <w:b/>
                <w:color w:val="000000"/>
                <w:sz w:val="16"/>
                <w:szCs w:val="16"/>
                <w:lang w:val="en-GB" w:eastAsia="en-GB"/>
              </w:rPr>
              <w:t>)</w:t>
            </w:r>
          </w:p>
        </w:tc>
        <w:tc>
          <w:tcPr>
            <w:tcW w:w="1180" w:type="dxa"/>
            <w:tcBorders>
              <w:top w:val="nil"/>
              <w:left w:val="nil"/>
              <w:bottom w:val="single" w:sz="8" w:space="0" w:color="auto"/>
              <w:right w:val="nil"/>
            </w:tcBorders>
            <w:shd w:val="clear" w:color="auto" w:fill="auto"/>
            <w:noWrap/>
            <w:vAlign w:val="bottom"/>
            <w:hideMark/>
          </w:tcPr>
          <w:p w14:paraId="401C4827" w14:textId="77777777" w:rsidR="00C82FC1" w:rsidRPr="009C2404" w:rsidRDefault="00C82FC1" w:rsidP="00C82FC1">
            <w:pPr>
              <w:jc w:val="right"/>
              <w:rPr>
                <w:rFonts w:eastAsia="Times New Roman" w:cs="Calibri"/>
                <w:b/>
                <w:color w:val="000000"/>
                <w:sz w:val="16"/>
                <w:szCs w:val="16"/>
                <w:lang w:val="en-GB" w:eastAsia="en-GB"/>
              </w:rPr>
            </w:pPr>
            <w:r w:rsidRPr="009C2404">
              <w:rPr>
                <w:rFonts w:eastAsia="Times New Roman" w:cs="Calibri"/>
                <w:b/>
                <w:color w:val="000000"/>
                <w:sz w:val="16"/>
                <w:szCs w:val="16"/>
                <w:lang w:val="en-GB" w:eastAsia="en-GB"/>
              </w:rPr>
              <w:t>(27,604)</w:t>
            </w:r>
          </w:p>
        </w:tc>
        <w:tc>
          <w:tcPr>
            <w:tcW w:w="1358" w:type="dxa"/>
            <w:tcBorders>
              <w:top w:val="nil"/>
              <w:left w:val="nil"/>
              <w:bottom w:val="single" w:sz="8" w:space="0" w:color="auto"/>
              <w:right w:val="single" w:sz="8" w:space="0" w:color="auto"/>
            </w:tcBorders>
            <w:shd w:val="clear" w:color="auto" w:fill="auto"/>
            <w:noWrap/>
            <w:vAlign w:val="bottom"/>
          </w:tcPr>
          <w:p w14:paraId="1808CC4C" w14:textId="49519871" w:rsidR="00C82FC1" w:rsidRPr="009C2404" w:rsidRDefault="00F96461">
            <w:pPr>
              <w:jc w:val="right"/>
              <w:rPr>
                <w:rFonts w:eastAsia="Times New Roman" w:cs="Calibri"/>
                <w:b/>
                <w:color w:val="000000"/>
                <w:sz w:val="16"/>
                <w:szCs w:val="16"/>
                <w:lang w:val="en-GB" w:eastAsia="en-GB"/>
              </w:rPr>
            </w:pPr>
            <w:r w:rsidRPr="009C2404">
              <w:rPr>
                <w:rFonts w:eastAsia="Times New Roman" w:cs="Calibri"/>
                <w:b/>
                <w:color w:val="000000"/>
                <w:sz w:val="16"/>
                <w:szCs w:val="16"/>
                <w:lang w:val="en-GB" w:eastAsia="en-GB"/>
              </w:rPr>
              <w:t>(</w:t>
            </w:r>
            <w:r w:rsidR="00064612">
              <w:rPr>
                <w:rFonts w:eastAsia="Times New Roman" w:cs="Calibri"/>
                <w:b/>
                <w:color w:val="000000"/>
                <w:sz w:val="16"/>
                <w:szCs w:val="16"/>
                <w:lang w:val="en-GB" w:eastAsia="en-GB"/>
              </w:rPr>
              <w:t>30,584</w:t>
            </w:r>
            <w:r w:rsidRPr="009C2404">
              <w:rPr>
                <w:rFonts w:eastAsia="Times New Roman" w:cs="Calibri"/>
                <w:b/>
                <w:color w:val="000000"/>
                <w:sz w:val="16"/>
                <w:szCs w:val="16"/>
                <w:lang w:val="en-GB" w:eastAsia="en-GB"/>
              </w:rPr>
              <w:t>)</w:t>
            </w:r>
          </w:p>
        </w:tc>
      </w:tr>
    </w:tbl>
    <w:p w14:paraId="1AE38075" w14:textId="77777777" w:rsidR="00DC5E2A" w:rsidRDefault="00DC5E2A">
      <w:pPr>
        <w:pStyle w:val="T1TableStyle"/>
        <w:rPr>
          <w:rFonts w:ascii="Verdana" w:eastAsia="Verdana" w:hAnsi="Verdana" w:cs="Verdana"/>
          <w:sz w:val="22"/>
          <w:highlight w:val="yellow"/>
          <w:lang w:val="en-GB"/>
        </w:rPr>
      </w:pPr>
    </w:p>
    <w:p w14:paraId="08D5C625" w14:textId="77777777" w:rsidR="009B4B70" w:rsidRPr="003516A4" w:rsidRDefault="009B4B70">
      <w:pPr>
        <w:pStyle w:val="T1TableStyle"/>
        <w:rPr>
          <w:rFonts w:ascii="Verdana" w:eastAsia="Verdana" w:hAnsi="Verdana" w:cs="Verdana"/>
          <w:sz w:val="22"/>
          <w:highlight w:val="yellow"/>
          <w:lang w:val="en-GB"/>
        </w:rPr>
      </w:pPr>
    </w:p>
    <w:p w14:paraId="24C3B889" w14:textId="77777777" w:rsidR="00CA6653" w:rsidRPr="002D3143" w:rsidRDefault="004D70DB" w:rsidP="00A31A9E">
      <w:pPr>
        <w:pStyle w:val="Heading1"/>
      </w:pPr>
      <w:bookmarkStart w:id="47" w:name="_Toc75122800"/>
      <w:r w:rsidRPr="002D3143">
        <w:t>Note 3</w:t>
      </w:r>
      <w:r w:rsidR="00960EC4" w:rsidRPr="002D3143">
        <w:t>2</w:t>
      </w:r>
      <w:r w:rsidR="00CA6653" w:rsidRPr="002D3143">
        <w:t xml:space="preserve"> - Nature and Extent of Risks Arising from Financial Instruments</w:t>
      </w:r>
      <w:bookmarkEnd w:id="47"/>
    </w:p>
    <w:p w14:paraId="038B23CF" w14:textId="77777777" w:rsidR="00CA6653" w:rsidRPr="002D3143" w:rsidRDefault="00CA6653" w:rsidP="00DC5E2A">
      <w:pPr>
        <w:pStyle w:val="Normal0"/>
        <w:spacing w:after="160" w:line="259" w:lineRule="auto"/>
        <w:jc w:val="both"/>
        <w:rPr>
          <w:rFonts w:ascii="Verdana" w:hAnsi="Verdana"/>
          <w:sz w:val="22"/>
          <w:szCs w:val="22"/>
          <w:lang w:val="pt-BR"/>
        </w:rPr>
      </w:pPr>
      <w:r w:rsidRPr="002D3143">
        <w:rPr>
          <w:rFonts w:ascii="Verdana" w:eastAsia="Calibri" w:hAnsi="Verdana" w:cs="Arial"/>
          <w:sz w:val="22"/>
          <w:szCs w:val="22"/>
          <w:lang w:val="pt-BR"/>
        </w:rPr>
        <w:t>The Group’s activities expose it to a variety of financial risks:</w:t>
      </w:r>
    </w:p>
    <w:p w14:paraId="0BE96CFB" w14:textId="77777777" w:rsidR="00CA6653" w:rsidRPr="002D3143" w:rsidRDefault="00CA6653" w:rsidP="00DC5E2A">
      <w:pPr>
        <w:pStyle w:val="Normal0"/>
        <w:spacing w:after="160" w:line="259" w:lineRule="auto"/>
        <w:jc w:val="both"/>
        <w:rPr>
          <w:rFonts w:ascii="Verdana" w:hAnsi="Verdana"/>
          <w:sz w:val="22"/>
          <w:szCs w:val="22"/>
          <w:lang w:val="pt-BR"/>
        </w:rPr>
      </w:pPr>
      <w:r w:rsidRPr="002D3143">
        <w:rPr>
          <w:rFonts w:ascii="Verdana" w:eastAsia="Calibri" w:hAnsi="Verdana" w:cs="Arial"/>
          <w:sz w:val="22"/>
          <w:szCs w:val="22"/>
          <w:lang w:val="pt-BR"/>
        </w:rPr>
        <w:t>•</w:t>
      </w:r>
      <w:r w:rsidRPr="002D3143">
        <w:rPr>
          <w:rFonts w:ascii="Verdana" w:eastAsia="Calibri" w:hAnsi="Verdana" w:cs="Arial"/>
          <w:sz w:val="22"/>
          <w:szCs w:val="22"/>
          <w:lang w:val="pt-BR"/>
        </w:rPr>
        <w:tab/>
        <w:t>Credit Risk – the possibility that other parties might fail to pay amounts due to the Group</w:t>
      </w:r>
    </w:p>
    <w:p w14:paraId="1506962E" w14:textId="77777777" w:rsidR="00CA6653" w:rsidRPr="002D3143" w:rsidRDefault="00CA6653" w:rsidP="00DC5E2A">
      <w:pPr>
        <w:pStyle w:val="Normal0"/>
        <w:spacing w:after="160" w:line="259" w:lineRule="auto"/>
        <w:jc w:val="both"/>
        <w:rPr>
          <w:rFonts w:ascii="Verdana" w:hAnsi="Verdana"/>
          <w:sz w:val="22"/>
          <w:szCs w:val="22"/>
          <w:lang w:val="pt-BR"/>
        </w:rPr>
      </w:pPr>
      <w:r w:rsidRPr="002D3143">
        <w:rPr>
          <w:rFonts w:ascii="Verdana" w:eastAsia="Calibri" w:hAnsi="Verdana" w:cs="Arial"/>
          <w:sz w:val="22"/>
          <w:szCs w:val="22"/>
          <w:lang w:val="pt-BR"/>
        </w:rPr>
        <w:t>•</w:t>
      </w:r>
      <w:r w:rsidRPr="002D3143">
        <w:rPr>
          <w:rFonts w:ascii="Verdana" w:eastAsia="Calibri" w:hAnsi="Verdana" w:cs="Arial"/>
          <w:sz w:val="22"/>
          <w:szCs w:val="22"/>
          <w:lang w:val="pt-BR"/>
        </w:rPr>
        <w:tab/>
        <w:t>Liquidity Risk – the risk that the Group might not have funds available to meet its commitment to make payments</w:t>
      </w:r>
    </w:p>
    <w:p w14:paraId="38BC10A5" w14:textId="77777777" w:rsidR="00CA6653" w:rsidRPr="00C72A13" w:rsidRDefault="00CA6653" w:rsidP="00DC5E2A">
      <w:pPr>
        <w:pStyle w:val="Normal0"/>
        <w:spacing w:after="160" w:line="259" w:lineRule="auto"/>
        <w:jc w:val="both"/>
        <w:rPr>
          <w:rFonts w:ascii="Verdana" w:hAnsi="Verdana"/>
          <w:sz w:val="22"/>
          <w:szCs w:val="22"/>
          <w:lang w:val="pt-BR"/>
        </w:rPr>
      </w:pPr>
      <w:r w:rsidRPr="002D3143">
        <w:rPr>
          <w:rFonts w:ascii="Verdana" w:eastAsia="Calibri" w:hAnsi="Verdana" w:cs="Arial"/>
          <w:sz w:val="22"/>
          <w:szCs w:val="22"/>
          <w:lang w:val="pt-BR"/>
        </w:rPr>
        <w:t>•</w:t>
      </w:r>
      <w:r w:rsidRPr="002D3143">
        <w:rPr>
          <w:rFonts w:ascii="Verdana" w:eastAsia="Calibri" w:hAnsi="Verdana" w:cs="Arial"/>
          <w:sz w:val="22"/>
          <w:szCs w:val="22"/>
          <w:lang w:val="pt-BR"/>
        </w:rPr>
        <w:tab/>
        <w:t>Market Risk/Interest Rate Risk – the possibility that financial loss might arise for the Group as a result of changes in</w:t>
      </w:r>
      <w:r w:rsidRPr="00C72A13">
        <w:rPr>
          <w:rFonts w:ascii="Verdana" w:eastAsia="Calibri" w:hAnsi="Verdana" w:cs="Arial"/>
          <w:sz w:val="22"/>
          <w:szCs w:val="22"/>
          <w:lang w:val="pt-BR"/>
        </w:rPr>
        <w:t xml:space="preserve"> such measures as interest rates and stock market movements.</w:t>
      </w:r>
    </w:p>
    <w:p w14:paraId="21D74AAE" w14:textId="77777777" w:rsidR="00CA6653" w:rsidRPr="009B4B70" w:rsidRDefault="00CA6653" w:rsidP="00DC5E2A">
      <w:pPr>
        <w:pStyle w:val="Normal0"/>
        <w:spacing w:after="160" w:line="259" w:lineRule="auto"/>
        <w:jc w:val="both"/>
        <w:rPr>
          <w:rFonts w:ascii="Verdana" w:hAnsi="Verdana"/>
          <w:sz w:val="22"/>
          <w:szCs w:val="22"/>
          <w:lang w:val="pt-BR"/>
        </w:rPr>
      </w:pPr>
      <w:r w:rsidRPr="002D3143">
        <w:rPr>
          <w:rFonts w:ascii="Verdana" w:eastAsia="Calibri" w:hAnsi="Verdana" w:cs="Arial"/>
          <w:sz w:val="22"/>
          <w:szCs w:val="22"/>
          <w:lang w:val="pt-BR"/>
        </w:rPr>
        <w:t>•</w:t>
      </w:r>
      <w:r w:rsidRPr="002D3143">
        <w:rPr>
          <w:rFonts w:ascii="Verdana" w:eastAsia="Calibri" w:hAnsi="Verdana" w:cs="Arial"/>
          <w:sz w:val="22"/>
          <w:szCs w:val="22"/>
          <w:lang w:val="pt-BR"/>
        </w:rPr>
        <w:tab/>
        <w:t xml:space="preserve">Market Failure Risk – the risk that financial </w:t>
      </w:r>
      <w:r w:rsidRPr="009B4B70">
        <w:rPr>
          <w:rFonts w:ascii="Verdana" w:eastAsia="Calibri" w:hAnsi="Verdana" w:cs="Arial"/>
          <w:sz w:val="22"/>
          <w:szCs w:val="22"/>
          <w:lang w:val="pt-BR"/>
        </w:rPr>
        <w:t>loss might arise as a result of a failure in financial markets.</w:t>
      </w:r>
    </w:p>
    <w:p w14:paraId="5B58CCA7" w14:textId="2E658CC2" w:rsidR="00CA6653" w:rsidRPr="009B4B70" w:rsidRDefault="00CA6653" w:rsidP="00DC5E2A">
      <w:pPr>
        <w:pStyle w:val="Normal0"/>
        <w:spacing w:after="160" w:line="259" w:lineRule="auto"/>
        <w:jc w:val="both"/>
        <w:rPr>
          <w:rFonts w:ascii="Verdana" w:hAnsi="Verdana"/>
          <w:sz w:val="22"/>
          <w:szCs w:val="22"/>
          <w:lang w:val="pt-BR"/>
        </w:rPr>
      </w:pPr>
      <w:r w:rsidRPr="009B4B70">
        <w:rPr>
          <w:rFonts w:ascii="Verdana" w:eastAsia="Calibri" w:hAnsi="Verdana" w:cs="Arial"/>
          <w:sz w:val="22"/>
          <w:szCs w:val="22"/>
          <w:lang w:val="pt-BR"/>
        </w:rPr>
        <w:t xml:space="preserve">The Group’s overall risk management programme focuses on the unpredictability of financial markets and seeks to minimise potential adverse effects on the resources available to fund services.  The </w:t>
      </w:r>
      <w:r w:rsidR="009B4B70" w:rsidRPr="009B4B70">
        <w:rPr>
          <w:rFonts w:ascii="Verdana" w:eastAsia="Calibri" w:hAnsi="Verdana" w:cs="Arial"/>
          <w:sz w:val="22"/>
          <w:szCs w:val="22"/>
          <w:lang w:val="pt-BR"/>
        </w:rPr>
        <w:t>Chief Accountant</w:t>
      </w:r>
      <w:r w:rsidRPr="009B4B70">
        <w:rPr>
          <w:rFonts w:ascii="Verdana" w:eastAsia="Calibri" w:hAnsi="Verdana" w:cs="Arial"/>
          <w:sz w:val="22"/>
          <w:szCs w:val="22"/>
          <w:lang w:val="pt-BR"/>
        </w:rPr>
        <w:t xml:space="preserve"> is responsible for implementing the Group’s approved Treasury Management Strategy which specifies the arrangements for specific areas such as interest rate risk, credit risk and the investment of surplus cash.  </w:t>
      </w:r>
    </w:p>
    <w:p w14:paraId="78AFFB88" w14:textId="77777777" w:rsidR="00CA6653" w:rsidRPr="00C72A13" w:rsidRDefault="00CA6653" w:rsidP="00DC5E2A">
      <w:pPr>
        <w:pStyle w:val="Normal0"/>
        <w:spacing w:after="160" w:line="259" w:lineRule="auto"/>
        <w:jc w:val="both"/>
        <w:rPr>
          <w:rFonts w:ascii="Verdana" w:hAnsi="Verdana"/>
          <w:sz w:val="22"/>
          <w:szCs w:val="22"/>
          <w:lang w:val="pt-BR"/>
        </w:rPr>
      </w:pPr>
      <w:r w:rsidRPr="009B4B70">
        <w:rPr>
          <w:rFonts w:ascii="Verdana" w:eastAsia="Calibri" w:hAnsi="Verdana" w:cs="Arial"/>
          <w:sz w:val="22"/>
          <w:szCs w:val="22"/>
          <w:lang w:val="pt-BR"/>
        </w:rPr>
        <w:t>Day-to-day treasury management activity is undertaken on</w:t>
      </w:r>
      <w:r w:rsidRPr="00C72A13">
        <w:rPr>
          <w:rFonts w:ascii="Verdana" w:eastAsia="Calibri" w:hAnsi="Verdana" w:cs="Arial"/>
          <w:sz w:val="22"/>
          <w:szCs w:val="22"/>
          <w:lang w:val="pt-BR"/>
        </w:rPr>
        <w:t xml:space="preserve"> behalf of the Group by Surrey County Council under the terms of a service level agreement.</w:t>
      </w:r>
    </w:p>
    <w:p w14:paraId="12517A95" w14:textId="77777777" w:rsidR="00CA6653" w:rsidRPr="00C72A13" w:rsidRDefault="00CA6653" w:rsidP="00DC5E2A">
      <w:pPr>
        <w:pStyle w:val="Normal0"/>
        <w:spacing w:after="160" w:line="259" w:lineRule="auto"/>
        <w:jc w:val="both"/>
        <w:rPr>
          <w:rFonts w:ascii="Verdana" w:hAnsi="Verdana"/>
          <w:b/>
          <w:sz w:val="22"/>
          <w:szCs w:val="22"/>
          <w:lang w:val="pt-BR"/>
        </w:rPr>
      </w:pPr>
      <w:r w:rsidRPr="00C72A13">
        <w:rPr>
          <w:rFonts w:ascii="Verdana" w:eastAsia="Calibri" w:hAnsi="Verdana" w:cs="Arial"/>
          <w:b/>
          <w:sz w:val="22"/>
          <w:szCs w:val="22"/>
          <w:lang w:val="pt-BR"/>
        </w:rPr>
        <w:t>Credit and Counterparty Risk</w:t>
      </w:r>
    </w:p>
    <w:p w14:paraId="5AD86870" w14:textId="77777777" w:rsidR="00CA6653" w:rsidRPr="00C72A13" w:rsidRDefault="00CA6653" w:rsidP="00DC5E2A">
      <w:pPr>
        <w:pStyle w:val="Normal0"/>
        <w:spacing w:after="160" w:line="259" w:lineRule="auto"/>
        <w:jc w:val="both"/>
        <w:rPr>
          <w:rFonts w:ascii="Verdana" w:hAnsi="Verdana"/>
          <w:sz w:val="22"/>
          <w:szCs w:val="22"/>
          <w:lang w:val="pt-BR"/>
        </w:rPr>
      </w:pPr>
      <w:r w:rsidRPr="00C72A13">
        <w:rPr>
          <w:rFonts w:ascii="Verdana" w:eastAsia="Calibri" w:hAnsi="Verdana" w:cs="Arial"/>
          <w:sz w:val="22"/>
          <w:szCs w:val="22"/>
          <w:lang w:val="pt-BR"/>
        </w:rPr>
        <w:t>A prime objective of the Group’s treasury management activities is the security of the principal sums it invests.  The Group maintains a formal counterparty policy in respect of those organisations from which it may borrow, or with whom it may enter into other financing arrangements, which includes all organisations included on Surrey County Council’s counterparty lists.</w:t>
      </w:r>
    </w:p>
    <w:p w14:paraId="3B2B8760" w14:textId="77777777" w:rsidR="00CA6653" w:rsidRPr="003508D6" w:rsidRDefault="00CA6653" w:rsidP="00DC5E2A">
      <w:pPr>
        <w:pStyle w:val="Normal0"/>
        <w:spacing w:after="160" w:line="259" w:lineRule="auto"/>
        <w:jc w:val="both"/>
        <w:rPr>
          <w:rFonts w:ascii="Verdana" w:hAnsi="Verdana"/>
          <w:sz w:val="22"/>
          <w:szCs w:val="22"/>
          <w:lang w:val="pt-BR"/>
        </w:rPr>
      </w:pPr>
      <w:r w:rsidRPr="00C72A13">
        <w:rPr>
          <w:rFonts w:ascii="Verdana" w:eastAsia="Calibri" w:hAnsi="Verdana" w:cs="Arial"/>
          <w:sz w:val="22"/>
          <w:szCs w:val="22"/>
          <w:lang w:val="pt-BR"/>
        </w:rPr>
        <w:t xml:space="preserve">The Group’s only direct counterparty in relation to treasury management is Surrey County Council.  All investments made by Surrey County Council are made in accordance with that Council’s investment policies and prevailing legislation and regulations.  If the list of counterparties and their time or value limits need to be revised, amendments are presented to the Surrey County Council Audit &amp; Governance Committee.  It </w:t>
      </w:r>
      <w:r w:rsidRPr="003508D6">
        <w:rPr>
          <w:rFonts w:ascii="Verdana" w:eastAsia="Calibri" w:hAnsi="Verdana" w:cs="Arial"/>
          <w:sz w:val="22"/>
          <w:szCs w:val="22"/>
          <w:lang w:val="pt-BR"/>
        </w:rPr>
        <w:t>is considered that these arrangements minimise the risk in this area.</w:t>
      </w:r>
    </w:p>
    <w:p w14:paraId="0FF53CED" w14:textId="3AA2E18E" w:rsidR="00CA6653" w:rsidRPr="003508D6" w:rsidRDefault="00CA6653" w:rsidP="00DC5E2A">
      <w:pPr>
        <w:pStyle w:val="Normal0"/>
        <w:spacing w:after="160" w:line="259" w:lineRule="auto"/>
        <w:jc w:val="both"/>
        <w:rPr>
          <w:rFonts w:ascii="Verdana" w:hAnsi="Verdana"/>
          <w:sz w:val="22"/>
          <w:szCs w:val="22"/>
          <w:lang w:val="pt-BR"/>
        </w:rPr>
      </w:pPr>
      <w:r w:rsidRPr="003508D6">
        <w:rPr>
          <w:rFonts w:ascii="Verdana" w:eastAsia="Calibri" w:hAnsi="Verdana" w:cs="Arial"/>
          <w:sz w:val="22"/>
          <w:szCs w:val="22"/>
          <w:lang w:val="pt-BR"/>
        </w:rPr>
        <w:t>The maximum exposure to credit risk at the Balance Sheet date was as follows: trade receivables £0.</w:t>
      </w:r>
      <w:r w:rsidR="00C72A13" w:rsidRPr="003508D6">
        <w:rPr>
          <w:rFonts w:ascii="Verdana" w:eastAsia="Calibri" w:hAnsi="Verdana" w:cs="Arial"/>
          <w:sz w:val="22"/>
          <w:szCs w:val="22"/>
          <w:lang w:val="pt-BR"/>
        </w:rPr>
        <w:t>6</w:t>
      </w:r>
      <w:r w:rsidRPr="003508D6">
        <w:rPr>
          <w:rFonts w:ascii="Verdana" w:eastAsia="Calibri" w:hAnsi="Verdana" w:cs="Arial"/>
          <w:sz w:val="22"/>
          <w:szCs w:val="22"/>
          <w:lang w:val="pt-BR"/>
        </w:rPr>
        <w:t>m (201</w:t>
      </w:r>
      <w:r w:rsidR="00C72A13" w:rsidRPr="003508D6">
        <w:rPr>
          <w:rFonts w:ascii="Verdana" w:eastAsia="Calibri" w:hAnsi="Verdana" w:cs="Arial"/>
          <w:sz w:val="22"/>
          <w:szCs w:val="22"/>
          <w:lang w:val="pt-BR"/>
        </w:rPr>
        <w:t>9</w:t>
      </w:r>
      <w:r w:rsidRPr="003508D6">
        <w:rPr>
          <w:rFonts w:ascii="Verdana" w:eastAsia="Calibri" w:hAnsi="Verdana" w:cs="Arial"/>
          <w:sz w:val="22"/>
          <w:szCs w:val="22"/>
          <w:lang w:val="pt-BR"/>
        </w:rPr>
        <w:t>/</w:t>
      </w:r>
      <w:r w:rsidR="00C72A13" w:rsidRPr="003508D6">
        <w:rPr>
          <w:rFonts w:ascii="Verdana" w:eastAsia="Calibri" w:hAnsi="Verdana" w:cs="Arial"/>
          <w:sz w:val="22"/>
          <w:szCs w:val="22"/>
          <w:lang w:val="pt-BR"/>
        </w:rPr>
        <w:t>20</w:t>
      </w:r>
      <w:r w:rsidRPr="003508D6">
        <w:rPr>
          <w:rFonts w:ascii="Verdana" w:eastAsia="Calibri" w:hAnsi="Verdana" w:cs="Arial"/>
          <w:sz w:val="22"/>
          <w:szCs w:val="22"/>
          <w:lang w:val="pt-BR"/>
        </w:rPr>
        <w:t xml:space="preserve"> £0.</w:t>
      </w:r>
      <w:r w:rsidR="00B52D20" w:rsidRPr="003508D6">
        <w:rPr>
          <w:rFonts w:ascii="Verdana" w:eastAsia="Calibri" w:hAnsi="Verdana" w:cs="Arial"/>
          <w:sz w:val="22"/>
          <w:szCs w:val="22"/>
          <w:lang w:val="pt-BR"/>
        </w:rPr>
        <w:t>8</w:t>
      </w:r>
      <w:r w:rsidRPr="003508D6">
        <w:rPr>
          <w:rFonts w:ascii="Verdana" w:eastAsia="Calibri" w:hAnsi="Verdana" w:cs="Arial"/>
          <w:sz w:val="22"/>
          <w:szCs w:val="22"/>
          <w:lang w:val="pt-BR"/>
        </w:rPr>
        <w:t>m), and cash and temporary loan investments £</w:t>
      </w:r>
      <w:r w:rsidR="003508D6" w:rsidRPr="003508D6">
        <w:rPr>
          <w:rFonts w:ascii="Verdana" w:eastAsia="Calibri" w:hAnsi="Verdana" w:cs="Arial"/>
          <w:sz w:val="22"/>
          <w:szCs w:val="22"/>
          <w:lang w:val="pt-BR"/>
        </w:rPr>
        <w:t>12.6</w:t>
      </w:r>
      <w:r w:rsidRPr="003508D6">
        <w:rPr>
          <w:rFonts w:ascii="Verdana" w:eastAsia="Calibri" w:hAnsi="Verdana" w:cs="Arial"/>
          <w:sz w:val="22"/>
          <w:szCs w:val="22"/>
          <w:lang w:val="pt-BR"/>
        </w:rPr>
        <w:t>m (201</w:t>
      </w:r>
      <w:r w:rsidR="00C72A13" w:rsidRPr="003508D6">
        <w:rPr>
          <w:rFonts w:ascii="Verdana" w:eastAsia="Calibri" w:hAnsi="Verdana" w:cs="Arial"/>
          <w:sz w:val="22"/>
          <w:szCs w:val="22"/>
          <w:lang w:val="pt-BR"/>
        </w:rPr>
        <w:t>9</w:t>
      </w:r>
      <w:r w:rsidRPr="003508D6">
        <w:rPr>
          <w:rFonts w:ascii="Verdana" w:eastAsia="Calibri" w:hAnsi="Verdana" w:cs="Arial"/>
          <w:sz w:val="22"/>
          <w:szCs w:val="22"/>
          <w:lang w:val="pt-BR"/>
        </w:rPr>
        <w:t>/</w:t>
      </w:r>
      <w:r w:rsidR="00C72A13" w:rsidRPr="003508D6">
        <w:rPr>
          <w:rFonts w:ascii="Verdana" w:eastAsia="Calibri" w:hAnsi="Verdana" w:cs="Arial"/>
          <w:sz w:val="22"/>
          <w:szCs w:val="22"/>
          <w:lang w:val="pt-BR"/>
        </w:rPr>
        <w:t>20</w:t>
      </w:r>
      <w:r w:rsidRPr="003508D6">
        <w:rPr>
          <w:rFonts w:ascii="Verdana" w:eastAsia="Calibri" w:hAnsi="Verdana" w:cs="Arial"/>
          <w:sz w:val="22"/>
          <w:szCs w:val="22"/>
          <w:lang w:val="pt-BR"/>
        </w:rPr>
        <w:t xml:space="preserve"> £1</w:t>
      </w:r>
      <w:r w:rsidR="003508D6" w:rsidRPr="003508D6">
        <w:rPr>
          <w:rFonts w:ascii="Verdana" w:eastAsia="Calibri" w:hAnsi="Verdana" w:cs="Arial"/>
          <w:sz w:val="22"/>
          <w:szCs w:val="22"/>
          <w:lang w:val="pt-BR"/>
        </w:rPr>
        <w:t>2</w:t>
      </w:r>
      <w:r w:rsidRPr="003508D6">
        <w:rPr>
          <w:rFonts w:ascii="Verdana" w:eastAsia="Calibri" w:hAnsi="Verdana" w:cs="Arial"/>
          <w:sz w:val="22"/>
          <w:szCs w:val="22"/>
          <w:lang w:val="pt-BR"/>
        </w:rPr>
        <w:t>.</w:t>
      </w:r>
      <w:r w:rsidR="00C72A13" w:rsidRPr="003508D6">
        <w:rPr>
          <w:rFonts w:ascii="Verdana" w:eastAsia="Calibri" w:hAnsi="Verdana" w:cs="Arial"/>
          <w:sz w:val="22"/>
          <w:szCs w:val="22"/>
          <w:lang w:val="pt-BR"/>
        </w:rPr>
        <w:t>4</w:t>
      </w:r>
      <w:r w:rsidRPr="003508D6">
        <w:rPr>
          <w:rFonts w:ascii="Verdana" w:eastAsia="Calibri" w:hAnsi="Verdana" w:cs="Arial"/>
          <w:sz w:val="22"/>
          <w:szCs w:val="22"/>
          <w:lang w:val="pt-BR"/>
        </w:rPr>
        <w:t>m). The Group does not have any material exposure to concentrations of credit risk with any single counterparty.</w:t>
      </w:r>
    </w:p>
    <w:p w14:paraId="0049664E" w14:textId="77777777" w:rsidR="00CA6653" w:rsidRPr="00C72A13" w:rsidRDefault="00CA6653" w:rsidP="00DC5E2A">
      <w:pPr>
        <w:pStyle w:val="Normal0"/>
        <w:spacing w:after="160" w:line="259" w:lineRule="auto"/>
        <w:jc w:val="both"/>
        <w:rPr>
          <w:rFonts w:ascii="Verdana" w:hAnsi="Verdana"/>
          <w:b/>
          <w:sz w:val="22"/>
          <w:szCs w:val="22"/>
          <w:lang w:val="pt-BR"/>
        </w:rPr>
      </w:pPr>
      <w:r w:rsidRPr="003508D6">
        <w:rPr>
          <w:rFonts w:ascii="Verdana" w:eastAsia="Calibri" w:hAnsi="Verdana" w:cs="Arial"/>
          <w:b/>
          <w:sz w:val="22"/>
          <w:szCs w:val="22"/>
          <w:lang w:val="pt-BR"/>
        </w:rPr>
        <w:t>Liquidity Risk</w:t>
      </w:r>
    </w:p>
    <w:p w14:paraId="1AE67CFB" w14:textId="77777777" w:rsidR="00CA6653" w:rsidRPr="00C72A13" w:rsidRDefault="00CA6653" w:rsidP="00DC5E2A">
      <w:pPr>
        <w:pStyle w:val="Normal0"/>
        <w:spacing w:after="160" w:line="259" w:lineRule="auto"/>
        <w:jc w:val="both"/>
        <w:rPr>
          <w:rFonts w:ascii="Verdana" w:hAnsi="Verdana"/>
          <w:sz w:val="22"/>
          <w:szCs w:val="22"/>
          <w:lang w:val="pt-BR"/>
        </w:rPr>
      </w:pPr>
      <w:r w:rsidRPr="00C72A13">
        <w:rPr>
          <w:rFonts w:ascii="Verdana" w:eastAsia="Calibri" w:hAnsi="Verdana" w:cs="Arial"/>
          <w:sz w:val="22"/>
          <w:szCs w:val="22"/>
          <w:lang w:val="pt-BR"/>
        </w:rPr>
        <w:t>The Group aims to ensure that it has adequate but not excessive cash resources, borrowing arrangements, overdraft or standby facilities to enable it to have the level of funds available to it that are necessary to achieve the objectives stated in its Policing Plan.</w:t>
      </w:r>
    </w:p>
    <w:p w14:paraId="175556F8" w14:textId="77777777" w:rsidR="00CA6653" w:rsidRPr="00C72A13" w:rsidRDefault="00CA6653" w:rsidP="00DC5E2A">
      <w:pPr>
        <w:pStyle w:val="Normal0"/>
        <w:spacing w:after="160" w:line="259" w:lineRule="auto"/>
        <w:jc w:val="both"/>
        <w:rPr>
          <w:rFonts w:ascii="Verdana" w:hAnsi="Verdana"/>
          <w:sz w:val="22"/>
          <w:szCs w:val="22"/>
          <w:lang w:val="pt-BR"/>
        </w:rPr>
      </w:pPr>
      <w:r w:rsidRPr="00C72A13">
        <w:rPr>
          <w:rFonts w:ascii="Verdana" w:eastAsia="Calibri" w:hAnsi="Verdana" w:cs="Arial"/>
          <w:sz w:val="22"/>
          <w:szCs w:val="22"/>
          <w:lang w:val="pt-BR"/>
        </w:rPr>
        <w:t>Day-to-day cash balances are monitored on behalf of the Group under a service level agreement by Surrey County Council, whose remit is to aggregate and invest any surpluses with its own balances, and to pay interest based on its quarterly internal borrowing rate.</w:t>
      </w:r>
    </w:p>
    <w:p w14:paraId="3FF62948" w14:textId="77777777" w:rsidR="00CA6653" w:rsidRPr="00C72A13" w:rsidRDefault="00CA6653" w:rsidP="00DC5E2A">
      <w:pPr>
        <w:pStyle w:val="Normal0"/>
        <w:spacing w:after="160" w:line="259" w:lineRule="auto"/>
        <w:jc w:val="both"/>
        <w:rPr>
          <w:rFonts w:ascii="Verdana" w:hAnsi="Verdana"/>
          <w:sz w:val="22"/>
          <w:szCs w:val="22"/>
          <w:lang w:val="pt-BR"/>
        </w:rPr>
      </w:pPr>
      <w:r w:rsidRPr="00C72A13">
        <w:rPr>
          <w:rFonts w:ascii="Verdana" w:eastAsia="Calibri" w:hAnsi="Verdana" w:cs="Arial"/>
          <w:sz w:val="22"/>
          <w:szCs w:val="22"/>
          <w:lang w:val="pt-BR"/>
        </w:rPr>
        <w:t>The Group has had sufficient available cash balances to meet its daily requirements. In March 2019 The PCC entered into an external Loan with PWLB for £15.6m in order to purchase land for Building the Future.</w:t>
      </w:r>
    </w:p>
    <w:p w14:paraId="619A8A0B" w14:textId="77777777" w:rsidR="00CA6653" w:rsidRPr="00C72A13" w:rsidRDefault="00CA6653" w:rsidP="00DC5E2A">
      <w:pPr>
        <w:pStyle w:val="Normal0"/>
        <w:spacing w:after="160" w:line="259" w:lineRule="auto"/>
        <w:jc w:val="both"/>
        <w:rPr>
          <w:rFonts w:ascii="Verdana" w:hAnsi="Verdana"/>
          <w:sz w:val="22"/>
          <w:szCs w:val="22"/>
          <w:lang w:val="pt-BR"/>
        </w:rPr>
      </w:pPr>
      <w:r w:rsidRPr="00C72A13">
        <w:rPr>
          <w:rFonts w:ascii="Verdana" w:eastAsia="Calibri" w:hAnsi="Verdana" w:cs="Arial"/>
          <w:sz w:val="22"/>
          <w:szCs w:val="22"/>
          <w:lang w:val="pt-BR"/>
        </w:rPr>
        <w:t>All trade and other payables are due to be paid in less than one year.</w:t>
      </w:r>
    </w:p>
    <w:p w14:paraId="00AEAE81" w14:textId="77777777" w:rsidR="00CA6653" w:rsidRPr="00C72A13" w:rsidRDefault="00CA6653" w:rsidP="00DC5E2A">
      <w:pPr>
        <w:pStyle w:val="Normal0"/>
        <w:spacing w:after="160" w:line="259" w:lineRule="auto"/>
        <w:jc w:val="both"/>
        <w:rPr>
          <w:rFonts w:ascii="Verdana" w:hAnsi="Verdana"/>
          <w:b/>
          <w:sz w:val="22"/>
          <w:szCs w:val="22"/>
          <w:lang w:val="pt-BR"/>
        </w:rPr>
      </w:pPr>
      <w:r w:rsidRPr="00C72A13">
        <w:rPr>
          <w:rFonts w:ascii="Verdana" w:eastAsia="Calibri" w:hAnsi="Verdana" w:cs="Arial"/>
          <w:b/>
          <w:sz w:val="22"/>
          <w:szCs w:val="22"/>
          <w:lang w:val="pt-BR"/>
        </w:rPr>
        <w:t>Interest Rate Risk</w:t>
      </w:r>
    </w:p>
    <w:p w14:paraId="48692A8F" w14:textId="77777777" w:rsidR="00CA6653" w:rsidRPr="00C72A13" w:rsidRDefault="00CA6653" w:rsidP="00DC5E2A">
      <w:pPr>
        <w:pStyle w:val="Normal0"/>
        <w:spacing w:after="160" w:line="259" w:lineRule="auto"/>
        <w:jc w:val="both"/>
        <w:rPr>
          <w:rFonts w:ascii="Verdana" w:hAnsi="Verdana"/>
          <w:sz w:val="22"/>
          <w:szCs w:val="22"/>
          <w:lang w:val="pt-BR"/>
        </w:rPr>
      </w:pPr>
      <w:r w:rsidRPr="00C72A13">
        <w:rPr>
          <w:rFonts w:ascii="Verdana" w:eastAsia="Calibri" w:hAnsi="Verdana" w:cs="Arial"/>
          <w:sz w:val="22"/>
          <w:szCs w:val="22"/>
          <w:lang w:val="pt-BR"/>
        </w:rPr>
        <w:t xml:space="preserve">The Group aims to protect itself against the risk that fluctuations in the levels of interest rates create an unexpected or unbudgeted burden on the Group’s finances. </w:t>
      </w:r>
    </w:p>
    <w:p w14:paraId="0592836D" w14:textId="77777777" w:rsidR="00CA6653" w:rsidRPr="00C72A13" w:rsidRDefault="00CA6653" w:rsidP="00DC5E2A">
      <w:pPr>
        <w:pStyle w:val="Normal0"/>
        <w:spacing w:after="160" w:line="259" w:lineRule="auto"/>
        <w:jc w:val="both"/>
        <w:rPr>
          <w:rFonts w:ascii="Verdana" w:hAnsi="Verdana"/>
          <w:sz w:val="22"/>
          <w:szCs w:val="22"/>
          <w:lang w:val="pt-BR"/>
        </w:rPr>
      </w:pPr>
      <w:r w:rsidRPr="00C72A13">
        <w:rPr>
          <w:rFonts w:ascii="Verdana" w:eastAsia="Calibri" w:hAnsi="Verdana" w:cs="Arial"/>
          <w:sz w:val="22"/>
          <w:szCs w:val="22"/>
          <w:lang w:val="pt-BR"/>
        </w:rPr>
        <w:t>Since the Group investment activity is undertaken by Surrey County Council, fixed and variable rate exposure limits are set so as not to conflict with that Council’s prevailing limits.  In order to achieve this, both fixed and variable rate upper and lower exposure limits have been set at 100% and 0% respectively.</w:t>
      </w:r>
    </w:p>
    <w:p w14:paraId="60C89282" w14:textId="77777777" w:rsidR="00CA6653" w:rsidRPr="00C72A13" w:rsidRDefault="00CA6653" w:rsidP="00DC5E2A">
      <w:pPr>
        <w:pStyle w:val="Normal0"/>
        <w:spacing w:after="160" w:line="259" w:lineRule="auto"/>
        <w:jc w:val="both"/>
        <w:rPr>
          <w:rFonts w:ascii="Verdana" w:hAnsi="Verdana"/>
          <w:sz w:val="22"/>
          <w:szCs w:val="22"/>
          <w:lang w:val="pt-BR"/>
        </w:rPr>
      </w:pPr>
      <w:r w:rsidRPr="00C72A13">
        <w:rPr>
          <w:rFonts w:ascii="Verdana" w:eastAsia="Calibri" w:hAnsi="Verdana" w:cs="Arial"/>
          <w:sz w:val="22"/>
          <w:szCs w:val="22"/>
          <w:lang w:val="pt-BR"/>
        </w:rPr>
        <w:t xml:space="preserve">Surrey County Council employs a treasury consultant to advise on treasury strategy, provide economic data and interest rate forecasts. This information feeds into the Group’s annual budget setting process, and allows for any adverse changes to be accommodated.  </w:t>
      </w:r>
    </w:p>
    <w:p w14:paraId="09A981FC" w14:textId="5316DE55" w:rsidR="00CA6653" w:rsidRPr="0041394A" w:rsidRDefault="00CA6653" w:rsidP="00DC5E2A">
      <w:pPr>
        <w:pStyle w:val="Normal0"/>
        <w:spacing w:after="160" w:line="259" w:lineRule="auto"/>
        <w:jc w:val="both"/>
        <w:rPr>
          <w:rFonts w:ascii="Verdana" w:hAnsi="Verdana"/>
          <w:sz w:val="22"/>
          <w:szCs w:val="22"/>
          <w:lang w:val="pt-BR"/>
        </w:rPr>
      </w:pPr>
      <w:r w:rsidRPr="00C72A13">
        <w:rPr>
          <w:rFonts w:ascii="Verdana" w:eastAsia="Calibri" w:hAnsi="Verdana" w:cs="Arial"/>
          <w:sz w:val="22"/>
          <w:szCs w:val="22"/>
          <w:lang w:val="pt-BR"/>
        </w:rPr>
        <w:t>As at 31 March 20</w:t>
      </w:r>
      <w:r w:rsidR="001A4055" w:rsidRPr="00C72A13">
        <w:rPr>
          <w:rFonts w:ascii="Verdana" w:eastAsia="Calibri" w:hAnsi="Verdana" w:cs="Arial"/>
          <w:sz w:val="22"/>
          <w:szCs w:val="22"/>
          <w:lang w:val="pt-BR"/>
        </w:rPr>
        <w:t>2</w:t>
      </w:r>
      <w:r w:rsidR="00C72A13" w:rsidRPr="00C72A13">
        <w:rPr>
          <w:rFonts w:ascii="Verdana" w:eastAsia="Calibri" w:hAnsi="Verdana" w:cs="Arial"/>
          <w:sz w:val="22"/>
          <w:szCs w:val="22"/>
          <w:lang w:val="pt-BR"/>
        </w:rPr>
        <w:t>1</w:t>
      </w:r>
      <w:r w:rsidRPr="00C72A13">
        <w:rPr>
          <w:rFonts w:ascii="Verdana" w:eastAsia="Calibri" w:hAnsi="Verdana" w:cs="Arial"/>
          <w:sz w:val="22"/>
          <w:szCs w:val="22"/>
          <w:lang w:val="pt-BR"/>
        </w:rPr>
        <w:t>, the Group has borrowing of £1</w:t>
      </w:r>
      <w:r w:rsidR="00C72A13" w:rsidRPr="00C72A13">
        <w:rPr>
          <w:rFonts w:ascii="Verdana" w:eastAsia="Calibri" w:hAnsi="Verdana" w:cs="Arial"/>
          <w:sz w:val="22"/>
          <w:szCs w:val="22"/>
          <w:lang w:val="pt-BR"/>
        </w:rPr>
        <w:t>4</w:t>
      </w:r>
      <w:r w:rsidRPr="00C72A13">
        <w:rPr>
          <w:rFonts w:ascii="Verdana" w:eastAsia="Calibri" w:hAnsi="Verdana" w:cs="Arial"/>
          <w:sz w:val="22"/>
          <w:szCs w:val="22"/>
          <w:lang w:val="pt-BR"/>
        </w:rPr>
        <w:t>.</w:t>
      </w:r>
      <w:r w:rsidR="00C72A13" w:rsidRPr="00C72A13">
        <w:rPr>
          <w:rFonts w:ascii="Verdana" w:eastAsia="Calibri" w:hAnsi="Verdana" w:cs="Arial"/>
          <w:sz w:val="22"/>
          <w:szCs w:val="22"/>
          <w:lang w:val="pt-BR"/>
        </w:rPr>
        <w:t>6 (2019/20 £15.1</w:t>
      </w:r>
      <w:r w:rsidRPr="00C72A13">
        <w:rPr>
          <w:rFonts w:ascii="Verdana" w:eastAsia="Calibri" w:hAnsi="Verdana" w:cs="Arial"/>
          <w:sz w:val="22"/>
          <w:szCs w:val="22"/>
          <w:lang w:val="pt-BR"/>
        </w:rPr>
        <w:t xml:space="preserve">m) </w:t>
      </w:r>
      <w:r w:rsidRPr="009549C5">
        <w:rPr>
          <w:rFonts w:ascii="Verdana" w:eastAsia="Calibri" w:hAnsi="Verdana" w:cs="Arial"/>
          <w:sz w:val="22"/>
          <w:szCs w:val="22"/>
          <w:lang w:val="pt-BR"/>
        </w:rPr>
        <w:t xml:space="preserve">and </w:t>
      </w:r>
      <w:r w:rsidRPr="0041394A">
        <w:rPr>
          <w:rFonts w:ascii="Verdana" w:eastAsia="Calibri" w:hAnsi="Verdana" w:cs="Arial"/>
          <w:sz w:val="22"/>
          <w:szCs w:val="22"/>
          <w:lang w:val="pt-BR"/>
        </w:rPr>
        <w:t>hold £</w:t>
      </w:r>
      <w:r w:rsidR="009549C5" w:rsidRPr="0041394A">
        <w:rPr>
          <w:rFonts w:ascii="Verdana" w:eastAsia="Calibri" w:hAnsi="Verdana" w:cs="Arial"/>
          <w:sz w:val="22"/>
          <w:szCs w:val="22"/>
          <w:lang w:val="pt-BR"/>
        </w:rPr>
        <w:t>11.6</w:t>
      </w:r>
      <w:r w:rsidRPr="0041394A">
        <w:rPr>
          <w:rFonts w:ascii="Verdana" w:eastAsia="Calibri" w:hAnsi="Verdana" w:cs="Arial"/>
          <w:sz w:val="22"/>
          <w:szCs w:val="22"/>
          <w:lang w:val="pt-BR"/>
        </w:rPr>
        <w:t xml:space="preserve">m in </w:t>
      </w:r>
      <w:r w:rsidRPr="009549C5">
        <w:rPr>
          <w:rFonts w:ascii="Verdana" w:eastAsia="Calibri" w:hAnsi="Verdana" w:cs="Arial"/>
          <w:sz w:val="22"/>
          <w:szCs w:val="22"/>
          <w:lang w:val="pt-BR"/>
        </w:rPr>
        <w:t>variable rate loan investments (201</w:t>
      </w:r>
      <w:r w:rsidR="00C72A13" w:rsidRPr="009549C5">
        <w:rPr>
          <w:rFonts w:ascii="Verdana" w:eastAsia="Calibri" w:hAnsi="Verdana" w:cs="Arial"/>
          <w:sz w:val="22"/>
          <w:szCs w:val="22"/>
          <w:lang w:val="pt-BR"/>
        </w:rPr>
        <w:t>9</w:t>
      </w:r>
      <w:r w:rsidRPr="009549C5">
        <w:rPr>
          <w:rFonts w:ascii="Verdana" w:eastAsia="Calibri" w:hAnsi="Verdana" w:cs="Arial"/>
          <w:sz w:val="22"/>
          <w:szCs w:val="22"/>
          <w:lang w:val="pt-BR"/>
        </w:rPr>
        <w:t>/</w:t>
      </w:r>
      <w:r w:rsidR="00C72A13" w:rsidRPr="009549C5">
        <w:rPr>
          <w:rFonts w:ascii="Verdana" w:eastAsia="Calibri" w:hAnsi="Verdana" w:cs="Arial"/>
          <w:sz w:val="22"/>
          <w:szCs w:val="22"/>
          <w:lang w:val="pt-BR"/>
        </w:rPr>
        <w:t>20</w:t>
      </w:r>
      <w:r w:rsidRPr="009549C5">
        <w:rPr>
          <w:rFonts w:ascii="Verdana" w:eastAsia="Calibri" w:hAnsi="Verdana" w:cs="Arial"/>
          <w:sz w:val="22"/>
          <w:szCs w:val="22"/>
          <w:lang w:val="pt-BR"/>
        </w:rPr>
        <w:t xml:space="preserve"> £1</w:t>
      </w:r>
      <w:r w:rsidR="00C72A13" w:rsidRPr="009549C5">
        <w:rPr>
          <w:rFonts w:ascii="Verdana" w:eastAsia="Calibri" w:hAnsi="Verdana" w:cs="Arial"/>
          <w:sz w:val="22"/>
          <w:szCs w:val="22"/>
          <w:lang w:val="pt-BR"/>
        </w:rPr>
        <w:t>7</w:t>
      </w:r>
      <w:r w:rsidRPr="009549C5">
        <w:rPr>
          <w:rFonts w:ascii="Verdana" w:eastAsia="Calibri" w:hAnsi="Verdana" w:cs="Arial"/>
          <w:sz w:val="22"/>
          <w:szCs w:val="22"/>
          <w:lang w:val="pt-BR"/>
        </w:rPr>
        <w:t>.</w:t>
      </w:r>
      <w:r w:rsidR="00C72A13" w:rsidRPr="009549C5">
        <w:rPr>
          <w:rFonts w:ascii="Verdana" w:eastAsia="Calibri" w:hAnsi="Verdana" w:cs="Arial"/>
          <w:sz w:val="22"/>
          <w:szCs w:val="22"/>
          <w:lang w:val="pt-BR"/>
        </w:rPr>
        <w:t>4</w:t>
      </w:r>
      <w:r w:rsidRPr="009549C5">
        <w:rPr>
          <w:rFonts w:ascii="Verdana" w:eastAsia="Calibri" w:hAnsi="Verdana" w:cs="Arial"/>
          <w:sz w:val="22"/>
          <w:szCs w:val="22"/>
          <w:lang w:val="pt-BR"/>
        </w:rPr>
        <w:t>m).</w:t>
      </w:r>
    </w:p>
    <w:p w14:paraId="46EC6495" w14:textId="77777777" w:rsidR="00DC5E2A" w:rsidRPr="003508D6" w:rsidRDefault="00DC5E2A">
      <w:pPr>
        <w:pStyle w:val="Normal0"/>
        <w:spacing w:after="160" w:line="259" w:lineRule="auto"/>
        <w:rPr>
          <w:sz w:val="22"/>
          <w:szCs w:val="22"/>
          <w:lang w:val="en-GB"/>
        </w:rPr>
      </w:pPr>
    </w:p>
    <w:p w14:paraId="75DB7F44" w14:textId="77777777" w:rsidR="00CA6653" w:rsidRPr="003508D6" w:rsidRDefault="00CA6653" w:rsidP="00A31A9E">
      <w:pPr>
        <w:pStyle w:val="Heading1"/>
      </w:pPr>
      <w:bookmarkStart w:id="48" w:name="_Toc75122801"/>
      <w:r w:rsidRPr="003508D6">
        <w:t>Note 3</w:t>
      </w:r>
      <w:r w:rsidR="00960EC4" w:rsidRPr="003508D6">
        <w:t>3</w:t>
      </w:r>
      <w:r w:rsidRPr="003508D6">
        <w:t xml:space="preserve"> - Financing and Investment Income and Expenditure</w:t>
      </w:r>
      <w:bookmarkEnd w:id="48"/>
      <w:r w:rsidRPr="003508D6">
        <w:t xml:space="preserve"> </w:t>
      </w:r>
    </w:p>
    <w:tbl>
      <w:tblPr>
        <w:tblpPr w:leftFromText="180" w:rightFromText="180" w:vertAnchor="text" w:tblpY="1"/>
        <w:tblOverlap w:val="never"/>
        <w:tblW w:w="0" w:type="auto"/>
        <w:tblLayout w:type="fixed"/>
        <w:tblLook w:val="04A0" w:firstRow="1" w:lastRow="0" w:firstColumn="1" w:lastColumn="0" w:noHBand="0" w:noVBand="1"/>
      </w:tblPr>
      <w:tblGrid>
        <w:gridCol w:w="1335"/>
        <w:gridCol w:w="1335"/>
        <w:gridCol w:w="180"/>
        <w:gridCol w:w="3750"/>
        <w:gridCol w:w="1335"/>
        <w:gridCol w:w="1137"/>
      </w:tblGrid>
      <w:tr w:rsidR="004D417B" w:rsidRPr="00395276" w14:paraId="55846B96" w14:textId="77777777" w:rsidTr="002A6B28">
        <w:trPr>
          <w:trHeight w:val="360"/>
        </w:trPr>
        <w:tc>
          <w:tcPr>
            <w:tcW w:w="2670" w:type="dxa"/>
            <w:gridSpan w:val="2"/>
            <w:shd w:val="clear" w:color="auto" w:fill="auto"/>
            <w:tcMar>
              <w:top w:w="20" w:type="dxa"/>
              <w:left w:w="20" w:type="dxa"/>
              <w:bottom w:w="20" w:type="dxa"/>
              <w:right w:w="20" w:type="dxa"/>
            </w:tcMar>
            <w:vAlign w:val="bottom"/>
          </w:tcPr>
          <w:p w14:paraId="00AE5D6D" w14:textId="77777777" w:rsidR="00CA6653" w:rsidRPr="00395276" w:rsidRDefault="00CA6653" w:rsidP="002A6B28">
            <w:pPr>
              <w:pStyle w:val="T1TableStyle"/>
              <w:jc w:val="center"/>
              <w:rPr>
                <w:rFonts w:ascii="Verdana" w:eastAsia="Verdana" w:hAnsi="Verdana" w:cs="Verdana"/>
                <w:b/>
                <w:color w:val="000000"/>
                <w:sz w:val="16"/>
                <w:lang w:val="en-GB"/>
              </w:rPr>
            </w:pPr>
            <w:r w:rsidRPr="00395276">
              <w:rPr>
                <w:rFonts w:ascii="Verdana" w:eastAsia="Verdana" w:hAnsi="Verdana" w:cs="Verdana"/>
                <w:b/>
                <w:color w:val="000000"/>
                <w:sz w:val="16"/>
                <w:lang w:val="en-GB"/>
              </w:rPr>
              <w:t>20</w:t>
            </w:r>
            <w:r w:rsidR="002A6B28" w:rsidRPr="00395276">
              <w:rPr>
                <w:rFonts w:ascii="Verdana" w:eastAsia="Verdana" w:hAnsi="Verdana" w:cs="Verdana"/>
                <w:b/>
                <w:color w:val="000000"/>
                <w:sz w:val="16"/>
                <w:lang w:val="en-GB"/>
              </w:rPr>
              <w:t>19</w:t>
            </w:r>
            <w:r w:rsidRPr="00395276">
              <w:rPr>
                <w:rFonts w:ascii="Verdana" w:eastAsia="Verdana" w:hAnsi="Verdana" w:cs="Verdana"/>
                <w:b/>
                <w:color w:val="000000"/>
                <w:sz w:val="16"/>
                <w:lang w:val="en-GB"/>
              </w:rPr>
              <w:t>/</w:t>
            </w:r>
            <w:r w:rsidR="002A6B28" w:rsidRPr="00395276">
              <w:rPr>
                <w:rFonts w:ascii="Verdana" w:eastAsia="Verdana" w:hAnsi="Verdana" w:cs="Verdana"/>
                <w:b/>
                <w:color w:val="000000"/>
                <w:sz w:val="16"/>
                <w:lang w:val="en-GB"/>
              </w:rPr>
              <w:t>20</w:t>
            </w:r>
          </w:p>
        </w:tc>
        <w:tc>
          <w:tcPr>
            <w:tcW w:w="180" w:type="dxa"/>
            <w:shd w:val="clear" w:color="auto" w:fill="auto"/>
            <w:tcMar>
              <w:top w:w="20" w:type="dxa"/>
              <w:left w:w="20" w:type="dxa"/>
              <w:bottom w:w="20" w:type="dxa"/>
              <w:right w:w="20" w:type="dxa"/>
            </w:tcMar>
            <w:vAlign w:val="bottom"/>
          </w:tcPr>
          <w:p w14:paraId="3C42CCAE" w14:textId="77777777" w:rsidR="00CA6653" w:rsidRPr="00395276" w:rsidRDefault="00CA6653">
            <w:pPr>
              <w:pStyle w:val="T1TableStyle"/>
              <w:jc w:val="center"/>
              <w:rPr>
                <w:rFonts w:ascii="Verdana" w:eastAsia="Verdana" w:hAnsi="Verdana" w:cs="Verdana"/>
                <w:color w:val="000000"/>
                <w:sz w:val="2"/>
                <w:lang w:val="en-GB"/>
              </w:rPr>
            </w:pPr>
            <w:r w:rsidRPr="00395276">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vAlign w:val="bottom"/>
          </w:tcPr>
          <w:p w14:paraId="69B2FDE2" w14:textId="77777777" w:rsidR="00CA6653" w:rsidRPr="00395276" w:rsidRDefault="00CA6653">
            <w:pPr>
              <w:pStyle w:val="T1TableStyle"/>
              <w:jc w:val="center"/>
              <w:rPr>
                <w:rFonts w:ascii="Verdana" w:eastAsia="Verdana" w:hAnsi="Verdana" w:cs="Verdana"/>
                <w:color w:val="000000"/>
                <w:sz w:val="2"/>
                <w:lang w:val="en-GB"/>
              </w:rPr>
            </w:pPr>
            <w:r w:rsidRPr="00395276">
              <w:rPr>
                <w:rFonts w:ascii="Verdana" w:eastAsia="Verdana" w:hAnsi="Verdana" w:cs="Verdana"/>
                <w:color w:val="000000"/>
                <w:sz w:val="2"/>
                <w:lang w:val="en-GB"/>
              </w:rPr>
              <w:t xml:space="preserve"> </w:t>
            </w:r>
          </w:p>
        </w:tc>
        <w:tc>
          <w:tcPr>
            <w:tcW w:w="2472" w:type="dxa"/>
            <w:gridSpan w:val="2"/>
            <w:shd w:val="clear" w:color="auto" w:fill="auto"/>
            <w:tcMar>
              <w:top w:w="20" w:type="dxa"/>
              <w:left w:w="20" w:type="dxa"/>
              <w:bottom w:w="20" w:type="dxa"/>
              <w:right w:w="20" w:type="dxa"/>
            </w:tcMar>
            <w:vAlign w:val="bottom"/>
          </w:tcPr>
          <w:p w14:paraId="12C2C822" w14:textId="77777777" w:rsidR="00CA6653" w:rsidRPr="00395276" w:rsidRDefault="00CA6653" w:rsidP="002A6B28">
            <w:pPr>
              <w:pStyle w:val="T1TableStyle"/>
              <w:jc w:val="center"/>
              <w:rPr>
                <w:rFonts w:ascii="Verdana" w:eastAsia="Verdana" w:hAnsi="Verdana" w:cs="Verdana"/>
                <w:b/>
                <w:color w:val="000000"/>
                <w:sz w:val="16"/>
                <w:lang w:val="en-GB"/>
              </w:rPr>
            </w:pPr>
            <w:r w:rsidRPr="00395276">
              <w:rPr>
                <w:rFonts w:ascii="Verdana" w:eastAsia="Verdana" w:hAnsi="Verdana" w:cs="Verdana"/>
                <w:b/>
                <w:color w:val="000000"/>
                <w:sz w:val="16"/>
                <w:lang w:val="en-GB"/>
              </w:rPr>
              <w:t>20</w:t>
            </w:r>
            <w:r w:rsidR="002A6B28" w:rsidRPr="00395276">
              <w:rPr>
                <w:rFonts w:ascii="Verdana" w:eastAsia="Verdana" w:hAnsi="Verdana" w:cs="Verdana"/>
                <w:b/>
                <w:color w:val="000000"/>
                <w:sz w:val="16"/>
                <w:lang w:val="en-GB"/>
              </w:rPr>
              <w:t>20</w:t>
            </w:r>
            <w:r w:rsidRPr="00395276">
              <w:rPr>
                <w:rFonts w:ascii="Verdana" w:eastAsia="Verdana" w:hAnsi="Verdana" w:cs="Verdana"/>
                <w:b/>
                <w:color w:val="000000"/>
                <w:sz w:val="16"/>
                <w:lang w:val="en-GB"/>
              </w:rPr>
              <w:t>/2</w:t>
            </w:r>
            <w:r w:rsidR="002A6B28" w:rsidRPr="00395276">
              <w:rPr>
                <w:rFonts w:ascii="Verdana" w:eastAsia="Verdana" w:hAnsi="Verdana" w:cs="Verdana"/>
                <w:b/>
                <w:color w:val="000000"/>
                <w:sz w:val="16"/>
                <w:lang w:val="en-GB"/>
              </w:rPr>
              <w:t>1</w:t>
            </w:r>
          </w:p>
        </w:tc>
      </w:tr>
      <w:tr w:rsidR="004D417B" w:rsidRPr="00395276" w14:paraId="4FAED68D" w14:textId="77777777" w:rsidTr="002A6B28">
        <w:trPr>
          <w:trHeight w:val="300"/>
        </w:trPr>
        <w:tc>
          <w:tcPr>
            <w:tcW w:w="1335" w:type="dxa"/>
            <w:shd w:val="clear" w:color="auto" w:fill="auto"/>
            <w:tcMar>
              <w:top w:w="20" w:type="dxa"/>
              <w:left w:w="20" w:type="dxa"/>
              <w:bottom w:w="20" w:type="dxa"/>
              <w:right w:w="20" w:type="dxa"/>
            </w:tcMar>
            <w:vAlign w:val="bottom"/>
          </w:tcPr>
          <w:p w14:paraId="54202BEA" w14:textId="77777777" w:rsidR="00CA6653" w:rsidRPr="00395276" w:rsidRDefault="00CA6653">
            <w:pPr>
              <w:pStyle w:val="T1TableStyle"/>
              <w:jc w:val="center"/>
              <w:rPr>
                <w:rFonts w:ascii="Verdana" w:eastAsia="Verdana" w:hAnsi="Verdana" w:cs="Verdana"/>
                <w:b/>
                <w:color w:val="000000"/>
                <w:sz w:val="16"/>
                <w:lang w:val="en-GB"/>
              </w:rPr>
            </w:pPr>
            <w:r w:rsidRPr="00395276">
              <w:rPr>
                <w:rFonts w:ascii="Verdana" w:eastAsia="Verdana" w:hAnsi="Verdana" w:cs="Verdana"/>
                <w:b/>
                <w:color w:val="000000"/>
                <w:sz w:val="16"/>
                <w:lang w:val="en-GB"/>
              </w:rPr>
              <w:t>PCC</w:t>
            </w:r>
          </w:p>
        </w:tc>
        <w:tc>
          <w:tcPr>
            <w:tcW w:w="1335" w:type="dxa"/>
            <w:shd w:val="clear" w:color="auto" w:fill="auto"/>
            <w:tcMar>
              <w:top w:w="20" w:type="dxa"/>
              <w:left w:w="20" w:type="dxa"/>
              <w:bottom w:w="20" w:type="dxa"/>
              <w:right w:w="20" w:type="dxa"/>
            </w:tcMar>
            <w:vAlign w:val="bottom"/>
          </w:tcPr>
          <w:p w14:paraId="7141825A" w14:textId="77777777" w:rsidR="00CA6653" w:rsidRPr="00395276" w:rsidRDefault="00CA6653">
            <w:pPr>
              <w:pStyle w:val="T1TableStyle"/>
              <w:jc w:val="center"/>
              <w:rPr>
                <w:rFonts w:ascii="Verdana" w:eastAsia="Verdana" w:hAnsi="Verdana" w:cs="Verdana"/>
                <w:b/>
                <w:color w:val="000000"/>
                <w:sz w:val="16"/>
                <w:lang w:val="en-GB"/>
              </w:rPr>
            </w:pPr>
            <w:r w:rsidRPr="00395276">
              <w:rPr>
                <w:rFonts w:ascii="Verdana" w:eastAsia="Verdana" w:hAnsi="Verdana" w:cs="Verdana"/>
                <w:b/>
                <w:color w:val="000000"/>
                <w:sz w:val="16"/>
                <w:lang w:val="en-GB"/>
              </w:rPr>
              <w:t>Group</w:t>
            </w:r>
          </w:p>
        </w:tc>
        <w:tc>
          <w:tcPr>
            <w:tcW w:w="180" w:type="dxa"/>
            <w:shd w:val="clear" w:color="auto" w:fill="auto"/>
            <w:tcMar>
              <w:top w:w="20" w:type="dxa"/>
              <w:left w:w="20" w:type="dxa"/>
              <w:bottom w:w="20" w:type="dxa"/>
              <w:right w:w="20" w:type="dxa"/>
            </w:tcMar>
            <w:vAlign w:val="bottom"/>
          </w:tcPr>
          <w:p w14:paraId="7932A86F" w14:textId="77777777" w:rsidR="00CA6653" w:rsidRPr="00395276" w:rsidRDefault="00CA6653">
            <w:pPr>
              <w:pStyle w:val="T1TableStyle"/>
              <w:jc w:val="center"/>
              <w:rPr>
                <w:rFonts w:ascii="Calibri" w:eastAsia="Calibri" w:hAnsi="Calibri" w:cs="Calibri"/>
                <w:color w:val="000000"/>
                <w:sz w:val="2"/>
                <w:lang w:val="en-GB"/>
              </w:rPr>
            </w:pPr>
            <w:r w:rsidRPr="00395276">
              <w:rPr>
                <w:rFonts w:ascii="Calibri" w:eastAsia="Calibri" w:hAnsi="Calibri" w:cs="Calibri"/>
                <w:color w:val="000000"/>
                <w:sz w:val="2"/>
                <w:lang w:val="en-GB"/>
              </w:rPr>
              <w:t xml:space="preserve"> </w:t>
            </w:r>
          </w:p>
        </w:tc>
        <w:tc>
          <w:tcPr>
            <w:tcW w:w="3750" w:type="dxa"/>
            <w:shd w:val="clear" w:color="auto" w:fill="auto"/>
            <w:tcMar>
              <w:top w:w="20" w:type="dxa"/>
              <w:left w:w="20" w:type="dxa"/>
              <w:bottom w:w="20" w:type="dxa"/>
              <w:right w:w="20" w:type="dxa"/>
            </w:tcMar>
            <w:vAlign w:val="bottom"/>
          </w:tcPr>
          <w:p w14:paraId="2774A057" w14:textId="77777777" w:rsidR="00CA6653" w:rsidRPr="00395276" w:rsidRDefault="00CA6653">
            <w:pPr>
              <w:pStyle w:val="T1TableStyle"/>
              <w:jc w:val="center"/>
              <w:rPr>
                <w:rFonts w:ascii="Calibri" w:eastAsia="Calibri" w:hAnsi="Calibri" w:cs="Calibri"/>
                <w:color w:val="000000"/>
                <w:sz w:val="2"/>
                <w:lang w:val="en-GB"/>
              </w:rPr>
            </w:pPr>
            <w:r w:rsidRPr="00395276">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vAlign w:val="bottom"/>
          </w:tcPr>
          <w:p w14:paraId="4037E061" w14:textId="77777777" w:rsidR="00CA6653" w:rsidRPr="00395276" w:rsidRDefault="00CA6653">
            <w:pPr>
              <w:pStyle w:val="T1TableStyle"/>
              <w:jc w:val="center"/>
              <w:rPr>
                <w:rFonts w:ascii="Verdana" w:eastAsia="Verdana" w:hAnsi="Verdana" w:cs="Verdana"/>
                <w:b/>
                <w:color w:val="000000"/>
                <w:sz w:val="16"/>
                <w:lang w:val="en-GB"/>
              </w:rPr>
            </w:pPr>
            <w:r w:rsidRPr="00395276">
              <w:rPr>
                <w:rFonts w:ascii="Verdana" w:eastAsia="Verdana" w:hAnsi="Verdana" w:cs="Verdana"/>
                <w:b/>
                <w:color w:val="000000"/>
                <w:sz w:val="16"/>
                <w:lang w:val="en-GB"/>
              </w:rPr>
              <w:t>PCC</w:t>
            </w:r>
          </w:p>
        </w:tc>
        <w:tc>
          <w:tcPr>
            <w:tcW w:w="1137" w:type="dxa"/>
            <w:shd w:val="clear" w:color="auto" w:fill="auto"/>
            <w:tcMar>
              <w:top w:w="20" w:type="dxa"/>
              <w:left w:w="20" w:type="dxa"/>
              <w:bottom w:w="20" w:type="dxa"/>
              <w:right w:w="20" w:type="dxa"/>
            </w:tcMar>
            <w:vAlign w:val="bottom"/>
          </w:tcPr>
          <w:p w14:paraId="3AA7BA9C" w14:textId="77777777" w:rsidR="00CA6653" w:rsidRPr="00395276" w:rsidRDefault="00CA6653">
            <w:pPr>
              <w:pStyle w:val="T1TableStyle"/>
              <w:jc w:val="center"/>
              <w:rPr>
                <w:rFonts w:ascii="Verdana" w:eastAsia="Verdana" w:hAnsi="Verdana" w:cs="Verdana"/>
                <w:b/>
                <w:color w:val="000000"/>
                <w:sz w:val="16"/>
                <w:lang w:val="en-GB"/>
              </w:rPr>
            </w:pPr>
            <w:r w:rsidRPr="00395276">
              <w:rPr>
                <w:rFonts w:ascii="Verdana" w:eastAsia="Verdana" w:hAnsi="Verdana" w:cs="Verdana"/>
                <w:b/>
                <w:color w:val="000000"/>
                <w:sz w:val="16"/>
                <w:lang w:val="en-GB"/>
              </w:rPr>
              <w:t>Group</w:t>
            </w:r>
          </w:p>
        </w:tc>
      </w:tr>
      <w:tr w:rsidR="004D417B" w:rsidRPr="00395276" w14:paraId="53B3D3DF" w14:textId="77777777" w:rsidTr="002A6B28">
        <w:trPr>
          <w:trHeight w:val="300"/>
        </w:trPr>
        <w:tc>
          <w:tcPr>
            <w:tcW w:w="1335" w:type="dxa"/>
            <w:tcBorders>
              <w:bottom w:val="single" w:sz="2" w:space="0" w:color="000000"/>
            </w:tcBorders>
            <w:shd w:val="clear" w:color="auto" w:fill="auto"/>
            <w:tcMar>
              <w:top w:w="20" w:type="dxa"/>
              <w:left w:w="20" w:type="dxa"/>
              <w:bottom w:w="20" w:type="dxa"/>
              <w:right w:w="20" w:type="dxa"/>
            </w:tcMar>
          </w:tcPr>
          <w:p w14:paraId="0169BDF0" w14:textId="77777777" w:rsidR="00CA6653" w:rsidRPr="00395276" w:rsidRDefault="00CA6653">
            <w:pPr>
              <w:pStyle w:val="T1TableStyle"/>
              <w:jc w:val="right"/>
              <w:rPr>
                <w:rFonts w:ascii="Verdana" w:eastAsia="Verdana" w:hAnsi="Verdana" w:cs="Verdana"/>
                <w:b/>
                <w:color w:val="000000"/>
                <w:sz w:val="16"/>
                <w:lang w:val="en-GB"/>
              </w:rPr>
            </w:pPr>
            <w:r w:rsidRPr="00395276">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tcPr>
          <w:p w14:paraId="50A84414" w14:textId="77777777" w:rsidR="00CA6653" w:rsidRPr="00395276" w:rsidRDefault="00CA6653">
            <w:pPr>
              <w:pStyle w:val="T1TableStyle"/>
              <w:jc w:val="right"/>
              <w:rPr>
                <w:rFonts w:ascii="Verdana" w:eastAsia="Verdana" w:hAnsi="Verdana" w:cs="Verdana"/>
                <w:b/>
                <w:color w:val="000000"/>
                <w:sz w:val="16"/>
                <w:lang w:val="en-GB"/>
              </w:rPr>
            </w:pPr>
            <w:r w:rsidRPr="00395276">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14:paraId="62488D54" w14:textId="77777777" w:rsidR="00CA6653" w:rsidRPr="00395276" w:rsidRDefault="00CA6653">
            <w:pPr>
              <w:pStyle w:val="T1TableStyle"/>
              <w:jc w:val="right"/>
              <w:rPr>
                <w:rFonts w:ascii="Verdana" w:eastAsia="Verdana" w:hAnsi="Verdana" w:cs="Verdana"/>
                <w:b/>
                <w:color w:val="000000"/>
                <w:sz w:val="2"/>
                <w:lang w:val="en-GB"/>
              </w:rPr>
            </w:pPr>
            <w:r w:rsidRPr="00395276">
              <w:rPr>
                <w:rFonts w:ascii="Verdana" w:eastAsia="Verdana" w:hAnsi="Verdana" w:cs="Verdana"/>
                <w:b/>
                <w:color w:val="000000"/>
                <w:sz w:val="2"/>
                <w:lang w:val="en-GB"/>
              </w:rPr>
              <w:t xml:space="preserve"> </w:t>
            </w:r>
          </w:p>
        </w:tc>
        <w:tc>
          <w:tcPr>
            <w:tcW w:w="3750" w:type="dxa"/>
            <w:tcBorders>
              <w:bottom w:val="single" w:sz="2" w:space="0" w:color="000000"/>
            </w:tcBorders>
            <w:shd w:val="clear" w:color="auto" w:fill="auto"/>
            <w:tcMar>
              <w:top w:w="20" w:type="dxa"/>
              <w:left w:w="20" w:type="dxa"/>
              <w:bottom w:w="20" w:type="dxa"/>
              <w:right w:w="20" w:type="dxa"/>
            </w:tcMar>
          </w:tcPr>
          <w:p w14:paraId="1462C18F" w14:textId="77777777" w:rsidR="00CA6653" w:rsidRPr="00395276" w:rsidRDefault="00CA6653">
            <w:pPr>
              <w:pStyle w:val="T1TableStyle"/>
              <w:jc w:val="right"/>
              <w:rPr>
                <w:rFonts w:ascii="Verdana" w:eastAsia="Verdana" w:hAnsi="Verdana" w:cs="Verdana"/>
                <w:b/>
                <w:color w:val="000000"/>
                <w:sz w:val="2"/>
                <w:lang w:val="en-GB"/>
              </w:rPr>
            </w:pPr>
            <w:r w:rsidRPr="00395276">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14:paraId="2BA84FF6" w14:textId="77777777" w:rsidR="00CA6653" w:rsidRPr="00BA4BBA" w:rsidRDefault="00CA6653">
            <w:pPr>
              <w:pStyle w:val="T1TableStyle"/>
              <w:jc w:val="right"/>
              <w:rPr>
                <w:rFonts w:ascii="Verdana" w:eastAsia="Verdana" w:hAnsi="Verdana" w:cs="Verdana"/>
                <w:b/>
                <w:color w:val="000000"/>
                <w:sz w:val="16"/>
                <w:lang w:val="en-GB"/>
              </w:rPr>
            </w:pPr>
            <w:r w:rsidRPr="00BA4BBA">
              <w:rPr>
                <w:rFonts w:ascii="Verdana" w:eastAsia="Verdana" w:hAnsi="Verdana" w:cs="Verdana"/>
                <w:b/>
                <w:color w:val="000000"/>
                <w:sz w:val="16"/>
                <w:lang w:val="en-GB"/>
              </w:rPr>
              <w:t>£000</w:t>
            </w:r>
          </w:p>
        </w:tc>
        <w:tc>
          <w:tcPr>
            <w:tcW w:w="1137" w:type="dxa"/>
            <w:tcBorders>
              <w:bottom w:val="single" w:sz="2" w:space="0" w:color="000000"/>
            </w:tcBorders>
            <w:shd w:val="clear" w:color="auto" w:fill="auto"/>
            <w:tcMar>
              <w:top w:w="20" w:type="dxa"/>
              <w:left w:w="20" w:type="dxa"/>
              <w:bottom w:w="20" w:type="dxa"/>
              <w:right w:w="20" w:type="dxa"/>
            </w:tcMar>
          </w:tcPr>
          <w:p w14:paraId="73104F01" w14:textId="77777777" w:rsidR="00CA6653" w:rsidRPr="00BA4BBA" w:rsidRDefault="00CA6653">
            <w:pPr>
              <w:pStyle w:val="T1TableStyle"/>
              <w:jc w:val="right"/>
              <w:rPr>
                <w:rFonts w:ascii="Verdana" w:eastAsia="Verdana" w:hAnsi="Verdana" w:cs="Verdana"/>
                <w:b/>
                <w:color w:val="000000"/>
                <w:sz w:val="16"/>
                <w:lang w:val="en-GB"/>
              </w:rPr>
            </w:pPr>
            <w:r w:rsidRPr="00BA4BBA">
              <w:rPr>
                <w:rFonts w:ascii="Verdana" w:eastAsia="Verdana" w:hAnsi="Verdana" w:cs="Verdana"/>
                <w:b/>
                <w:color w:val="000000"/>
                <w:sz w:val="16"/>
                <w:lang w:val="en-GB"/>
              </w:rPr>
              <w:t>£000</w:t>
            </w:r>
          </w:p>
        </w:tc>
      </w:tr>
      <w:tr w:rsidR="002A6B28" w:rsidRPr="003516A4" w14:paraId="6BC50F2B" w14:textId="77777777" w:rsidTr="002A6B28">
        <w:trPr>
          <w:trHeight w:val="300"/>
        </w:trPr>
        <w:tc>
          <w:tcPr>
            <w:tcW w:w="1335" w:type="dxa"/>
            <w:shd w:val="clear" w:color="auto" w:fill="auto"/>
            <w:tcMar>
              <w:top w:w="20" w:type="dxa"/>
              <w:left w:w="20" w:type="dxa"/>
              <w:bottom w:w="20" w:type="dxa"/>
              <w:right w:w="20" w:type="dxa"/>
            </w:tcMar>
          </w:tcPr>
          <w:p w14:paraId="34D3EB41" w14:textId="77777777" w:rsidR="002A6B28" w:rsidRPr="00395276" w:rsidRDefault="002A6B28" w:rsidP="002A6B28">
            <w:pPr>
              <w:pStyle w:val="T1TableStyle"/>
              <w:jc w:val="right"/>
              <w:rPr>
                <w:rFonts w:ascii="Verdana" w:eastAsia="Verdana" w:hAnsi="Verdana" w:cs="Verdana"/>
                <w:color w:val="000000"/>
                <w:sz w:val="16"/>
                <w:lang w:val="en-GB"/>
              </w:rPr>
            </w:pPr>
            <w:r w:rsidRPr="00395276">
              <w:rPr>
                <w:rFonts w:ascii="Verdana" w:eastAsia="Verdana" w:hAnsi="Verdana" w:cs="Verdana"/>
                <w:color w:val="000000"/>
                <w:sz w:val="16"/>
                <w:lang w:val="en-GB"/>
              </w:rPr>
              <w:t>293</w:t>
            </w:r>
          </w:p>
        </w:tc>
        <w:tc>
          <w:tcPr>
            <w:tcW w:w="1335" w:type="dxa"/>
            <w:shd w:val="clear" w:color="auto" w:fill="auto"/>
            <w:tcMar>
              <w:top w:w="20" w:type="dxa"/>
              <w:left w:w="20" w:type="dxa"/>
              <w:bottom w:w="20" w:type="dxa"/>
              <w:right w:w="20" w:type="dxa"/>
            </w:tcMar>
          </w:tcPr>
          <w:p w14:paraId="40F4DCE7" w14:textId="2EE2C1D1" w:rsidR="002A6B28" w:rsidRPr="00395276" w:rsidRDefault="002A6B28" w:rsidP="00BA4BBA">
            <w:pPr>
              <w:pStyle w:val="T1TableStyle"/>
              <w:jc w:val="right"/>
              <w:rPr>
                <w:rFonts w:ascii="Verdana" w:eastAsia="Verdana" w:hAnsi="Verdana" w:cs="Verdana"/>
                <w:color w:val="000000"/>
                <w:sz w:val="16"/>
                <w:lang w:val="en-GB"/>
              </w:rPr>
            </w:pPr>
            <w:r w:rsidRPr="00395276">
              <w:rPr>
                <w:rFonts w:ascii="Verdana" w:eastAsia="Verdana" w:hAnsi="Verdana" w:cs="Verdana"/>
                <w:color w:val="000000"/>
                <w:sz w:val="16"/>
                <w:lang w:val="en-GB"/>
              </w:rPr>
              <w:t>2</w:t>
            </w:r>
            <w:r w:rsidR="00BA4BBA">
              <w:rPr>
                <w:rFonts w:ascii="Verdana" w:eastAsia="Verdana" w:hAnsi="Verdana" w:cs="Verdana"/>
                <w:color w:val="000000"/>
                <w:sz w:val="16"/>
                <w:lang w:val="en-GB"/>
              </w:rPr>
              <w:t>93</w:t>
            </w:r>
          </w:p>
        </w:tc>
        <w:tc>
          <w:tcPr>
            <w:tcW w:w="180" w:type="dxa"/>
            <w:shd w:val="clear" w:color="auto" w:fill="auto"/>
            <w:tcMar>
              <w:top w:w="20" w:type="dxa"/>
              <w:left w:w="20" w:type="dxa"/>
              <w:bottom w:w="20" w:type="dxa"/>
              <w:right w:w="20" w:type="dxa"/>
            </w:tcMar>
          </w:tcPr>
          <w:p w14:paraId="0CCB5DEB" w14:textId="77777777" w:rsidR="002A6B28" w:rsidRPr="00395276" w:rsidRDefault="002A6B28" w:rsidP="002A6B28">
            <w:pPr>
              <w:pStyle w:val="T1TableStyle"/>
              <w:jc w:val="center"/>
              <w:rPr>
                <w:rFonts w:ascii="Verdana" w:eastAsia="Verdana" w:hAnsi="Verdana" w:cs="Verdana"/>
                <w:color w:val="000000"/>
                <w:sz w:val="2"/>
                <w:lang w:val="en-GB"/>
              </w:rPr>
            </w:pPr>
            <w:r w:rsidRPr="00395276">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14:paraId="70DEA53C" w14:textId="77777777" w:rsidR="002A6B28" w:rsidRPr="00395276" w:rsidRDefault="002A6B28" w:rsidP="002A6B28">
            <w:pPr>
              <w:pStyle w:val="T1TableStyle"/>
              <w:rPr>
                <w:rFonts w:ascii="Verdana" w:eastAsia="Verdana" w:hAnsi="Verdana" w:cs="Verdana"/>
                <w:color w:val="000000"/>
                <w:sz w:val="16"/>
                <w:lang w:val="en-GB"/>
              </w:rPr>
            </w:pPr>
            <w:r w:rsidRPr="00395276">
              <w:rPr>
                <w:rFonts w:ascii="Verdana" w:eastAsia="Verdana" w:hAnsi="Verdana" w:cs="Verdana"/>
                <w:color w:val="000000"/>
                <w:sz w:val="16"/>
                <w:lang w:val="en-GB"/>
              </w:rPr>
              <w:t>Interest payable and similar charges</w:t>
            </w:r>
          </w:p>
        </w:tc>
        <w:tc>
          <w:tcPr>
            <w:tcW w:w="1335" w:type="dxa"/>
            <w:shd w:val="clear" w:color="auto" w:fill="auto"/>
            <w:tcMar>
              <w:top w:w="20" w:type="dxa"/>
              <w:left w:w="20" w:type="dxa"/>
              <w:bottom w:w="20" w:type="dxa"/>
              <w:right w:w="20" w:type="dxa"/>
            </w:tcMar>
          </w:tcPr>
          <w:p w14:paraId="2875D6B9" w14:textId="592FFD7F" w:rsidR="002A6B28" w:rsidRPr="00BA4BBA" w:rsidRDefault="00BA4BBA" w:rsidP="002A6B28">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370</w:t>
            </w:r>
          </w:p>
        </w:tc>
        <w:tc>
          <w:tcPr>
            <w:tcW w:w="1137" w:type="dxa"/>
            <w:shd w:val="clear" w:color="auto" w:fill="auto"/>
            <w:tcMar>
              <w:top w:w="20" w:type="dxa"/>
              <w:left w:w="20" w:type="dxa"/>
              <w:bottom w:w="20" w:type="dxa"/>
              <w:right w:w="20" w:type="dxa"/>
            </w:tcMar>
          </w:tcPr>
          <w:p w14:paraId="4BBB4EA6" w14:textId="0BA2319B" w:rsidR="002A6B28" w:rsidRPr="00BA4BBA" w:rsidRDefault="00BA4BBA" w:rsidP="002A6B28">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370</w:t>
            </w:r>
          </w:p>
        </w:tc>
      </w:tr>
      <w:tr w:rsidR="002A6B28" w:rsidRPr="003516A4" w14:paraId="6DB49498" w14:textId="77777777" w:rsidTr="002A6B28">
        <w:trPr>
          <w:trHeight w:val="420"/>
        </w:trPr>
        <w:tc>
          <w:tcPr>
            <w:tcW w:w="1335" w:type="dxa"/>
            <w:shd w:val="clear" w:color="auto" w:fill="auto"/>
            <w:tcMar>
              <w:top w:w="20" w:type="dxa"/>
              <w:left w:w="20" w:type="dxa"/>
              <w:bottom w:w="20" w:type="dxa"/>
              <w:right w:w="20" w:type="dxa"/>
            </w:tcMar>
          </w:tcPr>
          <w:p w14:paraId="01E3CECC" w14:textId="77777777" w:rsidR="002A6B28" w:rsidRPr="00395276" w:rsidRDefault="002A6B28" w:rsidP="002A6B28">
            <w:pPr>
              <w:pStyle w:val="T1TableStyle"/>
              <w:jc w:val="right"/>
              <w:rPr>
                <w:rFonts w:ascii="Verdana" w:eastAsia="Verdana" w:hAnsi="Verdana" w:cs="Verdana"/>
                <w:color w:val="000000"/>
                <w:sz w:val="16"/>
                <w:lang w:val="en-GB"/>
              </w:rPr>
            </w:pPr>
            <w:r w:rsidRPr="00395276">
              <w:rPr>
                <w:rFonts w:ascii="Verdana" w:eastAsia="Verdana" w:hAnsi="Verdana" w:cs="Verdana"/>
                <w:color w:val="000000"/>
                <w:sz w:val="16"/>
                <w:lang w:val="en-GB"/>
              </w:rPr>
              <w:t>35</w:t>
            </w:r>
          </w:p>
        </w:tc>
        <w:tc>
          <w:tcPr>
            <w:tcW w:w="1335" w:type="dxa"/>
            <w:shd w:val="clear" w:color="auto" w:fill="auto"/>
            <w:tcMar>
              <w:top w:w="20" w:type="dxa"/>
              <w:left w:w="20" w:type="dxa"/>
              <w:bottom w:w="20" w:type="dxa"/>
              <w:right w:w="20" w:type="dxa"/>
            </w:tcMar>
          </w:tcPr>
          <w:p w14:paraId="1B812A6C" w14:textId="77777777" w:rsidR="002A6B28" w:rsidRPr="00395276" w:rsidRDefault="002A6B28" w:rsidP="002A6B28">
            <w:pPr>
              <w:pStyle w:val="T1TableStyle"/>
              <w:jc w:val="right"/>
              <w:rPr>
                <w:rFonts w:ascii="Verdana" w:eastAsia="Verdana" w:hAnsi="Verdana" w:cs="Verdana"/>
                <w:color w:val="000000"/>
                <w:sz w:val="16"/>
                <w:lang w:val="en-GB"/>
              </w:rPr>
            </w:pPr>
            <w:r w:rsidRPr="00395276">
              <w:rPr>
                <w:rFonts w:ascii="Verdana" w:eastAsia="Verdana" w:hAnsi="Verdana" w:cs="Verdana"/>
                <w:color w:val="000000"/>
                <w:sz w:val="16"/>
                <w:lang w:val="en-GB"/>
              </w:rPr>
              <w:t>53,149</w:t>
            </w:r>
          </w:p>
        </w:tc>
        <w:tc>
          <w:tcPr>
            <w:tcW w:w="180" w:type="dxa"/>
            <w:shd w:val="clear" w:color="auto" w:fill="auto"/>
            <w:tcMar>
              <w:top w:w="20" w:type="dxa"/>
              <w:left w:w="20" w:type="dxa"/>
              <w:bottom w:w="20" w:type="dxa"/>
              <w:right w:w="20" w:type="dxa"/>
            </w:tcMar>
          </w:tcPr>
          <w:p w14:paraId="4545418F" w14:textId="77777777" w:rsidR="002A6B28" w:rsidRPr="00395276" w:rsidRDefault="002A6B28" w:rsidP="002A6B28">
            <w:pPr>
              <w:pStyle w:val="T1TableStyle"/>
              <w:jc w:val="center"/>
              <w:rPr>
                <w:rFonts w:ascii="Verdana" w:eastAsia="Verdana" w:hAnsi="Verdana" w:cs="Verdana"/>
                <w:color w:val="000000"/>
                <w:sz w:val="2"/>
                <w:lang w:val="en-GB"/>
              </w:rPr>
            </w:pPr>
            <w:r w:rsidRPr="00395276">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14:paraId="0CF0F101" w14:textId="77777777" w:rsidR="002A6B28" w:rsidRPr="00395276" w:rsidRDefault="002A6B28" w:rsidP="002A6B28">
            <w:pPr>
              <w:pStyle w:val="T1TableStyle"/>
              <w:rPr>
                <w:rFonts w:ascii="Verdana" w:eastAsia="Verdana" w:hAnsi="Verdana" w:cs="Verdana"/>
                <w:color w:val="000000"/>
                <w:sz w:val="16"/>
                <w:lang w:val="en-GB"/>
              </w:rPr>
            </w:pPr>
            <w:r w:rsidRPr="00395276">
              <w:rPr>
                <w:rFonts w:ascii="Verdana" w:eastAsia="Verdana" w:hAnsi="Verdana" w:cs="Verdana"/>
                <w:color w:val="000000"/>
                <w:sz w:val="16"/>
                <w:lang w:val="en-GB"/>
              </w:rPr>
              <w:t>Net interest on the net defined benefit liability (asset)</w:t>
            </w:r>
          </w:p>
        </w:tc>
        <w:tc>
          <w:tcPr>
            <w:tcW w:w="1335" w:type="dxa"/>
            <w:shd w:val="clear" w:color="auto" w:fill="auto"/>
            <w:tcMar>
              <w:top w:w="20" w:type="dxa"/>
              <w:left w:w="20" w:type="dxa"/>
              <w:bottom w:w="20" w:type="dxa"/>
              <w:right w:w="20" w:type="dxa"/>
            </w:tcMar>
          </w:tcPr>
          <w:p w14:paraId="125A75FA" w14:textId="69F11B7D" w:rsidR="002A6B28" w:rsidRPr="00BA4BBA" w:rsidRDefault="00BA4BBA" w:rsidP="002A6B28">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0</w:t>
            </w:r>
          </w:p>
        </w:tc>
        <w:tc>
          <w:tcPr>
            <w:tcW w:w="1137" w:type="dxa"/>
            <w:shd w:val="clear" w:color="auto" w:fill="auto"/>
            <w:tcMar>
              <w:top w:w="20" w:type="dxa"/>
              <w:left w:w="20" w:type="dxa"/>
              <w:bottom w:w="20" w:type="dxa"/>
              <w:right w:w="20" w:type="dxa"/>
            </w:tcMar>
          </w:tcPr>
          <w:p w14:paraId="336CBDA8" w14:textId="7BD53349" w:rsidR="002A6B28" w:rsidRPr="00BA4BBA" w:rsidRDefault="00BA4BBA" w:rsidP="002A6B28">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45,897</w:t>
            </w:r>
          </w:p>
        </w:tc>
      </w:tr>
      <w:tr w:rsidR="002A6B28" w:rsidRPr="003516A4" w14:paraId="190B1181" w14:textId="77777777" w:rsidTr="002A6B28">
        <w:trPr>
          <w:trHeight w:val="300"/>
        </w:trPr>
        <w:tc>
          <w:tcPr>
            <w:tcW w:w="1335" w:type="dxa"/>
            <w:shd w:val="clear" w:color="auto" w:fill="auto"/>
            <w:tcMar>
              <w:top w:w="20" w:type="dxa"/>
              <w:left w:w="20" w:type="dxa"/>
              <w:bottom w:w="20" w:type="dxa"/>
              <w:right w:w="20" w:type="dxa"/>
            </w:tcMar>
          </w:tcPr>
          <w:p w14:paraId="43B57EC2" w14:textId="77777777" w:rsidR="002A6B28" w:rsidRPr="00395276" w:rsidRDefault="002A6B28" w:rsidP="002A6B28">
            <w:pPr>
              <w:pStyle w:val="T1TableStyle"/>
              <w:jc w:val="right"/>
              <w:rPr>
                <w:rFonts w:ascii="Verdana" w:eastAsia="Verdana" w:hAnsi="Verdana" w:cs="Verdana"/>
                <w:color w:val="000000"/>
                <w:sz w:val="16"/>
                <w:lang w:val="en-GB"/>
              </w:rPr>
            </w:pPr>
            <w:r w:rsidRPr="00395276">
              <w:rPr>
                <w:rFonts w:ascii="Verdana" w:eastAsia="Verdana" w:hAnsi="Verdana" w:cs="Verdana"/>
                <w:color w:val="000000"/>
                <w:sz w:val="16"/>
                <w:lang w:val="en-GB"/>
              </w:rPr>
              <w:t>(206)</w:t>
            </w:r>
          </w:p>
        </w:tc>
        <w:tc>
          <w:tcPr>
            <w:tcW w:w="1335" w:type="dxa"/>
            <w:shd w:val="clear" w:color="auto" w:fill="auto"/>
            <w:tcMar>
              <w:top w:w="20" w:type="dxa"/>
              <w:left w:w="20" w:type="dxa"/>
              <w:bottom w:w="20" w:type="dxa"/>
              <w:right w:w="20" w:type="dxa"/>
            </w:tcMar>
          </w:tcPr>
          <w:p w14:paraId="24CCB5EA" w14:textId="77777777" w:rsidR="002A6B28" w:rsidRPr="00395276" w:rsidRDefault="002A6B28" w:rsidP="002A6B28">
            <w:pPr>
              <w:pStyle w:val="T1TableStyle"/>
              <w:jc w:val="right"/>
              <w:rPr>
                <w:rFonts w:ascii="Verdana" w:eastAsia="Verdana" w:hAnsi="Verdana" w:cs="Verdana"/>
                <w:color w:val="000000"/>
                <w:sz w:val="16"/>
                <w:lang w:val="en-GB"/>
              </w:rPr>
            </w:pPr>
            <w:r w:rsidRPr="00395276">
              <w:rPr>
                <w:rFonts w:ascii="Verdana" w:eastAsia="Verdana" w:hAnsi="Verdana" w:cs="Verdana"/>
                <w:color w:val="000000"/>
                <w:sz w:val="16"/>
                <w:lang w:val="en-GB"/>
              </w:rPr>
              <w:t>(206)</w:t>
            </w:r>
          </w:p>
        </w:tc>
        <w:tc>
          <w:tcPr>
            <w:tcW w:w="180" w:type="dxa"/>
            <w:shd w:val="clear" w:color="auto" w:fill="auto"/>
            <w:tcMar>
              <w:top w:w="20" w:type="dxa"/>
              <w:left w:w="20" w:type="dxa"/>
              <w:bottom w:w="20" w:type="dxa"/>
              <w:right w:w="20" w:type="dxa"/>
            </w:tcMar>
          </w:tcPr>
          <w:p w14:paraId="5C6B98E3" w14:textId="77777777" w:rsidR="002A6B28" w:rsidRPr="00395276" w:rsidRDefault="002A6B28" w:rsidP="002A6B28">
            <w:pPr>
              <w:pStyle w:val="T1TableStyle"/>
              <w:jc w:val="center"/>
              <w:rPr>
                <w:rFonts w:ascii="Verdana" w:eastAsia="Verdana" w:hAnsi="Verdana" w:cs="Verdana"/>
                <w:color w:val="000000"/>
                <w:sz w:val="2"/>
                <w:lang w:val="en-GB"/>
              </w:rPr>
            </w:pPr>
            <w:r w:rsidRPr="00395276">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14:paraId="26D5363A" w14:textId="77777777" w:rsidR="002A6B28" w:rsidRPr="00395276" w:rsidRDefault="002A6B28" w:rsidP="002A6B28">
            <w:pPr>
              <w:pStyle w:val="T1TableStyle"/>
              <w:rPr>
                <w:rFonts w:ascii="Verdana" w:eastAsia="Verdana" w:hAnsi="Verdana" w:cs="Verdana"/>
                <w:color w:val="000000"/>
                <w:sz w:val="16"/>
                <w:lang w:val="en-GB"/>
              </w:rPr>
            </w:pPr>
            <w:r w:rsidRPr="00395276">
              <w:rPr>
                <w:rFonts w:ascii="Verdana" w:eastAsia="Verdana" w:hAnsi="Verdana" w:cs="Verdana"/>
                <w:color w:val="000000"/>
                <w:sz w:val="16"/>
                <w:lang w:val="en-GB"/>
              </w:rPr>
              <w:t>Interest receivable and similar income</w:t>
            </w:r>
          </w:p>
        </w:tc>
        <w:tc>
          <w:tcPr>
            <w:tcW w:w="1335" w:type="dxa"/>
            <w:shd w:val="clear" w:color="auto" w:fill="auto"/>
            <w:tcMar>
              <w:top w:w="20" w:type="dxa"/>
              <w:left w:w="20" w:type="dxa"/>
              <w:bottom w:w="20" w:type="dxa"/>
              <w:right w:w="20" w:type="dxa"/>
            </w:tcMar>
          </w:tcPr>
          <w:p w14:paraId="5C8E08EA" w14:textId="2089FD22" w:rsidR="002A6B28" w:rsidRPr="00BA4BBA" w:rsidRDefault="002A6B28" w:rsidP="00BA4BBA">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w:t>
            </w:r>
            <w:r w:rsidR="00BA4BBA" w:rsidRPr="00BA4BBA">
              <w:rPr>
                <w:rFonts w:ascii="Verdana" w:eastAsia="Verdana" w:hAnsi="Verdana" w:cs="Verdana"/>
                <w:color w:val="000000"/>
                <w:sz w:val="16"/>
                <w:lang w:val="en-GB"/>
              </w:rPr>
              <w:t>9</w:t>
            </w:r>
            <w:r w:rsidRPr="00BA4BBA">
              <w:rPr>
                <w:rFonts w:ascii="Verdana" w:eastAsia="Verdana" w:hAnsi="Verdana" w:cs="Verdana"/>
                <w:color w:val="000000"/>
                <w:sz w:val="16"/>
                <w:lang w:val="en-GB"/>
              </w:rPr>
              <w:t>)</w:t>
            </w:r>
          </w:p>
        </w:tc>
        <w:tc>
          <w:tcPr>
            <w:tcW w:w="1137" w:type="dxa"/>
            <w:shd w:val="clear" w:color="auto" w:fill="auto"/>
            <w:tcMar>
              <w:top w:w="20" w:type="dxa"/>
              <w:left w:w="20" w:type="dxa"/>
              <w:bottom w:w="20" w:type="dxa"/>
              <w:right w:w="20" w:type="dxa"/>
            </w:tcMar>
          </w:tcPr>
          <w:p w14:paraId="4FF8DB8A" w14:textId="2845E645" w:rsidR="002A6B28" w:rsidRPr="00BA4BBA" w:rsidRDefault="002A6B28" w:rsidP="00BA4BBA">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w:t>
            </w:r>
            <w:r w:rsidR="00BA4BBA" w:rsidRPr="00BA4BBA">
              <w:rPr>
                <w:rFonts w:ascii="Verdana" w:eastAsia="Verdana" w:hAnsi="Verdana" w:cs="Verdana"/>
                <w:color w:val="000000"/>
                <w:sz w:val="16"/>
                <w:lang w:val="en-GB"/>
              </w:rPr>
              <w:t>9</w:t>
            </w:r>
            <w:r w:rsidRPr="00BA4BBA">
              <w:rPr>
                <w:rFonts w:ascii="Verdana" w:eastAsia="Verdana" w:hAnsi="Verdana" w:cs="Verdana"/>
                <w:color w:val="000000"/>
                <w:sz w:val="16"/>
                <w:lang w:val="en-GB"/>
              </w:rPr>
              <w:t>)</w:t>
            </w:r>
          </w:p>
        </w:tc>
      </w:tr>
      <w:tr w:rsidR="002A6B28" w:rsidRPr="003516A4" w14:paraId="14A34F6C" w14:textId="77777777" w:rsidTr="002A6B28">
        <w:trPr>
          <w:trHeight w:val="315"/>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tbl>
            <w:tblPr>
              <w:tblpPr w:leftFromText="180" w:rightFromText="180" w:vertAnchor="text" w:tblpY="1"/>
              <w:tblOverlap w:val="never"/>
              <w:tblW w:w="0" w:type="auto"/>
              <w:tblLayout w:type="fixed"/>
              <w:tblLook w:val="04A0" w:firstRow="1" w:lastRow="0" w:firstColumn="1" w:lastColumn="0" w:noHBand="0" w:noVBand="1"/>
            </w:tblPr>
            <w:tblGrid>
              <w:gridCol w:w="1335"/>
              <w:gridCol w:w="1137"/>
            </w:tblGrid>
            <w:tr w:rsidR="002A6B28" w:rsidRPr="00395276" w14:paraId="5862D50C" w14:textId="77777777" w:rsidTr="0041394A">
              <w:trPr>
                <w:trHeight w:val="315"/>
              </w:trPr>
              <w:tc>
                <w:tcPr>
                  <w:tcW w:w="1335" w:type="dxa"/>
                  <w:shd w:val="clear" w:color="auto" w:fill="auto"/>
                  <w:tcMar>
                    <w:top w:w="20" w:type="dxa"/>
                    <w:left w:w="20" w:type="dxa"/>
                    <w:bottom w:w="20" w:type="dxa"/>
                    <w:right w:w="20" w:type="dxa"/>
                  </w:tcMar>
                </w:tcPr>
                <w:p w14:paraId="58AB4992" w14:textId="77777777" w:rsidR="002A6B28" w:rsidRPr="00395276" w:rsidRDefault="002A6B28" w:rsidP="002A6B28">
                  <w:pPr>
                    <w:pStyle w:val="T1TableStyle"/>
                    <w:jc w:val="right"/>
                    <w:rPr>
                      <w:rFonts w:ascii="Verdana" w:eastAsia="Verdana" w:hAnsi="Verdana" w:cs="Verdana"/>
                      <w:b/>
                      <w:color w:val="000000"/>
                      <w:sz w:val="16"/>
                      <w:lang w:val="en-GB"/>
                    </w:rPr>
                  </w:pPr>
                  <w:r w:rsidRPr="00395276">
                    <w:rPr>
                      <w:rFonts w:ascii="Verdana" w:eastAsia="Verdana" w:hAnsi="Verdana" w:cs="Verdana"/>
                      <w:b/>
                      <w:color w:val="000000"/>
                      <w:sz w:val="16"/>
                      <w:lang w:val="en-GB"/>
                    </w:rPr>
                    <w:t>122</w:t>
                  </w:r>
                </w:p>
              </w:tc>
              <w:tc>
                <w:tcPr>
                  <w:tcW w:w="1137" w:type="dxa"/>
                  <w:tcBorders>
                    <w:top w:val="single" w:sz="2" w:space="0" w:color="000000"/>
                    <w:bottom w:val="single" w:sz="12" w:space="0" w:color="000000"/>
                  </w:tcBorders>
                  <w:shd w:val="clear" w:color="auto" w:fill="auto"/>
                  <w:tcMar>
                    <w:top w:w="20" w:type="dxa"/>
                    <w:left w:w="20" w:type="dxa"/>
                    <w:bottom w:w="20" w:type="dxa"/>
                    <w:right w:w="20" w:type="dxa"/>
                  </w:tcMar>
                </w:tcPr>
                <w:p w14:paraId="3E32395C" w14:textId="77777777" w:rsidR="002A6B28" w:rsidRPr="00395276" w:rsidRDefault="002A6B28" w:rsidP="002A6B28">
                  <w:pPr>
                    <w:pStyle w:val="T1TableStyle"/>
                    <w:jc w:val="right"/>
                    <w:rPr>
                      <w:rFonts w:ascii="Verdana" w:eastAsia="Verdana" w:hAnsi="Verdana" w:cs="Verdana"/>
                      <w:b/>
                      <w:color w:val="000000"/>
                      <w:sz w:val="16"/>
                      <w:lang w:val="en-GB"/>
                    </w:rPr>
                  </w:pPr>
                  <w:r w:rsidRPr="00395276">
                    <w:rPr>
                      <w:rFonts w:ascii="Verdana" w:eastAsia="Verdana" w:hAnsi="Verdana" w:cs="Verdana"/>
                      <w:b/>
                      <w:color w:val="000000"/>
                      <w:sz w:val="16"/>
                      <w:lang w:val="en-GB"/>
                    </w:rPr>
                    <w:t>53,231</w:t>
                  </w:r>
                </w:p>
                <w:p w14:paraId="27CF57AA" w14:textId="77777777" w:rsidR="002A6B28" w:rsidRPr="00395276" w:rsidRDefault="002A6B28" w:rsidP="002A6B28">
                  <w:pPr>
                    <w:pStyle w:val="T1TableStyle"/>
                    <w:jc w:val="right"/>
                    <w:rPr>
                      <w:rFonts w:ascii="Verdana" w:eastAsia="Verdana" w:hAnsi="Verdana" w:cs="Verdana"/>
                      <w:b/>
                      <w:color w:val="000000"/>
                      <w:sz w:val="16"/>
                      <w:lang w:val="en-GB"/>
                    </w:rPr>
                  </w:pPr>
                </w:p>
              </w:tc>
            </w:tr>
          </w:tbl>
          <w:p w14:paraId="6294015A" w14:textId="77777777" w:rsidR="002A6B28" w:rsidRPr="00395276" w:rsidRDefault="002A6B28" w:rsidP="002A6B28">
            <w:pPr>
              <w:pStyle w:val="T1TableStyle"/>
              <w:jc w:val="right"/>
              <w:rPr>
                <w:rFonts w:ascii="Verdana" w:eastAsia="Verdana" w:hAnsi="Verdana" w:cs="Verdana"/>
                <w:b/>
                <w:color w:val="000000"/>
                <w:sz w:val="16"/>
                <w:lang w:val="en-GB"/>
              </w:rPr>
            </w:pP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14:paraId="6304CB49" w14:textId="77777777" w:rsidR="002A6B28" w:rsidRPr="00395276" w:rsidRDefault="002A6B28" w:rsidP="002A6B28">
            <w:pPr>
              <w:pStyle w:val="T1TableStyle"/>
              <w:jc w:val="right"/>
              <w:rPr>
                <w:rFonts w:ascii="Verdana" w:eastAsia="Verdana" w:hAnsi="Verdana" w:cs="Verdana"/>
                <w:b/>
                <w:color w:val="000000"/>
                <w:sz w:val="16"/>
                <w:lang w:val="en-GB"/>
              </w:rPr>
            </w:pPr>
            <w:r w:rsidRPr="00395276">
              <w:rPr>
                <w:rFonts w:ascii="Verdana" w:eastAsia="Verdana" w:hAnsi="Verdana" w:cs="Verdana"/>
                <w:b/>
                <w:color w:val="000000"/>
                <w:sz w:val="16"/>
                <w:lang w:val="en-GB"/>
              </w:rPr>
              <w:t>53,231</w:t>
            </w:r>
          </w:p>
          <w:p w14:paraId="49F79772" w14:textId="77777777" w:rsidR="002A6B28" w:rsidRPr="00395276" w:rsidRDefault="002A6B28" w:rsidP="002A6B28">
            <w:pPr>
              <w:pStyle w:val="T1TableStyle"/>
              <w:jc w:val="right"/>
              <w:rPr>
                <w:rFonts w:ascii="Verdana" w:eastAsia="Verdana" w:hAnsi="Verdana" w:cs="Verdana"/>
                <w:b/>
                <w:color w:val="000000"/>
                <w:sz w:val="16"/>
                <w:lang w:val="en-GB"/>
              </w:rPr>
            </w:pP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14:paraId="3A79C7C8" w14:textId="77777777" w:rsidR="002A6B28" w:rsidRPr="00395276" w:rsidRDefault="002A6B28" w:rsidP="002A6B28">
            <w:pPr>
              <w:pStyle w:val="T1TableStyle"/>
              <w:jc w:val="center"/>
              <w:rPr>
                <w:rFonts w:ascii="Verdana" w:eastAsia="Verdana" w:hAnsi="Verdana" w:cs="Verdana"/>
                <w:b/>
                <w:color w:val="000000"/>
                <w:sz w:val="2"/>
                <w:lang w:val="en-GB"/>
              </w:rPr>
            </w:pPr>
            <w:r w:rsidRPr="00395276">
              <w:rPr>
                <w:rFonts w:ascii="Verdana" w:eastAsia="Verdana" w:hAnsi="Verdana" w:cs="Verdana"/>
                <w:b/>
                <w:color w:val="000000"/>
                <w:sz w:val="2"/>
                <w:lang w:val="en-GB"/>
              </w:rPr>
              <w:t xml:space="preserve"> </w:t>
            </w:r>
          </w:p>
        </w:tc>
        <w:tc>
          <w:tcPr>
            <w:tcW w:w="3750" w:type="dxa"/>
            <w:tcBorders>
              <w:top w:val="single" w:sz="2" w:space="0" w:color="000000"/>
              <w:bottom w:val="single" w:sz="12" w:space="0" w:color="000000"/>
            </w:tcBorders>
            <w:shd w:val="clear" w:color="auto" w:fill="auto"/>
            <w:tcMar>
              <w:top w:w="20" w:type="dxa"/>
              <w:left w:w="20" w:type="dxa"/>
              <w:bottom w:w="20" w:type="dxa"/>
              <w:right w:w="20" w:type="dxa"/>
            </w:tcMar>
          </w:tcPr>
          <w:p w14:paraId="6CF2158D" w14:textId="77777777" w:rsidR="002A6B28" w:rsidRPr="00395276" w:rsidRDefault="002A6B28" w:rsidP="002A6B28">
            <w:pPr>
              <w:pStyle w:val="T1TableStyle"/>
              <w:rPr>
                <w:rFonts w:ascii="Verdana" w:eastAsia="Verdana" w:hAnsi="Verdana" w:cs="Verdana"/>
                <w:b/>
                <w:color w:val="000000"/>
                <w:sz w:val="16"/>
                <w:lang w:val="en-GB"/>
              </w:rPr>
            </w:pPr>
            <w:r w:rsidRPr="00395276">
              <w:rPr>
                <w:rFonts w:ascii="Verdana" w:eastAsia="Verdana" w:hAnsi="Verdana" w:cs="Verdana"/>
                <w:b/>
                <w:color w:val="000000"/>
                <w:sz w:val="16"/>
                <w:lang w:val="en-GB"/>
              </w:rPr>
              <w:t>Total</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14:paraId="1E31B085" w14:textId="1794A53B" w:rsidR="002A6B28" w:rsidRPr="00BA4BBA" w:rsidRDefault="00BA4BBA" w:rsidP="002A6B28">
            <w:pPr>
              <w:pStyle w:val="T1TableStyle"/>
              <w:jc w:val="right"/>
              <w:rPr>
                <w:rFonts w:ascii="Verdana" w:eastAsia="Verdana" w:hAnsi="Verdana" w:cs="Verdana"/>
                <w:b/>
                <w:color w:val="000000"/>
                <w:sz w:val="16"/>
                <w:lang w:val="en-GB"/>
              </w:rPr>
            </w:pPr>
            <w:r w:rsidRPr="00BA4BBA">
              <w:rPr>
                <w:rFonts w:ascii="Verdana" w:eastAsia="Verdana" w:hAnsi="Verdana" w:cs="Verdana"/>
                <w:b/>
                <w:color w:val="000000"/>
                <w:sz w:val="16"/>
                <w:lang w:val="en-GB"/>
              </w:rPr>
              <w:t>361</w:t>
            </w:r>
          </w:p>
        </w:tc>
        <w:tc>
          <w:tcPr>
            <w:tcW w:w="1137" w:type="dxa"/>
            <w:tcBorders>
              <w:top w:val="single" w:sz="2" w:space="0" w:color="000000"/>
              <w:bottom w:val="single" w:sz="12" w:space="0" w:color="000000"/>
            </w:tcBorders>
            <w:shd w:val="clear" w:color="auto" w:fill="auto"/>
            <w:tcMar>
              <w:top w:w="20" w:type="dxa"/>
              <w:left w:w="20" w:type="dxa"/>
              <w:bottom w:w="20" w:type="dxa"/>
              <w:right w:w="20" w:type="dxa"/>
            </w:tcMar>
          </w:tcPr>
          <w:p w14:paraId="734DA02D" w14:textId="6395B7BE" w:rsidR="002A6B28" w:rsidRPr="00BA4BBA" w:rsidRDefault="00BA4BBA" w:rsidP="002A6B28">
            <w:pPr>
              <w:pStyle w:val="T1TableStyle"/>
              <w:jc w:val="right"/>
              <w:rPr>
                <w:rFonts w:ascii="Verdana" w:eastAsia="Verdana" w:hAnsi="Verdana" w:cs="Verdana"/>
                <w:b/>
                <w:color w:val="000000"/>
                <w:sz w:val="16"/>
                <w:lang w:val="en-GB"/>
              </w:rPr>
            </w:pPr>
            <w:r w:rsidRPr="00BA4BBA">
              <w:rPr>
                <w:rFonts w:ascii="Verdana" w:eastAsia="Verdana" w:hAnsi="Verdana" w:cs="Verdana"/>
                <w:b/>
                <w:color w:val="000000"/>
                <w:sz w:val="16"/>
                <w:lang w:val="en-GB"/>
              </w:rPr>
              <w:t>46,258</w:t>
            </w:r>
          </w:p>
          <w:p w14:paraId="0406D197" w14:textId="77777777" w:rsidR="002A6B28" w:rsidRPr="00BA4BBA" w:rsidRDefault="002A6B28" w:rsidP="002A6B28">
            <w:pPr>
              <w:pStyle w:val="T1TableStyle"/>
              <w:jc w:val="right"/>
              <w:rPr>
                <w:rFonts w:ascii="Verdana" w:eastAsia="Verdana" w:hAnsi="Verdana" w:cs="Verdana"/>
                <w:b/>
                <w:color w:val="000000"/>
                <w:sz w:val="16"/>
                <w:lang w:val="en-GB"/>
              </w:rPr>
            </w:pPr>
          </w:p>
        </w:tc>
      </w:tr>
    </w:tbl>
    <w:p w14:paraId="582A933D" w14:textId="77777777" w:rsidR="00CA6653" w:rsidRPr="003516A4" w:rsidRDefault="005355FE">
      <w:pPr>
        <w:pStyle w:val="T1TableStyle"/>
        <w:rPr>
          <w:rFonts w:ascii="Verdana" w:eastAsia="Verdana" w:hAnsi="Verdana" w:cs="Verdana"/>
          <w:sz w:val="22"/>
          <w:highlight w:val="yellow"/>
          <w:lang w:val="en-GB"/>
        </w:rPr>
      </w:pPr>
      <w:r w:rsidRPr="003516A4">
        <w:rPr>
          <w:rFonts w:ascii="Verdana" w:eastAsia="Verdana" w:hAnsi="Verdana" w:cs="Verdana"/>
          <w:sz w:val="22"/>
          <w:highlight w:val="yellow"/>
          <w:lang w:val="en-GB"/>
        </w:rPr>
        <w:br w:type="textWrapping" w:clear="all"/>
      </w:r>
    </w:p>
    <w:p w14:paraId="745F5D0E" w14:textId="77777777" w:rsidR="00DC5E2A" w:rsidRPr="003516A4" w:rsidRDefault="00DC5E2A">
      <w:pPr>
        <w:pStyle w:val="Normal0"/>
        <w:spacing w:after="160"/>
        <w:rPr>
          <w:rFonts w:ascii="Verdana" w:hAnsi="Verdana"/>
          <w:sz w:val="22"/>
          <w:szCs w:val="22"/>
          <w:highlight w:val="yellow"/>
          <w:lang w:val="en-GB"/>
        </w:rPr>
      </w:pPr>
    </w:p>
    <w:p w14:paraId="0981D062" w14:textId="77777777" w:rsidR="0030507D" w:rsidRPr="00AE70F5" w:rsidRDefault="0030507D">
      <w:pPr>
        <w:rPr>
          <w:rFonts w:asciiTheme="majorHAnsi" w:eastAsiaTheme="majorEastAsia" w:hAnsiTheme="majorHAnsi" w:cstheme="majorBidi"/>
          <w:color w:val="2E74B5" w:themeColor="accent1" w:themeShade="BF"/>
          <w:sz w:val="32"/>
          <w:szCs w:val="32"/>
          <w:lang w:val="pt-BR"/>
        </w:rPr>
      </w:pPr>
      <w:r w:rsidRPr="00AE70F5">
        <w:br w:type="page"/>
      </w:r>
    </w:p>
    <w:p w14:paraId="54240176" w14:textId="77777777" w:rsidR="00CA6653" w:rsidRPr="00AE70F5" w:rsidRDefault="00CA6653" w:rsidP="00A31A9E">
      <w:pPr>
        <w:pStyle w:val="Heading1"/>
      </w:pPr>
      <w:bookmarkStart w:id="49" w:name="_Toc75122802"/>
      <w:r w:rsidRPr="00AE70F5">
        <w:t>Note 3</w:t>
      </w:r>
      <w:r w:rsidR="00960EC4" w:rsidRPr="00AE70F5">
        <w:t>4</w:t>
      </w:r>
      <w:r w:rsidRPr="00AE70F5">
        <w:t xml:space="preserve"> - Other Operating Expenditure</w:t>
      </w:r>
      <w:bookmarkEnd w:id="49"/>
      <w:r w:rsidRPr="00AE70F5">
        <w:t xml:space="preserve"> </w:t>
      </w:r>
    </w:p>
    <w:tbl>
      <w:tblPr>
        <w:tblW w:w="0" w:type="auto"/>
        <w:tblLayout w:type="fixed"/>
        <w:tblLook w:val="04A0" w:firstRow="1" w:lastRow="0" w:firstColumn="1" w:lastColumn="0" w:noHBand="0" w:noVBand="1"/>
      </w:tblPr>
      <w:tblGrid>
        <w:gridCol w:w="1335"/>
        <w:gridCol w:w="1335"/>
        <w:gridCol w:w="180"/>
        <w:gridCol w:w="3750"/>
        <w:gridCol w:w="1335"/>
        <w:gridCol w:w="1335"/>
      </w:tblGrid>
      <w:tr w:rsidR="004D417B" w:rsidRPr="00BA4BBA" w14:paraId="4170DC8F" w14:textId="77777777">
        <w:trPr>
          <w:trHeight w:val="300"/>
        </w:trPr>
        <w:tc>
          <w:tcPr>
            <w:tcW w:w="2670" w:type="dxa"/>
            <w:gridSpan w:val="2"/>
            <w:shd w:val="clear" w:color="auto" w:fill="auto"/>
            <w:tcMar>
              <w:top w:w="20" w:type="dxa"/>
              <w:left w:w="20" w:type="dxa"/>
              <w:bottom w:w="20" w:type="dxa"/>
              <w:right w:w="20" w:type="dxa"/>
            </w:tcMar>
            <w:vAlign w:val="bottom"/>
          </w:tcPr>
          <w:p w14:paraId="0458FF1C" w14:textId="77777777" w:rsidR="00CA6653" w:rsidRPr="00AE70F5" w:rsidRDefault="00CA6653" w:rsidP="00793257">
            <w:pPr>
              <w:pStyle w:val="T1TableStyle"/>
              <w:jc w:val="center"/>
              <w:rPr>
                <w:rFonts w:ascii="Verdana" w:eastAsia="Verdana" w:hAnsi="Verdana" w:cs="Verdana"/>
                <w:b/>
                <w:color w:val="000000"/>
                <w:sz w:val="16"/>
                <w:lang w:val="en-GB"/>
              </w:rPr>
            </w:pPr>
            <w:r w:rsidRPr="00AE70F5">
              <w:rPr>
                <w:rFonts w:ascii="Verdana" w:eastAsia="Verdana" w:hAnsi="Verdana" w:cs="Verdana"/>
                <w:b/>
                <w:color w:val="000000"/>
                <w:sz w:val="16"/>
                <w:lang w:val="en-GB"/>
              </w:rPr>
              <w:t>201</w:t>
            </w:r>
            <w:r w:rsidR="00793257" w:rsidRPr="00AE70F5">
              <w:rPr>
                <w:rFonts w:ascii="Verdana" w:eastAsia="Verdana" w:hAnsi="Verdana" w:cs="Verdana"/>
                <w:b/>
                <w:color w:val="000000"/>
                <w:sz w:val="16"/>
                <w:lang w:val="en-GB"/>
              </w:rPr>
              <w:t>9</w:t>
            </w:r>
            <w:r w:rsidRPr="00AE70F5">
              <w:rPr>
                <w:rFonts w:ascii="Verdana" w:eastAsia="Verdana" w:hAnsi="Verdana" w:cs="Verdana"/>
                <w:b/>
                <w:color w:val="000000"/>
                <w:sz w:val="16"/>
                <w:lang w:val="en-GB"/>
              </w:rPr>
              <w:t>/</w:t>
            </w:r>
            <w:r w:rsidR="00793257" w:rsidRPr="00AE70F5">
              <w:rPr>
                <w:rFonts w:ascii="Verdana" w:eastAsia="Verdana" w:hAnsi="Verdana" w:cs="Verdana"/>
                <w:b/>
                <w:color w:val="000000"/>
                <w:sz w:val="16"/>
                <w:lang w:val="en-GB"/>
              </w:rPr>
              <w:t>20</w:t>
            </w:r>
          </w:p>
        </w:tc>
        <w:tc>
          <w:tcPr>
            <w:tcW w:w="180" w:type="dxa"/>
            <w:shd w:val="clear" w:color="auto" w:fill="auto"/>
            <w:tcMar>
              <w:top w:w="20" w:type="dxa"/>
              <w:left w:w="20" w:type="dxa"/>
              <w:bottom w:w="20" w:type="dxa"/>
              <w:right w:w="20" w:type="dxa"/>
            </w:tcMar>
          </w:tcPr>
          <w:p w14:paraId="653F9695" w14:textId="77777777" w:rsidR="00CA6653" w:rsidRPr="00AE70F5" w:rsidRDefault="00CA6653">
            <w:pPr>
              <w:pStyle w:val="T1TableStyle"/>
              <w:jc w:val="center"/>
              <w:rPr>
                <w:rFonts w:ascii="Verdana" w:eastAsia="Verdana" w:hAnsi="Verdana" w:cs="Verdana"/>
                <w:color w:val="000000"/>
                <w:sz w:val="2"/>
                <w:lang w:val="en-GB"/>
              </w:rPr>
            </w:pPr>
            <w:r w:rsidRPr="00AE70F5">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14:paraId="5380C1EC" w14:textId="77777777" w:rsidR="00CA6653" w:rsidRPr="00AE70F5" w:rsidRDefault="00CA6653">
            <w:pPr>
              <w:pStyle w:val="T1TableStyle"/>
              <w:jc w:val="center"/>
              <w:rPr>
                <w:rFonts w:ascii="Verdana" w:eastAsia="Verdana" w:hAnsi="Verdana" w:cs="Verdana"/>
                <w:color w:val="000000"/>
                <w:sz w:val="2"/>
                <w:lang w:val="en-GB"/>
              </w:rPr>
            </w:pPr>
            <w:r w:rsidRPr="00AE70F5">
              <w:rPr>
                <w:rFonts w:ascii="Verdana" w:eastAsia="Verdana" w:hAnsi="Verdana" w:cs="Verdana"/>
                <w:color w:val="000000"/>
                <w:sz w:val="2"/>
                <w:lang w:val="en-GB"/>
              </w:rPr>
              <w:t xml:space="preserve"> </w:t>
            </w:r>
          </w:p>
        </w:tc>
        <w:tc>
          <w:tcPr>
            <w:tcW w:w="2670" w:type="dxa"/>
            <w:gridSpan w:val="2"/>
            <w:shd w:val="clear" w:color="auto" w:fill="auto"/>
            <w:tcMar>
              <w:top w:w="20" w:type="dxa"/>
              <w:left w:w="20" w:type="dxa"/>
              <w:bottom w:w="20" w:type="dxa"/>
              <w:right w:w="20" w:type="dxa"/>
            </w:tcMar>
            <w:vAlign w:val="bottom"/>
          </w:tcPr>
          <w:p w14:paraId="0D9C54E0" w14:textId="77777777" w:rsidR="00CA6653" w:rsidRPr="00BA4BBA" w:rsidRDefault="00CA6653" w:rsidP="00793257">
            <w:pPr>
              <w:pStyle w:val="T1TableStyle"/>
              <w:jc w:val="center"/>
              <w:rPr>
                <w:rFonts w:ascii="Verdana" w:eastAsia="Verdana" w:hAnsi="Verdana" w:cs="Verdana"/>
                <w:b/>
                <w:color w:val="000000"/>
                <w:sz w:val="16"/>
                <w:lang w:val="en-GB"/>
              </w:rPr>
            </w:pPr>
            <w:r w:rsidRPr="00AE70F5">
              <w:rPr>
                <w:rFonts w:ascii="Verdana" w:eastAsia="Verdana" w:hAnsi="Verdana" w:cs="Verdana"/>
                <w:b/>
                <w:color w:val="000000"/>
                <w:sz w:val="16"/>
                <w:lang w:val="en-GB"/>
              </w:rPr>
              <w:t>20</w:t>
            </w:r>
            <w:r w:rsidR="00793257" w:rsidRPr="00AE70F5">
              <w:rPr>
                <w:rFonts w:ascii="Verdana" w:eastAsia="Verdana" w:hAnsi="Verdana" w:cs="Verdana"/>
                <w:b/>
                <w:color w:val="000000"/>
                <w:sz w:val="16"/>
                <w:lang w:val="en-GB"/>
              </w:rPr>
              <w:t>20</w:t>
            </w:r>
            <w:r w:rsidRPr="00AE70F5">
              <w:rPr>
                <w:rFonts w:ascii="Verdana" w:eastAsia="Verdana" w:hAnsi="Verdana" w:cs="Verdana"/>
                <w:b/>
                <w:color w:val="000000"/>
                <w:sz w:val="16"/>
                <w:lang w:val="en-GB"/>
              </w:rPr>
              <w:t>/2</w:t>
            </w:r>
            <w:r w:rsidR="00793257" w:rsidRPr="00AE70F5">
              <w:rPr>
                <w:rFonts w:ascii="Verdana" w:eastAsia="Verdana" w:hAnsi="Verdana" w:cs="Verdana"/>
                <w:b/>
                <w:color w:val="000000"/>
                <w:sz w:val="16"/>
                <w:lang w:val="en-GB"/>
              </w:rPr>
              <w:t>1</w:t>
            </w:r>
          </w:p>
        </w:tc>
      </w:tr>
      <w:tr w:rsidR="004D417B" w:rsidRPr="00BA4BBA" w14:paraId="7A469410" w14:textId="77777777">
        <w:trPr>
          <w:trHeight w:val="300"/>
        </w:trPr>
        <w:tc>
          <w:tcPr>
            <w:tcW w:w="1335" w:type="dxa"/>
            <w:shd w:val="clear" w:color="auto" w:fill="auto"/>
            <w:tcMar>
              <w:top w:w="20" w:type="dxa"/>
              <w:left w:w="20" w:type="dxa"/>
              <w:bottom w:w="20" w:type="dxa"/>
              <w:right w:w="20" w:type="dxa"/>
            </w:tcMar>
            <w:vAlign w:val="bottom"/>
          </w:tcPr>
          <w:p w14:paraId="21CA22DB" w14:textId="77777777" w:rsidR="00CA6653" w:rsidRPr="00BA4BBA" w:rsidRDefault="00CA6653">
            <w:pPr>
              <w:pStyle w:val="T1TableStyle"/>
              <w:jc w:val="center"/>
              <w:rPr>
                <w:rFonts w:ascii="Verdana" w:eastAsia="Verdana" w:hAnsi="Verdana" w:cs="Verdana"/>
                <w:b/>
                <w:color w:val="000000"/>
                <w:sz w:val="16"/>
                <w:lang w:val="en-GB"/>
              </w:rPr>
            </w:pPr>
            <w:r w:rsidRPr="00BA4BBA">
              <w:rPr>
                <w:rFonts w:ascii="Verdana" w:eastAsia="Verdana" w:hAnsi="Verdana" w:cs="Verdana"/>
                <w:b/>
                <w:color w:val="000000"/>
                <w:sz w:val="16"/>
                <w:lang w:val="en-GB"/>
              </w:rPr>
              <w:t>PCC</w:t>
            </w:r>
          </w:p>
        </w:tc>
        <w:tc>
          <w:tcPr>
            <w:tcW w:w="1335" w:type="dxa"/>
            <w:shd w:val="clear" w:color="auto" w:fill="auto"/>
            <w:tcMar>
              <w:top w:w="20" w:type="dxa"/>
              <w:left w:w="20" w:type="dxa"/>
              <w:bottom w:w="20" w:type="dxa"/>
              <w:right w:w="20" w:type="dxa"/>
            </w:tcMar>
            <w:vAlign w:val="bottom"/>
          </w:tcPr>
          <w:p w14:paraId="62A7FB48" w14:textId="77777777" w:rsidR="00CA6653" w:rsidRPr="00BA4BBA" w:rsidRDefault="00CA6653">
            <w:pPr>
              <w:pStyle w:val="T1TableStyle"/>
              <w:jc w:val="center"/>
              <w:rPr>
                <w:rFonts w:ascii="Verdana" w:eastAsia="Verdana" w:hAnsi="Verdana" w:cs="Verdana"/>
                <w:b/>
                <w:color w:val="000000"/>
                <w:sz w:val="16"/>
                <w:lang w:val="en-GB"/>
              </w:rPr>
            </w:pPr>
            <w:r w:rsidRPr="00BA4BBA">
              <w:rPr>
                <w:rFonts w:ascii="Verdana" w:eastAsia="Verdana" w:hAnsi="Verdana" w:cs="Verdana"/>
                <w:b/>
                <w:color w:val="000000"/>
                <w:sz w:val="16"/>
                <w:lang w:val="en-GB"/>
              </w:rPr>
              <w:t>Group</w:t>
            </w:r>
          </w:p>
        </w:tc>
        <w:tc>
          <w:tcPr>
            <w:tcW w:w="180" w:type="dxa"/>
            <w:shd w:val="clear" w:color="auto" w:fill="auto"/>
            <w:tcMar>
              <w:top w:w="20" w:type="dxa"/>
              <w:left w:w="20" w:type="dxa"/>
              <w:bottom w:w="20" w:type="dxa"/>
              <w:right w:w="20" w:type="dxa"/>
            </w:tcMar>
          </w:tcPr>
          <w:p w14:paraId="615FDD2F" w14:textId="77777777" w:rsidR="00CA6653" w:rsidRPr="00BA4BBA" w:rsidRDefault="00CA6653">
            <w:pPr>
              <w:pStyle w:val="T1TableStyle"/>
              <w:jc w:val="center"/>
              <w:rPr>
                <w:rFonts w:ascii="Verdana" w:eastAsia="Verdana" w:hAnsi="Verdana" w:cs="Verdana"/>
                <w:b/>
                <w:color w:val="000000"/>
                <w:sz w:val="2"/>
                <w:lang w:val="en-GB"/>
              </w:rPr>
            </w:pPr>
            <w:r w:rsidRPr="00BA4BBA">
              <w:rPr>
                <w:rFonts w:ascii="Verdana" w:eastAsia="Verdana" w:hAnsi="Verdana" w:cs="Verdana"/>
                <w:b/>
                <w:color w:val="000000"/>
                <w:sz w:val="2"/>
                <w:lang w:val="en-GB"/>
              </w:rPr>
              <w:t xml:space="preserve"> </w:t>
            </w:r>
          </w:p>
        </w:tc>
        <w:tc>
          <w:tcPr>
            <w:tcW w:w="3750" w:type="dxa"/>
            <w:shd w:val="clear" w:color="auto" w:fill="auto"/>
            <w:tcMar>
              <w:top w:w="20" w:type="dxa"/>
              <w:left w:w="20" w:type="dxa"/>
              <w:bottom w:w="20" w:type="dxa"/>
              <w:right w:w="20" w:type="dxa"/>
            </w:tcMar>
          </w:tcPr>
          <w:p w14:paraId="35B540B9" w14:textId="77777777" w:rsidR="00CA6653" w:rsidRPr="00BA4BBA" w:rsidRDefault="00CA6653">
            <w:pPr>
              <w:pStyle w:val="T1TableStyle"/>
              <w:jc w:val="center"/>
              <w:rPr>
                <w:rFonts w:ascii="Verdana" w:eastAsia="Verdana" w:hAnsi="Verdana" w:cs="Verdana"/>
                <w:b/>
                <w:color w:val="000000"/>
                <w:sz w:val="2"/>
                <w:lang w:val="en-GB"/>
              </w:rPr>
            </w:pPr>
            <w:r w:rsidRPr="00BA4BBA">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bottom"/>
          </w:tcPr>
          <w:p w14:paraId="0580BB39" w14:textId="77777777" w:rsidR="00CA6653" w:rsidRPr="00BA4BBA" w:rsidRDefault="00CA6653">
            <w:pPr>
              <w:pStyle w:val="T1TableStyle"/>
              <w:jc w:val="center"/>
              <w:rPr>
                <w:rFonts w:ascii="Verdana" w:eastAsia="Verdana" w:hAnsi="Verdana" w:cs="Verdana"/>
                <w:b/>
                <w:color w:val="000000"/>
                <w:sz w:val="16"/>
                <w:lang w:val="en-GB"/>
              </w:rPr>
            </w:pPr>
            <w:r w:rsidRPr="00BA4BBA">
              <w:rPr>
                <w:rFonts w:ascii="Verdana" w:eastAsia="Verdana" w:hAnsi="Verdana" w:cs="Verdana"/>
                <w:b/>
                <w:color w:val="000000"/>
                <w:sz w:val="16"/>
                <w:lang w:val="en-GB"/>
              </w:rPr>
              <w:t>PCC</w:t>
            </w:r>
          </w:p>
        </w:tc>
        <w:tc>
          <w:tcPr>
            <w:tcW w:w="1335" w:type="dxa"/>
            <w:shd w:val="clear" w:color="auto" w:fill="auto"/>
            <w:tcMar>
              <w:top w:w="20" w:type="dxa"/>
              <w:left w:w="20" w:type="dxa"/>
              <w:bottom w:w="20" w:type="dxa"/>
              <w:right w:w="20" w:type="dxa"/>
            </w:tcMar>
            <w:vAlign w:val="bottom"/>
          </w:tcPr>
          <w:p w14:paraId="369B2E28" w14:textId="77777777" w:rsidR="00CA6653" w:rsidRPr="00BA4BBA" w:rsidRDefault="00CA6653">
            <w:pPr>
              <w:pStyle w:val="T1TableStyle"/>
              <w:jc w:val="center"/>
              <w:rPr>
                <w:rFonts w:ascii="Verdana" w:eastAsia="Verdana" w:hAnsi="Verdana" w:cs="Verdana"/>
                <w:b/>
                <w:color w:val="000000"/>
                <w:sz w:val="16"/>
                <w:lang w:val="en-GB"/>
              </w:rPr>
            </w:pPr>
            <w:r w:rsidRPr="00BA4BBA">
              <w:rPr>
                <w:rFonts w:ascii="Verdana" w:eastAsia="Verdana" w:hAnsi="Verdana" w:cs="Verdana"/>
                <w:b/>
                <w:color w:val="000000"/>
                <w:sz w:val="16"/>
                <w:lang w:val="en-GB"/>
              </w:rPr>
              <w:t>Group</w:t>
            </w:r>
          </w:p>
        </w:tc>
      </w:tr>
      <w:tr w:rsidR="004D417B" w:rsidRPr="00BA4BBA" w14:paraId="6038F730" w14:textId="77777777">
        <w:trPr>
          <w:trHeight w:val="300"/>
        </w:trPr>
        <w:tc>
          <w:tcPr>
            <w:tcW w:w="1335" w:type="dxa"/>
            <w:tcBorders>
              <w:bottom w:val="single" w:sz="2" w:space="0" w:color="000000"/>
            </w:tcBorders>
            <w:shd w:val="clear" w:color="auto" w:fill="auto"/>
            <w:tcMar>
              <w:top w:w="20" w:type="dxa"/>
              <w:left w:w="20" w:type="dxa"/>
              <w:bottom w:w="20" w:type="dxa"/>
              <w:right w:w="20" w:type="dxa"/>
            </w:tcMar>
          </w:tcPr>
          <w:p w14:paraId="00AB1A5C" w14:textId="77777777" w:rsidR="00CA6653" w:rsidRPr="00BA4BBA" w:rsidRDefault="00CA6653">
            <w:pPr>
              <w:pStyle w:val="T1TableStyle"/>
              <w:jc w:val="right"/>
              <w:rPr>
                <w:rFonts w:ascii="Verdana" w:eastAsia="Verdana" w:hAnsi="Verdana" w:cs="Verdana"/>
                <w:b/>
                <w:color w:val="000000"/>
                <w:sz w:val="16"/>
                <w:lang w:val="en-GB"/>
              </w:rPr>
            </w:pPr>
            <w:r w:rsidRPr="00BA4BBA">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tcPr>
          <w:p w14:paraId="3F1EE84E" w14:textId="77777777" w:rsidR="00CA6653" w:rsidRPr="00BA4BBA" w:rsidRDefault="00CA6653">
            <w:pPr>
              <w:pStyle w:val="T1TableStyle"/>
              <w:jc w:val="right"/>
              <w:rPr>
                <w:rFonts w:ascii="Verdana" w:eastAsia="Verdana" w:hAnsi="Verdana" w:cs="Verdana"/>
                <w:b/>
                <w:color w:val="000000"/>
                <w:sz w:val="16"/>
                <w:lang w:val="en-GB"/>
              </w:rPr>
            </w:pPr>
            <w:r w:rsidRPr="00BA4BBA">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14:paraId="1FC2CA9C" w14:textId="77777777" w:rsidR="00CA6653" w:rsidRPr="00BA4BBA" w:rsidRDefault="00CA6653">
            <w:pPr>
              <w:pStyle w:val="T1TableStyle"/>
              <w:jc w:val="right"/>
              <w:rPr>
                <w:rFonts w:ascii="Verdana" w:eastAsia="Verdana" w:hAnsi="Verdana" w:cs="Verdana"/>
                <w:b/>
                <w:color w:val="000000"/>
                <w:sz w:val="2"/>
                <w:lang w:val="en-GB"/>
              </w:rPr>
            </w:pPr>
            <w:r w:rsidRPr="00BA4BBA">
              <w:rPr>
                <w:rFonts w:ascii="Verdana" w:eastAsia="Verdana" w:hAnsi="Verdana" w:cs="Verdana"/>
                <w:b/>
                <w:color w:val="000000"/>
                <w:sz w:val="2"/>
                <w:lang w:val="en-GB"/>
              </w:rPr>
              <w:t xml:space="preserve"> </w:t>
            </w:r>
          </w:p>
        </w:tc>
        <w:tc>
          <w:tcPr>
            <w:tcW w:w="3750" w:type="dxa"/>
            <w:tcBorders>
              <w:bottom w:val="single" w:sz="2" w:space="0" w:color="000000"/>
            </w:tcBorders>
            <w:shd w:val="clear" w:color="auto" w:fill="auto"/>
            <w:tcMar>
              <w:top w:w="20" w:type="dxa"/>
              <w:left w:w="20" w:type="dxa"/>
              <w:bottom w:w="20" w:type="dxa"/>
              <w:right w:w="20" w:type="dxa"/>
            </w:tcMar>
          </w:tcPr>
          <w:p w14:paraId="0EE3928C" w14:textId="77777777" w:rsidR="00CA6653" w:rsidRPr="00BA4BBA" w:rsidRDefault="00CA6653">
            <w:pPr>
              <w:pStyle w:val="T1TableStyle"/>
              <w:jc w:val="right"/>
              <w:rPr>
                <w:rFonts w:ascii="Verdana" w:eastAsia="Verdana" w:hAnsi="Verdana" w:cs="Verdana"/>
                <w:b/>
                <w:color w:val="000000"/>
                <w:sz w:val="2"/>
                <w:lang w:val="en-GB"/>
              </w:rPr>
            </w:pPr>
            <w:r w:rsidRPr="00BA4BBA">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14:paraId="4B79D076" w14:textId="77777777" w:rsidR="00CA6653" w:rsidRPr="00BA4BBA" w:rsidRDefault="00CA6653">
            <w:pPr>
              <w:pStyle w:val="T1TableStyle"/>
              <w:jc w:val="right"/>
              <w:rPr>
                <w:rFonts w:ascii="Verdana" w:eastAsia="Verdana" w:hAnsi="Verdana" w:cs="Verdana"/>
                <w:b/>
                <w:color w:val="000000"/>
                <w:sz w:val="16"/>
                <w:lang w:val="en-GB"/>
              </w:rPr>
            </w:pPr>
            <w:r w:rsidRPr="00BA4BBA">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tcPr>
          <w:p w14:paraId="1B3F2346" w14:textId="77777777" w:rsidR="00CA6653" w:rsidRPr="00BA4BBA" w:rsidRDefault="00CA6653">
            <w:pPr>
              <w:pStyle w:val="T1TableStyle"/>
              <w:jc w:val="right"/>
              <w:rPr>
                <w:rFonts w:ascii="Verdana" w:eastAsia="Verdana" w:hAnsi="Verdana" w:cs="Verdana"/>
                <w:b/>
                <w:color w:val="000000"/>
                <w:sz w:val="16"/>
                <w:lang w:val="en-GB"/>
              </w:rPr>
            </w:pPr>
            <w:r w:rsidRPr="00BA4BBA">
              <w:rPr>
                <w:rFonts w:ascii="Verdana" w:eastAsia="Verdana" w:hAnsi="Verdana" w:cs="Verdana"/>
                <w:b/>
                <w:color w:val="000000"/>
                <w:sz w:val="16"/>
                <w:lang w:val="en-GB"/>
              </w:rPr>
              <w:t>£000</w:t>
            </w:r>
          </w:p>
        </w:tc>
      </w:tr>
      <w:tr w:rsidR="00793257" w:rsidRPr="00BA4BBA" w14:paraId="3AA997D3" w14:textId="77777777">
        <w:trPr>
          <w:trHeight w:val="300"/>
        </w:trPr>
        <w:tc>
          <w:tcPr>
            <w:tcW w:w="1335" w:type="dxa"/>
            <w:shd w:val="clear" w:color="auto" w:fill="auto"/>
            <w:tcMar>
              <w:top w:w="20" w:type="dxa"/>
              <w:left w:w="20" w:type="dxa"/>
              <w:bottom w:w="20" w:type="dxa"/>
              <w:right w:w="20" w:type="dxa"/>
            </w:tcMar>
          </w:tcPr>
          <w:p w14:paraId="046FE693" w14:textId="77777777" w:rsidR="00793257" w:rsidRPr="00BA4BBA" w:rsidRDefault="00793257" w:rsidP="00793257">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14:paraId="53ED4BB9" w14:textId="77777777" w:rsidR="00793257" w:rsidRPr="00BA4BBA" w:rsidRDefault="00793257" w:rsidP="00793257">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522</w:t>
            </w:r>
          </w:p>
        </w:tc>
        <w:tc>
          <w:tcPr>
            <w:tcW w:w="180" w:type="dxa"/>
            <w:shd w:val="clear" w:color="auto" w:fill="auto"/>
            <w:tcMar>
              <w:top w:w="20" w:type="dxa"/>
              <w:left w:w="20" w:type="dxa"/>
              <w:bottom w:w="20" w:type="dxa"/>
              <w:right w:w="20" w:type="dxa"/>
            </w:tcMar>
          </w:tcPr>
          <w:p w14:paraId="517EEC7F" w14:textId="77777777" w:rsidR="00793257" w:rsidRPr="00BA4BBA" w:rsidRDefault="00793257" w:rsidP="00793257">
            <w:pPr>
              <w:pStyle w:val="T1TableStyle"/>
              <w:jc w:val="center"/>
              <w:rPr>
                <w:rFonts w:ascii="Verdana" w:eastAsia="Verdana" w:hAnsi="Verdana" w:cs="Verdana"/>
                <w:color w:val="000000"/>
                <w:sz w:val="2"/>
                <w:lang w:val="en-GB"/>
              </w:rPr>
            </w:pPr>
            <w:r w:rsidRPr="00BA4BBA">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14:paraId="0D439A62" w14:textId="77777777" w:rsidR="00793257" w:rsidRPr="00BA4BBA" w:rsidRDefault="00793257" w:rsidP="00793257">
            <w:pPr>
              <w:pStyle w:val="T1TableStyle"/>
              <w:rPr>
                <w:rFonts w:ascii="Verdana" w:eastAsia="Verdana" w:hAnsi="Verdana" w:cs="Verdana"/>
                <w:color w:val="000000"/>
                <w:sz w:val="16"/>
                <w:lang w:val="en-GB"/>
              </w:rPr>
            </w:pPr>
            <w:r w:rsidRPr="00BA4BBA">
              <w:rPr>
                <w:rFonts w:ascii="Verdana" w:eastAsia="Verdana" w:hAnsi="Verdana" w:cs="Verdana"/>
                <w:color w:val="000000"/>
                <w:sz w:val="16"/>
                <w:lang w:val="en-GB"/>
              </w:rPr>
              <w:t>Levies</w:t>
            </w:r>
          </w:p>
        </w:tc>
        <w:tc>
          <w:tcPr>
            <w:tcW w:w="1335" w:type="dxa"/>
            <w:shd w:val="clear" w:color="auto" w:fill="auto"/>
            <w:tcMar>
              <w:top w:w="20" w:type="dxa"/>
              <w:left w:w="20" w:type="dxa"/>
              <w:bottom w:w="20" w:type="dxa"/>
              <w:right w:w="20" w:type="dxa"/>
            </w:tcMar>
          </w:tcPr>
          <w:p w14:paraId="758657B2" w14:textId="6C50BEE2" w:rsidR="00793257" w:rsidRPr="00BA4BBA" w:rsidRDefault="00BA4BBA" w:rsidP="00793257">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14:paraId="3DDF4D69" w14:textId="56295F43" w:rsidR="00793257" w:rsidRPr="00BA4BBA" w:rsidRDefault="00BA4BBA" w:rsidP="00793257">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392</w:t>
            </w:r>
          </w:p>
        </w:tc>
      </w:tr>
      <w:tr w:rsidR="00793257" w:rsidRPr="00BA4BBA" w14:paraId="2EA35D70" w14:textId="77777777">
        <w:trPr>
          <w:trHeight w:val="420"/>
        </w:trPr>
        <w:tc>
          <w:tcPr>
            <w:tcW w:w="1335" w:type="dxa"/>
            <w:shd w:val="clear" w:color="auto" w:fill="auto"/>
            <w:tcMar>
              <w:top w:w="20" w:type="dxa"/>
              <w:left w:w="20" w:type="dxa"/>
              <w:bottom w:w="20" w:type="dxa"/>
              <w:right w:w="20" w:type="dxa"/>
            </w:tcMar>
          </w:tcPr>
          <w:p w14:paraId="17325BF6" w14:textId="77777777" w:rsidR="00793257" w:rsidRPr="00BA4BBA" w:rsidRDefault="00793257" w:rsidP="00793257">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(14)</w:t>
            </w:r>
          </w:p>
        </w:tc>
        <w:tc>
          <w:tcPr>
            <w:tcW w:w="1335" w:type="dxa"/>
            <w:shd w:val="clear" w:color="auto" w:fill="auto"/>
            <w:tcMar>
              <w:top w:w="20" w:type="dxa"/>
              <w:left w:w="20" w:type="dxa"/>
              <w:bottom w:w="20" w:type="dxa"/>
              <w:right w:w="20" w:type="dxa"/>
            </w:tcMar>
          </w:tcPr>
          <w:p w14:paraId="01FEABD6" w14:textId="77777777" w:rsidR="00793257" w:rsidRPr="00BA4BBA" w:rsidRDefault="00793257" w:rsidP="00793257">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(14)</w:t>
            </w:r>
          </w:p>
        </w:tc>
        <w:tc>
          <w:tcPr>
            <w:tcW w:w="180" w:type="dxa"/>
            <w:shd w:val="clear" w:color="auto" w:fill="auto"/>
            <w:tcMar>
              <w:top w:w="20" w:type="dxa"/>
              <w:left w:w="20" w:type="dxa"/>
              <w:bottom w:w="20" w:type="dxa"/>
              <w:right w:w="20" w:type="dxa"/>
            </w:tcMar>
          </w:tcPr>
          <w:p w14:paraId="2212DE73" w14:textId="77777777" w:rsidR="00793257" w:rsidRPr="00BA4BBA" w:rsidRDefault="00793257" w:rsidP="00793257">
            <w:pPr>
              <w:pStyle w:val="T1TableStyle"/>
              <w:jc w:val="center"/>
              <w:rPr>
                <w:rFonts w:ascii="Verdana" w:eastAsia="Verdana" w:hAnsi="Verdana" w:cs="Verdana"/>
                <w:color w:val="000000"/>
                <w:sz w:val="2"/>
                <w:lang w:val="en-GB"/>
              </w:rPr>
            </w:pPr>
            <w:r w:rsidRPr="00BA4BBA">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14:paraId="48ECB3FA" w14:textId="77777777" w:rsidR="00793257" w:rsidRPr="00BA4BBA" w:rsidRDefault="00793257" w:rsidP="00793257">
            <w:pPr>
              <w:pStyle w:val="T1TableStyle"/>
              <w:rPr>
                <w:rFonts w:ascii="Verdana" w:eastAsia="Verdana" w:hAnsi="Verdana" w:cs="Verdana"/>
                <w:color w:val="000000"/>
                <w:sz w:val="16"/>
                <w:lang w:val="en-GB"/>
              </w:rPr>
            </w:pPr>
            <w:r w:rsidRPr="00BA4BBA">
              <w:rPr>
                <w:rFonts w:ascii="Verdana" w:eastAsia="Verdana" w:hAnsi="Verdana" w:cs="Verdana"/>
                <w:color w:val="000000"/>
                <w:sz w:val="16"/>
                <w:lang w:val="en-GB"/>
              </w:rPr>
              <w:t>Gains/losses on the Disposal of Non-Current Assets</w:t>
            </w:r>
          </w:p>
        </w:tc>
        <w:tc>
          <w:tcPr>
            <w:tcW w:w="1335" w:type="dxa"/>
            <w:shd w:val="clear" w:color="auto" w:fill="auto"/>
            <w:tcMar>
              <w:top w:w="20" w:type="dxa"/>
              <w:left w:w="20" w:type="dxa"/>
              <w:bottom w:w="20" w:type="dxa"/>
              <w:right w:w="20" w:type="dxa"/>
            </w:tcMar>
          </w:tcPr>
          <w:p w14:paraId="3BC15244" w14:textId="70B7CC66" w:rsidR="00793257" w:rsidRPr="00BA4BBA" w:rsidRDefault="00BA4BBA" w:rsidP="00793257">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164</w:t>
            </w:r>
          </w:p>
        </w:tc>
        <w:tc>
          <w:tcPr>
            <w:tcW w:w="1335" w:type="dxa"/>
            <w:shd w:val="clear" w:color="auto" w:fill="auto"/>
            <w:tcMar>
              <w:top w:w="20" w:type="dxa"/>
              <w:left w:w="20" w:type="dxa"/>
              <w:bottom w:w="20" w:type="dxa"/>
              <w:right w:w="20" w:type="dxa"/>
            </w:tcMar>
          </w:tcPr>
          <w:p w14:paraId="027DC962" w14:textId="0C387113" w:rsidR="00793257" w:rsidRPr="00BA4BBA" w:rsidRDefault="00BA4BBA" w:rsidP="00793257">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164</w:t>
            </w:r>
          </w:p>
        </w:tc>
      </w:tr>
      <w:tr w:rsidR="00793257" w:rsidRPr="00BA4BBA" w14:paraId="0BB28473" w14:textId="77777777">
        <w:trPr>
          <w:trHeight w:val="300"/>
        </w:trPr>
        <w:tc>
          <w:tcPr>
            <w:tcW w:w="1335" w:type="dxa"/>
            <w:shd w:val="clear" w:color="auto" w:fill="auto"/>
            <w:tcMar>
              <w:top w:w="20" w:type="dxa"/>
              <w:left w:w="20" w:type="dxa"/>
              <w:bottom w:w="20" w:type="dxa"/>
              <w:right w:w="20" w:type="dxa"/>
            </w:tcMar>
          </w:tcPr>
          <w:p w14:paraId="4C446B4E" w14:textId="77777777" w:rsidR="00793257" w:rsidRPr="00BA4BBA" w:rsidRDefault="00793257" w:rsidP="00793257">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14:paraId="77D5631A" w14:textId="77777777" w:rsidR="00793257" w:rsidRPr="00BA4BBA" w:rsidRDefault="00793257" w:rsidP="00793257">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0</w:t>
            </w:r>
          </w:p>
        </w:tc>
        <w:tc>
          <w:tcPr>
            <w:tcW w:w="180" w:type="dxa"/>
            <w:shd w:val="clear" w:color="auto" w:fill="auto"/>
            <w:tcMar>
              <w:top w:w="20" w:type="dxa"/>
              <w:left w:w="20" w:type="dxa"/>
              <w:bottom w:w="20" w:type="dxa"/>
              <w:right w:w="20" w:type="dxa"/>
            </w:tcMar>
          </w:tcPr>
          <w:p w14:paraId="5047DF7F" w14:textId="77777777" w:rsidR="00793257" w:rsidRPr="00BA4BBA" w:rsidRDefault="00793257" w:rsidP="00793257">
            <w:pPr>
              <w:pStyle w:val="T1TableStyle"/>
              <w:jc w:val="center"/>
              <w:rPr>
                <w:rFonts w:ascii="Verdana" w:eastAsia="Verdana" w:hAnsi="Verdana" w:cs="Verdana"/>
                <w:color w:val="000000"/>
                <w:sz w:val="2"/>
                <w:lang w:val="en-GB"/>
              </w:rPr>
            </w:pPr>
            <w:r w:rsidRPr="00BA4BBA">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14:paraId="7055D922" w14:textId="77777777" w:rsidR="00793257" w:rsidRPr="00BA4BBA" w:rsidRDefault="00793257" w:rsidP="00793257">
            <w:pPr>
              <w:pStyle w:val="T1TableStyle"/>
              <w:rPr>
                <w:rFonts w:ascii="Verdana" w:eastAsia="Verdana" w:hAnsi="Verdana" w:cs="Verdana"/>
                <w:color w:val="000000"/>
                <w:sz w:val="16"/>
                <w:lang w:val="en-GB"/>
              </w:rPr>
            </w:pPr>
            <w:r w:rsidRPr="00BA4BBA">
              <w:rPr>
                <w:rFonts w:ascii="Verdana" w:eastAsia="Verdana" w:hAnsi="Verdana" w:cs="Verdana"/>
                <w:color w:val="000000"/>
                <w:sz w:val="16"/>
                <w:lang w:val="en-GB"/>
              </w:rPr>
              <w:t>Other</w:t>
            </w:r>
          </w:p>
        </w:tc>
        <w:tc>
          <w:tcPr>
            <w:tcW w:w="1335" w:type="dxa"/>
            <w:shd w:val="clear" w:color="auto" w:fill="auto"/>
            <w:tcMar>
              <w:top w:w="20" w:type="dxa"/>
              <w:left w:w="20" w:type="dxa"/>
              <w:bottom w:w="20" w:type="dxa"/>
              <w:right w:w="20" w:type="dxa"/>
            </w:tcMar>
          </w:tcPr>
          <w:p w14:paraId="2877F0ED" w14:textId="4FEB1F8F" w:rsidR="00793257" w:rsidRPr="00BA4BBA" w:rsidRDefault="00BA4BBA" w:rsidP="00793257">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14:paraId="1C628C71" w14:textId="6C56904F" w:rsidR="00793257" w:rsidRPr="00BA4BBA" w:rsidRDefault="00BA4BBA" w:rsidP="00793257">
            <w:pPr>
              <w:pStyle w:val="T1TableStyle"/>
              <w:jc w:val="right"/>
              <w:rPr>
                <w:rFonts w:ascii="Verdana" w:eastAsia="Verdana" w:hAnsi="Verdana" w:cs="Verdana"/>
                <w:color w:val="000000"/>
                <w:sz w:val="16"/>
                <w:lang w:val="en-GB"/>
              </w:rPr>
            </w:pPr>
            <w:r w:rsidRPr="00BA4BBA">
              <w:rPr>
                <w:rFonts w:ascii="Verdana" w:eastAsia="Verdana" w:hAnsi="Verdana" w:cs="Verdana"/>
                <w:color w:val="000000"/>
                <w:sz w:val="16"/>
                <w:lang w:val="en-GB"/>
              </w:rPr>
              <w:t>0</w:t>
            </w:r>
          </w:p>
        </w:tc>
      </w:tr>
      <w:tr w:rsidR="00793257" w:rsidRPr="00BA4BBA" w14:paraId="70F69467" w14:textId="77777777">
        <w:trPr>
          <w:trHeight w:val="300"/>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14:paraId="5A8FE87F" w14:textId="77777777" w:rsidR="00793257" w:rsidRPr="00BA4BBA" w:rsidRDefault="00793257" w:rsidP="00793257">
            <w:pPr>
              <w:pStyle w:val="T1TableStyle"/>
              <w:jc w:val="right"/>
              <w:rPr>
                <w:rFonts w:ascii="Verdana" w:eastAsia="Verdana" w:hAnsi="Verdana" w:cs="Verdana"/>
                <w:b/>
                <w:color w:val="000000"/>
                <w:sz w:val="16"/>
                <w:lang w:val="en-GB"/>
              </w:rPr>
            </w:pPr>
            <w:r w:rsidRPr="00BA4BBA">
              <w:rPr>
                <w:rFonts w:ascii="Verdana" w:eastAsia="Verdana" w:hAnsi="Verdana" w:cs="Verdana"/>
                <w:b/>
                <w:color w:val="000000"/>
                <w:sz w:val="16"/>
                <w:lang w:val="en-GB"/>
              </w:rPr>
              <w:t>(14)</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14:paraId="5DD73D3B" w14:textId="77777777" w:rsidR="00793257" w:rsidRPr="00BA4BBA" w:rsidRDefault="00793257" w:rsidP="00793257">
            <w:pPr>
              <w:pStyle w:val="T1TableStyle"/>
              <w:jc w:val="right"/>
              <w:rPr>
                <w:rFonts w:ascii="Verdana" w:eastAsia="Verdana" w:hAnsi="Verdana" w:cs="Verdana"/>
                <w:b/>
                <w:color w:val="000000"/>
                <w:sz w:val="16"/>
                <w:lang w:val="en-GB"/>
              </w:rPr>
            </w:pPr>
            <w:r w:rsidRPr="00BA4BBA">
              <w:rPr>
                <w:rFonts w:ascii="Verdana" w:eastAsia="Verdana" w:hAnsi="Verdana" w:cs="Verdana"/>
                <w:b/>
                <w:color w:val="000000"/>
                <w:sz w:val="16"/>
                <w:lang w:val="en-GB"/>
              </w:rPr>
              <w:t>508</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14:paraId="2554EC42" w14:textId="77777777" w:rsidR="00793257" w:rsidRPr="00BA4BBA" w:rsidRDefault="00793257" w:rsidP="00793257">
            <w:pPr>
              <w:pStyle w:val="T1TableStyle"/>
              <w:jc w:val="center"/>
              <w:rPr>
                <w:rFonts w:ascii="Verdana" w:eastAsia="Verdana" w:hAnsi="Verdana" w:cs="Verdana"/>
                <w:b/>
                <w:color w:val="000000"/>
                <w:sz w:val="2"/>
                <w:lang w:val="en-GB"/>
              </w:rPr>
            </w:pPr>
            <w:r w:rsidRPr="00BA4BBA">
              <w:rPr>
                <w:rFonts w:ascii="Verdana" w:eastAsia="Verdana" w:hAnsi="Verdana" w:cs="Verdana"/>
                <w:b/>
                <w:color w:val="000000"/>
                <w:sz w:val="2"/>
                <w:lang w:val="en-GB"/>
              </w:rPr>
              <w:t xml:space="preserve"> </w:t>
            </w:r>
          </w:p>
        </w:tc>
        <w:tc>
          <w:tcPr>
            <w:tcW w:w="3750" w:type="dxa"/>
            <w:tcBorders>
              <w:top w:val="single" w:sz="2" w:space="0" w:color="000000"/>
              <w:bottom w:val="single" w:sz="12" w:space="0" w:color="000000"/>
            </w:tcBorders>
            <w:shd w:val="clear" w:color="auto" w:fill="auto"/>
            <w:tcMar>
              <w:top w:w="20" w:type="dxa"/>
              <w:left w:w="20" w:type="dxa"/>
              <w:bottom w:w="20" w:type="dxa"/>
              <w:right w:w="20" w:type="dxa"/>
            </w:tcMar>
          </w:tcPr>
          <w:p w14:paraId="45F86210" w14:textId="77777777" w:rsidR="00793257" w:rsidRPr="00BA4BBA" w:rsidRDefault="00793257" w:rsidP="00793257">
            <w:pPr>
              <w:pStyle w:val="T1TableStyle"/>
              <w:rPr>
                <w:rFonts w:ascii="Verdana" w:eastAsia="Verdana" w:hAnsi="Verdana" w:cs="Verdana"/>
                <w:b/>
                <w:color w:val="000000"/>
                <w:sz w:val="16"/>
                <w:lang w:val="en-GB"/>
              </w:rPr>
            </w:pPr>
            <w:r w:rsidRPr="00BA4BBA">
              <w:rPr>
                <w:rFonts w:ascii="Verdana" w:eastAsia="Verdana" w:hAnsi="Verdana" w:cs="Verdana"/>
                <w:b/>
                <w:color w:val="000000"/>
                <w:sz w:val="16"/>
                <w:lang w:val="en-GB"/>
              </w:rPr>
              <w:t>Total Other Operating Expenditure</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14:paraId="64D6E198" w14:textId="3DD9EC73" w:rsidR="00793257" w:rsidRPr="00BA4BBA" w:rsidRDefault="00BA4BBA" w:rsidP="00793257">
            <w:pPr>
              <w:pStyle w:val="T1TableStyle"/>
              <w:jc w:val="right"/>
              <w:rPr>
                <w:rFonts w:ascii="Verdana" w:eastAsia="Verdana" w:hAnsi="Verdana" w:cs="Verdana"/>
                <w:b/>
                <w:color w:val="000000"/>
                <w:sz w:val="16"/>
                <w:lang w:val="en-GB"/>
              </w:rPr>
            </w:pPr>
            <w:r w:rsidRPr="00BA4BBA">
              <w:rPr>
                <w:rFonts w:ascii="Verdana" w:eastAsia="Verdana" w:hAnsi="Verdana" w:cs="Verdana"/>
                <w:b/>
                <w:color w:val="000000"/>
                <w:sz w:val="16"/>
                <w:lang w:val="en-GB"/>
              </w:rPr>
              <w:t>164</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14:paraId="22995FA2" w14:textId="6855C7AB" w:rsidR="00793257" w:rsidRPr="00BA4BBA" w:rsidRDefault="00BA4BBA" w:rsidP="00793257">
            <w:pPr>
              <w:pStyle w:val="T1TableStyle"/>
              <w:jc w:val="right"/>
              <w:rPr>
                <w:rFonts w:ascii="Verdana" w:eastAsia="Verdana" w:hAnsi="Verdana" w:cs="Verdana"/>
                <w:b/>
                <w:color w:val="000000"/>
                <w:sz w:val="16"/>
                <w:lang w:val="en-GB"/>
              </w:rPr>
            </w:pPr>
            <w:r w:rsidRPr="00BA4BBA">
              <w:rPr>
                <w:rFonts w:ascii="Verdana" w:eastAsia="Verdana" w:hAnsi="Verdana" w:cs="Verdana"/>
                <w:b/>
                <w:color w:val="000000"/>
                <w:sz w:val="16"/>
                <w:lang w:val="en-GB"/>
              </w:rPr>
              <w:t>556</w:t>
            </w:r>
          </w:p>
        </w:tc>
      </w:tr>
    </w:tbl>
    <w:p w14:paraId="3EA8295B" w14:textId="77777777" w:rsidR="00CA6653" w:rsidRPr="00BA4BBA" w:rsidRDefault="00CA6653">
      <w:pPr>
        <w:pStyle w:val="T1TableStyle"/>
        <w:rPr>
          <w:rFonts w:ascii="Verdana" w:eastAsia="Verdana" w:hAnsi="Verdana" w:cs="Verdana"/>
          <w:sz w:val="22"/>
          <w:lang w:val="en-GB"/>
        </w:rPr>
      </w:pPr>
    </w:p>
    <w:p w14:paraId="54475E4D" w14:textId="77777777" w:rsidR="00CA6653" w:rsidRPr="00BA4BBA" w:rsidRDefault="00CA6653">
      <w:pPr>
        <w:pStyle w:val="Normal0"/>
        <w:spacing w:after="160"/>
        <w:rPr>
          <w:rFonts w:ascii="Verdana" w:hAnsi="Verdana"/>
          <w:sz w:val="22"/>
          <w:szCs w:val="22"/>
          <w:lang w:val="en-GB"/>
        </w:rPr>
      </w:pPr>
    </w:p>
    <w:p w14:paraId="50F98C6F" w14:textId="77777777" w:rsidR="00CA6653" w:rsidRPr="00BA4BBA" w:rsidRDefault="00CA6653" w:rsidP="00A31A9E">
      <w:pPr>
        <w:pStyle w:val="Heading1"/>
      </w:pPr>
      <w:bookmarkStart w:id="50" w:name="_Toc75122803"/>
      <w:r w:rsidRPr="00BA4BBA">
        <w:t>Note 3</w:t>
      </w:r>
      <w:r w:rsidR="00960EC4" w:rsidRPr="00BA4BBA">
        <w:t>5</w:t>
      </w:r>
      <w:r w:rsidRPr="00BA4BBA">
        <w:t xml:space="preserve"> - Cash Flow from Operating Activities</w:t>
      </w:r>
      <w:bookmarkEnd w:id="50"/>
    </w:p>
    <w:tbl>
      <w:tblPr>
        <w:tblW w:w="0" w:type="auto"/>
        <w:tblLayout w:type="fixed"/>
        <w:tblLook w:val="04A0" w:firstRow="1" w:lastRow="0" w:firstColumn="1" w:lastColumn="0" w:noHBand="0" w:noVBand="1"/>
      </w:tblPr>
      <w:tblGrid>
        <w:gridCol w:w="1545"/>
        <w:gridCol w:w="1545"/>
        <w:gridCol w:w="180"/>
        <w:gridCol w:w="3435"/>
        <w:gridCol w:w="1545"/>
        <w:gridCol w:w="1545"/>
      </w:tblGrid>
      <w:tr w:rsidR="004D417B" w:rsidRPr="00BA4BBA" w14:paraId="60C71F6A" w14:textId="77777777">
        <w:trPr>
          <w:trHeight w:val="300"/>
        </w:trPr>
        <w:tc>
          <w:tcPr>
            <w:tcW w:w="9795" w:type="dxa"/>
            <w:gridSpan w:val="6"/>
            <w:shd w:val="clear" w:color="auto" w:fill="auto"/>
            <w:tcMar>
              <w:top w:w="20" w:type="dxa"/>
              <w:left w:w="20" w:type="dxa"/>
              <w:bottom w:w="20" w:type="dxa"/>
              <w:right w:w="20" w:type="dxa"/>
            </w:tcMar>
            <w:vAlign w:val="bottom"/>
          </w:tcPr>
          <w:p w14:paraId="55455B29" w14:textId="77777777" w:rsidR="004D417B" w:rsidRPr="00BA4BBA" w:rsidRDefault="00CA6653" w:rsidP="00CA6653">
            <w:pPr>
              <w:pStyle w:val="T1TableStyle"/>
              <w:rPr>
                <w:rFonts w:ascii="Verdana" w:eastAsia="Verdana" w:hAnsi="Verdana" w:cs="Verdana"/>
                <w:color w:val="000000"/>
                <w:sz w:val="16"/>
                <w:szCs w:val="22"/>
                <w:lang w:val="pt-BR"/>
              </w:rPr>
            </w:pPr>
            <w:r w:rsidRPr="00BA4BBA">
              <w:rPr>
                <w:rFonts w:ascii="Verdana" w:eastAsia="Verdana" w:hAnsi="Verdana" w:cs="Verdana"/>
                <w:color w:val="000000"/>
                <w:sz w:val="16"/>
                <w:szCs w:val="22"/>
                <w:lang w:val="pt-BR"/>
              </w:rPr>
              <w:t>The cash flows for operating activities include the following items:</w:t>
            </w:r>
          </w:p>
        </w:tc>
      </w:tr>
      <w:tr w:rsidR="004D417B" w:rsidRPr="00BA4BBA" w14:paraId="73C769F8" w14:textId="77777777">
        <w:trPr>
          <w:trHeight w:val="300"/>
        </w:trPr>
        <w:tc>
          <w:tcPr>
            <w:tcW w:w="3090" w:type="dxa"/>
            <w:gridSpan w:val="2"/>
            <w:shd w:val="clear" w:color="auto" w:fill="auto"/>
            <w:tcMar>
              <w:top w:w="20" w:type="dxa"/>
              <w:left w:w="20" w:type="dxa"/>
              <w:bottom w:w="20" w:type="dxa"/>
              <w:right w:w="20" w:type="dxa"/>
            </w:tcMar>
            <w:vAlign w:val="bottom"/>
          </w:tcPr>
          <w:p w14:paraId="520D1872" w14:textId="77777777" w:rsidR="004D417B" w:rsidRPr="00BA4BBA" w:rsidRDefault="00CA6653" w:rsidP="00793257">
            <w:pPr>
              <w:pStyle w:val="T1TableStyle"/>
              <w:jc w:val="center"/>
              <w:rPr>
                <w:rFonts w:ascii="Verdana" w:eastAsia="Verdana" w:hAnsi="Verdana" w:cs="Verdana"/>
                <w:b/>
                <w:color w:val="000000"/>
                <w:sz w:val="16"/>
                <w:szCs w:val="22"/>
                <w:lang w:val="pt-BR"/>
              </w:rPr>
            </w:pPr>
            <w:r w:rsidRPr="00BA4BBA">
              <w:rPr>
                <w:rFonts w:ascii="Verdana" w:eastAsia="Verdana" w:hAnsi="Verdana" w:cs="Verdana"/>
                <w:b/>
                <w:color w:val="000000"/>
                <w:sz w:val="16"/>
                <w:szCs w:val="22"/>
                <w:lang w:val="pt-BR"/>
              </w:rPr>
              <w:t>31 March 20</w:t>
            </w:r>
            <w:r w:rsidR="00793257" w:rsidRPr="00BA4BBA">
              <w:rPr>
                <w:rFonts w:ascii="Verdana" w:eastAsia="Verdana" w:hAnsi="Verdana" w:cs="Verdana"/>
                <w:b/>
                <w:color w:val="000000"/>
                <w:sz w:val="16"/>
                <w:szCs w:val="22"/>
                <w:lang w:val="pt-BR"/>
              </w:rPr>
              <w:t>20</w:t>
            </w:r>
          </w:p>
        </w:tc>
        <w:tc>
          <w:tcPr>
            <w:tcW w:w="180" w:type="dxa"/>
            <w:shd w:val="clear" w:color="auto" w:fill="auto"/>
            <w:tcMar>
              <w:top w:w="20" w:type="dxa"/>
              <w:left w:w="20" w:type="dxa"/>
              <w:bottom w:w="20" w:type="dxa"/>
              <w:right w:w="20" w:type="dxa"/>
            </w:tcMar>
            <w:vAlign w:val="bottom"/>
          </w:tcPr>
          <w:p w14:paraId="5B6FBFAE" w14:textId="77777777" w:rsidR="004D417B" w:rsidRPr="00BA4BBA" w:rsidRDefault="00CA6653" w:rsidP="00CA6653">
            <w:pPr>
              <w:pStyle w:val="T1TableStyle"/>
              <w:jc w:val="center"/>
              <w:rPr>
                <w:rFonts w:ascii="Verdana" w:eastAsia="Verdana" w:hAnsi="Verdana" w:cs="Verdana"/>
                <w:b/>
                <w:color w:val="000000"/>
                <w:sz w:val="2"/>
                <w:szCs w:val="22"/>
                <w:lang w:val="pt-BR"/>
              </w:rPr>
            </w:pPr>
            <w:r w:rsidRPr="00BA4BBA">
              <w:rPr>
                <w:rFonts w:ascii="Verdana" w:eastAsia="Verdana" w:hAnsi="Verdana" w:cs="Verdana"/>
                <w:b/>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14:paraId="6919501F" w14:textId="77777777" w:rsidR="004D417B" w:rsidRPr="00BA4BBA" w:rsidRDefault="00CA6653" w:rsidP="00CA6653">
            <w:pPr>
              <w:pStyle w:val="T1TableStyle"/>
              <w:jc w:val="center"/>
              <w:rPr>
                <w:rFonts w:ascii="Verdana" w:eastAsia="Verdana" w:hAnsi="Verdana" w:cs="Verdana"/>
                <w:b/>
                <w:color w:val="000000"/>
                <w:sz w:val="2"/>
                <w:szCs w:val="22"/>
                <w:lang w:val="pt-BR"/>
              </w:rPr>
            </w:pPr>
            <w:r w:rsidRPr="00BA4BBA">
              <w:rPr>
                <w:rFonts w:ascii="Verdana" w:eastAsia="Verdana" w:hAnsi="Verdana" w:cs="Verdana"/>
                <w:b/>
                <w:color w:val="000000"/>
                <w:sz w:val="2"/>
                <w:szCs w:val="22"/>
                <w:lang w:val="pt-BR"/>
              </w:rPr>
              <w:t xml:space="preserve"> </w:t>
            </w:r>
          </w:p>
        </w:tc>
        <w:tc>
          <w:tcPr>
            <w:tcW w:w="3090" w:type="dxa"/>
            <w:gridSpan w:val="2"/>
            <w:shd w:val="clear" w:color="auto" w:fill="auto"/>
            <w:tcMar>
              <w:top w:w="20" w:type="dxa"/>
              <w:left w:w="20" w:type="dxa"/>
              <w:bottom w:w="20" w:type="dxa"/>
              <w:right w:w="20" w:type="dxa"/>
            </w:tcMar>
            <w:vAlign w:val="bottom"/>
          </w:tcPr>
          <w:p w14:paraId="0B23B445" w14:textId="77777777" w:rsidR="004D417B" w:rsidRPr="00BA4BBA" w:rsidRDefault="00CA6653" w:rsidP="00793257">
            <w:pPr>
              <w:pStyle w:val="T1TableStyle"/>
              <w:jc w:val="center"/>
              <w:rPr>
                <w:rFonts w:ascii="Verdana" w:eastAsia="Verdana" w:hAnsi="Verdana" w:cs="Verdana"/>
                <w:b/>
                <w:color w:val="000000"/>
                <w:sz w:val="16"/>
                <w:szCs w:val="22"/>
                <w:lang w:val="pt-BR"/>
              </w:rPr>
            </w:pPr>
            <w:r w:rsidRPr="00BA4BBA">
              <w:rPr>
                <w:rFonts w:ascii="Verdana" w:eastAsia="Verdana" w:hAnsi="Verdana" w:cs="Verdana"/>
                <w:b/>
                <w:color w:val="000000"/>
                <w:sz w:val="16"/>
                <w:szCs w:val="22"/>
                <w:lang w:val="pt-BR"/>
              </w:rPr>
              <w:t>31 March 202</w:t>
            </w:r>
            <w:r w:rsidR="00793257" w:rsidRPr="00BA4BBA">
              <w:rPr>
                <w:rFonts w:ascii="Verdana" w:eastAsia="Verdana" w:hAnsi="Verdana" w:cs="Verdana"/>
                <w:b/>
                <w:color w:val="000000"/>
                <w:sz w:val="16"/>
                <w:szCs w:val="22"/>
                <w:lang w:val="pt-BR"/>
              </w:rPr>
              <w:t>1</w:t>
            </w:r>
          </w:p>
        </w:tc>
      </w:tr>
      <w:tr w:rsidR="004D417B" w:rsidRPr="00BA4BBA" w14:paraId="52933268" w14:textId="77777777">
        <w:trPr>
          <w:trHeight w:val="300"/>
        </w:trPr>
        <w:tc>
          <w:tcPr>
            <w:tcW w:w="1545" w:type="dxa"/>
            <w:shd w:val="clear" w:color="auto" w:fill="auto"/>
            <w:tcMar>
              <w:top w:w="20" w:type="dxa"/>
              <w:left w:w="20" w:type="dxa"/>
              <w:bottom w:w="20" w:type="dxa"/>
              <w:right w:w="20" w:type="dxa"/>
            </w:tcMar>
            <w:vAlign w:val="bottom"/>
          </w:tcPr>
          <w:p w14:paraId="4439440F" w14:textId="77777777" w:rsidR="004D417B" w:rsidRPr="00BA4BBA" w:rsidRDefault="00CA6653" w:rsidP="00CA6653">
            <w:pPr>
              <w:pStyle w:val="T1TableStyle"/>
              <w:jc w:val="center"/>
              <w:rPr>
                <w:rFonts w:ascii="Verdana" w:eastAsia="Verdana" w:hAnsi="Verdana" w:cs="Verdana"/>
                <w:b/>
                <w:color w:val="000000"/>
                <w:sz w:val="16"/>
                <w:szCs w:val="22"/>
                <w:lang w:val="pt-BR"/>
              </w:rPr>
            </w:pPr>
            <w:r w:rsidRPr="00BA4BBA">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14:paraId="63F4BBC1" w14:textId="77777777" w:rsidR="004D417B" w:rsidRPr="00BA4BBA" w:rsidRDefault="00CA6653" w:rsidP="00CA6653">
            <w:pPr>
              <w:pStyle w:val="T1TableStyle"/>
              <w:jc w:val="center"/>
              <w:rPr>
                <w:rFonts w:ascii="Verdana" w:eastAsia="Verdana" w:hAnsi="Verdana" w:cs="Verdana"/>
                <w:b/>
                <w:color w:val="000000"/>
                <w:sz w:val="16"/>
                <w:szCs w:val="22"/>
                <w:lang w:val="pt-BR"/>
              </w:rPr>
            </w:pPr>
            <w:r w:rsidRPr="00BA4BBA">
              <w:rPr>
                <w:rFonts w:ascii="Verdana" w:eastAsia="Verdana" w:hAnsi="Verdana" w:cs="Verdana"/>
                <w:b/>
                <w:color w:val="000000"/>
                <w:sz w:val="16"/>
                <w:szCs w:val="22"/>
                <w:lang w:val="pt-BR"/>
              </w:rPr>
              <w:t>Group</w:t>
            </w:r>
          </w:p>
        </w:tc>
        <w:tc>
          <w:tcPr>
            <w:tcW w:w="180" w:type="dxa"/>
            <w:shd w:val="clear" w:color="auto" w:fill="auto"/>
            <w:tcMar>
              <w:top w:w="20" w:type="dxa"/>
              <w:left w:w="20" w:type="dxa"/>
              <w:bottom w:w="20" w:type="dxa"/>
              <w:right w:w="20" w:type="dxa"/>
            </w:tcMar>
            <w:vAlign w:val="bottom"/>
          </w:tcPr>
          <w:p w14:paraId="3ED3BFD1" w14:textId="77777777" w:rsidR="004D417B" w:rsidRPr="00BA4BBA" w:rsidRDefault="00CA6653" w:rsidP="00CA6653">
            <w:pPr>
              <w:pStyle w:val="T1TableStyle"/>
              <w:jc w:val="center"/>
              <w:rPr>
                <w:rFonts w:ascii="Calibri" w:eastAsia="Calibri" w:hAnsi="Calibri" w:cs="Calibri"/>
                <w:color w:val="000000"/>
                <w:sz w:val="2"/>
                <w:szCs w:val="22"/>
                <w:lang w:val="pt-BR"/>
              </w:rPr>
            </w:pPr>
            <w:r w:rsidRPr="00BA4BBA">
              <w:rPr>
                <w:rFonts w:ascii="Calibri" w:eastAsia="Calibri" w:hAnsi="Calibri" w:cs="Calibri"/>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14:paraId="5C72938F" w14:textId="77777777" w:rsidR="004D417B" w:rsidRPr="00BA4BBA" w:rsidRDefault="00CA6653" w:rsidP="00CA6653">
            <w:pPr>
              <w:pStyle w:val="T1TableStyle"/>
              <w:jc w:val="center"/>
              <w:rPr>
                <w:rFonts w:ascii="Calibri" w:eastAsia="Calibri" w:hAnsi="Calibri" w:cs="Calibri"/>
                <w:color w:val="000000"/>
                <w:sz w:val="2"/>
                <w:szCs w:val="22"/>
                <w:lang w:val="pt-BR"/>
              </w:rPr>
            </w:pPr>
            <w:r w:rsidRPr="00BA4BBA">
              <w:rPr>
                <w:rFonts w:ascii="Calibri" w:eastAsia="Calibri" w:hAnsi="Calibri" w:cs="Calibri"/>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14:paraId="3293BE99" w14:textId="77777777" w:rsidR="004D417B" w:rsidRPr="00BA4BBA" w:rsidRDefault="00CA6653" w:rsidP="00CA6653">
            <w:pPr>
              <w:pStyle w:val="T1TableStyle"/>
              <w:jc w:val="center"/>
              <w:rPr>
                <w:rFonts w:ascii="Verdana" w:eastAsia="Verdana" w:hAnsi="Verdana" w:cs="Verdana"/>
                <w:b/>
                <w:color w:val="000000"/>
                <w:sz w:val="16"/>
                <w:szCs w:val="22"/>
                <w:lang w:val="pt-BR"/>
              </w:rPr>
            </w:pPr>
            <w:r w:rsidRPr="00BA4BBA">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14:paraId="6903D1C4" w14:textId="77777777" w:rsidR="004D417B" w:rsidRPr="00BA4BBA" w:rsidRDefault="00CA6653" w:rsidP="00CA6653">
            <w:pPr>
              <w:pStyle w:val="T1TableStyle"/>
              <w:jc w:val="center"/>
              <w:rPr>
                <w:rFonts w:ascii="Verdana" w:eastAsia="Verdana" w:hAnsi="Verdana" w:cs="Verdana"/>
                <w:b/>
                <w:color w:val="000000"/>
                <w:sz w:val="16"/>
                <w:szCs w:val="22"/>
                <w:lang w:val="pt-BR"/>
              </w:rPr>
            </w:pPr>
            <w:r w:rsidRPr="00BA4BBA">
              <w:rPr>
                <w:rFonts w:ascii="Verdana" w:eastAsia="Verdana" w:hAnsi="Verdana" w:cs="Verdana"/>
                <w:b/>
                <w:color w:val="000000"/>
                <w:sz w:val="16"/>
                <w:szCs w:val="22"/>
                <w:lang w:val="pt-BR"/>
              </w:rPr>
              <w:t>Group</w:t>
            </w:r>
          </w:p>
        </w:tc>
      </w:tr>
      <w:tr w:rsidR="004D417B" w:rsidRPr="00BA4BBA" w14:paraId="42E82490" w14:textId="77777777">
        <w:trPr>
          <w:trHeight w:val="300"/>
        </w:trPr>
        <w:tc>
          <w:tcPr>
            <w:tcW w:w="1545" w:type="dxa"/>
            <w:tcBorders>
              <w:bottom w:val="single" w:sz="2" w:space="0" w:color="000000"/>
            </w:tcBorders>
            <w:shd w:val="clear" w:color="auto" w:fill="auto"/>
            <w:tcMar>
              <w:top w:w="20" w:type="dxa"/>
              <w:left w:w="20" w:type="dxa"/>
              <w:bottom w:w="20" w:type="dxa"/>
              <w:right w:w="20" w:type="dxa"/>
            </w:tcMar>
          </w:tcPr>
          <w:p w14:paraId="74019054" w14:textId="77777777" w:rsidR="004D417B" w:rsidRPr="00BA4BBA" w:rsidRDefault="00CA6653" w:rsidP="00CA6653">
            <w:pPr>
              <w:pStyle w:val="T1TableStyle"/>
              <w:jc w:val="right"/>
              <w:rPr>
                <w:rFonts w:ascii="Verdana" w:eastAsia="Verdana" w:hAnsi="Verdana" w:cs="Verdana"/>
                <w:b/>
                <w:color w:val="000000"/>
                <w:sz w:val="16"/>
                <w:szCs w:val="22"/>
                <w:lang w:val="pt-BR"/>
              </w:rPr>
            </w:pPr>
            <w:r w:rsidRPr="00BA4BBA">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14:paraId="7B0ACA77" w14:textId="77777777" w:rsidR="004D417B" w:rsidRPr="00BA4BBA" w:rsidRDefault="00CA6653" w:rsidP="00CA6653">
            <w:pPr>
              <w:pStyle w:val="T1TableStyle"/>
              <w:jc w:val="right"/>
              <w:rPr>
                <w:rFonts w:ascii="Verdana" w:eastAsia="Verdana" w:hAnsi="Verdana" w:cs="Verdana"/>
                <w:b/>
                <w:color w:val="000000"/>
                <w:sz w:val="16"/>
                <w:szCs w:val="22"/>
                <w:lang w:val="pt-BR"/>
              </w:rPr>
            </w:pPr>
            <w:r w:rsidRPr="00BA4BBA">
              <w:rPr>
                <w:rFonts w:ascii="Verdana" w:eastAsia="Verdana" w:hAnsi="Verdana" w:cs="Verdana"/>
                <w:b/>
                <w:color w:val="000000"/>
                <w:sz w:val="16"/>
                <w:szCs w:val="22"/>
                <w:lang w:val="pt-BR"/>
              </w:rPr>
              <w:t>£000</w:t>
            </w:r>
          </w:p>
        </w:tc>
        <w:tc>
          <w:tcPr>
            <w:tcW w:w="180" w:type="dxa"/>
            <w:tcBorders>
              <w:bottom w:val="single" w:sz="2" w:space="0" w:color="000000"/>
            </w:tcBorders>
            <w:shd w:val="clear" w:color="auto" w:fill="auto"/>
            <w:tcMar>
              <w:top w:w="20" w:type="dxa"/>
              <w:left w:w="20" w:type="dxa"/>
              <w:bottom w:w="20" w:type="dxa"/>
              <w:right w:w="20" w:type="dxa"/>
            </w:tcMar>
          </w:tcPr>
          <w:p w14:paraId="6806436B" w14:textId="77777777" w:rsidR="004D417B" w:rsidRPr="00BA4BBA" w:rsidRDefault="00CA6653" w:rsidP="00CA6653">
            <w:pPr>
              <w:pStyle w:val="T1TableStyle"/>
              <w:jc w:val="right"/>
              <w:rPr>
                <w:rFonts w:ascii="Verdana" w:eastAsia="Verdana" w:hAnsi="Verdana" w:cs="Verdana"/>
                <w:b/>
                <w:color w:val="000000"/>
                <w:sz w:val="2"/>
                <w:szCs w:val="22"/>
                <w:lang w:val="pt-BR"/>
              </w:rPr>
            </w:pPr>
            <w:r w:rsidRPr="00BA4BBA">
              <w:rPr>
                <w:rFonts w:ascii="Verdana" w:eastAsia="Verdana" w:hAnsi="Verdana" w:cs="Verdana"/>
                <w:b/>
                <w:color w:val="000000"/>
                <w:sz w:val="2"/>
                <w:szCs w:val="22"/>
                <w:lang w:val="pt-BR"/>
              </w:rPr>
              <w:t xml:space="preserve"> </w:t>
            </w:r>
          </w:p>
        </w:tc>
        <w:tc>
          <w:tcPr>
            <w:tcW w:w="3435" w:type="dxa"/>
            <w:tcBorders>
              <w:bottom w:val="single" w:sz="2" w:space="0" w:color="000000"/>
            </w:tcBorders>
            <w:shd w:val="clear" w:color="auto" w:fill="auto"/>
            <w:tcMar>
              <w:top w:w="20" w:type="dxa"/>
              <w:left w:w="20" w:type="dxa"/>
              <w:bottom w:w="20" w:type="dxa"/>
              <w:right w:w="20" w:type="dxa"/>
            </w:tcMar>
          </w:tcPr>
          <w:p w14:paraId="53555A61" w14:textId="77777777" w:rsidR="004D417B" w:rsidRPr="00BA4BBA" w:rsidRDefault="00CA6653" w:rsidP="00CA6653">
            <w:pPr>
              <w:pStyle w:val="T1TableStyle"/>
              <w:jc w:val="right"/>
              <w:rPr>
                <w:rFonts w:ascii="Verdana" w:eastAsia="Verdana" w:hAnsi="Verdana" w:cs="Verdana"/>
                <w:b/>
                <w:color w:val="000000"/>
                <w:sz w:val="2"/>
                <w:szCs w:val="22"/>
                <w:lang w:val="pt-BR"/>
              </w:rPr>
            </w:pPr>
            <w:r w:rsidRPr="00BA4BBA">
              <w:rPr>
                <w:rFonts w:ascii="Verdana" w:eastAsia="Verdana" w:hAnsi="Verdana" w:cs="Verdana"/>
                <w:b/>
                <w:color w:val="000000"/>
                <w:sz w:val="2"/>
                <w:szCs w:val="22"/>
                <w:lang w:val="pt-BR"/>
              </w:rPr>
              <w:t xml:space="preserve"> </w:t>
            </w:r>
          </w:p>
        </w:tc>
        <w:tc>
          <w:tcPr>
            <w:tcW w:w="1545" w:type="dxa"/>
            <w:tcBorders>
              <w:bottom w:val="single" w:sz="2" w:space="0" w:color="000000"/>
            </w:tcBorders>
            <w:shd w:val="clear" w:color="auto" w:fill="auto"/>
            <w:tcMar>
              <w:top w:w="20" w:type="dxa"/>
              <w:left w:w="20" w:type="dxa"/>
              <w:bottom w:w="20" w:type="dxa"/>
              <w:right w:w="20" w:type="dxa"/>
            </w:tcMar>
          </w:tcPr>
          <w:p w14:paraId="0C791468" w14:textId="77777777" w:rsidR="004D417B" w:rsidRPr="00BA4BBA" w:rsidRDefault="00CA6653" w:rsidP="00CA6653">
            <w:pPr>
              <w:pStyle w:val="T1TableStyle"/>
              <w:jc w:val="right"/>
              <w:rPr>
                <w:rFonts w:ascii="Verdana" w:eastAsia="Verdana" w:hAnsi="Verdana" w:cs="Verdana"/>
                <w:b/>
                <w:color w:val="000000"/>
                <w:sz w:val="16"/>
                <w:szCs w:val="22"/>
                <w:lang w:val="pt-BR"/>
              </w:rPr>
            </w:pPr>
            <w:r w:rsidRPr="00BA4BBA">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14:paraId="1C10931B" w14:textId="77777777" w:rsidR="004D417B" w:rsidRPr="00BA4BBA" w:rsidRDefault="00CA6653" w:rsidP="00CA6653">
            <w:pPr>
              <w:pStyle w:val="T1TableStyle"/>
              <w:jc w:val="right"/>
              <w:rPr>
                <w:rFonts w:ascii="Verdana" w:eastAsia="Verdana" w:hAnsi="Verdana" w:cs="Verdana"/>
                <w:b/>
                <w:color w:val="000000"/>
                <w:sz w:val="16"/>
                <w:szCs w:val="22"/>
                <w:lang w:val="pt-BR"/>
              </w:rPr>
            </w:pPr>
            <w:r w:rsidRPr="00BA4BBA">
              <w:rPr>
                <w:rFonts w:ascii="Verdana" w:eastAsia="Verdana" w:hAnsi="Verdana" w:cs="Verdana"/>
                <w:b/>
                <w:color w:val="000000"/>
                <w:sz w:val="16"/>
                <w:szCs w:val="22"/>
                <w:lang w:val="pt-BR"/>
              </w:rPr>
              <w:t>£000</w:t>
            </w:r>
          </w:p>
        </w:tc>
      </w:tr>
      <w:tr w:rsidR="00793257" w:rsidRPr="00BA4BBA" w14:paraId="11E34F2A" w14:textId="77777777">
        <w:trPr>
          <w:trHeight w:val="300"/>
        </w:trPr>
        <w:tc>
          <w:tcPr>
            <w:tcW w:w="1545" w:type="dxa"/>
            <w:shd w:val="clear" w:color="auto" w:fill="auto"/>
            <w:tcMar>
              <w:top w:w="20" w:type="dxa"/>
              <w:left w:w="20" w:type="dxa"/>
              <w:bottom w:w="20" w:type="dxa"/>
              <w:right w:w="20" w:type="dxa"/>
            </w:tcMar>
          </w:tcPr>
          <w:p w14:paraId="5ECF732A" w14:textId="77777777" w:rsidR="00793257" w:rsidRPr="00BA4BBA" w:rsidRDefault="00793257" w:rsidP="00793257">
            <w:pPr>
              <w:pStyle w:val="T1TableStyle"/>
              <w:jc w:val="right"/>
              <w:rPr>
                <w:rFonts w:ascii="Verdana" w:eastAsia="Verdana" w:hAnsi="Verdana" w:cs="Verdana"/>
                <w:color w:val="000000"/>
                <w:sz w:val="16"/>
                <w:szCs w:val="22"/>
                <w:lang w:val="pt-BR"/>
              </w:rPr>
            </w:pPr>
            <w:r w:rsidRPr="00BA4BBA">
              <w:rPr>
                <w:rFonts w:ascii="Verdana" w:eastAsia="Verdana" w:hAnsi="Verdana" w:cs="Verdana"/>
                <w:color w:val="000000"/>
                <w:sz w:val="16"/>
                <w:szCs w:val="22"/>
                <w:lang w:val="pt-BR"/>
              </w:rPr>
              <w:t>(206)</w:t>
            </w:r>
          </w:p>
        </w:tc>
        <w:tc>
          <w:tcPr>
            <w:tcW w:w="1545" w:type="dxa"/>
            <w:shd w:val="clear" w:color="auto" w:fill="auto"/>
            <w:tcMar>
              <w:top w:w="20" w:type="dxa"/>
              <w:left w:w="20" w:type="dxa"/>
              <w:bottom w:w="20" w:type="dxa"/>
              <w:right w:w="20" w:type="dxa"/>
            </w:tcMar>
          </w:tcPr>
          <w:p w14:paraId="5781FDB4" w14:textId="77777777" w:rsidR="00793257" w:rsidRPr="00BA4BBA" w:rsidRDefault="00793257" w:rsidP="00793257">
            <w:pPr>
              <w:pStyle w:val="T1TableStyle"/>
              <w:jc w:val="right"/>
              <w:rPr>
                <w:rFonts w:ascii="Verdana" w:eastAsia="Verdana" w:hAnsi="Verdana" w:cs="Verdana"/>
                <w:color w:val="000000"/>
                <w:sz w:val="16"/>
                <w:szCs w:val="22"/>
                <w:lang w:val="pt-BR"/>
              </w:rPr>
            </w:pPr>
            <w:r w:rsidRPr="00BA4BBA">
              <w:rPr>
                <w:rFonts w:ascii="Verdana" w:eastAsia="Verdana" w:hAnsi="Verdana" w:cs="Verdana"/>
                <w:color w:val="000000"/>
                <w:sz w:val="16"/>
                <w:szCs w:val="22"/>
                <w:lang w:val="pt-BR"/>
              </w:rPr>
              <w:t>(206)</w:t>
            </w:r>
          </w:p>
        </w:tc>
        <w:tc>
          <w:tcPr>
            <w:tcW w:w="180" w:type="dxa"/>
            <w:shd w:val="clear" w:color="auto" w:fill="auto"/>
            <w:tcMar>
              <w:top w:w="20" w:type="dxa"/>
              <w:left w:w="20" w:type="dxa"/>
              <w:bottom w:w="20" w:type="dxa"/>
              <w:right w:w="20" w:type="dxa"/>
            </w:tcMar>
          </w:tcPr>
          <w:p w14:paraId="30EECE5D" w14:textId="77777777" w:rsidR="00793257" w:rsidRPr="00BA4BBA" w:rsidRDefault="00793257" w:rsidP="00793257">
            <w:pPr>
              <w:pStyle w:val="T1TableStyle"/>
              <w:jc w:val="center"/>
              <w:rPr>
                <w:rFonts w:ascii="Verdana" w:eastAsia="Verdana" w:hAnsi="Verdana" w:cs="Verdana"/>
                <w:color w:val="000000"/>
                <w:sz w:val="2"/>
                <w:szCs w:val="22"/>
                <w:lang w:val="pt-BR"/>
              </w:rPr>
            </w:pPr>
            <w:r w:rsidRPr="00BA4BBA">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14:paraId="546F95CF" w14:textId="77777777" w:rsidR="00793257" w:rsidRPr="00BA4BBA" w:rsidRDefault="00793257" w:rsidP="00793257">
            <w:pPr>
              <w:pStyle w:val="T1TableStyle"/>
              <w:rPr>
                <w:rFonts w:ascii="Verdana" w:eastAsia="Verdana" w:hAnsi="Verdana" w:cs="Verdana"/>
                <w:color w:val="000000"/>
                <w:sz w:val="16"/>
                <w:szCs w:val="22"/>
                <w:lang w:val="pt-BR"/>
              </w:rPr>
            </w:pPr>
            <w:r w:rsidRPr="00BA4BBA">
              <w:rPr>
                <w:rFonts w:ascii="Verdana" w:eastAsia="Verdana" w:hAnsi="Verdana" w:cs="Verdana"/>
                <w:color w:val="000000"/>
                <w:sz w:val="16"/>
                <w:szCs w:val="22"/>
                <w:lang w:val="pt-BR"/>
              </w:rPr>
              <w:t>Interest received</w:t>
            </w:r>
          </w:p>
        </w:tc>
        <w:tc>
          <w:tcPr>
            <w:tcW w:w="1545" w:type="dxa"/>
            <w:shd w:val="clear" w:color="auto" w:fill="auto"/>
            <w:tcMar>
              <w:top w:w="20" w:type="dxa"/>
              <w:left w:w="20" w:type="dxa"/>
              <w:bottom w:w="20" w:type="dxa"/>
              <w:right w:w="20" w:type="dxa"/>
            </w:tcMar>
          </w:tcPr>
          <w:p w14:paraId="57D2FFBD" w14:textId="401379AF" w:rsidR="00793257" w:rsidRPr="00BA4BBA" w:rsidRDefault="00AE70F5" w:rsidP="00793257">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(9)</w:t>
            </w:r>
          </w:p>
        </w:tc>
        <w:tc>
          <w:tcPr>
            <w:tcW w:w="1545" w:type="dxa"/>
            <w:shd w:val="clear" w:color="auto" w:fill="auto"/>
            <w:tcMar>
              <w:top w:w="20" w:type="dxa"/>
              <w:left w:w="20" w:type="dxa"/>
              <w:bottom w:w="20" w:type="dxa"/>
              <w:right w:w="20" w:type="dxa"/>
            </w:tcMar>
          </w:tcPr>
          <w:p w14:paraId="54A9D1D2" w14:textId="46300A36" w:rsidR="00793257" w:rsidRPr="00BA4BBA" w:rsidRDefault="00AE70F5" w:rsidP="00793257">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(9)</w:t>
            </w:r>
          </w:p>
        </w:tc>
      </w:tr>
      <w:tr w:rsidR="00793257" w:rsidRPr="00BA4BBA" w14:paraId="0AAA17A9" w14:textId="77777777">
        <w:trPr>
          <w:trHeight w:val="300"/>
        </w:trPr>
        <w:tc>
          <w:tcPr>
            <w:tcW w:w="1545" w:type="dxa"/>
            <w:shd w:val="clear" w:color="auto" w:fill="auto"/>
            <w:tcMar>
              <w:top w:w="20" w:type="dxa"/>
              <w:left w:w="20" w:type="dxa"/>
              <w:bottom w:w="20" w:type="dxa"/>
              <w:right w:w="20" w:type="dxa"/>
            </w:tcMar>
          </w:tcPr>
          <w:p w14:paraId="5860CAFC" w14:textId="77777777" w:rsidR="00793257" w:rsidRPr="00BA4BBA" w:rsidRDefault="00793257" w:rsidP="00793257">
            <w:pPr>
              <w:pStyle w:val="T1TableStyle"/>
              <w:jc w:val="right"/>
              <w:rPr>
                <w:rFonts w:ascii="Verdana" w:eastAsia="Verdana" w:hAnsi="Verdana" w:cs="Verdana"/>
                <w:color w:val="000000"/>
                <w:sz w:val="16"/>
                <w:szCs w:val="22"/>
                <w:lang w:val="pt-BR"/>
              </w:rPr>
            </w:pPr>
            <w:r w:rsidRPr="00BA4BBA">
              <w:rPr>
                <w:rFonts w:ascii="Verdana" w:eastAsia="Verdana" w:hAnsi="Verdana" w:cs="Verdana"/>
                <w:color w:val="000000"/>
                <w:sz w:val="16"/>
                <w:szCs w:val="22"/>
                <w:lang w:val="pt-BR"/>
              </w:rPr>
              <w:t>293</w:t>
            </w:r>
          </w:p>
        </w:tc>
        <w:tc>
          <w:tcPr>
            <w:tcW w:w="1545" w:type="dxa"/>
            <w:shd w:val="clear" w:color="auto" w:fill="auto"/>
            <w:tcMar>
              <w:top w:w="20" w:type="dxa"/>
              <w:left w:w="20" w:type="dxa"/>
              <w:bottom w:w="20" w:type="dxa"/>
              <w:right w:w="20" w:type="dxa"/>
            </w:tcMar>
          </w:tcPr>
          <w:p w14:paraId="1457FF64" w14:textId="15383426" w:rsidR="00793257" w:rsidRPr="00BA4BBA" w:rsidRDefault="00793257" w:rsidP="00AE70F5">
            <w:pPr>
              <w:pStyle w:val="T1TableStyle"/>
              <w:jc w:val="right"/>
              <w:rPr>
                <w:rFonts w:ascii="Verdana" w:eastAsia="Verdana" w:hAnsi="Verdana" w:cs="Verdana"/>
                <w:color w:val="000000"/>
                <w:sz w:val="16"/>
                <w:szCs w:val="22"/>
                <w:lang w:val="pt-BR"/>
              </w:rPr>
            </w:pPr>
            <w:r w:rsidRPr="00BA4BBA">
              <w:rPr>
                <w:rFonts w:ascii="Verdana" w:eastAsia="Verdana" w:hAnsi="Verdana" w:cs="Verdana"/>
                <w:color w:val="000000"/>
                <w:sz w:val="16"/>
                <w:szCs w:val="22"/>
                <w:lang w:val="pt-BR"/>
              </w:rPr>
              <w:t>2</w:t>
            </w:r>
            <w:r w:rsidR="00AE70F5">
              <w:rPr>
                <w:rFonts w:ascii="Verdana" w:eastAsia="Verdana" w:hAnsi="Verdana" w:cs="Verdana"/>
                <w:color w:val="000000"/>
                <w:sz w:val="16"/>
                <w:szCs w:val="22"/>
                <w:lang w:val="pt-BR"/>
              </w:rPr>
              <w:t>93</w:t>
            </w:r>
          </w:p>
        </w:tc>
        <w:tc>
          <w:tcPr>
            <w:tcW w:w="180" w:type="dxa"/>
            <w:shd w:val="clear" w:color="auto" w:fill="auto"/>
            <w:tcMar>
              <w:top w:w="20" w:type="dxa"/>
              <w:left w:w="20" w:type="dxa"/>
              <w:bottom w:w="20" w:type="dxa"/>
              <w:right w:w="20" w:type="dxa"/>
            </w:tcMar>
          </w:tcPr>
          <w:p w14:paraId="0EED4AA4" w14:textId="77777777" w:rsidR="00793257" w:rsidRPr="00BA4BBA" w:rsidRDefault="00793257" w:rsidP="00793257">
            <w:pPr>
              <w:pStyle w:val="T1TableStyle"/>
              <w:jc w:val="center"/>
              <w:rPr>
                <w:rFonts w:ascii="Verdana" w:eastAsia="Verdana" w:hAnsi="Verdana" w:cs="Verdana"/>
                <w:color w:val="000000"/>
                <w:sz w:val="2"/>
                <w:szCs w:val="22"/>
                <w:lang w:val="pt-BR"/>
              </w:rPr>
            </w:pPr>
            <w:r w:rsidRPr="00BA4BBA">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14:paraId="4055289B" w14:textId="77777777" w:rsidR="00793257" w:rsidRPr="00BA4BBA" w:rsidRDefault="00793257" w:rsidP="00793257">
            <w:pPr>
              <w:pStyle w:val="T1TableStyle"/>
              <w:rPr>
                <w:rFonts w:ascii="Verdana" w:eastAsia="Verdana" w:hAnsi="Verdana" w:cs="Verdana"/>
                <w:color w:val="000000"/>
                <w:sz w:val="16"/>
                <w:szCs w:val="22"/>
                <w:lang w:val="pt-BR"/>
              </w:rPr>
            </w:pPr>
            <w:r w:rsidRPr="00BA4BBA">
              <w:rPr>
                <w:rFonts w:ascii="Verdana" w:eastAsia="Verdana" w:hAnsi="Verdana" w:cs="Verdana"/>
                <w:color w:val="000000"/>
                <w:sz w:val="16"/>
                <w:szCs w:val="22"/>
                <w:lang w:val="pt-BR"/>
              </w:rPr>
              <w:t>Interest paid</w:t>
            </w:r>
          </w:p>
        </w:tc>
        <w:tc>
          <w:tcPr>
            <w:tcW w:w="1545" w:type="dxa"/>
            <w:shd w:val="clear" w:color="auto" w:fill="auto"/>
            <w:tcMar>
              <w:top w:w="20" w:type="dxa"/>
              <w:left w:w="20" w:type="dxa"/>
              <w:bottom w:w="20" w:type="dxa"/>
              <w:right w:w="20" w:type="dxa"/>
            </w:tcMar>
          </w:tcPr>
          <w:p w14:paraId="1E039089" w14:textId="3C049914" w:rsidR="00793257" w:rsidRPr="00BA4BBA" w:rsidRDefault="00AE70F5" w:rsidP="00793257">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370</w:t>
            </w:r>
          </w:p>
        </w:tc>
        <w:tc>
          <w:tcPr>
            <w:tcW w:w="1545" w:type="dxa"/>
            <w:shd w:val="clear" w:color="auto" w:fill="auto"/>
            <w:tcMar>
              <w:top w:w="20" w:type="dxa"/>
              <w:left w:w="20" w:type="dxa"/>
              <w:bottom w:w="20" w:type="dxa"/>
              <w:right w:w="20" w:type="dxa"/>
            </w:tcMar>
          </w:tcPr>
          <w:p w14:paraId="09CCA387" w14:textId="1771577B" w:rsidR="00793257" w:rsidRPr="00BA4BBA" w:rsidRDefault="00AE70F5" w:rsidP="00793257">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370</w:t>
            </w:r>
          </w:p>
        </w:tc>
      </w:tr>
      <w:tr w:rsidR="00793257" w:rsidRPr="00BA4BBA" w14:paraId="0CA8356A" w14:textId="77777777">
        <w:trPr>
          <w:trHeight w:val="315"/>
        </w:trPr>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3A5A68EA" w14:textId="77777777" w:rsidR="00793257" w:rsidRPr="00BA4BBA" w:rsidRDefault="00793257" w:rsidP="00793257">
            <w:pPr>
              <w:pStyle w:val="T1TableStyle"/>
              <w:jc w:val="right"/>
              <w:rPr>
                <w:rFonts w:ascii="Verdana" w:eastAsia="Verdana" w:hAnsi="Verdana" w:cs="Verdana"/>
                <w:b/>
                <w:color w:val="000000"/>
                <w:sz w:val="16"/>
                <w:szCs w:val="22"/>
                <w:lang w:val="pt-BR"/>
              </w:rPr>
            </w:pPr>
            <w:r w:rsidRPr="00BA4BBA">
              <w:rPr>
                <w:rFonts w:ascii="Verdana" w:eastAsia="Verdana" w:hAnsi="Verdana" w:cs="Verdana"/>
                <w:b/>
                <w:color w:val="000000"/>
                <w:sz w:val="16"/>
                <w:szCs w:val="22"/>
                <w:lang w:val="pt-BR"/>
              </w:rPr>
              <w:t>87</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3977AD87" w14:textId="21DE4316" w:rsidR="00793257" w:rsidRPr="00BA4BBA" w:rsidRDefault="00AE70F5" w:rsidP="00793257">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87</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14:paraId="3F48E9B0" w14:textId="77777777" w:rsidR="00793257" w:rsidRPr="00BA4BBA" w:rsidRDefault="00793257" w:rsidP="00793257">
            <w:pPr>
              <w:pStyle w:val="T1TableStyle"/>
              <w:jc w:val="center"/>
              <w:rPr>
                <w:rFonts w:ascii="Verdana" w:eastAsia="Verdana" w:hAnsi="Verdana" w:cs="Verdana"/>
                <w:b/>
                <w:color w:val="000000"/>
                <w:sz w:val="2"/>
                <w:szCs w:val="22"/>
                <w:lang w:val="pt-BR"/>
              </w:rPr>
            </w:pPr>
            <w:r w:rsidRPr="00BA4BBA">
              <w:rPr>
                <w:rFonts w:ascii="Verdana" w:eastAsia="Verdana" w:hAnsi="Verdana" w:cs="Verdana"/>
                <w:b/>
                <w:color w:val="000000"/>
                <w:sz w:val="2"/>
                <w:szCs w:val="22"/>
                <w:lang w:val="pt-BR"/>
              </w:rPr>
              <w:t xml:space="preserve"> </w:t>
            </w:r>
          </w:p>
        </w:tc>
        <w:tc>
          <w:tcPr>
            <w:tcW w:w="3435" w:type="dxa"/>
            <w:tcBorders>
              <w:top w:val="single" w:sz="2" w:space="0" w:color="000000"/>
              <w:bottom w:val="single" w:sz="12" w:space="0" w:color="000000"/>
            </w:tcBorders>
            <w:shd w:val="clear" w:color="auto" w:fill="auto"/>
            <w:tcMar>
              <w:top w:w="20" w:type="dxa"/>
              <w:left w:w="20" w:type="dxa"/>
              <w:bottom w:w="20" w:type="dxa"/>
              <w:right w:w="20" w:type="dxa"/>
            </w:tcMar>
          </w:tcPr>
          <w:p w14:paraId="6B39D003" w14:textId="77777777" w:rsidR="00793257" w:rsidRPr="00BA4BBA" w:rsidRDefault="00793257" w:rsidP="00793257">
            <w:pPr>
              <w:pStyle w:val="T1TableStyle"/>
              <w:rPr>
                <w:rFonts w:ascii="Verdana" w:eastAsia="Verdana" w:hAnsi="Verdana" w:cs="Verdana"/>
                <w:b/>
                <w:color w:val="000000"/>
                <w:sz w:val="16"/>
                <w:szCs w:val="22"/>
                <w:lang w:val="pt-BR"/>
              </w:rPr>
            </w:pPr>
            <w:r w:rsidRPr="00BA4BBA">
              <w:rPr>
                <w:rFonts w:ascii="Verdana" w:eastAsia="Verdana" w:hAnsi="Verdana" w:cs="Verdana"/>
                <w:b/>
                <w:color w:val="000000"/>
                <w:sz w:val="16"/>
                <w:szCs w:val="22"/>
                <w:lang w:val="pt-BR"/>
              </w:rPr>
              <w:t>Total</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23EE0372" w14:textId="12420419" w:rsidR="00793257" w:rsidRPr="00BA4BBA" w:rsidRDefault="00AE70F5" w:rsidP="00793257">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361</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7D06E5BB" w14:textId="7235BA89" w:rsidR="00793257" w:rsidRPr="00BA4BBA" w:rsidRDefault="00AE70F5" w:rsidP="00793257">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361</w:t>
            </w:r>
          </w:p>
        </w:tc>
      </w:tr>
      <w:tr w:rsidR="00793257" w:rsidRPr="00BA4BBA" w14:paraId="3AD7F732" w14:textId="77777777">
        <w:trPr>
          <w:trHeight w:hRule="exact" w:val="300"/>
        </w:trPr>
        <w:tc>
          <w:tcPr>
            <w:tcW w:w="1545" w:type="dxa"/>
            <w:shd w:val="clear" w:color="auto" w:fill="auto"/>
            <w:tcMar>
              <w:top w:w="20" w:type="dxa"/>
              <w:left w:w="20" w:type="dxa"/>
              <w:bottom w:w="20" w:type="dxa"/>
              <w:right w:w="20" w:type="dxa"/>
            </w:tcMar>
          </w:tcPr>
          <w:p w14:paraId="2C15EE5D" w14:textId="77777777" w:rsidR="00793257" w:rsidRPr="00BA4BBA" w:rsidRDefault="00793257" w:rsidP="00793257">
            <w:pPr>
              <w:pStyle w:val="T1TableStyle"/>
              <w:jc w:val="center"/>
              <w:rPr>
                <w:rFonts w:ascii="Verdana" w:eastAsia="Verdana" w:hAnsi="Verdana" w:cs="Verdana"/>
                <w:b/>
                <w:color w:val="000000"/>
                <w:sz w:val="2"/>
                <w:szCs w:val="22"/>
                <w:lang w:val="pt-BR"/>
              </w:rPr>
            </w:pPr>
            <w:r w:rsidRPr="00BA4BBA">
              <w:rPr>
                <w:rFonts w:ascii="Verdana" w:eastAsia="Verdana" w:hAnsi="Verdana" w:cs="Verdana"/>
                <w:b/>
                <w:color w:val="000000"/>
                <w:sz w:val="2"/>
                <w:szCs w:val="22"/>
                <w:lang w:val="pt-BR"/>
              </w:rPr>
              <w:t xml:space="preserve"> </w:t>
            </w:r>
          </w:p>
        </w:tc>
        <w:tc>
          <w:tcPr>
            <w:tcW w:w="1545" w:type="dxa"/>
            <w:shd w:val="clear" w:color="auto" w:fill="auto"/>
            <w:tcMar>
              <w:top w:w="20" w:type="dxa"/>
              <w:left w:w="20" w:type="dxa"/>
              <w:bottom w:w="20" w:type="dxa"/>
              <w:right w:w="20" w:type="dxa"/>
            </w:tcMar>
          </w:tcPr>
          <w:p w14:paraId="60662ADE" w14:textId="77777777" w:rsidR="00793257" w:rsidRPr="00BA4BBA" w:rsidRDefault="00793257" w:rsidP="00793257">
            <w:pPr>
              <w:pStyle w:val="T1TableStyle"/>
              <w:jc w:val="center"/>
              <w:rPr>
                <w:rFonts w:ascii="Verdana" w:eastAsia="Verdana" w:hAnsi="Verdana" w:cs="Verdana"/>
                <w:b/>
                <w:color w:val="000000"/>
                <w:sz w:val="2"/>
                <w:szCs w:val="22"/>
                <w:lang w:val="pt-BR"/>
              </w:rPr>
            </w:pPr>
            <w:r w:rsidRPr="00BA4BBA">
              <w:rPr>
                <w:rFonts w:ascii="Verdana" w:eastAsia="Verdana" w:hAnsi="Verdana" w:cs="Verdana"/>
                <w:b/>
                <w:color w:val="000000"/>
                <w:sz w:val="2"/>
                <w:szCs w:val="22"/>
                <w:lang w:val="pt-BR"/>
              </w:rPr>
              <w:t xml:space="preserve"> </w:t>
            </w:r>
          </w:p>
        </w:tc>
        <w:tc>
          <w:tcPr>
            <w:tcW w:w="180" w:type="dxa"/>
            <w:shd w:val="clear" w:color="auto" w:fill="auto"/>
            <w:tcMar>
              <w:top w:w="20" w:type="dxa"/>
              <w:left w:w="20" w:type="dxa"/>
              <w:bottom w:w="20" w:type="dxa"/>
              <w:right w:w="20" w:type="dxa"/>
            </w:tcMar>
          </w:tcPr>
          <w:p w14:paraId="4A87729F" w14:textId="77777777" w:rsidR="00793257" w:rsidRPr="00BA4BBA" w:rsidRDefault="00793257" w:rsidP="00793257">
            <w:pPr>
              <w:pStyle w:val="T1TableStyle"/>
              <w:jc w:val="center"/>
              <w:rPr>
                <w:rFonts w:ascii="Verdana" w:eastAsia="Verdana" w:hAnsi="Verdana" w:cs="Verdana"/>
                <w:b/>
                <w:color w:val="000000"/>
                <w:sz w:val="2"/>
                <w:szCs w:val="22"/>
                <w:lang w:val="pt-BR"/>
              </w:rPr>
            </w:pPr>
            <w:r w:rsidRPr="00BA4BBA">
              <w:rPr>
                <w:rFonts w:ascii="Verdana" w:eastAsia="Verdana" w:hAnsi="Verdana" w:cs="Verdana"/>
                <w:b/>
                <w:color w:val="000000"/>
                <w:sz w:val="2"/>
                <w:szCs w:val="22"/>
                <w:lang w:val="pt-BR"/>
              </w:rPr>
              <w:t xml:space="preserve"> </w:t>
            </w:r>
          </w:p>
        </w:tc>
        <w:tc>
          <w:tcPr>
            <w:tcW w:w="3435" w:type="dxa"/>
            <w:shd w:val="clear" w:color="auto" w:fill="auto"/>
            <w:tcMar>
              <w:top w:w="20" w:type="dxa"/>
              <w:left w:w="20" w:type="dxa"/>
              <w:bottom w:w="20" w:type="dxa"/>
              <w:right w:w="20" w:type="dxa"/>
            </w:tcMar>
          </w:tcPr>
          <w:p w14:paraId="49450DC9" w14:textId="77777777" w:rsidR="00793257" w:rsidRPr="00BA4BBA" w:rsidRDefault="00793257" w:rsidP="00793257">
            <w:pPr>
              <w:pStyle w:val="T1TableStyle"/>
              <w:jc w:val="center"/>
              <w:rPr>
                <w:rFonts w:ascii="Verdana" w:eastAsia="Verdana" w:hAnsi="Verdana" w:cs="Verdana"/>
                <w:b/>
                <w:color w:val="000000"/>
                <w:sz w:val="2"/>
                <w:szCs w:val="22"/>
                <w:lang w:val="pt-BR"/>
              </w:rPr>
            </w:pPr>
            <w:r w:rsidRPr="00BA4BBA">
              <w:rPr>
                <w:rFonts w:ascii="Verdana" w:eastAsia="Verdana" w:hAnsi="Verdana" w:cs="Verdana"/>
                <w:b/>
                <w:color w:val="000000"/>
                <w:sz w:val="2"/>
                <w:szCs w:val="22"/>
                <w:lang w:val="pt-BR"/>
              </w:rPr>
              <w:t xml:space="preserve"> </w:t>
            </w:r>
          </w:p>
        </w:tc>
        <w:tc>
          <w:tcPr>
            <w:tcW w:w="1545" w:type="dxa"/>
            <w:shd w:val="clear" w:color="auto" w:fill="auto"/>
            <w:tcMar>
              <w:top w:w="20" w:type="dxa"/>
              <w:left w:w="20" w:type="dxa"/>
              <w:bottom w:w="20" w:type="dxa"/>
              <w:right w:w="20" w:type="dxa"/>
            </w:tcMar>
          </w:tcPr>
          <w:p w14:paraId="792EB18E" w14:textId="77777777" w:rsidR="00793257" w:rsidRPr="00BA4BBA" w:rsidRDefault="00793257" w:rsidP="00793257">
            <w:pPr>
              <w:pStyle w:val="T1TableStyle"/>
              <w:jc w:val="center"/>
              <w:rPr>
                <w:rFonts w:ascii="Verdana" w:eastAsia="Verdana" w:hAnsi="Verdana" w:cs="Verdana"/>
                <w:b/>
                <w:color w:val="000000"/>
                <w:sz w:val="2"/>
                <w:szCs w:val="22"/>
                <w:lang w:val="pt-BR"/>
              </w:rPr>
            </w:pPr>
            <w:r w:rsidRPr="00BA4BBA">
              <w:rPr>
                <w:rFonts w:ascii="Verdana" w:eastAsia="Verdana" w:hAnsi="Verdana" w:cs="Verdana"/>
                <w:b/>
                <w:color w:val="000000"/>
                <w:sz w:val="2"/>
                <w:szCs w:val="22"/>
                <w:lang w:val="pt-BR"/>
              </w:rPr>
              <w:t xml:space="preserve"> </w:t>
            </w:r>
          </w:p>
        </w:tc>
        <w:tc>
          <w:tcPr>
            <w:tcW w:w="1545" w:type="dxa"/>
            <w:shd w:val="clear" w:color="auto" w:fill="auto"/>
            <w:tcMar>
              <w:top w:w="20" w:type="dxa"/>
              <w:left w:w="20" w:type="dxa"/>
              <w:bottom w:w="20" w:type="dxa"/>
              <w:right w:w="20" w:type="dxa"/>
            </w:tcMar>
          </w:tcPr>
          <w:p w14:paraId="0F5E971D" w14:textId="77777777" w:rsidR="00793257" w:rsidRPr="00BA4BBA" w:rsidRDefault="00793257" w:rsidP="00793257">
            <w:pPr>
              <w:pStyle w:val="T1TableStyle"/>
              <w:jc w:val="center"/>
              <w:rPr>
                <w:rFonts w:ascii="Verdana" w:eastAsia="Verdana" w:hAnsi="Verdana" w:cs="Verdana"/>
                <w:b/>
                <w:color w:val="000000"/>
                <w:sz w:val="2"/>
                <w:szCs w:val="22"/>
                <w:lang w:val="pt-BR"/>
              </w:rPr>
            </w:pPr>
            <w:r w:rsidRPr="00BA4BBA">
              <w:rPr>
                <w:rFonts w:ascii="Verdana" w:eastAsia="Verdana" w:hAnsi="Verdana" w:cs="Verdana"/>
                <w:b/>
                <w:color w:val="000000"/>
                <w:sz w:val="2"/>
                <w:szCs w:val="22"/>
                <w:lang w:val="pt-BR"/>
              </w:rPr>
              <w:t xml:space="preserve"> </w:t>
            </w:r>
          </w:p>
        </w:tc>
      </w:tr>
    </w:tbl>
    <w:p w14:paraId="7D5FF8A4" w14:textId="77777777" w:rsidR="00AE70F5" w:rsidRDefault="00AE70F5">
      <w:r>
        <w:br w:type="page"/>
      </w:r>
    </w:p>
    <w:tbl>
      <w:tblPr>
        <w:tblW w:w="0" w:type="auto"/>
        <w:tblLayout w:type="fixed"/>
        <w:tblLook w:val="04A0" w:firstRow="1" w:lastRow="0" w:firstColumn="1" w:lastColumn="0" w:noHBand="0" w:noVBand="1"/>
      </w:tblPr>
      <w:tblGrid>
        <w:gridCol w:w="1545"/>
        <w:gridCol w:w="1432"/>
        <w:gridCol w:w="293"/>
        <w:gridCol w:w="3435"/>
        <w:gridCol w:w="1545"/>
        <w:gridCol w:w="1545"/>
      </w:tblGrid>
      <w:tr w:rsidR="00793257" w:rsidRPr="003516A4" w14:paraId="648C7D9C" w14:textId="77777777">
        <w:trPr>
          <w:trHeight w:val="300"/>
        </w:trPr>
        <w:tc>
          <w:tcPr>
            <w:tcW w:w="9795" w:type="dxa"/>
            <w:gridSpan w:val="6"/>
            <w:shd w:val="clear" w:color="auto" w:fill="auto"/>
            <w:tcMar>
              <w:top w:w="20" w:type="dxa"/>
              <w:left w:w="20" w:type="dxa"/>
              <w:bottom w:w="20" w:type="dxa"/>
              <w:right w:w="20" w:type="dxa"/>
            </w:tcMar>
            <w:vAlign w:val="bottom"/>
          </w:tcPr>
          <w:p w14:paraId="0A3313D5" w14:textId="66C06141" w:rsidR="00793257" w:rsidRPr="00BA4BBA" w:rsidRDefault="00793257" w:rsidP="00793257">
            <w:pPr>
              <w:pStyle w:val="T1TableStyle"/>
              <w:rPr>
                <w:rFonts w:ascii="Verdana" w:eastAsia="Verdana" w:hAnsi="Verdana" w:cs="Verdana"/>
                <w:color w:val="000000"/>
                <w:sz w:val="16"/>
                <w:szCs w:val="22"/>
                <w:lang w:val="pt-BR"/>
              </w:rPr>
            </w:pPr>
            <w:r w:rsidRPr="00BA4BBA">
              <w:rPr>
                <w:rFonts w:ascii="Verdana" w:eastAsia="Verdana" w:hAnsi="Verdana" w:cs="Verdana"/>
                <w:color w:val="000000"/>
                <w:sz w:val="16"/>
                <w:szCs w:val="22"/>
                <w:lang w:val="pt-BR"/>
              </w:rPr>
              <w:t>The surplus or deficit on the provision of services has been adjusted for the following non-cash movements:</w:t>
            </w:r>
          </w:p>
        </w:tc>
      </w:tr>
      <w:tr w:rsidR="00793257" w:rsidRPr="003516A4" w14:paraId="3D2A4733" w14:textId="77777777" w:rsidTr="00AE70F5">
        <w:trPr>
          <w:trHeight w:hRule="exact" w:val="94"/>
        </w:trPr>
        <w:tc>
          <w:tcPr>
            <w:tcW w:w="1545" w:type="dxa"/>
            <w:shd w:val="clear" w:color="auto" w:fill="auto"/>
            <w:tcMar>
              <w:top w:w="20" w:type="dxa"/>
              <w:left w:w="20" w:type="dxa"/>
              <w:bottom w:w="20" w:type="dxa"/>
              <w:right w:w="20" w:type="dxa"/>
            </w:tcMar>
            <w:vAlign w:val="bottom"/>
          </w:tcPr>
          <w:p w14:paraId="7CBBC274" w14:textId="61071AFB" w:rsidR="00793257" w:rsidRPr="003516A4" w:rsidRDefault="00793257" w:rsidP="00793257">
            <w:pPr>
              <w:pStyle w:val="T1TableStyle"/>
              <w:jc w:val="center"/>
              <w:rPr>
                <w:rFonts w:ascii="Calibri" w:eastAsia="Calibri" w:hAnsi="Calibri" w:cs="Calibri"/>
                <w:color w:val="000000"/>
                <w:sz w:val="2"/>
                <w:szCs w:val="22"/>
                <w:highlight w:val="yellow"/>
                <w:lang w:val="pt-BR"/>
              </w:rPr>
            </w:pPr>
          </w:p>
        </w:tc>
        <w:tc>
          <w:tcPr>
            <w:tcW w:w="1432" w:type="dxa"/>
            <w:shd w:val="clear" w:color="auto" w:fill="auto"/>
            <w:tcMar>
              <w:top w:w="20" w:type="dxa"/>
              <w:left w:w="20" w:type="dxa"/>
              <w:bottom w:w="20" w:type="dxa"/>
              <w:right w:w="20" w:type="dxa"/>
            </w:tcMar>
            <w:vAlign w:val="bottom"/>
          </w:tcPr>
          <w:p w14:paraId="4A1FD4DA" w14:textId="77777777" w:rsidR="00793257" w:rsidRPr="003516A4" w:rsidRDefault="00793257" w:rsidP="00793257">
            <w:pPr>
              <w:pStyle w:val="T1TableStyle"/>
              <w:rPr>
                <w:rFonts w:ascii="Verdana" w:eastAsia="Verdana" w:hAnsi="Verdana" w:cs="Verdana"/>
                <w:color w:val="000000"/>
                <w:sz w:val="2"/>
                <w:szCs w:val="22"/>
                <w:highlight w:val="yellow"/>
                <w:lang w:val="pt-BR"/>
              </w:rPr>
            </w:pPr>
            <w:r w:rsidRPr="003516A4">
              <w:rPr>
                <w:rFonts w:ascii="Verdana" w:eastAsia="Verdana" w:hAnsi="Verdana" w:cs="Verdana"/>
                <w:color w:val="000000"/>
                <w:sz w:val="2"/>
                <w:szCs w:val="22"/>
                <w:highlight w:val="yellow"/>
                <w:lang w:val="pt-BR"/>
              </w:rPr>
              <w:t xml:space="preserve"> </w:t>
            </w:r>
          </w:p>
        </w:tc>
        <w:tc>
          <w:tcPr>
            <w:tcW w:w="293" w:type="dxa"/>
            <w:shd w:val="clear" w:color="auto" w:fill="auto"/>
            <w:tcMar>
              <w:top w:w="20" w:type="dxa"/>
              <w:left w:w="20" w:type="dxa"/>
              <w:bottom w:w="20" w:type="dxa"/>
              <w:right w:w="20" w:type="dxa"/>
            </w:tcMar>
            <w:vAlign w:val="bottom"/>
          </w:tcPr>
          <w:p w14:paraId="42357AA6" w14:textId="77777777" w:rsidR="00793257" w:rsidRPr="003516A4" w:rsidRDefault="00793257" w:rsidP="00793257">
            <w:pPr>
              <w:pStyle w:val="T1TableStyle"/>
              <w:rPr>
                <w:rFonts w:ascii="Verdana" w:eastAsia="Verdana" w:hAnsi="Verdana" w:cs="Verdana"/>
                <w:color w:val="000000"/>
                <w:sz w:val="2"/>
                <w:szCs w:val="22"/>
                <w:highlight w:val="yellow"/>
                <w:lang w:val="pt-BR"/>
              </w:rPr>
            </w:pPr>
            <w:r w:rsidRPr="003516A4">
              <w:rPr>
                <w:rFonts w:ascii="Verdana" w:eastAsia="Verdana" w:hAnsi="Verdana" w:cs="Verdana"/>
                <w:color w:val="000000"/>
                <w:sz w:val="2"/>
                <w:szCs w:val="22"/>
                <w:highlight w:val="yellow"/>
                <w:lang w:val="pt-BR"/>
              </w:rPr>
              <w:t xml:space="preserve"> </w:t>
            </w:r>
          </w:p>
        </w:tc>
        <w:tc>
          <w:tcPr>
            <w:tcW w:w="3435" w:type="dxa"/>
            <w:shd w:val="clear" w:color="auto" w:fill="auto"/>
            <w:tcMar>
              <w:top w:w="20" w:type="dxa"/>
              <w:left w:w="20" w:type="dxa"/>
              <w:bottom w:w="20" w:type="dxa"/>
              <w:right w:w="20" w:type="dxa"/>
            </w:tcMar>
            <w:vAlign w:val="bottom"/>
          </w:tcPr>
          <w:p w14:paraId="18AF08C6" w14:textId="77777777" w:rsidR="00793257" w:rsidRPr="003516A4" w:rsidRDefault="00793257" w:rsidP="00793257">
            <w:pPr>
              <w:pStyle w:val="T1TableStyle"/>
              <w:rPr>
                <w:rFonts w:ascii="Verdana" w:eastAsia="Verdana" w:hAnsi="Verdana" w:cs="Verdana"/>
                <w:color w:val="000000"/>
                <w:sz w:val="2"/>
                <w:szCs w:val="22"/>
                <w:highlight w:val="yellow"/>
                <w:lang w:val="pt-BR"/>
              </w:rPr>
            </w:pPr>
            <w:r w:rsidRPr="003516A4">
              <w:rPr>
                <w:rFonts w:ascii="Verdana" w:eastAsia="Verdana" w:hAnsi="Verdana" w:cs="Verdana"/>
                <w:color w:val="000000"/>
                <w:sz w:val="2"/>
                <w:szCs w:val="22"/>
                <w:highlight w:val="yellow"/>
                <w:lang w:val="pt-BR"/>
              </w:rPr>
              <w:t xml:space="preserve"> </w:t>
            </w:r>
          </w:p>
        </w:tc>
        <w:tc>
          <w:tcPr>
            <w:tcW w:w="1545" w:type="dxa"/>
            <w:shd w:val="clear" w:color="auto" w:fill="auto"/>
            <w:tcMar>
              <w:top w:w="20" w:type="dxa"/>
              <w:left w:w="20" w:type="dxa"/>
              <w:bottom w:w="20" w:type="dxa"/>
              <w:right w:w="20" w:type="dxa"/>
            </w:tcMar>
            <w:vAlign w:val="bottom"/>
          </w:tcPr>
          <w:p w14:paraId="0DF05EF0" w14:textId="77777777" w:rsidR="00793257" w:rsidRPr="003516A4" w:rsidRDefault="00793257" w:rsidP="00793257">
            <w:pPr>
              <w:pStyle w:val="T1TableStyle"/>
              <w:rPr>
                <w:rFonts w:ascii="Verdana" w:eastAsia="Verdana" w:hAnsi="Verdana" w:cs="Verdana"/>
                <w:color w:val="000000"/>
                <w:sz w:val="2"/>
                <w:szCs w:val="22"/>
                <w:highlight w:val="yellow"/>
                <w:lang w:val="pt-BR"/>
              </w:rPr>
            </w:pPr>
            <w:r w:rsidRPr="003516A4">
              <w:rPr>
                <w:rFonts w:ascii="Verdana" w:eastAsia="Verdana" w:hAnsi="Verdana" w:cs="Verdana"/>
                <w:color w:val="000000"/>
                <w:sz w:val="2"/>
                <w:szCs w:val="22"/>
                <w:highlight w:val="yellow"/>
                <w:lang w:val="pt-BR"/>
              </w:rPr>
              <w:t xml:space="preserve"> </w:t>
            </w:r>
          </w:p>
        </w:tc>
        <w:tc>
          <w:tcPr>
            <w:tcW w:w="1545" w:type="dxa"/>
            <w:shd w:val="clear" w:color="auto" w:fill="auto"/>
            <w:tcMar>
              <w:top w:w="20" w:type="dxa"/>
              <w:left w:w="20" w:type="dxa"/>
              <w:bottom w:w="20" w:type="dxa"/>
              <w:right w:w="20" w:type="dxa"/>
            </w:tcMar>
            <w:vAlign w:val="bottom"/>
          </w:tcPr>
          <w:p w14:paraId="5976C9D8" w14:textId="77777777" w:rsidR="00793257" w:rsidRPr="003516A4" w:rsidRDefault="00793257" w:rsidP="00793257">
            <w:pPr>
              <w:pStyle w:val="T1TableStyle"/>
              <w:rPr>
                <w:rFonts w:ascii="Verdana" w:eastAsia="Verdana" w:hAnsi="Verdana" w:cs="Verdana"/>
                <w:color w:val="000000"/>
                <w:sz w:val="2"/>
                <w:szCs w:val="22"/>
                <w:highlight w:val="yellow"/>
                <w:lang w:val="pt-BR"/>
              </w:rPr>
            </w:pPr>
            <w:r w:rsidRPr="003516A4">
              <w:rPr>
                <w:rFonts w:ascii="Verdana" w:eastAsia="Verdana" w:hAnsi="Verdana" w:cs="Verdana"/>
                <w:color w:val="000000"/>
                <w:sz w:val="2"/>
                <w:szCs w:val="22"/>
                <w:highlight w:val="yellow"/>
                <w:lang w:val="pt-BR"/>
              </w:rPr>
              <w:t xml:space="preserve"> </w:t>
            </w:r>
          </w:p>
        </w:tc>
      </w:tr>
      <w:tr w:rsidR="00793257" w:rsidRPr="00A95292" w14:paraId="11E93ADF" w14:textId="77777777" w:rsidTr="00AE70F5">
        <w:trPr>
          <w:trHeight w:val="300"/>
        </w:trPr>
        <w:tc>
          <w:tcPr>
            <w:tcW w:w="2977" w:type="dxa"/>
            <w:gridSpan w:val="2"/>
            <w:shd w:val="clear" w:color="auto" w:fill="auto"/>
            <w:tcMar>
              <w:top w:w="20" w:type="dxa"/>
              <w:left w:w="20" w:type="dxa"/>
              <w:bottom w:w="20" w:type="dxa"/>
              <w:right w:w="20" w:type="dxa"/>
            </w:tcMar>
            <w:vAlign w:val="bottom"/>
          </w:tcPr>
          <w:p w14:paraId="19FA404D" w14:textId="77777777" w:rsidR="00793257" w:rsidRPr="00A95292" w:rsidRDefault="00793257" w:rsidP="00793257">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31 March 2020</w:t>
            </w:r>
          </w:p>
        </w:tc>
        <w:tc>
          <w:tcPr>
            <w:tcW w:w="293" w:type="dxa"/>
            <w:shd w:val="clear" w:color="auto" w:fill="auto"/>
            <w:tcMar>
              <w:top w:w="20" w:type="dxa"/>
              <w:left w:w="20" w:type="dxa"/>
              <w:bottom w:w="20" w:type="dxa"/>
              <w:right w:w="20" w:type="dxa"/>
            </w:tcMar>
            <w:vAlign w:val="bottom"/>
          </w:tcPr>
          <w:p w14:paraId="30819C78" w14:textId="77777777" w:rsidR="00793257" w:rsidRPr="00A95292" w:rsidRDefault="00793257" w:rsidP="00793257">
            <w:pPr>
              <w:pStyle w:val="T1TableStyle"/>
              <w:rPr>
                <w:rFonts w:ascii="Verdana" w:eastAsia="Verdana" w:hAnsi="Verdana" w:cs="Verdana"/>
                <w:color w:val="000000"/>
                <w:sz w:val="2"/>
                <w:szCs w:val="22"/>
                <w:lang w:val="pt-BR"/>
              </w:rPr>
            </w:pPr>
            <w:r w:rsidRPr="00A95292">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14:paraId="775C80E8" w14:textId="77777777" w:rsidR="00793257" w:rsidRPr="00A95292" w:rsidRDefault="00793257" w:rsidP="00793257">
            <w:pPr>
              <w:pStyle w:val="T1TableStyle"/>
              <w:rPr>
                <w:rFonts w:ascii="Verdana" w:eastAsia="Verdana" w:hAnsi="Verdana" w:cs="Verdana"/>
                <w:color w:val="000000"/>
                <w:sz w:val="2"/>
                <w:szCs w:val="22"/>
                <w:lang w:val="pt-BR"/>
              </w:rPr>
            </w:pPr>
            <w:r w:rsidRPr="00A95292">
              <w:rPr>
                <w:rFonts w:ascii="Verdana" w:eastAsia="Verdana" w:hAnsi="Verdana" w:cs="Verdana"/>
                <w:color w:val="000000"/>
                <w:sz w:val="2"/>
                <w:szCs w:val="22"/>
                <w:lang w:val="pt-BR"/>
              </w:rPr>
              <w:t xml:space="preserve"> </w:t>
            </w:r>
          </w:p>
        </w:tc>
        <w:tc>
          <w:tcPr>
            <w:tcW w:w="3090" w:type="dxa"/>
            <w:gridSpan w:val="2"/>
            <w:shd w:val="clear" w:color="auto" w:fill="auto"/>
            <w:tcMar>
              <w:top w:w="20" w:type="dxa"/>
              <w:left w:w="20" w:type="dxa"/>
              <w:bottom w:w="20" w:type="dxa"/>
              <w:right w:w="20" w:type="dxa"/>
            </w:tcMar>
            <w:vAlign w:val="bottom"/>
          </w:tcPr>
          <w:p w14:paraId="32CA31E7" w14:textId="77777777" w:rsidR="00793257" w:rsidRPr="00A95292" w:rsidRDefault="00793257" w:rsidP="00793257">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31 March 2021</w:t>
            </w:r>
          </w:p>
        </w:tc>
      </w:tr>
      <w:tr w:rsidR="00793257" w:rsidRPr="00A95292" w14:paraId="7B7BEF5C" w14:textId="77777777" w:rsidTr="00AE70F5">
        <w:trPr>
          <w:trHeight w:val="54"/>
        </w:trPr>
        <w:tc>
          <w:tcPr>
            <w:tcW w:w="1545" w:type="dxa"/>
            <w:shd w:val="clear" w:color="auto" w:fill="auto"/>
            <w:tcMar>
              <w:top w:w="20" w:type="dxa"/>
              <w:left w:w="20" w:type="dxa"/>
              <w:bottom w:w="20" w:type="dxa"/>
              <w:right w:w="20" w:type="dxa"/>
            </w:tcMar>
            <w:vAlign w:val="bottom"/>
          </w:tcPr>
          <w:p w14:paraId="3B842938" w14:textId="2F5C3933" w:rsidR="00793257" w:rsidRPr="00A95292" w:rsidRDefault="00793257">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PC</w:t>
            </w:r>
          </w:p>
        </w:tc>
        <w:tc>
          <w:tcPr>
            <w:tcW w:w="1432" w:type="dxa"/>
            <w:shd w:val="clear" w:color="auto" w:fill="auto"/>
            <w:tcMar>
              <w:top w:w="20" w:type="dxa"/>
              <w:left w:w="20" w:type="dxa"/>
              <w:bottom w:w="20" w:type="dxa"/>
              <w:right w:w="20" w:type="dxa"/>
            </w:tcMar>
            <w:vAlign w:val="bottom"/>
          </w:tcPr>
          <w:p w14:paraId="582E29A0" w14:textId="77777777" w:rsidR="00793257" w:rsidRPr="00A95292" w:rsidRDefault="00793257" w:rsidP="00793257">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Group</w:t>
            </w:r>
          </w:p>
        </w:tc>
        <w:tc>
          <w:tcPr>
            <w:tcW w:w="293" w:type="dxa"/>
            <w:shd w:val="clear" w:color="auto" w:fill="auto"/>
            <w:tcMar>
              <w:top w:w="20" w:type="dxa"/>
              <w:left w:w="20" w:type="dxa"/>
              <w:bottom w:w="20" w:type="dxa"/>
              <w:right w:w="20" w:type="dxa"/>
            </w:tcMar>
            <w:vAlign w:val="bottom"/>
          </w:tcPr>
          <w:p w14:paraId="7DFFC89F" w14:textId="77777777" w:rsidR="00793257" w:rsidRPr="00A95292" w:rsidRDefault="00793257" w:rsidP="00793257">
            <w:pPr>
              <w:pStyle w:val="T1TableStyle"/>
              <w:jc w:val="center"/>
              <w:rPr>
                <w:rFonts w:ascii="Calibri" w:eastAsia="Calibri" w:hAnsi="Calibri" w:cs="Calibri"/>
                <w:color w:val="000000"/>
                <w:sz w:val="2"/>
                <w:szCs w:val="22"/>
                <w:lang w:val="pt-BR"/>
              </w:rPr>
            </w:pPr>
            <w:r w:rsidRPr="00A95292">
              <w:rPr>
                <w:rFonts w:ascii="Calibri" w:eastAsia="Calibri" w:hAnsi="Calibri" w:cs="Calibri"/>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14:paraId="58C0725F" w14:textId="77777777" w:rsidR="00793257" w:rsidRPr="00A95292" w:rsidRDefault="00793257" w:rsidP="00793257">
            <w:pPr>
              <w:pStyle w:val="T1TableStyle"/>
              <w:jc w:val="center"/>
              <w:rPr>
                <w:rFonts w:ascii="Calibri" w:eastAsia="Calibri" w:hAnsi="Calibri" w:cs="Calibri"/>
                <w:color w:val="000000"/>
                <w:sz w:val="2"/>
                <w:szCs w:val="22"/>
                <w:lang w:val="pt-BR"/>
              </w:rPr>
            </w:pPr>
            <w:r w:rsidRPr="00A95292">
              <w:rPr>
                <w:rFonts w:ascii="Calibri" w:eastAsia="Calibri" w:hAnsi="Calibri" w:cs="Calibri"/>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14:paraId="69F09507" w14:textId="77777777" w:rsidR="00793257" w:rsidRPr="00A95292" w:rsidRDefault="00793257" w:rsidP="00793257">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14:paraId="4D922AAC" w14:textId="77777777" w:rsidR="00793257" w:rsidRPr="00A95292" w:rsidRDefault="00793257" w:rsidP="00793257">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Group</w:t>
            </w:r>
          </w:p>
        </w:tc>
      </w:tr>
      <w:tr w:rsidR="00793257" w:rsidRPr="00A95292" w14:paraId="2F18E3D6" w14:textId="77777777" w:rsidTr="00AE70F5">
        <w:trPr>
          <w:trHeight w:val="54"/>
        </w:trPr>
        <w:tc>
          <w:tcPr>
            <w:tcW w:w="1545" w:type="dxa"/>
            <w:tcBorders>
              <w:bottom w:val="single" w:sz="2" w:space="0" w:color="000000"/>
            </w:tcBorders>
            <w:shd w:val="clear" w:color="auto" w:fill="auto"/>
            <w:tcMar>
              <w:top w:w="20" w:type="dxa"/>
              <w:left w:w="20" w:type="dxa"/>
              <w:bottom w:w="20" w:type="dxa"/>
              <w:right w:w="20" w:type="dxa"/>
            </w:tcMar>
          </w:tcPr>
          <w:p w14:paraId="5C9A8552" w14:textId="77777777" w:rsidR="00793257" w:rsidRPr="00A95292" w:rsidRDefault="00793257" w:rsidP="00793257">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£000</w:t>
            </w:r>
          </w:p>
        </w:tc>
        <w:tc>
          <w:tcPr>
            <w:tcW w:w="1432" w:type="dxa"/>
            <w:tcBorders>
              <w:bottom w:val="single" w:sz="2" w:space="0" w:color="000000"/>
            </w:tcBorders>
            <w:shd w:val="clear" w:color="auto" w:fill="auto"/>
            <w:tcMar>
              <w:top w:w="20" w:type="dxa"/>
              <w:left w:w="20" w:type="dxa"/>
              <w:bottom w:w="20" w:type="dxa"/>
              <w:right w:w="20" w:type="dxa"/>
            </w:tcMar>
          </w:tcPr>
          <w:p w14:paraId="2EF98005" w14:textId="77777777" w:rsidR="00793257" w:rsidRPr="00A95292" w:rsidRDefault="00793257" w:rsidP="00793257">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£000</w:t>
            </w:r>
          </w:p>
        </w:tc>
        <w:tc>
          <w:tcPr>
            <w:tcW w:w="293" w:type="dxa"/>
            <w:tcBorders>
              <w:bottom w:val="single" w:sz="2" w:space="0" w:color="000000"/>
            </w:tcBorders>
            <w:shd w:val="clear" w:color="auto" w:fill="auto"/>
            <w:tcMar>
              <w:top w:w="20" w:type="dxa"/>
              <w:left w:w="20" w:type="dxa"/>
              <w:bottom w:w="20" w:type="dxa"/>
              <w:right w:w="20" w:type="dxa"/>
            </w:tcMar>
          </w:tcPr>
          <w:p w14:paraId="34B10281" w14:textId="77777777" w:rsidR="00793257" w:rsidRPr="00A95292" w:rsidRDefault="00793257" w:rsidP="00793257">
            <w:pPr>
              <w:pStyle w:val="T1TableStyle"/>
              <w:jc w:val="right"/>
              <w:rPr>
                <w:rFonts w:ascii="Verdana" w:eastAsia="Verdana" w:hAnsi="Verdana" w:cs="Verdana"/>
                <w:b/>
                <w:color w:val="000000"/>
                <w:sz w:val="2"/>
                <w:szCs w:val="22"/>
                <w:lang w:val="pt-BR"/>
              </w:rPr>
            </w:pPr>
            <w:r w:rsidRPr="00A95292">
              <w:rPr>
                <w:rFonts w:ascii="Verdana" w:eastAsia="Verdana" w:hAnsi="Verdana" w:cs="Verdana"/>
                <w:b/>
                <w:color w:val="000000"/>
                <w:sz w:val="2"/>
                <w:szCs w:val="22"/>
                <w:lang w:val="pt-BR"/>
              </w:rPr>
              <w:t xml:space="preserve"> </w:t>
            </w:r>
          </w:p>
        </w:tc>
        <w:tc>
          <w:tcPr>
            <w:tcW w:w="3435" w:type="dxa"/>
            <w:tcBorders>
              <w:bottom w:val="single" w:sz="2" w:space="0" w:color="000000"/>
            </w:tcBorders>
            <w:shd w:val="clear" w:color="auto" w:fill="auto"/>
            <w:tcMar>
              <w:top w:w="20" w:type="dxa"/>
              <w:left w:w="20" w:type="dxa"/>
              <w:bottom w:w="20" w:type="dxa"/>
              <w:right w:w="20" w:type="dxa"/>
            </w:tcMar>
          </w:tcPr>
          <w:p w14:paraId="05B9DBAB" w14:textId="77777777" w:rsidR="00793257" w:rsidRPr="00A95292" w:rsidRDefault="00793257" w:rsidP="00793257">
            <w:pPr>
              <w:pStyle w:val="T1TableStyle"/>
              <w:jc w:val="right"/>
              <w:rPr>
                <w:rFonts w:ascii="Verdana" w:eastAsia="Verdana" w:hAnsi="Verdana" w:cs="Verdana"/>
                <w:b/>
                <w:color w:val="000000"/>
                <w:sz w:val="2"/>
                <w:szCs w:val="22"/>
                <w:lang w:val="pt-BR"/>
              </w:rPr>
            </w:pPr>
            <w:r w:rsidRPr="00A95292">
              <w:rPr>
                <w:rFonts w:ascii="Verdana" w:eastAsia="Verdana" w:hAnsi="Verdana" w:cs="Verdana"/>
                <w:b/>
                <w:color w:val="000000"/>
                <w:sz w:val="2"/>
                <w:szCs w:val="22"/>
                <w:lang w:val="pt-BR"/>
              </w:rPr>
              <w:t xml:space="preserve"> </w:t>
            </w:r>
          </w:p>
        </w:tc>
        <w:tc>
          <w:tcPr>
            <w:tcW w:w="1545" w:type="dxa"/>
            <w:tcBorders>
              <w:bottom w:val="single" w:sz="2" w:space="0" w:color="000000"/>
            </w:tcBorders>
            <w:shd w:val="clear" w:color="auto" w:fill="auto"/>
            <w:tcMar>
              <w:top w:w="20" w:type="dxa"/>
              <w:left w:w="20" w:type="dxa"/>
              <w:bottom w:w="20" w:type="dxa"/>
              <w:right w:w="20" w:type="dxa"/>
            </w:tcMar>
          </w:tcPr>
          <w:p w14:paraId="462CE991" w14:textId="77777777" w:rsidR="00793257" w:rsidRPr="00A95292" w:rsidRDefault="00793257" w:rsidP="00793257">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14:paraId="44092D3A" w14:textId="77777777" w:rsidR="00793257" w:rsidRPr="00A95292" w:rsidRDefault="00793257" w:rsidP="00793257">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£000</w:t>
            </w:r>
          </w:p>
        </w:tc>
      </w:tr>
      <w:tr w:rsidR="00793257" w:rsidRPr="00A95292" w14:paraId="3C4CED61" w14:textId="77777777" w:rsidTr="00AE70F5">
        <w:trPr>
          <w:trHeight w:val="300"/>
        </w:trPr>
        <w:tc>
          <w:tcPr>
            <w:tcW w:w="1545" w:type="dxa"/>
            <w:shd w:val="clear" w:color="auto" w:fill="auto"/>
            <w:tcMar>
              <w:top w:w="20" w:type="dxa"/>
              <w:left w:w="20" w:type="dxa"/>
              <w:bottom w:w="20" w:type="dxa"/>
              <w:right w:w="20" w:type="dxa"/>
            </w:tcMar>
          </w:tcPr>
          <w:p w14:paraId="68E95372"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(7,339)</w:t>
            </w:r>
          </w:p>
        </w:tc>
        <w:tc>
          <w:tcPr>
            <w:tcW w:w="1432" w:type="dxa"/>
            <w:shd w:val="clear" w:color="auto" w:fill="auto"/>
            <w:tcMar>
              <w:top w:w="20" w:type="dxa"/>
              <w:left w:w="20" w:type="dxa"/>
              <w:bottom w:w="20" w:type="dxa"/>
              <w:right w:w="20" w:type="dxa"/>
            </w:tcMar>
          </w:tcPr>
          <w:p w14:paraId="5A3319EC"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(7,339)</w:t>
            </w:r>
          </w:p>
        </w:tc>
        <w:tc>
          <w:tcPr>
            <w:tcW w:w="293" w:type="dxa"/>
            <w:shd w:val="clear" w:color="auto" w:fill="auto"/>
            <w:tcMar>
              <w:top w:w="20" w:type="dxa"/>
              <w:left w:w="20" w:type="dxa"/>
              <w:bottom w:w="20" w:type="dxa"/>
              <w:right w:w="20" w:type="dxa"/>
            </w:tcMar>
          </w:tcPr>
          <w:p w14:paraId="757666F2" w14:textId="77777777" w:rsidR="00793257" w:rsidRPr="00A95292" w:rsidRDefault="00793257" w:rsidP="00793257">
            <w:pPr>
              <w:pStyle w:val="T1TableStyle"/>
              <w:jc w:val="center"/>
              <w:rPr>
                <w:rFonts w:ascii="Verdana" w:eastAsia="Verdana" w:hAnsi="Verdana" w:cs="Verdana"/>
                <w:color w:val="000000"/>
                <w:sz w:val="2"/>
                <w:szCs w:val="22"/>
                <w:lang w:val="pt-BR"/>
              </w:rPr>
            </w:pPr>
            <w:r w:rsidRPr="00A95292">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14:paraId="5A58478D" w14:textId="77777777" w:rsidR="00793257" w:rsidRPr="00A95292" w:rsidRDefault="00793257" w:rsidP="00793257">
            <w:pPr>
              <w:pStyle w:val="T1TableStyle"/>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Depreciation</w:t>
            </w:r>
          </w:p>
        </w:tc>
        <w:tc>
          <w:tcPr>
            <w:tcW w:w="1545" w:type="dxa"/>
            <w:shd w:val="clear" w:color="auto" w:fill="auto"/>
            <w:tcMar>
              <w:top w:w="20" w:type="dxa"/>
              <w:left w:w="20" w:type="dxa"/>
              <w:bottom w:w="20" w:type="dxa"/>
              <w:right w:w="20" w:type="dxa"/>
            </w:tcMar>
          </w:tcPr>
          <w:p w14:paraId="07BDCCF5" w14:textId="77777777" w:rsidR="00793257" w:rsidRPr="00A95292" w:rsidRDefault="00A95292"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(7,516)</w:t>
            </w:r>
          </w:p>
        </w:tc>
        <w:tc>
          <w:tcPr>
            <w:tcW w:w="1545" w:type="dxa"/>
            <w:shd w:val="clear" w:color="auto" w:fill="auto"/>
            <w:tcMar>
              <w:top w:w="20" w:type="dxa"/>
              <w:left w:w="20" w:type="dxa"/>
              <w:bottom w:w="20" w:type="dxa"/>
              <w:right w:w="20" w:type="dxa"/>
            </w:tcMar>
          </w:tcPr>
          <w:p w14:paraId="176C9997" w14:textId="77777777" w:rsidR="00793257" w:rsidRPr="00A95292" w:rsidRDefault="00395276"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(7,516)</w:t>
            </w:r>
          </w:p>
        </w:tc>
      </w:tr>
      <w:tr w:rsidR="00793257" w:rsidRPr="00A95292" w14:paraId="2EFC3B74" w14:textId="77777777" w:rsidTr="00AE70F5">
        <w:trPr>
          <w:trHeight w:val="315"/>
        </w:trPr>
        <w:tc>
          <w:tcPr>
            <w:tcW w:w="1545" w:type="dxa"/>
            <w:shd w:val="clear" w:color="auto" w:fill="auto"/>
            <w:tcMar>
              <w:top w:w="20" w:type="dxa"/>
              <w:left w:w="20" w:type="dxa"/>
              <w:bottom w:w="20" w:type="dxa"/>
              <w:right w:w="20" w:type="dxa"/>
            </w:tcMar>
          </w:tcPr>
          <w:p w14:paraId="6E3B6C91"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(2,081)</w:t>
            </w:r>
          </w:p>
        </w:tc>
        <w:tc>
          <w:tcPr>
            <w:tcW w:w="1432" w:type="dxa"/>
            <w:shd w:val="clear" w:color="auto" w:fill="auto"/>
            <w:tcMar>
              <w:top w:w="20" w:type="dxa"/>
              <w:left w:w="20" w:type="dxa"/>
              <w:bottom w:w="20" w:type="dxa"/>
              <w:right w:w="20" w:type="dxa"/>
            </w:tcMar>
          </w:tcPr>
          <w:p w14:paraId="78C0D7B4"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(2,081)</w:t>
            </w:r>
          </w:p>
        </w:tc>
        <w:tc>
          <w:tcPr>
            <w:tcW w:w="293" w:type="dxa"/>
            <w:shd w:val="clear" w:color="auto" w:fill="auto"/>
            <w:tcMar>
              <w:top w:w="20" w:type="dxa"/>
              <w:left w:w="20" w:type="dxa"/>
              <w:bottom w:w="20" w:type="dxa"/>
              <w:right w:w="20" w:type="dxa"/>
            </w:tcMar>
          </w:tcPr>
          <w:p w14:paraId="19201D4A" w14:textId="77777777" w:rsidR="00793257" w:rsidRPr="00A95292" w:rsidRDefault="00793257" w:rsidP="00793257">
            <w:pPr>
              <w:pStyle w:val="T1TableStyle"/>
              <w:jc w:val="center"/>
              <w:rPr>
                <w:rFonts w:ascii="Verdana" w:eastAsia="Verdana" w:hAnsi="Verdana" w:cs="Verdana"/>
                <w:color w:val="000000"/>
                <w:sz w:val="2"/>
                <w:szCs w:val="22"/>
                <w:lang w:val="pt-BR"/>
              </w:rPr>
            </w:pPr>
            <w:r w:rsidRPr="00A95292">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14:paraId="00104DF8" w14:textId="77777777" w:rsidR="00793257" w:rsidRPr="00A95292" w:rsidRDefault="00793257" w:rsidP="00793257">
            <w:pPr>
              <w:pStyle w:val="T1TableStyle"/>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Impairment and downward valuations</w:t>
            </w:r>
          </w:p>
        </w:tc>
        <w:tc>
          <w:tcPr>
            <w:tcW w:w="1545" w:type="dxa"/>
            <w:shd w:val="clear" w:color="auto" w:fill="auto"/>
            <w:tcMar>
              <w:top w:w="20" w:type="dxa"/>
              <w:left w:w="20" w:type="dxa"/>
              <w:bottom w:w="20" w:type="dxa"/>
              <w:right w:w="20" w:type="dxa"/>
            </w:tcMar>
          </w:tcPr>
          <w:p w14:paraId="0C8BCB69" w14:textId="77777777" w:rsidR="00793257" w:rsidRPr="00A95292" w:rsidRDefault="00A95292"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(2,019)</w:t>
            </w:r>
          </w:p>
        </w:tc>
        <w:tc>
          <w:tcPr>
            <w:tcW w:w="1545" w:type="dxa"/>
            <w:shd w:val="clear" w:color="auto" w:fill="auto"/>
            <w:tcMar>
              <w:top w:w="20" w:type="dxa"/>
              <w:left w:w="20" w:type="dxa"/>
              <w:bottom w:w="20" w:type="dxa"/>
              <w:right w:w="20" w:type="dxa"/>
            </w:tcMar>
          </w:tcPr>
          <w:p w14:paraId="6A0723FB" w14:textId="77777777" w:rsidR="00793257" w:rsidRPr="00A95292" w:rsidRDefault="00395276"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(2,019)</w:t>
            </w:r>
          </w:p>
        </w:tc>
      </w:tr>
      <w:tr w:rsidR="00793257" w:rsidRPr="00A95292" w14:paraId="4FC87253" w14:textId="77777777" w:rsidTr="00AE70F5">
        <w:trPr>
          <w:trHeight w:val="300"/>
        </w:trPr>
        <w:tc>
          <w:tcPr>
            <w:tcW w:w="1545" w:type="dxa"/>
            <w:shd w:val="clear" w:color="auto" w:fill="auto"/>
            <w:tcMar>
              <w:top w:w="20" w:type="dxa"/>
              <w:left w:w="20" w:type="dxa"/>
              <w:bottom w:w="20" w:type="dxa"/>
              <w:right w:w="20" w:type="dxa"/>
            </w:tcMar>
          </w:tcPr>
          <w:p w14:paraId="1D81AEA7"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(1,776)</w:t>
            </w:r>
          </w:p>
        </w:tc>
        <w:tc>
          <w:tcPr>
            <w:tcW w:w="1432" w:type="dxa"/>
            <w:shd w:val="clear" w:color="auto" w:fill="auto"/>
            <w:tcMar>
              <w:top w:w="20" w:type="dxa"/>
              <w:left w:w="20" w:type="dxa"/>
              <w:bottom w:w="20" w:type="dxa"/>
              <w:right w:w="20" w:type="dxa"/>
            </w:tcMar>
          </w:tcPr>
          <w:p w14:paraId="13160A86"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(1,776)</w:t>
            </w:r>
          </w:p>
        </w:tc>
        <w:tc>
          <w:tcPr>
            <w:tcW w:w="293" w:type="dxa"/>
            <w:shd w:val="clear" w:color="auto" w:fill="auto"/>
            <w:tcMar>
              <w:top w:w="20" w:type="dxa"/>
              <w:left w:w="20" w:type="dxa"/>
              <w:bottom w:w="20" w:type="dxa"/>
              <w:right w:w="20" w:type="dxa"/>
            </w:tcMar>
          </w:tcPr>
          <w:p w14:paraId="4F9E5F97" w14:textId="77777777" w:rsidR="00793257" w:rsidRPr="00A95292" w:rsidRDefault="00793257" w:rsidP="00793257">
            <w:pPr>
              <w:pStyle w:val="T1TableStyle"/>
              <w:jc w:val="center"/>
              <w:rPr>
                <w:rFonts w:ascii="Verdana" w:eastAsia="Verdana" w:hAnsi="Verdana" w:cs="Verdana"/>
                <w:color w:val="000000"/>
                <w:sz w:val="2"/>
                <w:szCs w:val="22"/>
                <w:lang w:val="pt-BR"/>
              </w:rPr>
            </w:pPr>
            <w:r w:rsidRPr="00A95292">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14:paraId="09C60471" w14:textId="77777777" w:rsidR="00793257" w:rsidRPr="00A95292" w:rsidRDefault="00793257" w:rsidP="00793257">
            <w:pPr>
              <w:pStyle w:val="T1TableStyle"/>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Amortisation</w:t>
            </w:r>
          </w:p>
        </w:tc>
        <w:tc>
          <w:tcPr>
            <w:tcW w:w="1545" w:type="dxa"/>
            <w:shd w:val="clear" w:color="auto" w:fill="auto"/>
            <w:tcMar>
              <w:top w:w="20" w:type="dxa"/>
              <w:left w:w="20" w:type="dxa"/>
              <w:bottom w:w="20" w:type="dxa"/>
              <w:right w:w="20" w:type="dxa"/>
            </w:tcMar>
          </w:tcPr>
          <w:p w14:paraId="0CA51BB3" w14:textId="77777777" w:rsidR="00793257" w:rsidRPr="00A95292" w:rsidRDefault="00A95292"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(986)</w:t>
            </w:r>
          </w:p>
        </w:tc>
        <w:tc>
          <w:tcPr>
            <w:tcW w:w="1545" w:type="dxa"/>
            <w:shd w:val="clear" w:color="auto" w:fill="auto"/>
            <w:tcMar>
              <w:top w:w="20" w:type="dxa"/>
              <w:left w:w="20" w:type="dxa"/>
              <w:bottom w:w="20" w:type="dxa"/>
              <w:right w:w="20" w:type="dxa"/>
            </w:tcMar>
          </w:tcPr>
          <w:p w14:paraId="352461CB" w14:textId="77777777" w:rsidR="00793257" w:rsidRPr="00A95292" w:rsidRDefault="00395276"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(986)</w:t>
            </w:r>
          </w:p>
        </w:tc>
      </w:tr>
      <w:tr w:rsidR="00793257" w:rsidRPr="00A95292" w14:paraId="76687957" w14:textId="77777777" w:rsidTr="00AE70F5">
        <w:trPr>
          <w:trHeight w:val="300"/>
        </w:trPr>
        <w:tc>
          <w:tcPr>
            <w:tcW w:w="1545" w:type="dxa"/>
            <w:shd w:val="clear" w:color="auto" w:fill="auto"/>
            <w:tcMar>
              <w:top w:w="20" w:type="dxa"/>
              <w:left w:w="20" w:type="dxa"/>
              <w:bottom w:w="20" w:type="dxa"/>
              <w:right w:w="20" w:type="dxa"/>
            </w:tcMar>
          </w:tcPr>
          <w:p w14:paraId="57D6C23A"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77</w:t>
            </w:r>
          </w:p>
        </w:tc>
        <w:tc>
          <w:tcPr>
            <w:tcW w:w="1432" w:type="dxa"/>
            <w:shd w:val="clear" w:color="auto" w:fill="auto"/>
            <w:tcMar>
              <w:top w:w="20" w:type="dxa"/>
              <w:left w:w="20" w:type="dxa"/>
              <w:bottom w:w="20" w:type="dxa"/>
              <w:right w:w="20" w:type="dxa"/>
            </w:tcMar>
          </w:tcPr>
          <w:p w14:paraId="64E6105F"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77</w:t>
            </w:r>
          </w:p>
        </w:tc>
        <w:tc>
          <w:tcPr>
            <w:tcW w:w="293" w:type="dxa"/>
            <w:shd w:val="clear" w:color="auto" w:fill="auto"/>
            <w:tcMar>
              <w:top w:w="20" w:type="dxa"/>
              <w:left w:w="20" w:type="dxa"/>
              <w:bottom w:w="20" w:type="dxa"/>
              <w:right w:w="20" w:type="dxa"/>
            </w:tcMar>
          </w:tcPr>
          <w:p w14:paraId="690EFC87" w14:textId="77777777" w:rsidR="00793257" w:rsidRPr="00A95292" w:rsidRDefault="00793257" w:rsidP="00793257">
            <w:pPr>
              <w:pStyle w:val="T1TableStyle"/>
              <w:jc w:val="center"/>
              <w:rPr>
                <w:rFonts w:ascii="Verdana" w:eastAsia="Verdana" w:hAnsi="Verdana" w:cs="Verdana"/>
                <w:color w:val="000000"/>
                <w:sz w:val="2"/>
                <w:szCs w:val="22"/>
                <w:lang w:val="pt-BR"/>
              </w:rPr>
            </w:pPr>
            <w:r w:rsidRPr="00A95292">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14:paraId="7EFAB615" w14:textId="77777777" w:rsidR="00793257" w:rsidRPr="00A95292" w:rsidRDefault="00793257" w:rsidP="00793257">
            <w:pPr>
              <w:pStyle w:val="T1TableStyle"/>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(Increase)/decrease in creditors</w:t>
            </w:r>
          </w:p>
        </w:tc>
        <w:tc>
          <w:tcPr>
            <w:tcW w:w="1545" w:type="dxa"/>
            <w:shd w:val="clear" w:color="auto" w:fill="auto"/>
            <w:tcMar>
              <w:top w:w="20" w:type="dxa"/>
              <w:left w:w="20" w:type="dxa"/>
              <w:bottom w:w="20" w:type="dxa"/>
              <w:right w:w="20" w:type="dxa"/>
            </w:tcMar>
          </w:tcPr>
          <w:p w14:paraId="73284B2C" w14:textId="630F71AA" w:rsidR="00793257" w:rsidRPr="00A95292" w:rsidRDefault="008619CF">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w:t>
            </w:r>
            <w:r w:rsidR="002032BD">
              <w:rPr>
                <w:rFonts w:ascii="Verdana" w:eastAsia="Verdana" w:hAnsi="Verdana" w:cs="Verdana"/>
                <w:color w:val="000000"/>
                <w:sz w:val="16"/>
                <w:szCs w:val="22"/>
                <w:lang w:val="pt-BR"/>
              </w:rPr>
              <w:t>579</w:t>
            </w:r>
            <w:r>
              <w:rPr>
                <w:rFonts w:ascii="Verdana" w:eastAsia="Verdana" w:hAnsi="Verdana" w:cs="Verdana"/>
                <w:color w:val="000000"/>
                <w:sz w:val="16"/>
                <w:szCs w:val="22"/>
                <w:lang w:val="pt-BR"/>
              </w:rPr>
              <w:t>)</w:t>
            </w:r>
          </w:p>
        </w:tc>
        <w:tc>
          <w:tcPr>
            <w:tcW w:w="1545" w:type="dxa"/>
            <w:shd w:val="clear" w:color="auto" w:fill="auto"/>
            <w:tcMar>
              <w:top w:w="20" w:type="dxa"/>
              <w:left w:w="20" w:type="dxa"/>
              <w:bottom w:w="20" w:type="dxa"/>
              <w:right w:w="20" w:type="dxa"/>
            </w:tcMar>
          </w:tcPr>
          <w:p w14:paraId="6BD8C773" w14:textId="62886C35" w:rsidR="00793257" w:rsidRPr="00A95292" w:rsidRDefault="00975CFA">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w:t>
            </w:r>
            <w:r w:rsidR="002032BD">
              <w:rPr>
                <w:rFonts w:ascii="Verdana" w:eastAsia="Verdana" w:hAnsi="Verdana" w:cs="Verdana"/>
                <w:color w:val="000000"/>
                <w:sz w:val="16"/>
                <w:szCs w:val="22"/>
                <w:lang w:val="pt-BR"/>
              </w:rPr>
              <w:t>579</w:t>
            </w:r>
            <w:r>
              <w:rPr>
                <w:rFonts w:ascii="Verdana" w:eastAsia="Verdana" w:hAnsi="Verdana" w:cs="Verdana"/>
                <w:color w:val="000000"/>
                <w:sz w:val="16"/>
                <w:szCs w:val="22"/>
                <w:lang w:val="pt-BR"/>
              </w:rPr>
              <w:t>)</w:t>
            </w:r>
          </w:p>
        </w:tc>
      </w:tr>
      <w:tr w:rsidR="00793257" w:rsidRPr="00A95292" w14:paraId="690687CA" w14:textId="77777777" w:rsidTr="00AE70F5">
        <w:trPr>
          <w:trHeight w:val="300"/>
        </w:trPr>
        <w:tc>
          <w:tcPr>
            <w:tcW w:w="1545" w:type="dxa"/>
            <w:shd w:val="clear" w:color="auto" w:fill="auto"/>
            <w:tcMar>
              <w:top w:w="20" w:type="dxa"/>
              <w:left w:w="20" w:type="dxa"/>
              <w:bottom w:w="20" w:type="dxa"/>
              <w:right w:w="20" w:type="dxa"/>
            </w:tcMar>
          </w:tcPr>
          <w:p w14:paraId="2103F478"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2,876</w:t>
            </w:r>
          </w:p>
        </w:tc>
        <w:tc>
          <w:tcPr>
            <w:tcW w:w="1432" w:type="dxa"/>
            <w:shd w:val="clear" w:color="auto" w:fill="auto"/>
            <w:tcMar>
              <w:top w:w="20" w:type="dxa"/>
              <w:left w:w="20" w:type="dxa"/>
              <w:bottom w:w="20" w:type="dxa"/>
              <w:right w:w="20" w:type="dxa"/>
            </w:tcMar>
          </w:tcPr>
          <w:p w14:paraId="2FC66ECB"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2,876</w:t>
            </w:r>
          </w:p>
        </w:tc>
        <w:tc>
          <w:tcPr>
            <w:tcW w:w="293" w:type="dxa"/>
            <w:shd w:val="clear" w:color="auto" w:fill="auto"/>
            <w:tcMar>
              <w:top w:w="20" w:type="dxa"/>
              <w:left w:w="20" w:type="dxa"/>
              <w:bottom w:w="20" w:type="dxa"/>
              <w:right w:w="20" w:type="dxa"/>
            </w:tcMar>
          </w:tcPr>
          <w:p w14:paraId="6A953B5C" w14:textId="77777777" w:rsidR="00793257" w:rsidRPr="00A95292" w:rsidRDefault="00793257" w:rsidP="00793257">
            <w:pPr>
              <w:pStyle w:val="T1TableStyle"/>
              <w:jc w:val="center"/>
              <w:rPr>
                <w:rFonts w:ascii="Verdana" w:eastAsia="Verdana" w:hAnsi="Verdana" w:cs="Verdana"/>
                <w:color w:val="000000"/>
                <w:sz w:val="2"/>
                <w:szCs w:val="22"/>
                <w:lang w:val="pt-BR"/>
              </w:rPr>
            </w:pPr>
            <w:r w:rsidRPr="00A95292">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14:paraId="7A131B8C" w14:textId="77777777" w:rsidR="00793257" w:rsidRPr="00A95292" w:rsidRDefault="00793257" w:rsidP="00793257">
            <w:pPr>
              <w:pStyle w:val="T1TableStyle"/>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Increase/(decrease) in debtors</w:t>
            </w:r>
          </w:p>
        </w:tc>
        <w:tc>
          <w:tcPr>
            <w:tcW w:w="1545" w:type="dxa"/>
            <w:shd w:val="clear" w:color="auto" w:fill="auto"/>
            <w:tcMar>
              <w:top w:w="20" w:type="dxa"/>
              <w:left w:w="20" w:type="dxa"/>
              <w:bottom w:w="20" w:type="dxa"/>
              <w:right w:w="20" w:type="dxa"/>
            </w:tcMar>
          </w:tcPr>
          <w:p w14:paraId="4A14D5FA" w14:textId="26AC2B36" w:rsidR="00793257" w:rsidRPr="00A95292" w:rsidRDefault="00A95292">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w:t>
            </w:r>
            <w:r w:rsidR="008619CF">
              <w:rPr>
                <w:rFonts w:ascii="Verdana" w:eastAsia="Verdana" w:hAnsi="Verdana" w:cs="Verdana"/>
                <w:color w:val="000000"/>
                <w:sz w:val="16"/>
                <w:szCs w:val="22"/>
                <w:lang w:val="pt-BR"/>
              </w:rPr>
              <w:t>2005</w:t>
            </w:r>
            <w:r w:rsidRPr="00A95292">
              <w:rPr>
                <w:rFonts w:ascii="Verdana" w:eastAsia="Verdana" w:hAnsi="Verdana" w:cs="Verdana"/>
                <w:color w:val="000000"/>
                <w:sz w:val="16"/>
                <w:szCs w:val="22"/>
                <w:lang w:val="pt-BR"/>
              </w:rPr>
              <w:t>)</w:t>
            </w:r>
          </w:p>
        </w:tc>
        <w:tc>
          <w:tcPr>
            <w:tcW w:w="1545" w:type="dxa"/>
            <w:shd w:val="clear" w:color="auto" w:fill="auto"/>
            <w:tcMar>
              <w:top w:w="20" w:type="dxa"/>
              <w:left w:w="20" w:type="dxa"/>
              <w:bottom w:w="20" w:type="dxa"/>
              <w:right w:w="20" w:type="dxa"/>
            </w:tcMar>
          </w:tcPr>
          <w:p w14:paraId="1C61A513" w14:textId="3602770E" w:rsidR="00793257" w:rsidRPr="00A95292" w:rsidRDefault="00395276"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w:t>
            </w:r>
            <w:r w:rsidR="00975CFA">
              <w:rPr>
                <w:rFonts w:ascii="Verdana" w:eastAsia="Verdana" w:hAnsi="Verdana" w:cs="Verdana"/>
                <w:color w:val="000000"/>
                <w:sz w:val="16"/>
                <w:szCs w:val="22"/>
                <w:lang w:val="pt-BR"/>
              </w:rPr>
              <w:t>2,005</w:t>
            </w:r>
            <w:r w:rsidRPr="00A95292">
              <w:rPr>
                <w:rFonts w:ascii="Verdana" w:eastAsia="Verdana" w:hAnsi="Verdana" w:cs="Verdana"/>
                <w:color w:val="000000"/>
                <w:sz w:val="16"/>
                <w:szCs w:val="22"/>
                <w:lang w:val="pt-BR"/>
              </w:rPr>
              <w:t>)</w:t>
            </w:r>
          </w:p>
        </w:tc>
      </w:tr>
      <w:tr w:rsidR="00793257" w:rsidRPr="00A95292" w14:paraId="732C49AC" w14:textId="77777777" w:rsidTr="00AE70F5">
        <w:trPr>
          <w:trHeight w:val="300"/>
        </w:trPr>
        <w:tc>
          <w:tcPr>
            <w:tcW w:w="1545" w:type="dxa"/>
            <w:shd w:val="clear" w:color="auto" w:fill="auto"/>
            <w:tcMar>
              <w:top w:w="20" w:type="dxa"/>
              <w:left w:w="20" w:type="dxa"/>
              <w:bottom w:w="20" w:type="dxa"/>
              <w:right w:w="20" w:type="dxa"/>
            </w:tcMar>
          </w:tcPr>
          <w:p w14:paraId="3A9451EF"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504</w:t>
            </w:r>
          </w:p>
        </w:tc>
        <w:tc>
          <w:tcPr>
            <w:tcW w:w="1432" w:type="dxa"/>
            <w:shd w:val="clear" w:color="auto" w:fill="auto"/>
            <w:tcMar>
              <w:top w:w="20" w:type="dxa"/>
              <w:left w:w="20" w:type="dxa"/>
              <w:bottom w:w="20" w:type="dxa"/>
              <w:right w:w="20" w:type="dxa"/>
            </w:tcMar>
          </w:tcPr>
          <w:p w14:paraId="671819D6"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504</w:t>
            </w:r>
          </w:p>
        </w:tc>
        <w:tc>
          <w:tcPr>
            <w:tcW w:w="293" w:type="dxa"/>
            <w:shd w:val="clear" w:color="auto" w:fill="auto"/>
            <w:tcMar>
              <w:top w:w="20" w:type="dxa"/>
              <w:left w:w="20" w:type="dxa"/>
              <w:bottom w:w="20" w:type="dxa"/>
              <w:right w:w="20" w:type="dxa"/>
            </w:tcMar>
          </w:tcPr>
          <w:p w14:paraId="22A402AE" w14:textId="77777777" w:rsidR="00793257" w:rsidRPr="00A95292" w:rsidRDefault="00793257" w:rsidP="00793257">
            <w:pPr>
              <w:pStyle w:val="T1TableStyle"/>
              <w:jc w:val="center"/>
              <w:rPr>
                <w:rFonts w:ascii="Verdana" w:eastAsia="Verdana" w:hAnsi="Verdana" w:cs="Verdana"/>
                <w:color w:val="000000"/>
                <w:sz w:val="2"/>
                <w:szCs w:val="22"/>
                <w:lang w:val="pt-BR"/>
              </w:rPr>
            </w:pPr>
            <w:r w:rsidRPr="00A95292">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14:paraId="0907A22F" w14:textId="77777777" w:rsidR="00793257" w:rsidRPr="00A95292" w:rsidRDefault="00793257" w:rsidP="00793257">
            <w:pPr>
              <w:pStyle w:val="T1TableStyle"/>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Increase/(decrease) in inventories</w:t>
            </w:r>
          </w:p>
        </w:tc>
        <w:tc>
          <w:tcPr>
            <w:tcW w:w="1545" w:type="dxa"/>
            <w:shd w:val="clear" w:color="auto" w:fill="auto"/>
            <w:tcMar>
              <w:top w:w="20" w:type="dxa"/>
              <w:left w:w="20" w:type="dxa"/>
              <w:bottom w:w="20" w:type="dxa"/>
              <w:right w:w="20" w:type="dxa"/>
            </w:tcMar>
          </w:tcPr>
          <w:p w14:paraId="04E597CE" w14:textId="77777777" w:rsidR="00793257" w:rsidRPr="00A95292" w:rsidRDefault="00A95292"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124</w:t>
            </w:r>
          </w:p>
        </w:tc>
        <w:tc>
          <w:tcPr>
            <w:tcW w:w="1545" w:type="dxa"/>
            <w:shd w:val="clear" w:color="auto" w:fill="auto"/>
            <w:tcMar>
              <w:top w:w="20" w:type="dxa"/>
              <w:left w:w="20" w:type="dxa"/>
              <w:bottom w:w="20" w:type="dxa"/>
              <w:right w:w="20" w:type="dxa"/>
            </w:tcMar>
          </w:tcPr>
          <w:p w14:paraId="76FD6C2F" w14:textId="77777777" w:rsidR="00793257" w:rsidRPr="00A95292" w:rsidRDefault="00395276"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124</w:t>
            </w:r>
          </w:p>
        </w:tc>
      </w:tr>
      <w:tr w:rsidR="00793257" w:rsidRPr="00A95292" w14:paraId="1E818FD5" w14:textId="77777777" w:rsidTr="00AE70F5">
        <w:trPr>
          <w:trHeight w:val="300"/>
        </w:trPr>
        <w:tc>
          <w:tcPr>
            <w:tcW w:w="1545" w:type="dxa"/>
            <w:shd w:val="clear" w:color="auto" w:fill="auto"/>
            <w:tcMar>
              <w:top w:w="20" w:type="dxa"/>
              <w:left w:w="20" w:type="dxa"/>
              <w:bottom w:w="20" w:type="dxa"/>
              <w:right w:w="20" w:type="dxa"/>
            </w:tcMar>
          </w:tcPr>
          <w:p w14:paraId="05133C68"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(141)</w:t>
            </w:r>
          </w:p>
        </w:tc>
        <w:tc>
          <w:tcPr>
            <w:tcW w:w="1432" w:type="dxa"/>
            <w:shd w:val="clear" w:color="auto" w:fill="auto"/>
            <w:tcMar>
              <w:top w:w="20" w:type="dxa"/>
              <w:left w:w="20" w:type="dxa"/>
              <w:bottom w:w="20" w:type="dxa"/>
              <w:right w:w="20" w:type="dxa"/>
            </w:tcMar>
          </w:tcPr>
          <w:p w14:paraId="4E010B11"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(63,027)</w:t>
            </w:r>
          </w:p>
        </w:tc>
        <w:tc>
          <w:tcPr>
            <w:tcW w:w="293" w:type="dxa"/>
            <w:shd w:val="clear" w:color="auto" w:fill="auto"/>
            <w:tcMar>
              <w:top w:w="20" w:type="dxa"/>
              <w:left w:w="20" w:type="dxa"/>
              <w:bottom w:w="20" w:type="dxa"/>
              <w:right w:w="20" w:type="dxa"/>
            </w:tcMar>
          </w:tcPr>
          <w:p w14:paraId="1912683D" w14:textId="77777777" w:rsidR="00793257" w:rsidRPr="00A95292" w:rsidRDefault="00793257" w:rsidP="00793257">
            <w:pPr>
              <w:pStyle w:val="T1TableStyle"/>
              <w:jc w:val="center"/>
              <w:rPr>
                <w:rFonts w:ascii="Verdana" w:eastAsia="Verdana" w:hAnsi="Verdana" w:cs="Verdana"/>
                <w:color w:val="000000"/>
                <w:sz w:val="2"/>
                <w:szCs w:val="22"/>
                <w:lang w:val="pt-BR"/>
              </w:rPr>
            </w:pPr>
            <w:r w:rsidRPr="00A95292">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14:paraId="7235B690" w14:textId="77777777" w:rsidR="00793257" w:rsidRPr="00A95292" w:rsidRDefault="00793257" w:rsidP="00793257">
            <w:pPr>
              <w:pStyle w:val="T1TableStyle"/>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Movement in pension liability</w:t>
            </w:r>
          </w:p>
        </w:tc>
        <w:tc>
          <w:tcPr>
            <w:tcW w:w="1545" w:type="dxa"/>
            <w:shd w:val="clear" w:color="auto" w:fill="auto"/>
            <w:tcMar>
              <w:top w:w="20" w:type="dxa"/>
              <w:left w:w="20" w:type="dxa"/>
              <w:bottom w:w="20" w:type="dxa"/>
              <w:right w:w="20" w:type="dxa"/>
            </w:tcMar>
          </w:tcPr>
          <w:p w14:paraId="11A99A51" w14:textId="77777777" w:rsidR="00793257" w:rsidRPr="00A95292" w:rsidRDefault="00A95292"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(134)</w:t>
            </w:r>
          </w:p>
        </w:tc>
        <w:tc>
          <w:tcPr>
            <w:tcW w:w="1545" w:type="dxa"/>
            <w:shd w:val="clear" w:color="auto" w:fill="auto"/>
            <w:tcMar>
              <w:top w:w="20" w:type="dxa"/>
              <w:left w:w="20" w:type="dxa"/>
              <w:bottom w:w="20" w:type="dxa"/>
              <w:right w:w="20" w:type="dxa"/>
            </w:tcMar>
          </w:tcPr>
          <w:p w14:paraId="3291CD66" w14:textId="77777777" w:rsidR="00793257" w:rsidRPr="00A95292" w:rsidRDefault="00395276"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(67,765)</w:t>
            </w:r>
          </w:p>
        </w:tc>
      </w:tr>
      <w:tr w:rsidR="00793257" w:rsidRPr="00A95292" w14:paraId="4451E192" w14:textId="77777777" w:rsidTr="00AE70F5">
        <w:trPr>
          <w:trHeight w:val="675"/>
        </w:trPr>
        <w:tc>
          <w:tcPr>
            <w:tcW w:w="1545" w:type="dxa"/>
            <w:shd w:val="clear" w:color="auto" w:fill="auto"/>
            <w:tcMar>
              <w:top w:w="20" w:type="dxa"/>
              <w:left w:w="20" w:type="dxa"/>
              <w:bottom w:w="20" w:type="dxa"/>
              <w:right w:w="20" w:type="dxa"/>
            </w:tcMar>
          </w:tcPr>
          <w:p w14:paraId="6B77A6AF"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(164)</w:t>
            </w:r>
          </w:p>
        </w:tc>
        <w:tc>
          <w:tcPr>
            <w:tcW w:w="1432" w:type="dxa"/>
            <w:shd w:val="clear" w:color="auto" w:fill="auto"/>
            <w:tcMar>
              <w:top w:w="20" w:type="dxa"/>
              <w:left w:w="20" w:type="dxa"/>
              <w:bottom w:w="20" w:type="dxa"/>
              <w:right w:w="20" w:type="dxa"/>
            </w:tcMar>
          </w:tcPr>
          <w:p w14:paraId="68426C47"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(164)</w:t>
            </w:r>
          </w:p>
        </w:tc>
        <w:tc>
          <w:tcPr>
            <w:tcW w:w="293" w:type="dxa"/>
            <w:shd w:val="clear" w:color="auto" w:fill="auto"/>
            <w:tcMar>
              <w:top w:w="20" w:type="dxa"/>
              <w:left w:w="20" w:type="dxa"/>
              <w:bottom w:w="20" w:type="dxa"/>
              <w:right w:w="20" w:type="dxa"/>
            </w:tcMar>
          </w:tcPr>
          <w:p w14:paraId="5740BE6D" w14:textId="77777777" w:rsidR="00793257" w:rsidRPr="00A95292" w:rsidRDefault="00793257" w:rsidP="00793257">
            <w:pPr>
              <w:pStyle w:val="T1TableStyle"/>
              <w:jc w:val="center"/>
              <w:rPr>
                <w:rFonts w:ascii="Verdana" w:eastAsia="Verdana" w:hAnsi="Verdana" w:cs="Verdana"/>
                <w:color w:val="000000"/>
                <w:sz w:val="2"/>
                <w:szCs w:val="22"/>
                <w:lang w:val="pt-BR"/>
              </w:rPr>
            </w:pPr>
            <w:r w:rsidRPr="00A95292">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14:paraId="69D6453F" w14:textId="77777777" w:rsidR="00793257" w:rsidRPr="00A95292" w:rsidRDefault="00793257" w:rsidP="00793257">
            <w:pPr>
              <w:pStyle w:val="T1TableStyle"/>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Carrying amount of non-current assets and non-current assets held for sale, sold or derecognised</w:t>
            </w:r>
          </w:p>
        </w:tc>
        <w:tc>
          <w:tcPr>
            <w:tcW w:w="1545" w:type="dxa"/>
            <w:shd w:val="clear" w:color="auto" w:fill="auto"/>
            <w:tcMar>
              <w:top w:w="20" w:type="dxa"/>
              <w:left w:w="20" w:type="dxa"/>
              <w:bottom w:w="20" w:type="dxa"/>
              <w:right w:w="20" w:type="dxa"/>
            </w:tcMar>
          </w:tcPr>
          <w:p w14:paraId="5C2B6012" w14:textId="77777777" w:rsidR="00793257" w:rsidRPr="00A95292" w:rsidRDefault="00A95292"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(2,815)</w:t>
            </w:r>
          </w:p>
        </w:tc>
        <w:tc>
          <w:tcPr>
            <w:tcW w:w="1545" w:type="dxa"/>
            <w:shd w:val="clear" w:color="auto" w:fill="auto"/>
            <w:tcMar>
              <w:top w:w="20" w:type="dxa"/>
              <w:left w:w="20" w:type="dxa"/>
              <w:bottom w:w="20" w:type="dxa"/>
              <w:right w:w="20" w:type="dxa"/>
            </w:tcMar>
          </w:tcPr>
          <w:p w14:paraId="071178BF" w14:textId="77777777" w:rsidR="00793257" w:rsidRPr="00A95292" w:rsidRDefault="00395276"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(2</w:t>
            </w:r>
            <w:r w:rsidR="00A95292" w:rsidRPr="00A95292">
              <w:rPr>
                <w:rFonts w:ascii="Verdana" w:eastAsia="Verdana" w:hAnsi="Verdana" w:cs="Verdana"/>
                <w:color w:val="000000"/>
                <w:sz w:val="16"/>
                <w:szCs w:val="22"/>
                <w:lang w:val="pt-BR"/>
              </w:rPr>
              <w:t>,</w:t>
            </w:r>
            <w:r w:rsidRPr="00A95292">
              <w:rPr>
                <w:rFonts w:ascii="Verdana" w:eastAsia="Verdana" w:hAnsi="Verdana" w:cs="Verdana"/>
                <w:color w:val="000000"/>
                <w:sz w:val="16"/>
                <w:szCs w:val="22"/>
                <w:lang w:val="pt-BR"/>
              </w:rPr>
              <w:t>815)</w:t>
            </w:r>
          </w:p>
        </w:tc>
      </w:tr>
      <w:tr w:rsidR="00793257" w:rsidRPr="00A95292" w14:paraId="377D5A5E" w14:textId="77777777" w:rsidTr="00AE70F5">
        <w:trPr>
          <w:trHeight w:val="600"/>
        </w:trPr>
        <w:tc>
          <w:tcPr>
            <w:tcW w:w="1545" w:type="dxa"/>
            <w:shd w:val="clear" w:color="auto" w:fill="auto"/>
            <w:tcMar>
              <w:top w:w="20" w:type="dxa"/>
              <w:left w:w="20" w:type="dxa"/>
              <w:bottom w:w="20" w:type="dxa"/>
              <w:right w:w="20" w:type="dxa"/>
            </w:tcMar>
          </w:tcPr>
          <w:p w14:paraId="144781FF"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(230)</w:t>
            </w:r>
          </w:p>
        </w:tc>
        <w:tc>
          <w:tcPr>
            <w:tcW w:w="1432" w:type="dxa"/>
            <w:shd w:val="clear" w:color="auto" w:fill="auto"/>
            <w:tcMar>
              <w:top w:w="20" w:type="dxa"/>
              <w:left w:w="20" w:type="dxa"/>
              <w:bottom w:w="20" w:type="dxa"/>
              <w:right w:w="20" w:type="dxa"/>
            </w:tcMar>
          </w:tcPr>
          <w:p w14:paraId="1652D2F4"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(375)</w:t>
            </w:r>
          </w:p>
        </w:tc>
        <w:tc>
          <w:tcPr>
            <w:tcW w:w="293" w:type="dxa"/>
            <w:shd w:val="clear" w:color="auto" w:fill="auto"/>
            <w:tcMar>
              <w:top w:w="20" w:type="dxa"/>
              <w:left w:w="20" w:type="dxa"/>
              <w:bottom w:w="20" w:type="dxa"/>
              <w:right w:w="20" w:type="dxa"/>
            </w:tcMar>
          </w:tcPr>
          <w:p w14:paraId="0273A0C7" w14:textId="77777777" w:rsidR="00793257" w:rsidRPr="00A95292" w:rsidRDefault="00793257" w:rsidP="00793257">
            <w:pPr>
              <w:pStyle w:val="T1TableStyle"/>
              <w:jc w:val="center"/>
              <w:rPr>
                <w:rFonts w:ascii="Verdana" w:eastAsia="Verdana" w:hAnsi="Verdana" w:cs="Verdana"/>
                <w:color w:val="000000"/>
                <w:sz w:val="2"/>
                <w:szCs w:val="22"/>
                <w:lang w:val="pt-BR"/>
              </w:rPr>
            </w:pPr>
            <w:r w:rsidRPr="00A95292">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14:paraId="28EBA65F" w14:textId="77777777" w:rsidR="00793257" w:rsidRPr="00A95292" w:rsidRDefault="00793257" w:rsidP="00793257">
            <w:pPr>
              <w:pStyle w:val="T1TableStyle"/>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Other non-cash movements charged to the surplus or deficit on provision of services</w:t>
            </w:r>
          </w:p>
        </w:tc>
        <w:tc>
          <w:tcPr>
            <w:tcW w:w="1545" w:type="dxa"/>
            <w:shd w:val="clear" w:color="auto" w:fill="auto"/>
            <w:tcMar>
              <w:top w:w="20" w:type="dxa"/>
              <w:left w:w="20" w:type="dxa"/>
              <w:bottom w:w="20" w:type="dxa"/>
              <w:right w:w="20" w:type="dxa"/>
            </w:tcMar>
          </w:tcPr>
          <w:p w14:paraId="735A4734" w14:textId="2B8B20CE" w:rsidR="00793257" w:rsidRPr="00A95292" w:rsidRDefault="008619CF">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776</w:t>
            </w:r>
          </w:p>
        </w:tc>
        <w:tc>
          <w:tcPr>
            <w:tcW w:w="1545" w:type="dxa"/>
            <w:shd w:val="clear" w:color="auto" w:fill="auto"/>
            <w:tcMar>
              <w:top w:w="20" w:type="dxa"/>
              <w:left w:w="20" w:type="dxa"/>
              <w:bottom w:w="20" w:type="dxa"/>
              <w:right w:w="20" w:type="dxa"/>
            </w:tcMar>
          </w:tcPr>
          <w:p w14:paraId="696A8BAD" w14:textId="13764127" w:rsidR="00793257" w:rsidRPr="00A95292" w:rsidRDefault="00A95292"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w:t>
            </w:r>
            <w:r w:rsidR="00975CFA">
              <w:rPr>
                <w:rFonts w:ascii="Verdana" w:eastAsia="Verdana" w:hAnsi="Verdana" w:cs="Verdana"/>
                <w:color w:val="000000"/>
                <w:sz w:val="16"/>
                <w:szCs w:val="22"/>
                <w:lang w:val="pt-BR"/>
              </w:rPr>
              <w:t>121</w:t>
            </w:r>
            <w:r w:rsidRPr="00A95292">
              <w:rPr>
                <w:rFonts w:ascii="Verdana" w:eastAsia="Verdana" w:hAnsi="Verdana" w:cs="Verdana"/>
                <w:color w:val="000000"/>
                <w:sz w:val="16"/>
                <w:szCs w:val="22"/>
                <w:lang w:val="pt-BR"/>
              </w:rPr>
              <w:t>)</w:t>
            </w:r>
          </w:p>
        </w:tc>
      </w:tr>
      <w:tr w:rsidR="00793257" w:rsidRPr="00AE70F5" w14:paraId="049EA3A0" w14:textId="77777777" w:rsidTr="00AE70F5">
        <w:trPr>
          <w:trHeight w:val="49"/>
        </w:trPr>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5F009EEA" w14:textId="77777777" w:rsidR="00793257" w:rsidRPr="00AE70F5" w:rsidRDefault="00793257" w:rsidP="00793257">
            <w:pPr>
              <w:pStyle w:val="T1TableStyle"/>
              <w:jc w:val="right"/>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(8,274)</w:t>
            </w:r>
          </w:p>
        </w:tc>
        <w:tc>
          <w:tcPr>
            <w:tcW w:w="1432" w:type="dxa"/>
            <w:tcBorders>
              <w:top w:val="single" w:sz="2" w:space="0" w:color="000000"/>
              <w:bottom w:val="single" w:sz="12" w:space="0" w:color="000000"/>
            </w:tcBorders>
            <w:shd w:val="clear" w:color="auto" w:fill="auto"/>
            <w:tcMar>
              <w:top w:w="20" w:type="dxa"/>
              <w:left w:w="20" w:type="dxa"/>
              <w:bottom w:w="20" w:type="dxa"/>
              <w:right w:w="20" w:type="dxa"/>
            </w:tcMar>
          </w:tcPr>
          <w:p w14:paraId="35DD5DE3" w14:textId="77777777" w:rsidR="00793257" w:rsidRPr="00AE70F5" w:rsidRDefault="00793257" w:rsidP="00793257">
            <w:pPr>
              <w:pStyle w:val="T1TableStyle"/>
              <w:jc w:val="right"/>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(71,305)</w:t>
            </w:r>
          </w:p>
        </w:tc>
        <w:tc>
          <w:tcPr>
            <w:tcW w:w="293" w:type="dxa"/>
            <w:tcBorders>
              <w:top w:val="single" w:sz="2" w:space="0" w:color="000000"/>
              <w:bottom w:val="single" w:sz="12" w:space="0" w:color="000000"/>
            </w:tcBorders>
            <w:shd w:val="clear" w:color="auto" w:fill="auto"/>
            <w:tcMar>
              <w:top w:w="20" w:type="dxa"/>
              <w:left w:w="20" w:type="dxa"/>
              <w:bottom w:w="20" w:type="dxa"/>
              <w:right w:w="20" w:type="dxa"/>
            </w:tcMar>
          </w:tcPr>
          <w:p w14:paraId="08679001" w14:textId="77777777" w:rsidR="00793257" w:rsidRPr="00AE70F5" w:rsidRDefault="00793257" w:rsidP="00793257">
            <w:pPr>
              <w:pStyle w:val="T1TableStyle"/>
              <w:jc w:val="center"/>
              <w:rPr>
                <w:rFonts w:ascii="Verdana" w:eastAsia="Verdana" w:hAnsi="Verdana" w:cs="Verdana"/>
                <w:b/>
                <w:color w:val="000000"/>
                <w:sz w:val="2"/>
                <w:szCs w:val="22"/>
                <w:lang w:val="pt-BR"/>
              </w:rPr>
            </w:pPr>
            <w:r w:rsidRPr="00AE70F5">
              <w:rPr>
                <w:rFonts w:ascii="Verdana" w:eastAsia="Verdana" w:hAnsi="Verdana" w:cs="Verdana"/>
                <w:b/>
                <w:color w:val="000000"/>
                <w:sz w:val="2"/>
                <w:szCs w:val="22"/>
                <w:lang w:val="pt-BR"/>
              </w:rPr>
              <w:t xml:space="preserve"> </w:t>
            </w:r>
          </w:p>
        </w:tc>
        <w:tc>
          <w:tcPr>
            <w:tcW w:w="3435" w:type="dxa"/>
            <w:tcBorders>
              <w:top w:val="single" w:sz="2" w:space="0" w:color="000000"/>
              <w:bottom w:val="single" w:sz="12" w:space="0" w:color="000000"/>
            </w:tcBorders>
            <w:shd w:val="clear" w:color="auto" w:fill="auto"/>
            <w:tcMar>
              <w:top w:w="20" w:type="dxa"/>
              <w:left w:w="20" w:type="dxa"/>
              <w:bottom w:w="20" w:type="dxa"/>
              <w:right w:w="20" w:type="dxa"/>
            </w:tcMar>
          </w:tcPr>
          <w:p w14:paraId="080C353B" w14:textId="77777777" w:rsidR="00793257" w:rsidRPr="00AE70F5" w:rsidRDefault="00793257" w:rsidP="00793257">
            <w:pPr>
              <w:pStyle w:val="T1TableStyle"/>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Total</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5762DB1E" w14:textId="3033088B" w:rsidR="00793257" w:rsidRPr="00AE70F5" w:rsidRDefault="00A95292">
            <w:pPr>
              <w:pStyle w:val="T1TableStyle"/>
              <w:jc w:val="right"/>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(1</w:t>
            </w:r>
            <w:r w:rsidR="002032BD">
              <w:rPr>
                <w:rFonts w:ascii="Verdana" w:eastAsia="Verdana" w:hAnsi="Verdana" w:cs="Verdana"/>
                <w:b/>
                <w:color w:val="000000"/>
                <w:sz w:val="16"/>
                <w:szCs w:val="22"/>
                <w:lang w:val="pt-BR"/>
              </w:rPr>
              <w:t>5</w:t>
            </w:r>
            <w:r w:rsidRPr="00AE70F5">
              <w:rPr>
                <w:rFonts w:ascii="Verdana" w:eastAsia="Verdana" w:hAnsi="Verdana" w:cs="Verdana"/>
                <w:b/>
                <w:color w:val="000000"/>
                <w:sz w:val="16"/>
                <w:szCs w:val="22"/>
                <w:lang w:val="pt-BR"/>
              </w:rPr>
              <w:t>,</w:t>
            </w:r>
            <w:r w:rsidR="002032BD">
              <w:rPr>
                <w:rFonts w:ascii="Verdana" w:eastAsia="Verdana" w:hAnsi="Verdana" w:cs="Verdana"/>
                <w:b/>
                <w:color w:val="000000"/>
                <w:sz w:val="16"/>
                <w:szCs w:val="22"/>
                <w:lang w:val="pt-BR"/>
              </w:rPr>
              <w:t>154</w:t>
            </w:r>
            <w:r w:rsidR="004F4A9A">
              <w:rPr>
                <w:rFonts w:ascii="Verdana" w:eastAsia="Verdana" w:hAnsi="Verdana" w:cs="Verdana"/>
                <w:b/>
                <w:color w:val="000000"/>
                <w:sz w:val="16"/>
                <w:szCs w:val="22"/>
                <w:lang w:val="pt-BR"/>
              </w:rPr>
              <w:t>)</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067D0111" w14:textId="30DB90A4" w:rsidR="00793257" w:rsidRPr="00AE70F5" w:rsidRDefault="00A95292">
            <w:pPr>
              <w:pStyle w:val="T1TableStyle"/>
              <w:jc w:val="right"/>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(8</w:t>
            </w:r>
            <w:r w:rsidR="002032BD">
              <w:rPr>
                <w:rFonts w:ascii="Verdana" w:eastAsia="Verdana" w:hAnsi="Verdana" w:cs="Verdana"/>
                <w:b/>
                <w:color w:val="000000"/>
                <w:sz w:val="16"/>
                <w:szCs w:val="22"/>
                <w:lang w:val="pt-BR"/>
              </w:rPr>
              <w:t>3</w:t>
            </w:r>
            <w:r w:rsidR="00975CFA">
              <w:rPr>
                <w:rFonts w:ascii="Verdana" w:eastAsia="Verdana" w:hAnsi="Verdana" w:cs="Verdana"/>
                <w:b/>
                <w:color w:val="000000"/>
                <w:sz w:val="16"/>
                <w:szCs w:val="22"/>
                <w:lang w:val="pt-BR"/>
              </w:rPr>
              <w:t>,</w:t>
            </w:r>
            <w:r w:rsidR="002032BD">
              <w:rPr>
                <w:rFonts w:ascii="Verdana" w:eastAsia="Verdana" w:hAnsi="Verdana" w:cs="Verdana"/>
                <w:b/>
                <w:color w:val="000000"/>
                <w:sz w:val="16"/>
                <w:szCs w:val="22"/>
                <w:lang w:val="pt-BR"/>
              </w:rPr>
              <w:t>682</w:t>
            </w:r>
            <w:r w:rsidRPr="00AE70F5">
              <w:rPr>
                <w:rFonts w:ascii="Verdana" w:eastAsia="Verdana" w:hAnsi="Verdana" w:cs="Verdana"/>
                <w:b/>
                <w:color w:val="000000"/>
                <w:sz w:val="16"/>
                <w:szCs w:val="22"/>
                <w:lang w:val="pt-BR"/>
              </w:rPr>
              <w:t>)</w:t>
            </w:r>
          </w:p>
        </w:tc>
      </w:tr>
      <w:tr w:rsidR="00793257" w:rsidRPr="00AE70F5" w14:paraId="047C61F5" w14:textId="77777777" w:rsidTr="00AE70F5">
        <w:trPr>
          <w:trHeight w:hRule="exact" w:val="300"/>
        </w:trPr>
        <w:tc>
          <w:tcPr>
            <w:tcW w:w="1545" w:type="dxa"/>
            <w:shd w:val="clear" w:color="auto" w:fill="auto"/>
            <w:tcMar>
              <w:top w:w="20" w:type="dxa"/>
              <w:left w:w="20" w:type="dxa"/>
              <w:bottom w:w="20" w:type="dxa"/>
              <w:right w:w="20" w:type="dxa"/>
            </w:tcMar>
            <w:vAlign w:val="bottom"/>
          </w:tcPr>
          <w:p w14:paraId="54F7D850" w14:textId="77777777" w:rsidR="00793257" w:rsidRPr="00AE70F5" w:rsidRDefault="00793257" w:rsidP="00793257">
            <w:pPr>
              <w:pStyle w:val="T1TableStyle"/>
              <w:jc w:val="center"/>
              <w:rPr>
                <w:rFonts w:ascii="Calibri" w:eastAsia="Calibri" w:hAnsi="Calibri" w:cs="Calibri"/>
                <w:color w:val="000000"/>
                <w:sz w:val="2"/>
                <w:szCs w:val="22"/>
                <w:lang w:val="pt-BR"/>
              </w:rPr>
            </w:pPr>
            <w:r w:rsidRPr="00AE70F5">
              <w:rPr>
                <w:rFonts w:ascii="Calibri" w:eastAsia="Calibri" w:hAnsi="Calibri" w:cs="Calibri"/>
                <w:color w:val="000000"/>
                <w:sz w:val="2"/>
                <w:szCs w:val="22"/>
                <w:lang w:val="pt-BR"/>
              </w:rPr>
              <w:t xml:space="preserve"> </w:t>
            </w:r>
          </w:p>
        </w:tc>
        <w:tc>
          <w:tcPr>
            <w:tcW w:w="1432" w:type="dxa"/>
            <w:shd w:val="clear" w:color="auto" w:fill="auto"/>
            <w:tcMar>
              <w:top w:w="20" w:type="dxa"/>
              <w:left w:w="20" w:type="dxa"/>
              <w:bottom w:w="20" w:type="dxa"/>
              <w:right w:w="20" w:type="dxa"/>
            </w:tcMar>
            <w:vAlign w:val="bottom"/>
          </w:tcPr>
          <w:p w14:paraId="43324ED4" w14:textId="77777777" w:rsidR="00793257" w:rsidRPr="00AE70F5" w:rsidRDefault="00793257" w:rsidP="00793257">
            <w:pPr>
              <w:pStyle w:val="T1TableStyle"/>
              <w:jc w:val="center"/>
              <w:rPr>
                <w:rFonts w:ascii="Verdana" w:eastAsia="Verdana" w:hAnsi="Verdana" w:cs="Verdana"/>
                <w:color w:val="000000"/>
                <w:sz w:val="2"/>
                <w:szCs w:val="22"/>
                <w:lang w:val="pt-BR"/>
              </w:rPr>
            </w:pPr>
            <w:r w:rsidRPr="00AE70F5">
              <w:rPr>
                <w:rFonts w:ascii="Verdana" w:eastAsia="Verdana" w:hAnsi="Verdana" w:cs="Verdana"/>
                <w:color w:val="000000"/>
                <w:sz w:val="2"/>
                <w:szCs w:val="22"/>
                <w:lang w:val="pt-BR"/>
              </w:rPr>
              <w:t xml:space="preserve"> </w:t>
            </w:r>
          </w:p>
        </w:tc>
        <w:tc>
          <w:tcPr>
            <w:tcW w:w="293" w:type="dxa"/>
            <w:shd w:val="clear" w:color="auto" w:fill="auto"/>
            <w:tcMar>
              <w:top w:w="20" w:type="dxa"/>
              <w:left w:w="20" w:type="dxa"/>
              <w:bottom w:w="20" w:type="dxa"/>
              <w:right w:w="20" w:type="dxa"/>
            </w:tcMar>
            <w:vAlign w:val="bottom"/>
          </w:tcPr>
          <w:p w14:paraId="7C06E5B7" w14:textId="77777777" w:rsidR="00793257" w:rsidRPr="00AE70F5" w:rsidRDefault="00793257" w:rsidP="00793257">
            <w:pPr>
              <w:pStyle w:val="T1TableStyle"/>
              <w:jc w:val="center"/>
              <w:rPr>
                <w:rFonts w:ascii="Verdana" w:eastAsia="Verdana" w:hAnsi="Verdana" w:cs="Verdana"/>
                <w:color w:val="000000"/>
                <w:sz w:val="2"/>
                <w:szCs w:val="22"/>
                <w:lang w:val="pt-BR"/>
              </w:rPr>
            </w:pPr>
            <w:r w:rsidRPr="00AE70F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14:paraId="2FA7A15B" w14:textId="77777777" w:rsidR="00793257" w:rsidRPr="00AE70F5" w:rsidRDefault="00793257" w:rsidP="00793257">
            <w:pPr>
              <w:pStyle w:val="T1TableStyle"/>
              <w:jc w:val="center"/>
              <w:rPr>
                <w:rFonts w:ascii="Verdana" w:eastAsia="Verdana" w:hAnsi="Verdana" w:cs="Verdana"/>
                <w:color w:val="000000"/>
                <w:sz w:val="2"/>
                <w:szCs w:val="22"/>
                <w:lang w:val="pt-BR"/>
              </w:rPr>
            </w:pPr>
            <w:r w:rsidRPr="00AE70F5">
              <w:rPr>
                <w:rFonts w:ascii="Verdana" w:eastAsia="Verdana" w:hAnsi="Verdana" w:cs="Verdana"/>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14:paraId="4CE5EDE9" w14:textId="77777777" w:rsidR="00793257" w:rsidRPr="00AE70F5" w:rsidRDefault="00793257" w:rsidP="00793257">
            <w:pPr>
              <w:pStyle w:val="T1TableStyle"/>
              <w:jc w:val="center"/>
              <w:rPr>
                <w:rFonts w:ascii="Verdana" w:eastAsia="Verdana" w:hAnsi="Verdana" w:cs="Verdana"/>
                <w:color w:val="000000"/>
                <w:sz w:val="2"/>
                <w:szCs w:val="22"/>
                <w:lang w:val="pt-BR"/>
              </w:rPr>
            </w:pPr>
            <w:r w:rsidRPr="00AE70F5">
              <w:rPr>
                <w:rFonts w:ascii="Verdana" w:eastAsia="Verdana" w:hAnsi="Verdana" w:cs="Verdana"/>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14:paraId="2BE4D2EC" w14:textId="77777777" w:rsidR="00793257" w:rsidRPr="00AE70F5" w:rsidRDefault="00793257" w:rsidP="00793257">
            <w:pPr>
              <w:pStyle w:val="T1TableStyle"/>
              <w:jc w:val="center"/>
              <w:rPr>
                <w:rFonts w:ascii="Verdana" w:eastAsia="Verdana" w:hAnsi="Verdana" w:cs="Verdana"/>
                <w:color w:val="000000"/>
                <w:sz w:val="2"/>
                <w:szCs w:val="22"/>
                <w:lang w:val="pt-BR"/>
              </w:rPr>
            </w:pPr>
            <w:r w:rsidRPr="00AE70F5">
              <w:rPr>
                <w:rFonts w:ascii="Verdana" w:eastAsia="Verdana" w:hAnsi="Verdana" w:cs="Verdana"/>
                <w:color w:val="000000"/>
                <w:sz w:val="2"/>
                <w:szCs w:val="22"/>
                <w:lang w:val="pt-BR"/>
              </w:rPr>
              <w:t xml:space="preserve"> </w:t>
            </w:r>
          </w:p>
        </w:tc>
      </w:tr>
      <w:tr w:rsidR="00793257" w:rsidRPr="00AE70F5" w14:paraId="0ADA426F" w14:textId="77777777">
        <w:trPr>
          <w:trHeight w:val="480"/>
        </w:trPr>
        <w:tc>
          <w:tcPr>
            <w:tcW w:w="9795" w:type="dxa"/>
            <w:gridSpan w:val="6"/>
            <w:shd w:val="clear" w:color="auto" w:fill="auto"/>
            <w:tcMar>
              <w:top w:w="20" w:type="dxa"/>
              <w:left w:w="20" w:type="dxa"/>
              <w:bottom w:w="20" w:type="dxa"/>
              <w:right w:w="20" w:type="dxa"/>
            </w:tcMar>
            <w:vAlign w:val="bottom"/>
          </w:tcPr>
          <w:p w14:paraId="32C6ACA7" w14:textId="77777777" w:rsidR="00793257" w:rsidRPr="00AE70F5" w:rsidRDefault="00793257" w:rsidP="00793257">
            <w:pPr>
              <w:pStyle w:val="T1TableStyle"/>
              <w:rPr>
                <w:rFonts w:ascii="Verdana" w:eastAsia="Verdana" w:hAnsi="Verdana" w:cs="Verdana"/>
                <w:color w:val="000000"/>
                <w:sz w:val="16"/>
                <w:szCs w:val="22"/>
                <w:lang w:val="pt-BR"/>
              </w:rPr>
            </w:pPr>
            <w:r w:rsidRPr="00AE70F5">
              <w:rPr>
                <w:rFonts w:ascii="Verdana" w:eastAsia="Verdana" w:hAnsi="Verdana" w:cs="Verdana"/>
                <w:color w:val="000000"/>
                <w:sz w:val="16"/>
                <w:szCs w:val="22"/>
                <w:lang w:val="pt-BR"/>
              </w:rPr>
              <w:t>The surplus or deficit on the provision of services has been adjusted for the following items which are investing and financing activities:</w:t>
            </w:r>
          </w:p>
        </w:tc>
      </w:tr>
      <w:tr w:rsidR="00793257" w:rsidRPr="00AE70F5" w14:paraId="2D826DDA" w14:textId="77777777" w:rsidTr="00AE70F5">
        <w:trPr>
          <w:trHeight w:val="54"/>
        </w:trPr>
        <w:tc>
          <w:tcPr>
            <w:tcW w:w="2977" w:type="dxa"/>
            <w:gridSpan w:val="2"/>
            <w:shd w:val="clear" w:color="auto" w:fill="auto"/>
            <w:tcMar>
              <w:top w:w="20" w:type="dxa"/>
              <w:left w:w="20" w:type="dxa"/>
              <w:bottom w:w="20" w:type="dxa"/>
              <w:right w:w="20" w:type="dxa"/>
            </w:tcMar>
            <w:vAlign w:val="bottom"/>
          </w:tcPr>
          <w:p w14:paraId="363444D4" w14:textId="77777777" w:rsidR="00AE70F5" w:rsidRDefault="00AE70F5" w:rsidP="00793257">
            <w:pPr>
              <w:pStyle w:val="T1TableStyle"/>
              <w:jc w:val="center"/>
              <w:rPr>
                <w:rFonts w:ascii="Verdana" w:eastAsia="Verdana" w:hAnsi="Verdana" w:cs="Verdana"/>
                <w:b/>
                <w:color w:val="000000"/>
                <w:sz w:val="16"/>
                <w:szCs w:val="22"/>
                <w:lang w:val="pt-BR"/>
              </w:rPr>
            </w:pPr>
          </w:p>
          <w:p w14:paraId="458BEE74" w14:textId="77777777" w:rsidR="00793257" w:rsidRPr="00AE70F5" w:rsidRDefault="00793257" w:rsidP="00793257">
            <w:pPr>
              <w:pStyle w:val="T1TableStyle"/>
              <w:jc w:val="center"/>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31 March 2020</w:t>
            </w:r>
          </w:p>
        </w:tc>
        <w:tc>
          <w:tcPr>
            <w:tcW w:w="293" w:type="dxa"/>
            <w:shd w:val="clear" w:color="auto" w:fill="auto"/>
            <w:tcMar>
              <w:top w:w="20" w:type="dxa"/>
              <w:left w:w="20" w:type="dxa"/>
              <w:bottom w:w="20" w:type="dxa"/>
              <w:right w:w="20" w:type="dxa"/>
            </w:tcMar>
            <w:vAlign w:val="bottom"/>
          </w:tcPr>
          <w:p w14:paraId="2447AD4C" w14:textId="77777777" w:rsidR="00793257" w:rsidRPr="00AE70F5" w:rsidRDefault="00793257" w:rsidP="00793257">
            <w:pPr>
              <w:pStyle w:val="T1TableStyle"/>
              <w:rPr>
                <w:rFonts w:ascii="Verdana" w:eastAsia="Verdana" w:hAnsi="Verdana" w:cs="Verdana"/>
                <w:color w:val="000000"/>
                <w:sz w:val="2"/>
                <w:szCs w:val="22"/>
                <w:lang w:val="pt-BR"/>
              </w:rPr>
            </w:pPr>
            <w:r w:rsidRPr="00AE70F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14:paraId="6CD013F9" w14:textId="77777777" w:rsidR="00793257" w:rsidRPr="00AE70F5" w:rsidRDefault="00793257" w:rsidP="00793257">
            <w:pPr>
              <w:pStyle w:val="T1TableStyle"/>
              <w:rPr>
                <w:rFonts w:ascii="Verdana" w:eastAsia="Verdana" w:hAnsi="Verdana" w:cs="Verdana"/>
                <w:color w:val="000000"/>
                <w:sz w:val="2"/>
                <w:szCs w:val="22"/>
                <w:lang w:val="pt-BR"/>
              </w:rPr>
            </w:pPr>
            <w:r w:rsidRPr="00AE70F5">
              <w:rPr>
                <w:rFonts w:ascii="Verdana" w:eastAsia="Verdana" w:hAnsi="Verdana" w:cs="Verdana"/>
                <w:color w:val="000000"/>
                <w:sz w:val="2"/>
                <w:szCs w:val="22"/>
                <w:lang w:val="pt-BR"/>
              </w:rPr>
              <w:t xml:space="preserve"> </w:t>
            </w:r>
          </w:p>
        </w:tc>
        <w:tc>
          <w:tcPr>
            <w:tcW w:w="3090" w:type="dxa"/>
            <w:gridSpan w:val="2"/>
            <w:shd w:val="clear" w:color="auto" w:fill="auto"/>
            <w:tcMar>
              <w:top w:w="20" w:type="dxa"/>
              <w:left w:w="20" w:type="dxa"/>
              <w:bottom w:w="20" w:type="dxa"/>
              <w:right w:w="20" w:type="dxa"/>
            </w:tcMar>
            <w:vAlign w:val="bottom"/>
          </w:tcPr>
          <w:p w14:paraId="059B2FB9" w14:textId="77777777" w:rsidR="00793257" w:rsidRPr="00AE70F5" w:rsidRDefault="00793257" w:rsidP="00793257">
            <w:pPr>
              <w:pStyle w:val="T1TableStyle"/>
              <w:jc w:val="center"/>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31 March 2021</w:t>
            </w:r>
          </w:p>
        </w:tc>
      </w:tr>
      <w:tr w:rsidR="00793257" w:rsidRPr="00AE70F5" w14:paraId="7799BB6E" w14:textId="77777777" w:rsidTr="00AE70F5">
        <w:trPr>
          <w:trHeight w:val="300"/>
        </w:trPr>
        <w:tc>
          <w:tcPr>
            <w:tcW w:w="1545" w:type="dxa"/>
            <w:shd w:val="clear" w:color="auto" w:fill="auto"/>
            <w:tcMar>
              <w:top w:w="20" w:type="dxa"/>
              <w:left w:w="20" w:type="dxa"/>
              <w:bottom w:w="20" w:type="dxa"/>
              <w:right w:w="20" w:type="dxa"/>
            </w:tcMar>
            <w:vAlign w:val="bottom"/>
          </w:tcPr>
          <w:p w14:paraId="7FBD0D06" w14:textId="77777777" w:rsidR="00793257" w:rsidRPr="00AE70F5" w:rsidRDefault="00793257" w:rsidP="00793257">
            <w:pPr>
              <w:pStyle w:val="T1TableStyle"/>
              <w:jc w:val="center"/>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PCC</w:t>
            </w:r>
          </w:p>
        </w:tc>
        <w:tc>
          <w:tcPr>
            <w:tcW w:w="1432" w:type="dxa"/>
            <w:shd w:val="clear" w:color="auto" w:fill="auto"/>
            <w:tcMar>
              <w:top w:w="20" w:type="dxa"/>
              <w:left w:w="20" w:type="dxa"/>
              <w:bottom w:w="20" w:type="dxa"/>
              <w:right w:w="20" w:type="dxa"/>
            </w:tcMar>
            <w:vAlign w:val="bottom"/>
          </w:tcPr>
          <w:p w14:paraId="12A98E4D" w14:textId="77777777" w:rsidR="00793257" w:rsidRPr="00AE70F5" w:rsidRDefault="00793257" w:rsidP="00793257">
            <w:pPr>
              <w:pStyle w:val="T1TableStyle"/>
              <w:jc w:val="center"/>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Group</w:t>
            </w:r>
          </w:p>
        </w:tc>
        <w:tc>
          <w:tcPr>
            <w:tcW w:w="293" w:type="dxa"/>
            <w:shd w:val="clear" w:color="auto" w:fill="auto"/>
            <w:tcMar>
              <w:top w:w="20" w:type="dxa"/>
              <w:left w:w="20" w:type="dxa"/>
              <w:bottom w:w="20" w:type="dxa"/>
              <w:right w:w="20" w:type="dxa"/>
            </w:tcMar>
            <w:vAlign w:val="bottom"/>
          </w:tcPr>
          <w:p w14:paraId="0DC4E1D7" w14:textId="77777777" w:rsidR="00793257" w:rsidRPr="00AE70F5" w:rsidRDefault="00793257" w:rsidP="00793257">
            <w:pPr>
              <w:pStyle w:val="T1TableStyle"/>
              <w:jc w:val="center"/>
              <w:rPr>
                <w:rFonts w:ascii="Calibri" w:eastAsia="Calibri" w:hAnsi="Calibri" w:cs="Calibri"/>
                <w:color w:val="000000"/>
                <w:sz w:val="2"/>
                <w:szCs w:val="22"/>
                <w:lang w:val="pt-BR"/>
              </w:rPr>
            </w:pPr>
            <w:r w:rsidRPr="00AE70F5">
              <w:rPr>
                <w:rFonts w:ascii="Calibri" w:eastAsia="Calibri" w:hAnsi="Calibri" w:cs="Calibri"/>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14:paraId="55189B9E" w14:textId="77777777" w:rsidR="00793257" w:rsidRPr="00AE70F5" w:rsidRDefault="00793257" w:rsidP="00793257">
            <w:pPr>
              <w:pStyle w:val="T1TableStyle"/>
              <w:jc w:val="center"/>
              <w:rPr>
                <w:rFonts w:ascii="Calibri" w:eastAsia="Calibri" w:hAnsi="Calibri" w:cs="Calibri"/>
                <w:color w:val="000000"/>
                <w:sz w:val="2"/>
                <w:szCs w:val="22"/>
                <w:lang w:val="pt-BR"/>
              </w:rPr>
            </w:pPr>
            <w:r w:rsidRPr="00AE70F5">
              <w:rPr>
                <w:rFonts w:ascii="Calibri" w:eastAsia="Calibri" w:hAnsi="Calibri" w:cs="Calibri"/>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14:paraId="2C16E42D" w14:textId="77777777" w:rsidR="00793257" w:rsidRPr="00AE70F5" w:rsidRDefault="00793257" w:rsidP="00793257">
            <w:pPr>
              <w:pStyle w:val="T1TableStyle"/>
              <w:jc w:val="center"/>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14:paraId="053C5BC8" w14:textId="77777777" w:rsidR="00793257" w:rsidRPr="00AE70F5" w:rsidRDefault="00793257" w:rsidP="00793257">
            <w:pPr>
              <w:pStyle w:val="T1TableStyle"/>
              <w:jc w:val="center"/>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Group</w:t>
            </w:r>
          </w:p>
        </w:tc>
      </w:tr>
      <w:tr w:rsidR="00793257" w:rsidRPr="00AE70F5" w14:paraId="5A573EC6" w14:textId="77777777" w:rsidTr="00AE70F5">
        <w:trPr>
          <w:trHeight w:val="54"/>
        </w:trPr>
        <w:tc>
          <w:tcPr>
            <w:tcW w:w="1545" w:type="dxa"/>
            <w:tcBorders>
              <w:bottom w:val="single" w:sz="2" w:space="0" w:color="000000"/>
            </w:tcBorders>
            <w:shd w:val="clear" w:color="auto" w:fill="auto"/>
            <w:tcMar>
              <w:top w:w="20" w:type="dxa"/>
              <w:left w:w="20" w:type="dxa"/>
              <w:bottom w:w="20" w:type="dxa"/>
              <w:right w:w="20" w:type="dxa"/>
            </w:tcMar>
          </w:tcPr>
          <w:p w14:paraId="5FB85881" w14:textId="77777777" w:rsidR="00793257" w:rsidRPr="00AE70F5" w:rsidRDefault="00793257" w:rsidP="00793257">
            <w:pPr>
              <w:pStyle w:val="T1TableStyle"/>
              <w:jc w:val="right"/>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£000</w:t>
            </w:r>
          </w:p>
        </w:tc>
        <w:tc>
          <w:tcPr>
            <w:tcW w:w="1432" w:type="dxa"/>
            <w:tcBorders>
              <w:bottom w:val="single" w:sz="2" w:space="0" w:color="000000"/>
            </w:tcBorders>
            <w:shd w:val="clear" w:color="auto" w:fill="auto"/>
            <w:tcMar>
              <w:top w:w="20" w:type="dxa"/>
              <w:left w:w="20" w:type="dxa"/>
              <w:bottom w:w="20" w:type="dxa"/>
              <w:right w:w="20" w:type="dxa"/>
            </w:tcMar>
          </w:tcPr>
          <w:p w14:paraId="3E283C48" w14:textId="77777777" w:rsidR="00793257" w:rsidRPr="00AE70F5" w:rsidRDefault="00793257" w:rsidP="00793257">
            <w:pPr>
              <w:pStyle w:val="T1TableStyle"/>
              <w:jc w:val="right"/>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£000</w:t>
            </w:r>
          </w:p>
        </w:tc>
        <w:tc>
          <w:tcPr>
            <w:tcW w:w="293" w:type="dxa"/>
            <w:tcBorders>
              <w:bottom w:val="single" w:sz="2" w:space="0" w:color="000000"/>
            </w:tcBorders>
            <w:shd w:val="clear" w:color="auto" w:fill="auto"/>
            <w:tcMar>
              <w:top w:w="20" w:type="dxa"/>
              <w:left w:w="20" w:type="dxa"/>
              <w:bottom w:w="20" w:type="dxa"/>
              <w:right w:w="20" w:type="dxa"/>
            </w:tcMar>
          </w:tcPr>
          <w:p w14:paraId="289D73D2" w14:textId="77777777" w:rsidR="00793257" w:rsidRPr="00AE70F5" w:rsidRDefault="00793257" w:rsidP="00793257">
            <w:pPr>
              <w:pStyle w:val="T1TableStyle"/>
              <w:jc w:val="right"/>
              <w:rPr>
                <w:rFonts w:ascii="Verdana" w:eastAsia="Verdana" w:hAnsi="Verdana" w:cs="Verdana"/>
                <w:b/>
                <w:color w:val="000000"/>
                <w:sz w:val="2"/>
                <w:szCs w:val="22"/>
                <w:lang w:val="pt-BR"/>
              </w:rPr>
            </w:pPr>
            <w:r w:rsidRPr="00AE70F5">
              <w:rPr>
                <w:rFonts w:ascii="Verdana" w:eastAsia="Verdana" w:hAnsi="Verdana" w:cs="Verdana"/>
                <w:b/>
                <w:color w:val="000000"/>
                <w:sz w:val="2"/>
                <w:szCs w:val="22"/>
                <w:lang w:val="pt-BR"/>
              </w:rPr>
              <w:t xml:space="preserve"> </w:t>
            </w:r>
          </w:p>
        </w:tc>
        <w:tc>
          <w:tcPr>
            <w:tcW w:w="3435" w:type="dxa"/>
            <w:tcBorders>
              <w:bottom w:val="single" w:sz="2" w:space="0" w:color="000000"/>
            </w:tcBorders>
            <w:shd w:val="clear" w:color="auto" w:fill="auto"/>
            <w:tcMar>
              <w:top w:w="20" w:type="dxa"/>
              <w:left w:w="20" w:type="dxa"/>
              <w:bottom w:w="20" w:type="dxa"/>
              <w:right w:w="20" w:type="dxa"/>
            </w:tcMar>
          </w:tcPr>
          <w:p w14:paraId="3B70F4B7" w14:textId="77777777" w:rsidR="00793257" w:rsidRPr="00AE70F5" w:rsidRDefault="00793257" w:rsidP="00793257">
            <w:pPr>
              <w:pStyle w:val="T1TableStyle"/>
              <w:jc w:val="right"/>
              <w:rPr>
                <w:rFonts w:ascii="Verdana" w:eastAsia="Verdana" w:hAnsi="Verdana" w:cs="Verdana"/>
                <w:b/>
                <w:color w:val="000000"/>
                <w:sz w:val="2"/>
                <w:szCs w:val="22"/>
                <w:lang w:val="pt-BR"/>
              </w:rPr>
            </w:pPr>
            <w:r w:rsidRPr="00AE70F5">
              <w:rPr>
                <w:rFonts w:ascii="Verdana" w:eastAsia="Verdana" w:hAnsi="Verdana" w:cs="Verdana"/>
                <w:b/>
                <w:color w:val="000000"/>
                <w:sz w:val="2"/>
                <w:szCs w:val="22"/>
                <w:lang w:val="pt-BR"/>
              </w:rPr>
              <w:t xml:space="preserve"> </w:t>
            </w:r>
          </w:p>
        </w:tc>
        <w:tc>
          <w:tcPr>
            <w:tcW w:w="1545" w:type="dxa"/>
            <w:tcBorders>
              <w:bottom w:val="single" w:sz="2" w:space="0" w:color="000000"/>
            </w:tcBorders>
            <w:shd w:val="clear" w:color="auto" w:fill="auto"/>
            <w:tcMar>
              <w:top w:w="20" w:type="dxa"/>
              <w:left w:w="20" w:type="dxa"/>
              <w:bottom w:w="20" w:type="dxa"/>
              <w:right w:w="20" w:type="dxa"/>
            </w:tcMar>
          </w:tcPr>
          <w:p w14:paraId="7768D782" w14:textId="77777777" w:rsidR="00793257" w:rsidRPr="00AE70F5" w:rsidRDefault="00793257" w:rsidP="00793257">
            <w:pPr>
              <w:pStyle w:val="T1TableStyle"/>
              <w:jc w:val="right"/>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14:paraId="0C209DED" w14:textId="77777777" w:rsidR="00793257" w:rsidRPr="00AE70F5" w:rsidRDefault="00793257" w:rsidP="00793257">
            <w:pPr>
              <w:pStyle w:val="T1TableStyle"/>
              <w:jc w:val="right"/>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£000</w:t>
            </w:r>
          </w:p>
        </w:tc>
      </w:tr>
      <w:tr w:rsidR="00793257" w:rsidRPr="00AE70F5" w14:paraId="7B0DABCE" w14:textId="77777777" w:rsidTr="00AE70F5">
        <w:trPr>
          <w:trHeight w:val="675"/>
        </w:trPr>
        <w:tc>
          <w:tcPr>
            <w:tcW w:w="1545" w:type="dxa"/>
            <w:shd w:val="clear" w:color="auto" w:fill="auto"/>
            <w:tcMar>
              <w:top w:w="20" w:type="dxa"/>
              <w:left w:w="20" w:type="dxa"/>
              <w:bottom w:w="20" w:type="dxa"/>
              <w:right w:w="20" w:type="dxa"/>
            </w:tcMar>
          </w:tcPr>
          <w:p w14:paraId="60101C2D" w14:textId="77777777" w:rsidR="00793257" w:rsidRPr="00AE70F5" w:rsidRDefault="00793257" w:rsidP="00793257">
            <w:pPr>
              <w:pStyle w:val="T1TableStyle"/>
              <w:jc w:val="right"/>
              <w:rPr>
                <w:rFonts w:ascii="Verdana" w:eastAsia="Verdana" w:hAnsi="Verdana" w:cs="Verdana"/>
                <w:color w:val="000000"/>
                <w:sz w:val="16"/>
                <w:szCs w:val="22"/>
                <w:lang w:val="pt-BR"/>
              </w:rPr>
            </w:pPr>
            <w:r w:rsidRPr="00AE70F5">
              <w:rPr>
                <w:rFonts w:ascii="Verdana" w:eastAsia="Verdana" w:hAnsi="Verdana" w:cs="Verdana"/>
                <w:color w:val="000000"/>
                <w:sz w:val="16"/>
                <w:szCs w:val="22"/>
                <w:lang w:val="pt-BR"/>
              </w:rPr>
              <w:t>73</w:t>
            </w:r>
          </w:p>
        </w:tc>
        <w:tc>
          <w:tcPr>
            <w:tcW w:w="1432" w:type="dxa"/>
            <w:shd w:val="clear" w:color="auto" w:fill="auto"/>
            <w:tcMar>
              <w:top w:w="20" w:type="dxa"/>
              <w:left w:w="20" w:type="dxa"/>
              <w:bottom w:w="20" w:type="dxa"/>
              <w:right w:w="20" w:type="dxa"/>
            </w:tcMar>
          </w:tcPr>
          <w:p w14:paraId="6515D9EA" w14:textId="77777777" w:rsidR="00793257" w:rsidRPr="00AE70F5" w:rsidRDefault="00793257" w:rsidP="00793257">
            <w:pPr>
              <w:pStyle w:val="T1TableStyle"/>
              <w:jc w:val="right"/>
              <w:rPr>
                <w:rFonts w:ascii="Verdana" w:eastAsia="Verdana" w:hAnsi="Verdana" w:cs="Verdana"/>
                <w:color w:val="000000"/>
                <w:sz w:val="16"/>
                <w:szCs w:val="22"/>
                <w:lang w:val="pt-BR"/>
              </w:rPr>
            </w:pPr>
            <w:r w:rsidRPr="00AE70F5">
              <w:rPr>
                <w:rFonts w:ascii="Verdana" w:eastAsia="Verdana" w:hAnsi="Verdana" w:cs="Verdana"/>
                <w:color w:val="000000"/>
                <w:sz w:val="16"/>
                <w:szCs w:val="22"/>
                <w:lang w:val="pt-BR"/>
              </w:rPr>
              <w:t>73</w:t>
            </w:r>
          </w:p>
        </w:tc>
        <w:tc>
          <w:tcPr>
            <w:tcW w:w="293" w:type="dxa"/>
            <w:shd w:val="clear" w:color="auto" w:fill="auto"/>
            <w:tcMar>
              <w:top w:w="20" w:type="dxa"/>
              <w:left w:w="20" w:type="dxa"/>
              <w:bottom w:w="20" w:type="dxa"/>
              <w:right w:w="20" w:type="dxa"/>
            </w:tcMar>
          </w:tcPr>
          <w:p w14:paraId="1255D19C" w14:textId="77777777" w:rsidR="00793257" w:rsidRPr="00AE70F5" w:rsidRDefault="00793257" w:rsidP="00793257">
            <w:pPr>
              <w:pStyle w:val="T1TableStyle"/>
              <w:jc w:val="center"/>
              <w:rPr>
                <w:rFonts w:ascii="Verdana" w:eastAsia="Verdana" w:hAnsi="Verdana" w:cs="Verdana"/>
                <w:color w:val="000000"/>
                <w:sz w:val="2"/>
                <w:szCs w:val="22"/>
                <w:lang w:val="pt-BR"/>
              </w:rPr>
            </w:pPr>
            <w:r w:rsidRPr="00AE70F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14:paraId="0156FADC" w14:textId="77777777" w:rsidR="00793257" w:rsidRPr="00AE70F5" w:rsidRDefault="00793257" w:rsidP="00793257">
            <w:pPr>
              <w:pStyle w:val="T1TableStyle"/>
              <w:rPr>
                <w:rFonts w:ascii="Verdana" w:eastAsia="Verdana" w:hAnsi="Verdana" w:cs="Verdana"/>
                <w:color w:val="000000"/>
                <w:sz w:val="16"/>
                <w:szCs w:val="22"/>
                <w:lang w:val="pt-BR"/>
              </w:rPr>
            </w:pPr>
            <w:r w:rsidRPr="00AE70F5">
              <w:rPr>
                <w:rFonts w:ascii="Verdana" w:eastAsia="Verdana" w:hAnsi="Verdana" w:cs="Verdana"/>
                <w:color w:val="000000"/>
                <w:sz w:val="16"/>
                <w:szCs w:val="22"/>
                <w:lang w:val="pt-BR"/>
              </w:rPr>
              <w:t>Proceeds from the sale of property, plant and equipment, investment property and intangible assets</w:t>
            </w:r>
          </w:p>
        </w:tc>
        <w:tc>
          <w:tcPr>
            <w:tcW w:w="1545" w:type="dxa"/>
            <w:shd w:val="clear" w:color="auto" w:fill="auto"/>
            <w:tcMar>
              <w:top w:w="20" w:type="dxa"/>
              <w:left w:w="20" w:type="dxa"/>
              <w:bottom w:w="20" w:type="dxa"/>
              <w:right w:w="20" w:type="dxa"/>
            </w:tcMar>
          </w:tcPr>
          <w:p w14:paraId="00E26B58" w14:textId="22482E85" w:rsidR="00793257" w:rsidRPr="00AE70F5" w:rsidRDefault="00AE70F5" w:rsidP="00793257">
            <w:pPr>
              <w:pStyle w:val="T1TableStyle"/>
              <w:jc w:val="right"/>
              <w:rPr>
                <w:rFonts w:ascii="Verdana" w:eastAsia="Verdana" w:hAnsi="Verdana" w:cs="Verdana"/>
                <w:color w:val="000000"/>
                <w:sz w:val="16"/>
                <w:szCs w:val="22"/>
                <w:lang w:val="pt-BR"/>
              </w:rPr>
            </w:pPr>
            <w:r w:rsidRPr="00AE70F5">
              <w:rPr>
                <w:rFonts w:ascii="Verdana" w:eastAsia="Verdana" w:hAnsi="Verdana" w:cs="Verdana"/>
                <w:color w:val="000000"/>
                <w:sz w:val="16"/>
                <w:szCs w:val="22"/>
                <w:lang w:val="pt-BR"/>
              </w:rPr>
              <w:t>2,652</w:t>
            </w:r>
          </w:p>
        </w:tc>
        <w:tc>
          <w:tcPr>
            <w:tcW w:w="1545" w:type="dxa"/>
            <w:shd w:val="clear" w:color="auto" w:fill="auto"/>
            <w:tcMar>
              <w:top w:w="20" w:type="dxa"/>
              <w:left w:w="20" w:type="dxa"/>
              <w:bottom w:w="20" w:type="dxa"/>
              <w:right w:w="20" w:type="dxa"/>
            </w:tcMar>
          </w:tcPr>
          <w:p w14:paraId="093CC2E6" w14:textId="65D29959" w:rsidR="00793257" w:rsidRPr="00AE70F5" w:rsidRDefault="00AE70F5" w:rsidP="00793257">
            <w:pPr>
              <w:pStyle w:val="T1TableStyle"/>
              <w:jc w:val="right"/>
              <w:rPr>
                <w:rFonts w:ascii="Verdana" w:eastAsia="Verdana" w:hAnsi="Verdana" w:cs="Verdana"/>
                <w:color w:val="000000"/>
                <w:sz w:val="16"/>
                <w:szCs w:val="22"/>
                <w:lang w:val="pt-BR"/>
              </w:rPr>
            </w:pPr>
            <w:r w:rsidRPr="00AE70F5">
              <w:rPr>
                <w:rFonts w:ascii="Verdana" w:eastAsia="Verdana" w:hAnsi="Verdana" w:cs="Verdana"/>
                <w:color w:val="000000"/>
                <w:sz w:val="16"/>
                <w:szCs w:val="22"/>
                <w:lang w:val="pt-BR"/>
              </w:rPr>
              <w:t>2,652</w:t>
            </w:r>
          </w:p>
        </w:tc>
      </w:tr>
      <w:tr w:rsidR="00793257" w:rsidRPr="00AE70F5" w14:paraId="11E073C0" w14:textId="77777777" w:rsidTr="00AE70F5">
        <w:trPr>
          <w:trHeight w:val="675"/>
        </w:trPr>
        <w:tc>
          <w:tcPr>
            <w:tcW w:w="1545" w:type="dxa"/>
            <w:shd w:val="clear" w:color="auto" w:fill="auto"/>
            <w:tcMar>
              <w:top w:w="20" w:type="dxa"/>
              <w:left w:w="20" w:type="dxa"/>
              <w:bottom w:w="20" w:type="dxa"/>
              <w:right w:w="20" w:type="dxa"/>
            </w:tcMar>
          </w:tcPr>
          <w:p w14:paraId="568502E1" w14:textId="77777777" w:rsidR="00793257" w:rsidRPr="00AE70F5" w:rsidRDefault="00793257" w:rsidP="00793257">
            <w:pPr>
              <w:pStyle w:val="T1TableStyle"/>
              <w:jc w:val="right"/>
              <w:rPr>
                <w:rFonts w:ascii="Verdana" w:eastAsia="Verdana" w:hAnsi="Verdana" w:cs="Verdana"/>
                <w:color w:val="000000"/>
                <w:sz w:val="16"/>
                <w:szCs w:val="22"/>
                <w:lang w:val="pt-BR"/>
              </w:rPr>
            </w:pPr>
            <w:r w:rsidRPr="00AE70F5">
              <w:rPr>
                <w:rFonts w:ascii="Verdana" w:eastAsia="Verdana" w:hAnsi="Verdana" w:cs="Verdana"/>
                <w:color w:val="000000"/>
                <w:sz w:val="16"/>
                <w:szCs w:val="22"/>
                <w:lang w:val="pt-BR"/>
              </w:rPr>
              <w:t>1,345</w:t>
            </w:r>
          </w:p>
        </w:tc>
        <w:tc>
          <w:tcPr>
            <w:tcW w:w="1432" w:type="dxa"/>
            <w:shd w:val="clear" w:color="auto" w:fill="auto"/>
            <w:tcMar>
              <w:top w:w="20" w:type="dxa"/>
              <w:left w:w="20" w:type="dxa"/>
              <w:bottom w:w="20" w:type="dxa"/>
              <w:right w:w="20" w:type="dxa"/>
            </w:tcMar>
          </w:tcPr>
          <w:p w14:paraId="47CC5B03" w14:textId="77777777" w:rsidR="00793257" w:rsidRPr="00AE70F5" w:rsidRDefault="00793257" w:rsidP="00793257">
            <w:pPr>
              <w:pStyle w:val="T1TableStyle"/>
              <w:jc w:val="right"/>
              <w:rPr>
                <w:rFonts w:ascii="Verdana" w:eastAsia="Verdana" w:hAnsi="Verdana" w:cs="Verdana"/>
                <w:color w:val="000000"/>
                <w:sz w:val="16"/>
                <w:szCs w:val="22"/>
                <w:lang w:val="pt-BR"/>
              </w:rPr>
            </w:pPr>
            <w:r w:rsidRPr="00AE70F5">
              <w:rPr>
                <w:rFonts w:ascii="Verdana" w:eastAsia="Verdana" w:hAnsi="Verdana" w:cs="Verdana"/>
                <w:color w:val="000000"/>
                <w:sz w:val="16"/>
                <w:szCs w:val="22"/>
                <w:lang w:val="pt-BR"/>
              </w:rPr>
              <w:t>1,345</w:t>
            </w:r>
          </w:p>
        </w:tc>
        <w:tc>
          <w:tcPr>
            <w:tcW w:w="293" w:type="dxa"/>
            <w:shd w:val="clear" w:color="auto" w:fill="auto"/>
            <w:tcMar>
              <w:top w:w="20" w:type="dxa"/>
              <w:left w:w="20" w:type="dxa"/>
              <w:bottom w:w="20" w:type="dxa"/>
              <w:right w:w="20" w:type="dxa"/>
            </w:tcMar>
          </w:tcPr>
          <w:p w14:paraId="05CC63CD" w14:textId="77777777" w:rsidR="00793257" w:rsidRPr="00AE70F5" w:rsidRDefault="00793257" w:rsidP="00793257">
            <w:pPr>
              <w:pStyle w:val="T1TableStyle"/>
              <w:jc w:val="center"/>
              <w:rPr>
                <w:rFonts w:ascii="Verdana" w:eastAsia="Verdana" w:hAnsi="Verdana" w:cs="Verdana"/>
                <w:color w:val="000000"/>
                <w:sz w:val="2"/>
                <w:szCs w:val="22"/>
                <w:lang w:val="pt-BR"/>
              </w:rPr>
            </w:pPr>
            <w:r w:rsidRPr="00AE70F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14:paraId="0D1D5D8F" w14:textId="77777777" w:rsidR="00793257" w:rsidRPr="00AE70F5" w:rsidRDefault="00793257" w:rsidP="00793257">
            <w:pPr>
              <w:pStyle w:val="T1TableStyle"/>
              <w:rPr>
                <w:rFonts w:ascii="Verdana" w:eastAsia="Verdana" w:hAnsi="Verdana" w:cs="Verdana"/>
                <w:color w:val="000000"/>
                <w:sz w:val="16"/>
                <w:szCs w:val="22"/>
                <w:lang w:val="pt-BR"/>
              </w:rPr>
            </w:pPr>
            <w:r w:rsidRPr="00AE70F5">
              <w:rPr>
                <w:rFonts w:ascii="Verdana" w:eastAsia="Verdana" w:hAnsi="Verdana" w:cs="Verdana"/>
                <w:color w:val="000000"/>
                <w:sz w:val="16"/>
                <w:szCs w:val="22"/>
                <w:lang w:val="pt-BR"/>
              </w:rPr>
              <w:t>Any other items for which the cash effects are investing or financing cash flows</w:t>
            </w:r>
          </w:p>
        </w:tc>
        <w:tc>
          <w:tcPr>
            <w:tcW w:w="1545" w:type="dxa"/>
            <w:shd w:val="clear" w:color="auto" w:fill="auto"/>
            <w:tcMar>
              <w:top w:w="20" w:type="dxa"/>
              <w:left w:w="20" w:type="dxa"/>
              <w:bottom w:w="20" w:type="dxa"/>
              <w:right w:w="20" w:type="dxa"/>
            </w:tcMar>
          </w:tcPr>
          <w:p w14:paraId="3A9ADF43" w14:textId="7248BCBD" w:rsidR="00793257" w:rsidRPr="00AE70F5" w:rsidRDefault="008619CF">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296</w:t>
            </w:r>
          </w:p>
        </w:tc>
        <w:tc>
          <w:tcPr>
            <w:tcW w:w="1545" w:type="dxa"/>
            <w:shd w:val="clear" w:color="auto" w:fill="auto"/>
            <w:tcMar>
              <w:top w:w="20" w:type="dxa"/>
              <w:left w:w="20" w:type="dxa"/>
              <w:bottom w:w="20" w:type="dxa"/>
              <w:right w:w="20" w:type="dxa"/>
            </w:tcMar>
          </w:tcPr>
          <w:p w14:paraId="6273DC8A" w14:textId="6B7DA4B4" w:rsidR="00793257" w:rsidRPr="00AE70F5" w:rsidRDefault="008619CF">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296</w:t>
            </w:r>
          </w:p>
        </w:tc>
      </w:tr>
      <w:tr w:rsidR="00793257" w:rsidRPr="00AE70F5" w14:paraId="1EB62FCD" w14:textId="77777777" w:rsidTr="00AE70F5">
        <w:trPr>
          <w:trHeight w:val="49"/>
        </w:trPr>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6AC54984" w14:textId="77777777" w:rsidR="00793257" w:rsidRPr="00AE70F5" w:rsidRDefault="00793257" w:rsidP="00793257">
            <w:pPr>
              <w:pStyle w:val="T1TableStyle"/>
              <w:jc w:val="right"/>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1,418</w:t>
            </w:r>
          </w:p>
        </w:tc>
        <w:tc>
          <w:tcPr>
            <w:tcW w:w="1432" w:type="dxa"/>
            <w:tcBorders>
              <w:top w:val="single" w:sz="2" w:space="0" w:color="000000"/>
              <w:bottom w:val="single" w:sz="12" w:space="0" w:color="000000"/>
            </w:tcBorders>
            <w:shd w:val="clear" w:color="auto" w:fill="auto"/>
            <w:tcMar>
              <w:top w:w="20" w:type="dxa"/>
              <w:left w:w="20" w:type="dxa"/>
              <w:bottom w:w="20" w:type="dxa"/>
              <w:right w:w="20" w:type="dxa"/>
            </w:tcMar>
          </w:tcPr>
          <w:p w14:paraId="2DA232B5" w14:textId="77777777" w:rsidR="00793257" w:rsidRPr="00AE70F5" w:rsidRDefault="00793257" w:rsidP="00793257">
            <w:pPr>
              <w:pStyle w:val="T1TableStyle"/>
              <w:jc w:val="right"/>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1,418</w:t>
            </w:r>
          </w:p>
        </w:tc>
        <w:tc>
          <w:tcPr>
            <w:tcW w:w="293" w:type="dxa"/>
            <w:tcBorders>
              <w:top w:val="single" w:sz="2" w:space="0" w:color="000000"/>
              <w:bottom w:val="single" w:sz="12" w:space="0" w:color="000000"/>
            </w:tcBorders>
            <w:shd w:val="clear" w:color="auto" w:fill="auto"/>
            <w:tcMar>
              <w:top w:w="20" w:type="dxa"/>
              <w:left w:w="20" w:type="dxa"/>
              <w:bottom w:w="20" w:type="dxa"/>
              <w:right w:w="20" w:type="dxa"/>
            </w:tcMar>
          </w:tcPr>
          <w:p w14:paraId="42801701" w14:textId="77777777" w:rsidR="00793257" w:rsidRPr="00AE70F5" w:rsidRDefault="00793257" w:rsidP="00793257">
            <w:pPr>
              <w:pStyle w:val="T1TableStyle"/>
              <w:jc w:val="center"/>
              <w:rPr>
                <w:rFonts w:ascii="Verdana" w:eastAsia="Verdana" w:hAnsi="Verdana" w:cs="Verdana"/>
                <w:b/>
                <w:color w:val="000000"/>
                <w:sz w:val="2"/>
                <w:szCs w:val="22"/>
                <w:lang w:val="pt-BR"/>
              </w:rPr>
            </w:pPr>
            <w:r w:rsidRPr="00AE70F5">
              <w:rPr>
                <w:rFonts w:ascii="Verdana" w:eastAsia="Verdana" w:hAnsi="Verdana" w:cs="Verdana"/>
                <w:b/>
                <w:color w:val="000000"/>
                <w:sz w:val="2"/>
                <w:szCs w:val="22"/>
                <w:lang w:val="pt-BR"/>
              </w:rPr>
              <w:t xml:space="preserve"> </w:t>
            </w:r>
          </w:p>
        </w:tc>
        <w:tc>
          <w:tcPr>
            <w:tcW w:w="3435" w:type="dxa"/>
            <w:tcBorders>
              <w:top w:val="single" w:sz="2" w:space="0" w:color="000000"/>
              <w:bottom w:val="single" w:sz="12" w:space="0" w:color="000000"/>
            </w:tcBorders>
            <w:shd w:val="clear" w:color="auto" w:fill="auto"/>
            <w:tcMar>
              <w:top w:w="20" w:type="dxa"/>
              <w:left w:w="20" w:type="dxa"/>
              <w:bottom w:w="20" w:type="dxa"/>
              <w:right w:w="20" w:type="dxa"/>
            </w:tcMar>
          </w:tcPr>
          <w:p w14:paraId="46FF659E" w14:textId="77777777" w:rsidR="00793257" w:rsidRPr="00AE70F5" w:rsidRDefault="00793257" w:rsidP="00793257">
            <w:pPr>
              <w:pStyle w:val="T1TableStyle"/>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Total</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4EEA3996" w14:textId="4E248BF2" w:rsidR="00793257" w:rsidRPr="00AE70F5" w:rsidRDefault="00AE70F5">
            <w:pPr>
              <w:pStyle w:val="T1TableStyle"/>
              <w:jc w:val="right"/>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2,</w:t>
            </w:r>
            <w:r w:rsidR="008619CF">
              <w:rPr>
                <w:rFonts w:ascii="Verdana" w:eastAsia="Verdana" w:hAnsi="Verdana" w:cs="Verdana"/>
                <w:b/>
                <w:color w:val="000000"/>
                <w:sz w:val="16"/>
                <w:szCs w:val="22"/>
                <w:lang w:val="pt-BR"/>
              </w:rPr>
              <w:t>948</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0AB00B82" w14:textId="6B1994CF" w:rsidR="00793257" w:rsidRPr="00AE70F5" w:rsidRDefault="00AE70F5">
            <w:pPr>
              <w:pStyle w:val="T1TableStyle"/>
              <w:jc w:val="right"/>
              <w:rPr>
                <w:rFonts w:ascii="Verdana" w:eastAsia="Verdana" w:hAnsi="Verdana" w:cs="Verdana"/>
                <w:b/>
                <w:color w:val="000000"/>
                <w:sz w:val="16"/>
                <w:szCs w:val="22"/>
                <w:lang w:val="pt-BR"/>
              </w:rPr>
            </w:pPr>
            <w:r w:rsidRPr="00AE70F5">
              <w:rPr>
                <w:rFonts w:ascii="Verdana" w:eastAsia="Verdana" w:hAnsi="Verdana" w:cs="Verdana"/>
                <w:b/>
                <w:color w:val="000000"/>
                <w:sz w:val="16"/>
                <w:szCs w:val="22"/>
                <w:lang w:val="pt-BR"/>
              </w:rPr>
              <w:t>2,</w:t>
            </w:r>
            <w:r w:rsidR="008619CF">
              <w:rPr>
                <w:rFonts w:ascii="Verdana" w:eastAsia="Verdana" w:hAnsi="Verdana" w:cs="Verdana"/>
                <w:b/>
                <w:color w:val="000000"/>
                <w:sz w:val="16"/>
                <w:szCs w:val="22"/>
                <w:lang w:val="pt-BR"/>
              </w:rPr>
              <w:t>948</w:t>
            </w:r>
          </w:p>
        </w:tc>
      </w:tr>
    </w:tbl>
    <w:p w14:paraId="1F9BE825" w14:textId="77777777" w:rsidR="00CA6653" w:rsidRPr="00A95292" w:rsidRDefault="00CA6653" w:rsidP="00A31A9E">
      <w:pPr>
        <w:pStyle w:val="Heading1"/>
      </w:pPr>
      <w:bookmarkStart w:id="51" w:name="_Toc75122804"/>
      <w:r w:rsidRPr="00AE70F5">
        <w:t>Note 3</w:t>
      </w:r>
      <w:r w:rsidR="00960EC4" w:rsidRPr="00AE70F5">
        <w:t>6</w:t>
      </w:r>
      <w:r w:rsidRPr="00AE70F5">
        <w:t xml:space="preserve"> - Cash Flow from</w:t>
      </w:r>
      <w:r w:rsidRPr="00A95292">
        <w:t xml:space="preserve"> Investing Activities</w:t>
      </w:r>
      <w:bookmarkEnd w:id="51"/>
    </w:p>
    <w:tbl>
      <w:tblPr>
        <w:tblW w:w="0" w:type="auto"/>
        <w:tblLayout w:type="fixed"/>
        <w:tblLook w:val="04A0" w:firstRow="1" w:lastRow="0" w:firstColumn="1" w:lastColumn="0" w:noHBand="0" w:noVBand="1"/>
      </w:tblPr>
      <w:tblGrid>
        <w:gridCol w:w="1545"/>
        <w:gridCol w:w="1545"/>
        <w:gridCol w:w="180"/>
        <w:gridCol w:w="3225"/>
        <w:gridCol w:w="1545"/>
        <w:gridCol w:w="1545"/>
      </w:tblGrid>
      <w:tr w:rsidR="004D417B" w:rsidRPr="00A95292" w14:paraId="7AB36304" w14:textId="77777777">
        <w:trPr>
          <w:trHeight w:val="300"/>
        </w:trPr>
        <w:tc>
          <w:tcPr>
            <w:tcW w:w="3090" w:type="dxa"/>
            <w:gridSpan w:val="2"/>
            <w:shd w:val="clear" w:color="auto" w:fill="auto"/>
            <w:tcMar>
              <w:top w:w="20" w:type="dxa"/>
              <w:left w:w="20" w:type="dxa"/>
              <w:bottom w:w="20" w:type="dxa"/>
              <w:right w:w="20" w:type="dxa"/>
            </w:tcMar>
            <w:vAlign w:val="bottom"/>
          </w:tcPr>
          <w:p w14:paraId="3B2585CB" w14:textId="77777777" w:rsidR="004D417B" w:rsidRPr="00A95292" w:rsidRDefault="00CA6653" w:rsidP="00793257">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31 March 20</w:t>
            </w:r>
            <w:r w:rsidR="00793257" w:rsidRPr="00A95292">
              <w:rPr>
                <w:rFonts w:ascii="Verdana" w:eastAsia="Verdana" w:hAnsi="Verdana" w:cs="Verdana"/>
                <w:b/>
                <w:color w:val="000000"/>
                <w:sz w:val="16"/>
                <w:szCs w:val="22"/>
                <w:lang w:val="pt-BR"/>
              </w:rPr>
              <w:t>20</w:t>
            </w:r>
          </w:p>
        </w:tc>
        <w:tc>
          <w:tcPr>
            <w:tcW w:w="180" w:type="dxa"/>
            <w:shd w:val="clear" w:color="auto" w:fill="auto"/>
            <w:tcMar>
              <w:top w:w="20" w:type="dxa"/>
              <w:left w:w="20" w:type="dxa"/>
              <w:bottom w:w="20" w:type="dxa"/>
              <w:right w:w="20" w:type="dxa"/>
            </w:tcMar>
            <w:vAlign w:val="bottom"/>
          </w:tcPr>
          <w:p w14:paraId="298A98FC" w14:textId="77777777" w:rsidR="004D417B" w:rsidRPr="00A95292" w:rsidRDefault="00CA6653" w:rsidP="00CA6653">
            <w:pPr>
              <w:pStyle w:val="T1TableStyle"/>
              <w:jc w:val="center"/>
              <w:rPr>
                <w:rFonts w:ascii="Verdana" w:eastAsia="Verdana" w:hAnsi="Verdana" w:cs="Verdana"/>
                <w:b/>
                <w:color w:val="000000"/>
                <w:sz w:val="2"/>
                <w:szCs w:val="22"/>
                <w:lang w:val="pt-BR"/>
              </w:rPr>
            </w:pPr>
            <w:r w:rsidRPr="00A95292">
              <w:rPr>
                <w:rFonts w:ascii="Verdana" w:eastAsia="Verdana" w:hAnsi="Verdana" w:cs="Verdana"/>
                <w:b/>
                <w:color w:val="000000"/>
                <w:sz w:val="2"/>
                <w:szCs w:val="22"/>
                <w:lang w:val="pt-BR"/>
              </w:rPr>
              <w:t xml:space="preserve"> </w:t>
            </w:r>
          </w:p>
        </w:tc>
        <w:tc>
          <w:tcPr>
            <w:tcW w:w="3225" w:type="dxa"/>
            <w:shd w:val="clear" w:color="auto" w:fill="auto"/>
            <w:tcMar>
              <w:top w:w="20" w:type="dxa"/>
              <w:left w:w="20" w:type="dxa"/>
              <w:bottom w:w="20" w:type="dxa"/>
              <w:right w:w="20" w:type="dxa"/>
            </w:tcMar>
            <w:vAlign w:val="bottom"/>
          </w:tcPr>
          <w:p w14:paraId="451BC607" w14:textId="77777777" w:rsidR="004D417B" w:rsidRPr="00A95292" w:rsidRDefault="00CA6653" w:rsidP="00CA6653">
            <w:pPr>
              <w:pStyle w:val="T1TableStyle"/>
              <w:jc w:val="center"/>
              <w:rPr>
                <w:rFonts w:ascii="Verdana" w:eastAsia="Verdana" w:hAnsi="Verdana" w:cs="Verdana"/>
                <w:b/>
                <w:color w:val="000000"/>
                <w:sz w:val="2"/>
                <w:szCs w:val="22"/>
                <w:lang w:val="pt-BR"/>
              </w:rPr>
            </w:pPr>
            <w:r w:rsidRPr="00A95292">
              <w:rPr>
                <w:rFonts w:ascii="Verdana" w:eastAsia="Verdana" w:hAnsi="Verdana" w:cs="Verdana"/>
                <w:b/>
                <w:color w:val="000000"/>
                <w:sz w:val="2"/>
                <w:szCs w:val="22"/>
                <w:lang w:val="pt-BR"/>
              </w:rPr>
              <w:t xml:space="preserve"> </w:t>
            </w:r>
          </w:p>
        </w:tc>
        <w:tc>
          <w:tcPr>
            <w:tcW w:w="3090" w:type="dxa"/>
            <w:gridSpan w:val="2"/>
            <w:shd w:val="clear" w:color="auto" w:fill="auto"/>
            <w:tcMar>
              <w:top w:w="20" w:type="dxa"/>
              <w:left w:w="20" w:type="dxa"/>
              <w:bottom w:w="20" w:type="dxa"/>
              <w:right w:w="20" w:type="dxa"/>
            </w:tcMar>
            <w:vAlign w:val="bottom"/>
          </w:tcPr>
          <w:p w14:paraId="5588C326" w14:textId="77777777" w:rsidR="004D417B" w:rsidRPr="00A95292" w:rsidRDefault="00CA6653" w:rsidP="00793257">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31 March 202</w:t>
            </w:r>
            <w:r w:rsidR="00793257" w:rsidRPr="00A95292">
              <w:rPr>
                <w:rFonts w:ascii="Verdana" w:eastAsia="Verdana" w:hAnsi="Verdana" w:cs="Verdana"/>
                <w:b/>
                <w:color w:val="000000"/>
                <w:sz w:val="16"/>
                <w:szCs w:val="22"/>
                <w:lang w:val="pt-BR"/>
              </w:rPr>
              <w:t>1</w:t>
            </w:r>
          </w:p>
        </w:tc>
      </w:tr>
      <w:tr w:rsidR="004D417B" w:rsidRPr="00A95292" w14:paraId="33933D5B" w14:textId="77777777">
        <w:trPr>
          <w:trHeight w:val="300"/>
        </w:trPr>
        <w:tc>
          <w:tcPr>
            <w:tcW w:w="1545" w:type="dxa"/>
            <w:shd w:val="clear" w:color="auto" w:fill="auto"/>
            <w:tcMar>
              <w:top w:w="20" w:type="dxa"/>
              <w:left w:w="20" w:type="dxa"/>
              <w:bottom w:w="20" w:type="dxa"/>
              <w:right w:w="20" w:type="dxa"/>
            </w:tcMar>
            <w:vAlign w:val="bottom"/>
          </w:tcPr>
          <w:p w14:paraId="4EEA84F7" w14:textId="77777777" w:rsidR="004D417B" w:rsidRPr="00A95292" w:rsidRDefault="00CA6653" w:rsidP="00CA6653">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14:paraId="15FBE2F5" w14:textId="77777777" w:rsidR="004D417B" w:rsidRPr="00A95292" w:rsidRDefault="00CA6653" w:rsidP="00CA6653">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Group</w:t>
            </w:r>
          </w:p>
        </w:tc>
        <w:tc>
          <w:tcPr>
            <w:tcW w:w="180" w:type="dxa"/>
            <w:shd w:val="clear" w:color="auto" w:fill="auto"/>
            <w:tcMar>
              <w:top w:w="20" w:type="dxa"/>
              <w:left w:w="20" w:type="dxa"/>
              <w:bottom w:w="20" w:type="dxa"/>
              <w:right w:w="20" w:type="dxa"/>
            </w:tcMar>
            <w:vAlign w:val="bottom"/>
          </w:tcPr>
          <w:p w14:paraId="7B3E81B4" w14:textId="77777777" w:rsidR="004D417B" w:rsidRPr="00A95292" w:rsidRDefault="00CA6653" w:rsidP="00CA6653">
            <w:pPr>
              <w:pStyle w:val="T1TableStyle"/>
              <w:jc w:val="center"/>
              <w:rPr>
                <w:rFonts w:ascii="Verdana" w:eastAsia="Verdana" w:hAnsi="Verdana" w:cs="Verdana"/>
                <w:b/>
                <w:color w:val="000000"/>
                <w:sz w:val="2"/>
                <w:szCs w:val="22"/>
                <w:lang w:val="pt-BR"/>
              </w:rPr>
            </w:pPr>
            <w:r w:rsidRPr="00A95292">
              <w:rPr>
                <w:rFonts w:ascii="Verdana" w:eastAsia="Verdana" w:hAnsi="Verdana" w:cs="Verdana"/>
                <w:b/>
                <w:color w:val="000000"/>
                <w:sz w:val="2"/>
                <w:szCs w:val="22"/>
                <w:lang w:val="pt-BR"/>
              </w:rPr>
              <w:t xml:space="preserve"> </w:t>
            </w:r>
          </w:p>
        </w:tc>
        <w:tc>
          <w:tcPr>
            <w:tcW w:w="3225" w:type="dxa"/>
            <w:shd w:val="clear" w:color="auto" w:fill="auto"/>
            <w:tcMar>
              <w:top w:w="20" w:type="dxa"/>
              <w:left w:w="20" w:type="dxa"/>
              <w:bottom w:w="20" w:type="dxa"/>
              <w:right w:w="20" w:type="dxa"/>
            </w:tcMar>
            <w:vAlign w:val="bottom"/>
          </w:tcPr>
          <w:p w14:paraId="2802D924" w14:textId="77777777" w:rsidR="004D417B" w:rsidRPr="00A95292" w:rsidRDefault="00CA6653" w:rsidP="00CA6653">
            <w:pPr>
              <w:pStyle w:val="T1TableStyle"/>
              <w:jc w:val="center"/>
              <w:rPr>
                <w:rFonts w:ascii="Verdana" w:eastAsia="Verdana" w:hAnsi="Verdana" w:cs="Verdana"/>
                <w:b/>
                <w:color w:val="000000"/>
                <w:sz w:val="2"/>
                <w:szCs w:val="22"/>
                <w:lang w:val="pt-BR"/>
              </w:rPr>
            </w:pPr>
            <w:r w:rsidRPr="00A95292">
              <w:rPr>
                <w:rFonts w:ascii="Verdana" w:eastAsia="Verdana" w:hAnsi="Verdana" w:cs="Verdana"/>
                <w:b/>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14:paraId="10511292" w14:textId="77777777" w:rsidR="004D417B" w:rsidRPr="00A95292" w:rsidRDefault="00CA6653" w:rsidP="00CA6653">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14:paraId="11423260" w14:textId="77777777" w:rsidR="004D417B" w:rsidRPr="00A95292" w:rsidRDefault="00CA6653" w:rsidP="00CA6653">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Group</w:t>
            </w:r>
          </w:p>
        </w:tc>
      </w:tr>
      <w:tr w:rsidR="004D417B" w:rsidRPr="00A95292" w14:paraId="626D35DD" w14:textId="77777777">
        <w:trPr>
          <w:trHeight w:val="300"/>
        </w:trPr>
        <w:tc>
          <w:tcPr>
            <w:tcW w:w="1545" w:type="dxa"/>
            <w:tcBorders>
              <w:bottom w:val="single" w:sz="2" w:space="0" w:color="000000"/>
            </w:tcBorders>
            <w:shd w:val="clear" w:color="auto" w:fill="auto"/>
            <w:tcMar>
              <w:top w:w="20" w:type="dxa"/>
              <w:left w:w="20" w:type="dxa"/>
              <w:bottom w:w="20" w:type="dxa"/>
              <w:right w:w="20" w:type="dxa"/>
            </w:tcMar>
          </w:tcPr>
          <w:p w14:paraId="32A5938B" w14:textId="77777777" w:rsidR="004D417B" w:rsidRPr="00A95292" w:rsidRDefault="00CA6653" w:rsidP="00CA6653">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14:paraId="1519F9EA" w14:textId="77777777" w:rsidR="004D417B" w:rsidRPr="00A95292" w:rsidRDefault="00CA6653" w:rsidP="00CA6653">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£000</w:t>
            </w:r>
          </w:p>
        </w:tc>
        <w:tc>
          <w:tcPr>
            <w:tcW w:w="180" w:type="dxa"/>
            <w:tcBorders>
              <w:bottom w:val="single" w:sz="2" w:space="0" w:color="000000"/>
            </w:tcBorders>
            <w:shd w:val="clear" w:color="auto" w:fill="auto"/>
            <w:tcMar>
              <w:top w:w="20" w:type="dxa"/>
              <w:left w:w="20" w:type="dxa"/>
              <w:bottom w:w="20" w:type="dxa"/>
              <w:right w:w="20" w:type="dxa"/>
            </w:tcMar>
          </w:tcPr>
          <w:p w14:paraId="20954540" w14:textId="77777777" w:rsidR="004D417B" w:rsidRPr="00A95292" w:rsidRDefault="00CA6653" w:rsidP="00CA6653">
            <w:pPr>
              <w:pStyle w:val="T1TableStyle"/>
              <w:jc w:val="right"/>
              <w:rPr>
                <w:rFonts w:ascii="Verdana" w:eastAsia="Verdana" w:hAnsi="Verdana" w:cs="Verdana"/>
                <w:b/>
                <w:color w:val="000000"/>
                <w:sz w:val="2"/>
                <w:szCs w:val="22"/>
                <w:lang w:val="pt-BR"/>
              </w:rPr>
            </w:pPr>
            <w:r w:rsidRPr="00A95292">
              <w:rPr>
                <w:rFonts w:ascii="Verdana" w:eastAsia="Verdana" w:hAnsi="Verdana" w:cs="Verdana"/>
                <w:b/>
                <w:color w:val="000000"/>
                <w:sz w:val="2"/>
                <w:szCs w:val="22"/>
                <w:lang w:val="pt-BR"/>
              </w:rPr>
              <w:t xml:space="preserve"> </w:t>
            </w:r>
          </w:p>
        </w:tc>
        <w:tc>
          <w:tcPr>
            <w:tcW w:w="3225" w:type="dxa"/>
            <w:tcBorders>
              <w:bottom w:val="single" w:sz="2" w:space="0" w:color="000000"/>
            </w:tcBorders>
            <w:shd w:val="clear" w:color="auto" w:fill="auto"/>
            <w:tcMar>
              <w:top w:w="20" w:type="dxa"/>
              <w:left w:w="20" w:type="dxa"/>
              <w:bottom w:w="20" w:type="dxa"/>
              <w:right w:w="20" w:type="dxa"/>
            </w:tcMar>
          </w:tcPr>
          <w:p w14:paraId="198E676B" w14:textId="77777777" w:rsidR="004D417B" w:rsidRPr="00A95292" w:rsidRDefault="00CA6653" w:rsidP="00CA6653">
            <w:pPr>
              <w:pStyle w:val="T1TableStyle"/>
              <w:jc w:val="right"/>
              <w:rPr>
                <w:rFonts w:ascii="Verdana" w:eastAsia="Verdana" w:hAnsi="Verdana" w:cs="Verdana"/>
                <w:b/>
                <w:color w:val="000000"/>
                <w:sz w:val="2"/>
                <w:szCs w:val="22"/>
                <w:lang w:val="pt-BR"/>
              </w:rPr>
            </w:pPr>
            <w:r w:rsidRPr="00A95292">
              <w:rPr>
                <w:rFonts w:ascii="Verdana" w:eastAsia="Verdana" w:hAnsi="Verdana" w:cs="Verdana"/>
                <w:b/>
                <w:color w:val="000000"/>
                <w:sz w:val="2"/>
                <w:szCs w:val="22"/>
                <w:lang w:val="pt-BR"/>
              </w:rPr>
              <w:t xml:space="preserve"> </w:t>
            </w:r>
          </w:p>
        </w:tc>
        <w:tc>
          <w:tcPr>
            <w:tcW w:w="1545" w:type="dxa"/>
            <w:tcBorders>
              <w:bottom w:val="single" w:sz="2" w:space="0" w:color="000000"/>
            </w:tcBorders>
            <w:shd w:val="clear" w:color="auto" w:fill="auto"/>
            <w:tcMar>
              <w:top w:w="20" w:type="dxa"/>
              <w:left w:w="20" w:type="dxa"/>
              <w:bottom w:w="20" w:type="dxa"/>
              <w:right w:w="20" w:type="dxa"/>
            </w:tcMar>
          </w:tcPr>
          <w:p w14:paraId="07222C12" w14:textId="77777777" w:rsidR="004D417B" w:rsidRPr="00A95292" w:rsidRDefault="00CA6653" w:rsidP="00CA6653">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14:paraId="45016ADB" w14:textId="77777777" w:rsidR="004D417B" w:rsidRPr="00A95292" w:rsidRDefault="00CA6653" w:rsidP="00CA6653">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£000</w:t>
            </w:r>
          </w:p>
        </w:tc>
      </w:tr>
      <w:tr w:rsidR="00793257" w:rsidRPr="00A95292" w14:paraId="48D2B515" w14:textId="77777777">
        <w:trPr>
          <w:trHeight w:val="720"/>
        </w:trPr>
        <w:tc>
          <w:tcPr>
            <w:tcW w:w="1545" w:type="dxa"/>
            <w:shd w:val="clear" w:color="auto" w:fill="auto"/>
            <w:tcMar>
              <w:top w:w="20" w:type="dxa"/>
              <w:left w:w="20" w:type="dxa"/>
              <w:bottom w:w="20" w:type="dxa"/>
              <w:right w:w="20" w:type="dxa"/>
            </w:tcMar>
          </w:tcPr>
          <w:p w14:paraId="12B8451E"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9,408</w:t>
            </w:r>
          </w:p>
        </w:tc>
        <w:tc>
          <w:tcPr>
            <w:tcW w:w="1545" w:type="dxa"/>
            <w:shd w:val="clear" w:color="auto" w:fill="auto"/>
            <w:tcMar>
              <w:top w:w="20" w:type="dxa"/>
              <w:left w:w="20" w:type="dxa"/>
              <w:bottom w:w="20" w:type="dxa"/>
              <w:right w:w="20" w:type="dxa"/>
            </w:tcMar>
          </w:tcPr>
          <w:p w14:paraId="42403D9B"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9,408</w:t>
            </w:r>
          </w:p>
        </w:tc>
        <w:tc>
          <w:tcPr>
            <w:tcW w:w="180" w:type="dxa"/>
            <w:shd w:val="clear" w:color="auto" w:fill="auto"/>
            <w:tcMar>
              <w:top w:w="20" w:type="dxa"/>
              <w:left w:w="20" w:type="dxa"/>
              <w:bottom w:w="20" w:type="dxa"/>
              <w:right w:w="20" w:type="dxa"/>
            </w:tcMar>
          </w:tcPr>
          <w:p w14:paraId="35883582" w14:textId="77777777" w:rsidR="00793257" w:rsidRPr="00A95292" w:rsidRDefault="00793257" w:rsidP="00793257">
            <w:pPr>
              <w:pStyle w:val="T1TableStyle"/>
              <w:jc w:val="center"/>
              <w:rPr>
                <w:rFonts w:ascii="Verdana" w:eastAsia="Verdana" w:hAnsi="Verdana" w:cs="Verdana"/>
                <w:color w:val="000000"/>
                <w:sz w:val="2"/>
                <w:szCs w:val="22"/>
                <w:lang w:val="pt-BR"/>
              </w:rPr>
            </w:pPr>
            <w:r w:rsidRPr="00A95292">
              <w:rPr>
                <w:rFonts w:ascii="Verdana" w:eastAsia="Verdana" w:hAnsi="Verdana" w:cs="Verdana"/>
                <w:color w:val="000000"/>
                <w:sz w:val="2"/>
                <w:szCs w:val="22"/>
                <w:lang w:val="pt-BR"/>
              </w:rPr>
              <w:t xml:space="preserve"> </w:t>
            </w:r>
          </w:p>
        </w:tc>
        <w:tc>
          <w:tcPr>
            <w:tcW w:w="3225" w:type="dxa"/>
            <w:shd w:val="clear" w:color="auto" w:fill="auto"/>
            <w:tcMar>
              <w:top w:w="20" w:type="dxa"/>
              <w:left w:w="20" w:type="dxa"/>
              <w:bottom w:w="20" w:type="dxa"/>
              <w:right w:w="20" w:type="dxa"/>
            </w:tcMar>
          </w:tcPr>
          <w:p w14:paraId="457979AB" w14:textId="77777777" w:rsidR="00793257" w:rsidRPr="00A95292" w:rsidRDefault="00793257" w:rsidP="00793257">
            <w:pPr>
              <w:pStyle w:val="T1TableStyle"/>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Purchase of property, plant and equipment, investment property and intangible assets</w:t>
            </w:r>
          </w:p>
        </w:tc>
        <w:tc>
          <w:tcPr>
            <w:tcW w:w="1545" w:type="dxa"/>
            <w:shd w:val="clear" w:color="auto" w:fill="auto"/>
            <w:tcMar>
              <w:top w:w="20" w:type="dxa"/>
              <w:left w:w="20" w:type="dxa"/>
              <w:bottom w:w="20" w:type="dxa"/>
              <w:right w:w="20" w:type="dxa"/>
            </w:tcMar>
          </w:tcPr>
          <w:p w14:paraId="603D6CDC" w14:textId="77777777" w:rsidR="00793257" w:rsidRPr="00A95292" w:rsidRDefault="00A95292"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13,325</w:t>
            </w:r>
          </w:p>
        </w:tc>
        <w:tc>
          <w:tcPr>
            <w:tcW w:w="1545" w:type="dxa"/>
            <w:shd w:val="clear" w:color="auto" w:fill="auto"/>
            <w:tcMar>
              <w:top w:w="20" w:type="dxa"/>
              <w:left w:w="20" w:type="dxa"/>
              <w:bottom w:w="20" w:type="dxa"/>
              <w:right w:w="20" w:type="dxa"/>
            </w:tcMar>
          </w:tcPr>
          <w:p w14:paraId="2F8628A9" w14:textId="77777777" w:rsidR="00793257" w:rsidRPr="00A95292" w:rsidRDefault="00A95292"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13,325</w:t>
            </w:r>
          </w:p>
        </w:tc>
      </w:tr>
      <w:tr w:rsidR="00793257" w:rsidRPr="00A95292" w14:paraId="7D07357A" w14:textId="77777777">
        <w:trPr>
          <w:trHeight w:val="645"/>
        </w:trPr>
        <w:tc>
          <w:tcPr>
            <w:tcW w:w="1545" w:type="dxa"/>
            <w:shd w:val="clear" w:color="auto" w:fill="auto"/>
            <w:tcMar>
              <w:top w:w="20" w:type="dxa"/>
              <w:left w:w="20" w:type="dxa"/>
              <w:bottom w:w="20" w:type="dxa"/>
              <w:right w:w="20" w:type="dxa"/>
            </w:tcMar>
          </w:tcPr>
          <w:p w14:paraId="5679D0BA"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(73)</w:t>
            </w:r>
          </w:p>
        </w:tc>
        <w:tc>
          <w:tcPr>
            <w:tcW w:w="1545" w:type="dxa"/>
            <w:shd w:val="clear" w:color="auto" w:fill="auto"/>
            <w:tcMar>
              <w:top w:w="20" w:type="dxa"/>
              <w:left w:w="20" w:type="dxa"/>
              <w:bottom w:w="20" w:type="dxa"/>
              <w:right w:w="20" w:type="dxa"/>
            </w:tcMar>
          </w:tcPr>
          <w:p w14:paraId="1A495134"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(73)</w:t>
            </w:r>
          </w:p>
        </w:tc>
        <w:tc>
          <w:tcPr>
            <w:tcW w:w="180" w:type="dxa"/>
            <w:shd w:val="clear" w:color="auto" w:fill="auto"/>
            <w:tcMar>
              <w:top w:w="20" w:type="dxa"/>
              <w:left w:w="20" w:type="dxa"/>
              <w:bottom w:w="20" w:type="dxa"/>
              <w:right w:w="20" w:type="dxa"/>
            </w:tcMar>
          </w:tcPr>
          <w:p w14:paraId="09BD055F" w14:textId="77777777" w:rsidR="00793257" w:rsidRPr="00A95292" w:rsidRDefault="00793257" w:rsidP="00793257">
            <w:pPr>
              <w:pStyle w:val="T1TableStyle"/>
              <w:jc w:val="center"/>
              <w:rPr>
                <w:rFonts w:ascii="Verdana" w:eastAsia="Verdana" w:hAnsi="Verdana" w:cs="Verdana"/>
                <w:color w:val="000000"/>
                <w:sz w:val="2"/>
                <w:szCs w:val="22"/>
                <w:lang w:val="pt-BR"/>
              </w:rPr>
            </w:pPr>
            <w:r w:rsidRPr="00A95292">
              <w:rPr>
                <w:rFonts w:ascii="Verdana" w:eastAsia="Verdana" w:hAnsi="Verdana" w:cs="Verdana"/>
                <w:color w:val="000000"/>
                <w:sz w:val="2"/>
                <w:szCs w:val="22"/>
                <w:lang w:val="pt-BR"/>
              </w:rPr>
              <w:t xml:space="preserve"> </w:t>
            </w:r>
          </w:p>
        </w:tc>
        <w:tc>
          <w:tcPr>
            <w:tcW w:w="3225" w:type="dxa"/>
            <w:shd w:val="clear" w:color="auto" w:fill="auto"/>
            <w:tcMar>
              <w:top w:w="20" w:type="dxa"/>
              <w:left w:w="20" w:type="dxa"/>
              <w:bottom w:w="20" w:type="dxa"/>
              <w:right w:w="20" w:type="dxa"/>
            </w:tcMar>
          </w:tcPr>
          <w:p w14:paraId="3383B9F2" w14:textId="77777777" w:rsidR="00793257" w:rsidRPr="00A95292" w:rsidRDefault="00793257" w:rsidP="00793257">
            <w:pPr>
              <w:pStyle w:val="T1TableStyle"/>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Proceeds from the sale of property, plant and equipment, investment property and intangible assets</w:t>
            </w:r>
          </w:p>
        </w:tc>
        <w:tc>
          <w:tcPr>
            <w:tcW w:w="1545" w:type="dxa"/>
            <w:shd w:val="clear" w:color="auto" w:fill="auto"/>
            <w:tcMar>
              <w:top w:w="20" w:type="dxa"/>
              <w:left w:w="20" w:type="dxa"/>
              <w:bottom w:w="20" w:type="dxa"/>
              <w:right w:w="20" w:type="dxa"/>
            </w:tcMar>
          </w:tcPr>
          <w:p w14:paraId="5F8147BD" w14:textId="4F6EB77E" w:rsidR="00793257" w:rsidRPr="00A95292" w:rsidRDefault="00A95292">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w:t>
            </w:r>
            <w:r w:rsidR="008619CF">
              <w:rPr>
                <w:rFonts w:ascii="Verdana" w:eastAsia="Verdana" w:hAnsi="Verdana" w:cs="Verdana"/>
                <w:color w:val="000000"/>
                <w:sz w:val="16"/>
                <w:szCs w:val="22"/>
                <w:lang w:val="pt-BR"/>
              </w:rPr>
              <w:t>296</w:t>
            </w:r>
            <w:r w:rsidRPr="00A95292">
              <w:rPr>
                <w:rFonts w:ascii="Verdana" w:eastAsia="Verdana" w:hAnsi="Verdana" w:cs="Verdana"/>
                <w:color w:val="000000"/>
                <w:sz w:val="16"/>
                <w:szCs w:val="22"/>
                <w:lang w:val="pt-BR"/>
              </w:rPr>
              <w:t>)</w:t>
            </w:r>
          </w:p>
        </w:tc>
        <w:tc>
          <w:tcPr>
            <w:tcW w:w="1545" w:type="dxa"/>
            <w:shd w:val="clear" w:color="auto" w:fill="auto"/>
            <w:tcMar>
              <w:top w:w="20" w:type="dxa"/>
              <w:left w:w="20" w:type="dxa"/>
              <w:bottom w:w="20" w:type="dxa"/>
              <w:right w:w="20" w:type="dxa"/>
            </w:tcMar>
          </w:tcPr>
          <w:p w14:paraId="7DA9FACB" w14:textId="658244FF" w:rsidR="00793257" w:rsidRPr="00A95292" w:rsidRDefault="00A95292">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w:t>
            </w:r>
            <w:r w:rsidR="008619CF">
              <w:rPr>
                <w:rFonts w:ascii="Verdana" w:eastAsia="Verdana" w:hAnsi="Verdana" w:cs="Verdana"/>
                <w:color w:val="000000"/>
                <w:sz w:val="16"/>
                <w:szCs w:val="22"/>
                <w:lang w:val="pt-BR"/>
              </w:rPr>
              <w:t>296</w:t>
            </w:r>
            <w:r w:rsidRPr="00A95292">
              <w:rPr>
                <w:rFonts w:ascii="Verdana" w:eastAsia="Verdana" w:hAnsi="Verdana" w:cs="Verdana"/>
                <w:color w:val="000000"/>
                <w:sz w:val="16"/>
                <w:szCs w:val="22"/>
                <w:lang w:val="pt-BR"/>
              </w:rPr>
              <w:t>)</w:t>
            </w:r>
          </w:p>
        </w:tc>
      </w:tr>
      <w:tr w:rsidR="00793257" w:rsidRPr="00A95292" w14:paraId="58CAAE3E" w14:textId="77777777">
        <w:trPr>
          <w:trHeight w:val="495"/>
        </w:trPr>
        <w:tc>
          <w:tcPr>
            <w:tcW w:w="1545" w:type="dxa"/>
            <w:shd w:val="clear" w:color="auto" w:fill="auto"/>
            <w:tcMar>
              <w:top w:w="20" w:type="dxa"/>
              <w:left w:w="20" w:type="dxa"/>
              <w:bottom w:w="20" w:type="dxa"/>
              <w:right w:w="20" w:type="dxa"/>
            </w:tcMar>
          </w:tcPr>
          <w:p w14:paraId="189B93B7"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(1345)</w:t>
            </w:r>
          </w:p>
        </w:tc>
        <w:tc>
          <w:tcPr>
            <w:tcW w:w="1545" w:type="dxa"/>
            <w:shd w:val="clear" w:color="auto" w:fill="auto"/>
            <w:tcMar>
              <w:top w:w="20" w:type="dxa"/>
              <w:left w:w="20" w:type="dxa"/>
              <w:bottom w:w="20" w:type="dxa"/>
              <w:right w:w="20" w:type="dxa"/>
            </w:tcMar>
          </w:tcPr>
          <w:p w14:paraId="237E99D7"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(1345)</w:t>
            </w:r>
          </w:p>
        </w:tc>
        <w:tc>
          <w:tcPr>
            <w:tcW w:w="180" w:type="dxa"/>
            <w:shd w:val="clear" w:color="auto" w:fill="auto"/>
            <w:tcMar>
              <w:top w:w="20" w:type="dxa"/>
              <w:left w:w="20" w:type="dxa"/>
              <w:bottom w:w="20" w:type="dxa"/>
              <w:right w:w="20" w:type="dxa"/>
            </w:tcMar>
          </w:tcPr>
          <w:p w14:paraId="4AE09616" w14:textId="77777777" w:rsidR="00793257" w:rsidRPr="00A95292" w:rsidRDefault="00793257" w:rsidP="00793257">
            <w:pPr>
              <w:pStyle w:val="T1TableStyle"/>
              <w:jc w:val="center"/>
              <w:rPr>
                <w:rFonts w:ascii="Verdana" w:eastAsia="Verdana" w:hAnsi="Verdana" w:cs="Verdana"/>
                <w:color w:val="000000"/>
                <w:sz w:val="2"/>
                <w:szCs w:val="22"/>
                <w:lang w:val="pt-BR"/>
              </w:rPr>
            </w:pPr>
            <w:r w:rsidRPr="00A95292">
              <w:rPr>
                <w:rFonts w:ascii="Verdana" w:eastAsia="Verdana" w:hAnsi="Verdana" w:cs="Verdana"/>
                <w:color w:val="000000"/>
                <w:sz w:val="2"/>
                <w:szCs w:val="22"/>
                <w:lang w:val="pt-BR"/>
              </w:rPr>
              <w:t xml:space="preserve"> </w:t>
            </w:r>
          </w:p>
        </w:tc>
        <w:tc>
          <w:tcPr>
            <w:tcW w:w="3225" w:type="dxa"/>
            <w:shd w:val="clear" w:color="auto" w:fill="auto"/>
            <w:tcMar>
              <w:top w:w="20" w:type="dxa"/>
              <w:left w:w="20" w:type="dxa"/>
              <w:bottom w:w="20" w:type="dxa"/>
              <w:right w:w="20" w:type="dxa"/>
            </w:tcMar>
          </w:tcPr>
          <w:p w14:paraId="24EAA0B0" w14:textId="77777777" w:rsidR="00793257" w:rsidRPr="00A95292" w:rsidRDefault="00793257" w:rsidP="00793257">
            <w:pPr>
              <w:pStyle w:val="T1TableStyle"/>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Other receipts from investing activities</w:t>
            </w:r>
          </w:p>
        </w:tc>
        <w:tc>
          <w:tcPr>
            <w:tcW w:w="1545" w:type="dxa"/>
            <w:shd w:val="clear" w:color="auto" w:fill="auto"/>
            <w:tcMar>
              <w:top w:w="20" w:type="dxa"/>
              <w:left w:w="20" w:type="dxa"/>
              <w:bottom w:w="20" w:type="dxa"/>
              <w:right w:w="20" w:type="dxa"/>
            </w:tcMar>
          </w:tcPr>
          <w:p w14:paraId="5823397B" w14:textId="77777777" w:rsidR="00793257" w:rsidRPr="00A95292" w:rsidRDefault="00A95292"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(2,652)</w:t>
            </w:r>
          </w:p>
        </w:tc>
        <w:tc>
          <w:tcPr>
            <w:tcW w:w="1545" w:type="dxa"/>
            <w:shd w:val="clear" w:color="auto" w:fill="auto"/>
            <w:tcMar>
              <w:top w:w="20" w:type="dxa"/>
              <w:left w:w="20" w:type="dxa"/>
              <w:bottom w:w="20" w:type="dxa"/>
              <w:right w:w="20" w:type="dxa"/>
            </w:tcMar>
          </w:tcPr>
          <w:p w14:paraId="5A6110B4" w14:textId="77777777" w:rsidR="00793257" w:rsidRPr="00A95292" w:rsidRDefault="00A95292"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(2,652)</w:t>
            </w:r>
          </w:p>
        </w:tc>
      </w:tr>
      <w:tr w:rsidR="00793257" w:rsidRPr="00A95292" w14:paraId="556F1D68" w14:textId="77777777" w:rsidTr="00AE70F5">
        <w:trPr>
          <w:trHeight w:val="262"/>
        </w:trPr>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728B6D17" w14:textId="77777777" w:rsidR="00793257" w:rsidRPr="00A95292" w:rsidRDefault="00793257" w:rsidP="00793257">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7,990</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69E51320" w14:textId="77777777" w:rsidR="00793257" w:rsidRPr="00A95292" w:rsidRDefault="00793257" w:rsidP="00793257">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7,990</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14:paraId="141B9190" w14:textId="77777777" w:rsidR="00793257" w:rsidRPr="00A95292" w:rsidRDefault="00793257" w:rsidP="00793257">
            <w:pPr>
              <w:pStyle w:val="T1TableStyle"/>
              <w:jc w:val="center"/>
              <w:rPr>
                <w:rFonts w:ascii="Verdana" w:eastAsia="Verdana" w:hAnsi="Verdana" w:cs="Verdana"/>
                <w:b/>
                <w:color w:val="000000"/>
                <w:sz w:val="2"/>
                <w:szCs w:val="22"/>
                <w:lang w:val="pt-BR"/>
              </w:rPr>
            </w:pPr>
            <w:r w:rsidRPr="00A95292">
              <w:rPr>
                <w:rFonts w:ascii="Verdana" w:eastAsia="Verdana" w:hAnsi="Verdana" w:cs="Verdana"/>
                <w:b/>
                <w:color w:val="000000"/>
                <w:sz w:val="2"/>
                <w:szCs w:val="22"/>
                <w:lang w:val="pt-BR"/>
              </w:rPr>
              <w:t xml:space="preserve"> </w:t>
            </w:r>
          </w:p>
        </w:tc>
        <w:tc>
          <w:tcPr>
            <w:tcW w:w="3225" w:type="dxa"/>
            <w:tcBorders>
              <w:top w:val="single" w:sz="2" w:space="0" w:color="000000"/>
              <w:bottom w:val="single" w:sz="12" w:space="0" w:color="000000"/>
            </w:tcBorders>
            <w:shd w:val="clear" w:color="auto" w:fill="auto"/>
            <w:tcMar>
              <w:top w:w="20" w:type="dxa"/>
              <w:left w:w="20" w:type="dxa"/>
              <w:bottom w:w="20" w:type="dxa"/>
              <w:right w:w="20" w:type="dxa"/>
            </w:tcMar>
          </w:tcPr>
          <w:p w14:paraId="00ABFA1D" w14:textId="77777777" w:rsidR="00793257" w:rsidRPr="00A95292" w:rsidRDefault="00793257" w:rsidP="00793257">
            <w:pPr>
              <w:pStyle w:val="T1TableStyle"/>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Net cash flows from investing activities</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60A6D1DF" w14:textId="519DDDE0" w:rsidR="00793257" w:rsidRPr="00A95292" w:rsidRDefault="00A95292">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10,</w:t>
            </w:r>
            <w:r w:rsidR="008619CF">
              <w:rPr>
                <w:rFonts w:ascii="Verdana" w:eastAsia="Verdana" w:hAnsi="Verdana" w:cs="Verdana"/>
                <w:b/>
                <w:color w:val="000000"/>
                <w:sz w:val="16"/>
                <w:szCs w:val="22"/>
                <w:lang w:val="pt-BR"/>
              </w:rPr>
              <w:t>377</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7ACE3FB6" w14:textId="3055C227" w:rsidR="00793257" w:rsidRPr="00A95292" w:rsidRDefault="00A95292">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10,</w:t>
            </w:r>
            <w:r w:rsidR="004F4A9A">
              <w:rPr>
                <w:rFonts w:ascii="Verdana" w:eastAsia="Verdana" w:hAnsi="Verdana" w:cs="Verdana"/>
                <w:b/>
                <w:color w:val="000000"/>
                <w:sz w:val="16"/>
                <w:szCs w:val="22"/>
                <w:lang w:val="pt-BR"/>
              </w:rPr>
              <w:t>377</w:t>
            </w:r>
          </w:p>
        </w:tc>
      </w:tr>
    </w:tbl>
    <w:p w14:paraId="22C7F507" w14:textId="77777777" w:rsidR="00CA6653" w:rsidRPr="00A95292" w:rsidRDefault="00CA6653" w:rsidP="00A31A9E">
      <w:pPr>
        <w:pStyle w:val="Heading1"/>
      </w:pPr>
      <w:bookmarkStart w:id="52" w:name="_Toc75122805"/>
      <w:r w:rsidRPr="00A95292">
        <w:t>Note 3</w:t>
      </w:r>
      <w:r w:rsidR="00960EC4" w:rsidRPr="00A95292">
        <w:t>7</w:t>
      </w:r>
      <w:r w:rsidRPr="00A95292">
        <w:t xml:space="preserve"> - Cash Flow from Financing Activities</w:t>
      </w:r>
      <w:bookmarkEnd w:id="52"/>
    </w:p>
    <w:tbl>
      <w:tblPr>
        <w:tblW w:w="0" w:type="auto"/>
        <w:tblLayout w:type="fixed"/>
        <w:tblLook w:val="04A0" w:firstRow="1" w:lastRow="0" w:firstColumn="1" w:lastColumn="0" w:noHBand="0" w:noVBand="1"/>
      </w:tblPr>
      <w:tblGrid>
        <w:gridCol w:w="1545"/>
        <w:gridCol w:w="1545"/>
        <w:gridCol w:w="180"/>
        <w:gridCol w:w="3435"/>
        <w:gridCol w:w="1545"/>
        <w:gridCol w:w="1545"/>
      </w:tblGrid>
      <w:tr w:rsidR="004D417B" w:rsidRPr="00A95292" w14:paraId="213DC296" w14:textId="77777777">
        <w:trPr>
          <w:trHeight w:val="300"/>
        </w:trPr>
        <w:tc>
          <w:tcPr>
            <w:tcW w:w="3090" w:type="dxa"/>
            <w:gridSpan w:val="2"/>
            <w:shd w:val="clear" w:color="auto" w:fill="auto"/>
            <w:tcMar>
              <w:top w:w="20" w:type="dxa"/>
              <w:left w:w="20" w:type="dxa"/>
              <w:bottom w:w="20" w:type="dxa"/>
              <w:right w:w="20" w:type="dxa"/>
            </w:tcMar>
            <w:vAlign w:val="bottom"/>
          </w:tcPr>
          <w:p w14:paraId="6C0FC3A4" w14:textId="77777777" w:rsidR="004D417B" w:rsidRPr="00A95292" w:rsidRDefault="00CA6653" w:rsidP="00793257">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31 March 20</w:t>
            </w:r>
            <w:r w:rsidR="00793257" w:rsidRPr="00A95292">
              <w:rPr>
                <w:rFonts w:ascii="Verdana" w:eastAsia="Verdana" w:hAnsi="Verdana" w:cs="Verdana"/>
                <w:b/>
                <w:color w:val="000000"/>
                <w:sz w:val="16"/>
                <w:szCs w:val="22"/>
                <w:lang w:val="pt-BR"/>
              </w:rPr>
              <w:t>20</w:t>
            </w:r>
          </w:p>
        </w:tc>
        <w:tc>
          <w:tcPr>
            <w:tcW w:w="180" w:type="dxa"/>
            <w:shd w:val="clear" w:color="auto" w:fill="auto"/>
            <w:tcMar>
              <w:top w:w="20" w:type="dxa"/>
              <w:left w:w="20" w:type="dxa"/>
              <w:bottom w:w="20" w:type="dxa"/>
              <w:right w:w="20" w:type="dxa"/>
            </w:tcMar>
            <w:vAlign w:val="bottom"/>
          </w:tcPr>
          <w:p w14:paraId="33D149F7" w14:textId="77777777" w:rsidR="004D417B" w:rsidRPr="00A95292" w:rsidRDefault="00CA6653" w:rsidP="00CA6653">
            <w:pPr>
              <w:pStyle w:val="T1TableStyle"/>
              <w:jc w:val="center"/>
              <w:rPr>
                <w:rFonts w:ascii="Verdana" w:eastAsia="Verdana" w:hAnsi="Verdana" w:cs="Verdana"/>
                <w:b/>
                <w:color w:val="000000"/>
                <w:sz w:val="2"/>
                <w:szCs w:val="22"/>
                <w:lang w:val="pt-BR"/>
              </w:rPr>
            </w:pPr>
            <w:r w:rsidRPr="00A95292">
              <w:rPr>
                <w:rFonts w:ascii="Verdana" w:eastAsia="Verdana" w:hAnsi="Verdana" w:cs="Verdana"/>
                <w:b/>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14:paraId="7F0F450B" w14:textId="77777777" w:rsidR="004D417B" w:rsidRPr="00A95292" w:rsidRDefault="00CA6653" w:rsidP="00CA6653">
            <w:pPr>
              <w:pStyle w:val="T1TableStyle"/>
              <w:jc w:val="center"/>
              <w:rPr>
                <w:rFonts w:ascii="Verdana" w:eastAsia="Verdana" w:hAnsi="Verdana" w:cs="Verdana"/>
                <w:b/>
                <w:color w:val="000000"/>
                <w:sz w:val="2"/>
                <w:szCs w:val="22"/>
                <w:lang w:val="pt-BR"/>
              </w:rPr>
            </w:pPr>
            <w:r w:rsidRPr="00A95292">
              <w:rPr>
                <w:rFonts w:ascii="Verdana" w:eastAsia="Verdana" w:hAnsi="Verdana" w:cs="Verdana"/>
                <w:b/>
                <w:color w:val="000000"/>
                <w:sz w:val="2"/>
                <w:szCs w:val="22"/>
                <w:lang w:val="pt-BR"/>
              </w:rPr>
              <w:t xml:space="preserve"> </w:t>
            </w:r>
          </w:p>
        </w:tc>
        <w:tc>
          <w:tcPr>
            <w:tcW w:w="3090" w:type="dxa"/>
            <w:gridSpan w:val="2"/>
            <w:shd w:val="clear" w:color="auto" w:fill="auto"/>
            <w:tcMar>
              <w:top w:w="20" w:type="dxa"/>
              <w:left w:w="20" w:type="dxa"/>
              <w:bottom w:w="20" w:type="dxa"/>
              <w:right w:w="20" w:type="dxa"/>
            </w:tcMar>
            <w:vAlign w:val="bottom"/>
          </w:tcPr>
          <w:p w14:paraId="07D8BFAB" w14:textId="77777777" w:rsidR="004D417B" w:rsidRPr="00A95292" w:rsidRDefault="00CA6653" w:rsidP="00793257">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31 March 202</w:t>
            </w:r>
            <w:r w:rsidR="00793257" w:rsidRPr="00A95292">
              <w:rPr>
                <w:rFonts w:ascii="Verdana" w:eastAsia="Verdana" w:hAnsi="Verdana" w:cs="Verdana"/>
                <w:b/>
                <w:color w:val="000000"/>
                <w:sz w:val="16"/>
                <w:szCs w:val="22"/>
                <w:lang w:val="pt-BR"/>
              </w:rPr>
              <w:t>1</w:t>
            </w:r>
          </w:p>
        </w:tc>
      </w:tr>
      <w:tr w:rsidR="004D417B" w:rsidRPr="00A95292" w14:paraId="44EBDC8B" w14:textId="77777777">
        <w:trPr>
          <w:trHeight w:val="300"/>
        </w:trPr>
        <w:tc>
          <w:tcPr>
            <w:tcW w:w="1545" w:type="dxa"/>
            <w:shd w:val="clear" w:color="auto" w:fill="auto"/>
            <w:tcMar>
              <w:top w:w="20" w:type="dxa"/>
              <w:left w:w="20" w:type="dxa"/>
              <w:bottom w:w="20" w:type="dxa"/>
              <w:right w:w="20" w:type="dxa"/>
            </w:tcMar>
            <w:vAlign w:val="bottom"/>
          </w:tcPr>
          <w:p w14:paraId="595EC88F" w14:textId="77777777" w:rsidR="004D417B" w:rsidRPr="00A95292" w:rsidRDefault="00CA6653" w:rsidP="00CA6653">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14:paraId="24410E83" w14:textId="77777777" w:rsidR="004D417B" w:rsidRPr="00A95292" w:rsidRDefault="00CA6653" w:rsidP="00CA6653">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Group</w:t>
            </w:r>
          </w:p>
        </w:tc>
        <w:tc>
          <w:tcPr>
            <w:tcW w:w="180" w:type="dxa"/>
            <w:shd w:val="clear" w:color="auto" w:fill="auto"/>
            <w:tcMar>
              <w:top w:w="20" w:type="dxa"/>
              <w:left w:w="20" w:type="dxa"/>
              <w:bottom w:w="20" w:type="dxa"/>
              <w:right w:w="20" w:type="dxa"/>
            </w:tcMar>
            <w:vAlign w:val="bottom"/>
          </w:tcPr>
          <w:p w14:paraId="6ED67507" w14:textId="77777777" w:rsidR="004D417B" w:rsidRPr="00A95292" w:rsidRDefault="00CA6653" w:rsidP="00CA6653">
            <w:pPr>
              <w:pStyle w:val="T1TableStyle"/>
              <w:jc w:val="center"/>
              <w:rPr>
                <w:rFonts w:ascii="Verdana" w:eastAsia="Verdana" w:hAnsi="Verdana" w:cs="Verdana"/>
                <w:b/>
                <w:color w:val="000000"/>
                <w:sz w:val="2"/>
                <w:szCs w:val="22"/>
                <w:lang w:val="pt-BR"/>
              </w:rPr>
            </w:pPr>
            <w:r w:rsidRPr="00A95292">
              <w:rPr>
                <w:rFonts w:ascii="Verdana" w:eastAsia="Verdana" w:hAnsi="Verdana" w:cs="Verdana"/>
                <w:b/>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14:paraId="34548BA6" w14:textId="77777777" w:rsidR="004D417B" w:rsidRPr="00A95292" w:rsidRDefault="00CA6653" w:rsidP="00CA6653">
            <w:pPr>
              <w:pStyle w:val="T1TableStyle"/>
              <w:jc w:val="center"/>
              <w:rPr>
                <w:rFonts w:ascii="Verdana" w:eastAsia="Verdana" w:hAnsi="Verdana" w:cs="Verdana"/>
                <w:b/>
                <w:color w:val="000000"/>
                <w:sz w:val="2"/>
                <w:szCs w:val="22"/>
                <w:lang w:val="pt-BR"/>
              </w:rPr>
            </w:pPr>
            <w:r w:rsidRPr="00A95292">
              <w:rPr>
                <w:rFonts w:ascii="Verdana" w:eastAsia="Verdana" w:hAnsi="Verdana" w:cs="Verdana"/>
                <w:b/>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14:paraId="2A7E2DC2" w14:textId="77777777" w:rsidR="004D417B" w:rsidRPr="00A95292" w:rsidRDefault="00CA6653" w:rsidP="00CA6653">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14:paraId="45AE25C5" w14:textId="77777777" w:rsidR="004D417B" w:rsidRPr="00A95292" w:rsidRDefault="00CA6653" w:rsidP="00CA6653">
            <w:pPr>
              <w:pStyle w:val="T1TableStyle"/>
              <w:jc w:val="center"/>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Group</w:t>
            </w:r>
          </w:p>
        </w:tc>
      </w:tr>
      <w:tr w:rsidR="004D417B" w:rsidRPr="00A95292" w14:paraId="2283CB7B" w14:textId="77777777">
        <w:trPr>
          <w:trHeight w:val="300"/>
        </w:trPr>
        <w:tc>
          <w:tcPr>
            <w:tcW w:w="1545" w:type="dxa"/>
            <w:tcBorders>
              <w:bottom w:val="single" w:sz="2" w:space="0" w:color="000000"/>
            </w:tcBorders>
            <w:shd w:val="clear" w:color="auto" w:fill="auto"/>
            <w:tcMar>
              <w:top w:w="20" w:type="dxa"/>
              <w:left w:w="20" w:type="dxa"/>
              <w:bottom w:w="20" w:type="dxa"/>
              <w:right w:w="20" w:type="dxa"/>
            </w:tcMar>
          </w:tcPr>
          <w:p w14:paraId="2778A281" w14:textId="77777777" w:rsidR="004D417B" w:rsidRPr="00A95292" w:rsidRDefault="00CA6653" w:rsidP="00CA6653">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14:paraId="59FEF8D1" w14:textId="77777777" w:rsidR="004D417B" w:rsidRPr="00A95292" w:rsidRDefault="00CA6653" w:rsidP="00CA6653">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£000</w:t>
            </w:r>
          </w:p>
        </w:tc>
        <w:tc>
          <w:tcPr>
            <w:tcW w:w="180" w:type="dxa"/>
            <w:tcBorders>
              <w:bottom w:val="single" w:sz="2" w:space="0" w:color="000000"/>
            </w:tcBorders>
            <w:shd w:val="clear" w:color="auto" w:fill="auto"/>
            <w:tcMar>
              <w:top w:w="20" w:type="dxa"/>
              <w:left w:w="20" w:type="dxa"/>
              <w:bottom w:w="20" w:type="dxa"/>
              <w:right w:w="20" w:type="dxa"/>
            </w:tcMar>
          </w:tcPr>
          <w:p w14:paraId="259C4E7B" w14:textId="77777777" w:rsidR="004D417B" w:rsidRPr="00A95292" w:rsidRDefault="00CA6653" w:rsidP="00CA6653">
            <w:pPr>
              <w:pStyle w:val="T1TableStyle"/>
              <w:jc w:val="right"/>
              <w:rPr>
                <w:rFonts w:ascii="Verdana" w:eastAsia="Verdana" w:hAnsi="Verdana" w:cs="Verdana"/>
                <w:b/>
                <w:color w:val="000000"/>
                <w:sz w:val="2"/>
                <w:szCs w:val="22"/>
                <w:lang w:val="pt-BR"/>
              </w:rPr>
            </w:pPr>
            <w:r w:rsidRPr="00A95292">
              <w:rPr>
                <w:rFonts w:ascii="Verdana" w:eastAsia="Verdana" w:hAnsi="Verdana" w:cs="Verdana"/>
                <w:b/>
                <w:color w:val="000000"/>
                <w:sz w:val="2"/>
                <w:szCs w:val="22"/>
                <w:lang w:val="pt-BR"/>
              </w:rPr>
              <w:t xml:space="preserve"> </w:t>
            </w:r>
          </w:p>
        </w:tc>
        <w:tc>
          <w:tcPr>
            <w:tcW w:w="3435" w:type="dxa"/>
            <w:tcBorders>
              <w:bottom w:val="single" w:sz="2" w:space="0" w:color="000000"/>
            </w:tcBorders>
            <w:shd w:val="clear" w:color="auto" w:fill="auto"/>
            <w:tcMar>
              <w:top w:w="20" w:type="dxa"/>
              <w:left w:w="20" w:type="dxa"/>
              <w:bottom w:w="20" w:type="dxa"/>
              <w:right w:w="20" w:type="dxa"/>
            </w:tcMar>
          </w:tcPr>
          <w:p w14:paraId="787B9561" w14:textId="77777777" w:rsidR="004D417B" w:rsidRPr="00A95292" w:rsidRDefault="00CA6653" w:rsidP="00CA6653">
            <w:pPr>
              <w:pStyle w:val="T1TableStyle"/>
              <w:jc w:val="right"/>
              <w:rPr>
                <w:rFonts w:ascii="Verdana" w:eastAsia="Verdana" w:hAnsi="Verdana" w:cs="Verdana"/>
                <w:b/>
                <w:color w:val="000000"/>
                <w:sz w:val="2"/>
                <w:szCs w:val="22"/>
                <w:lang w:val="pt-BR"/>
              </w:rPr>
            </w:pPr>
            <w:r w:rsidRPr="00A95292">
              <w:rPr>
                <w:rFonts w:ascii="Verdana" w:eastAsia="Verdana" w:hAnsi="Verdana" w:cs="Verdana"/>
                <w:b/>
                <w:color w:val="000000"/>
                <w:sz w:val="2"/>
                <w:szCs w:val="22"/>
                <w:lang w:val="pt-BR"/>
              </w:rPr>
              <w:t xml:space="preserve"> </w:t>
            </w:r>
          </w:p>
        </w:tc>
        <w:tc>
          <w:tcPr>
            <w:tcW w:w="1545" w:type="dxa"/>
            <w:tcBorders>
              <w:bottom w:val="single" w:sz="2" w:space="0" w:color="000000"/>
            </w:tcBorders>
            <w:shd w:val="clear" w:color="auto" w:fill="auto"/>
            <w:tcMar>
              <w:top w:w="20" w:type="dxa"/>
              <w:left w:w="20" w:type="dxa"/>
              <w:bottom w:w="20" w:type="dxa"/>
              <w:right w:w="20" w:type="dxa"/>
            </w:tcMar>
          </w:tcPr>
          <w:p w14:paraId="381E9C21" w14:textId="77777777" w:rsidR="004D417B" w:rsidRPr="00A95292" w:rsidRDefault="00CA6653" w:rsidP="00CA6653">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14:paraId="09587B6D" w14:textId="77777777" w:rsidR="004D417B" w:rsidRPr="00A95292" w:rsidRDefault="00CA6653" w:rsidP="00CA6653">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£000</w:t>
            </w:r>
          </w:p>
        </w:tc>
      </w:tr>
      <w:tr w:rsidR="00793257" w:rsidRPr="00A95292" w14:paraId="5D346740" w14:textId="77777777">
        <w:trPr>
          <w:trHeight w:val="480"/>
        </w:trPr>
        <w:tc>
          <w:tcPr>
            <w:tcW w:w="1545" w:type="dxa"/>
            <w:shd w:val="clear" w:color="auto" w:fill="auto"/>
            <w:tcMar>
              <w:top w:w="20" w:type="dxa"/>
              <w:left w:w="20" w:type="dxa"/>
              <w:bottom w:w="20" w:type="dxa"/>
              <w:right w:w="20" w:type="dxa"/>
            </w:tcMar>
          </w:tcPr>
          <w:p w14:paraId="35220114"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0</w:t>
            </w:r>
          </w:p>
        </w:tc>
        <w:tc>
          <w:tcPr>
            <w:tcW w:w="1545" w:type="dxa"/>
            <w:shd w:val="clear" w:color="auto" w:fill="auto"/>
            <w:tcMar>
              <w:top w:w="20" w:type="dxa"/>
              <w:left w:w="20" w:type="dxa"/>
              <w:bottom w:w="20" w:type="dxa"/>
              <w:right w:w="20" w:type="dxa"/>
            </w:tcMar>
          </w:tcPr>
          <w:p w14:paraId="74903C78"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0</w:t>
            </w:r>
          </w:p>
        </w:tc>
        <w:tc>
          <w:tcPr>
            <w:tcW w:w="180" w:type="dxa"/>
            <w:shd w:val="clear" w:color="auto" w:fill="auto"/>
            <w:tcMar>
              <w:top w:w="20" w:type="dxa"/>
              <w:left w:w="20" w:type="dxa"/>
              <w:bottom w:w="20" w:type="dxa"/>
              <w:right w:w="20" w:type="dxa"/>
            </w:tcMar>
          </w:tcPr>
          <w:p w14:paraId="5C6CD07D" w14:textId="77777777" w:rsidR="00793257" w:rsidRPr="00A95292" w:rsidRDefault="00793257" w:rsidP="00793257">
            <w:pPr>
              <w:pStyle w:val="T1TableStyle"/>
              <w:jc w:val="center"/>
              <w:rPr>
                <w:rFonts w:ascii="Verdana" w:eastAsia="Verdana" w:hAnsi="Verdana" w:cs="Verdana"/>
                <w:color w:val="000000"/>
                <w:sz w:val="2"/>
                <w:szCs w:val="22"/>
                <w:lang w:val="pt-BR"/>
              </w:rPr>
            </w:pPr>
            <w:r w:rsidRPr="00A95292">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14:paraId="55871FDA" w14:textId="77777777" w:rsidR="00793257" w:rsidRPr="00A95292" w:rsidRDefault="00793257" w:rsidP="00793257">
            <w:pPr>
              <w:pStyle w:val="T1TableStyle"/>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Cash receipts of short-term and long-term borrowing</w:t>
            </w:r>
          </w:p>
        </w:tc>
        <w:tc>
          <w:tcPr>
            <w:tcW w:w="1545" w:type="dxa"/>
            <w:shd w:val="clear" w:color="auto" w:fill="auto"/>
            <w:tcMar>
              <w:top w:w="20" w:type="dxa"/>
              <w:left w:w="20" w:type="dxa"/>
              <w:bottom w:w="20" w:type="dxa"/>
              <w:right w:w="20" w:type="dxa"/>
            </w:tcMar>
          </w:tcPr>
          <w:p w14:paraId="3BDDE33C" w14:textId="77777777" w:rsidR="00793257" w:rsidRPr="00AE70F5" w:rsidRDefault="00793257" w:rsidP="00793257">
            <w:pPr>
              <w:pStyle w:val="T1TableStyle"/>
              <w:jc w:val="right"/>
              <w:rPr>
                <w:rFonts w:ascii="Verdana" w:eastAsia="Verdana" w:hAnsi="Verdana" w:cs="Verdana"/>
                <w:color w:val="000000"/>
                <w:sz w:val="16"/>
                <w:szCs w:val="22"/>
                <w:lang w:val="pt-BR"/>
              </w:rPr>
            </w:pPr>
            <w:r w:rsidRPr="00AE70F5">
              <w:rPr>
                <w:rFonts w:ascii="Verdana" w:eastAsia="Verdana" w:hAnsi="Verdana" w:cs="Verdana"/>
                <w:color w:val="000000"/>
                <w:sz w:val="16"/>
                <w:szCs w:val="22"/>
                <w:lang w:val="pt-BR"/>
              </w:rPr>
              <w:t>0</w:t>
            </w:r>
          </w:p>
        </w:tc>
        <w:tc>
          <w:tcPr>
            <w:tcW w:w="1545" w:type="dxa"/>
            <w:shd w:val="clear" w:color="auto" w:fill="auto"/>
            <w:tcMar>
              <w:top w:w="20" w:type="dxa"/>
              <w:left w:w="20" w:type="dxa"/>
              <w:bottom w:w="20" w:type="dxa"/>
              <w:right w:w="20" w:type="dxa"/>
            </w:tcMar>
          </w:tcPr>
          <w:p w14:paraId="4A6343FF" w14:textId="77777777" w:rsidR="00793257" w:rsidRPr="00AE70F5" w:rsidRDefault="00793257" w:rsidP="00793257">
            <w:pPr>
              <w:pStyle w:val="T1TableStyle"/>
              <w:jc w:val="right"/>
              <w:rPr>
                <w:rFonts w:ascii="Verdana" w:eastAsia="Verdana" w:hAnsi="Verdana" w:cs="Verdana"/>
                <w:color w:val="000000"/>
                <w:sz w:val="16"/>
                <w:szCs w:val="22"/>
                <w:lang w:val="pt-BR"/>
              </w:rPr>
            </w:pPr>
            <w:r w:rsidRPr="00AE70F5">
              <w:rPr>
                <w:rFonts w:ascii="Verdana" w:eastAsia="Verdana" w:hAnsi="Verdana" w:cs="Verdana"/>
                <w:color w:val="000000"/>
                <w:sz w:val="16"/>
                <w:szCs w:val="22"/>
                <w:lang w:val="pt-BR"/>
              </w:rPr>
              <w:t>0</w:t>
            </w:r>
          </w:p>
        </w:tc>
      </w:tr>
      <w:tr w:rsidR="00793257" w:rsidRPr="00A95292" w14:paraId="144899DA" w14:textId="77777777">
        <w:trPr>
          <w:trHeight w:val="360"/>
        </w:trPr>
        <w:tc>
          <w:tcPr>
            <w:tcW w:w="1545" w:type="dxa"/>
            <w:shd w:val="clear" w:color="auto" w:fill="auto"/>
            <w:tcMar>
              <w:top w:w="20" w:type="dxa"/>
              <w:left w:w="20" w:type="dxa"/>
              <w:bottom w:w="20" w:type="dxa"/>
              <w:right w:w="20" w:type="dxa"/>
            </w:tcMar>
          </w:tcPr>
          <w:p w14:paraId="3E69E561" w14:textId="77777777" w:rsidR="00793257" w:rsidRPr="00A95292" w:rsidRDefault="00793257" w:rsidP="00793257">
            <w:pPr>
              <w:pStyle w:val="T1TableStyle"/>
              <w:tabs>
                <w:tab w:val="left" w:pos="1367"/>
                <w:tab w:val="right" w:pos="1505"/>
              </w:tabs>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 xml:space="preserve">                       89 </w:t>
            </w:r>
          </w:p>
        </w:tc>
        <w:tc>
          <w:tcPr>
            <w:tcW w:w="1545" w:type="dxa"/>
            <w:shd w:val="clear" w:color="auto" w:fill="auto"/>
            <w:tcMar>
              <w:top w:w="20" w:type="dxa"/>
              <w:left w:w="20" w:type="dxa"/>
              <w:bottom w:w="20" w:type="dxa"/>
              <w:right w:w="20" w:type="dxa"/>
            </w:tcMar>
          </w:tcPr>
          <w:p w14:paraId="7F919FFD" w14:textId="77777777" w:rsidR="00793257" w:rsidRPr="00A95292" w:rsidRDefault="00793257" w:rsidP="00793257">
            <w:pPr>
              <w:pStyle w:val="T1TableStyle"/>
              <w:jc w:val="right"/>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89</w:t>
            </w:r>
          </w:p>
        </w:tc>
        <w:tc>
          <w:tcPr>
            <w:tcW w:w="180" w:type="dxa"/>
            <w:shd w:val="clear" w:color="auto" w:fill="auto"/>
            <w:tcMar>
              <w:top w:w="20" w:type="dxa"/>
              <w:left w:w="20" w:type="dxa"/>
              <w:bottom w:w="20" w:type="dxa"/>
              <w:right w:w="20" w:type="dxa"/>
            </w:tcMar>
          </w:tcPr>
          <w:p w14:paraId="10B3A061" w14:textId="77777777" w:rsidR="00793257" w:rsidRPr="00A95292" w:rsidRDefault="00793257" w:rsidP="00793257">
            <w:pPr>
              <w:pStyle w:val="T1TableStyle"/>
              <w:jc w:val="center"/>
              <w:rPr>
                <w:rFonts w:ascii="Verdana" w:eastAsia="Verdana" w:hAnsi="Verdana" w:cs="Verdana"/>
                <w:color w:val="000000"/>
                <w:sz w:val="2"/>
                <w:szCs w:val="22"/>
                <w:lang w:val="pt-BR"/>
              </w:rPr>
            </w:pPr>
            <w:r w:rsidRPr="00A95292">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14:paraId="561C5944" w14:textId="6F655199" w:rsidR="00793257" w:rsidRPr="00A95292" w:rsidRDefault="00793257" w:rsidP="00793257">
            <w:pPr>
              <w:pStyle w:val="T1TableStyle"/>
              <w:rPr>
                <w:rFonts w:ascii="Verdana" w:eastAsia="Verdana" w:hAnsi="Verdana" w:cs="Verdana"/>
                <w:color w:val="000000"/>
                <w:sz w:val="16"/>
                <w:szCs w:val="22"/>
                <w:lang w:val="pt-BR"/>
              </w:rPr>
            </w:pPr>
            <w:r w:rsidRPr="00A95292">
              <w:rPr>
                <w:rFonts w:ascii="Verdana" w:eastAsia="Verdana" w:hAnsi="Verdana" w:cs="Verdana"/>
                <w:color w:val="000000"/>
                <w:sz w:val="16"/>
                <w:szCs w:val="22"/>
                <w:lang w:val="pt-BR"/>
              </w:rPr>
              <w:t>Other receipts from financing activities</w:t>
            </w:r>
            <w:r w:rsidR="008619CF">
              <w:rPr>
                <w:rFonts w:ascii="Verdana" w:eastAsia="Verdana" w:hAnsi="Verdana" w:cs="Verdana"/>
                <w:color w:val="000000"/>
                <w:sz w:val="16"/>
                <w:szCs w:val="22"/>
                <w:lang w:val="pt-BR"/>
              </w:rPr>
              <w:t xml:space="preserve">              </w:t>
            </w:r>
          </w:p>
        </w:tc>
        <w:tc>
          <w:tcPr>
            <w:tcW w:w="1545" w:type="dxa"/>
            <w:shd w:val="clear" w:color="auto" w:fill="auto"/>
            <w:tcMar>
              <w:top w:w="20" w:type="dxa"/>
              <w:left w:w="20" w:type="dxa"/>
              <w:bottom w:w="20" w:type="dxa"/>
              <w:right w:w="20" w:type="dxa"/>
            </w:tcMar>
          </w:tcPr>
          <w:p w14:paraId="1899701B" w14:textId="3F6BFE64" w:rsidR="00793257" w:rsidRPr="00AE70F5" w:rsidRDefault="00A95292" w:rsidP="0041394A">
            <w:pPr>
              <w:pStyle w:val="T1TableStyle"/>
              <w:tabs>
                <w:tab w:val="left" w:pos="1367"/>
                <w:tab w:val="right" w:pos="1505"/>
              </w:tabs>
              <w:jc w:val="right"/>
              <w:rPr>
                <w:rFonts w:ascii="Verdana" w:eastAsia="Verdana" w:hAnsi="Verdana" w:cs="Verdana"/>
                <w:color w:val="000000"/>
                <w:sz w:val="16"/>
                <w:szCs w:val="22"/>
                <w:lang w:val="pt-BR"/>
              </w:rPr>
            </w:pPr>
            <w:r w:rsidRPr="00AE70F5">
              <w:rPr>
                <w:rFonts w:ascii="Verdana" w:eastAsia="Verdana" w:hAnsi="Verdana" w:cs="Verdana"/>
                <w:color w:val="000000"/>
                <w:sz w:val="16"/>
                <w:szCs w:val="22"/>
                <w:lang w:val="pt-BR"/>
              </w:rPr>
              <w:t xml:space="preserve">                </w:t>
            </w:r>
            <w:r w:rsidR="008619CF">
              <w:rPr>
                <w:rFonts w:ascii="Verdana" w:eastAsia="Verdana" w:hAnsi="Verdana" w:cs="Verdana"/>
                <w:color w:val="000000"/>
                <w:sz w:val="16"/>
                <w:szCs w:val="22"/>
                <w:lang w:val="pt-BR"/>
              </w:rPr>
              <w:t xml:space="preserve">  2</w:t>
            </w:r>
            <w:r w:rsidR="009549C5">
              <w:rPr>
                <w:rFonts w:ascii="Verdana" w:eastAsia="Verdana" w:hAnsi="Verdana" w:cs="Verdana"/>
                <w:color w:val="000000"/>
                <w:sz w:val="16"/>
                <w:szCs w:val="22"/>
                <w:lang w:val="pt-BR"/>
              </w:rPr>
              <w:t>,</w:t>
            </w:r>
            <w:r w:rsidR="008619CF">
              <w:rPr>
                <w:rFonts w:ascii="Verdana" w:eastAsia="Verdana" w:hAnsi="Verdana" w:cs="Verdana"/>
                <w:color w:val="000000"/>
                <w:sz w:val="16"/>
                <w:szCs w:val="22"/>
                <w:lang w:val="pt-BR"/>
              </w:rPr>
              <w:t>486</w:t>
            </w:r>
            <w:r w:rsidRPr="00AE70F5">
              <w:rPr>
                <w:rFonts w:ascii="Verdana" w:eastAsia="Verdana" w:hAnsi="Verdana" w:cs="Verdana"/>
                <w:color w:val="000000"/>
                <w:sz w:val="16"/>
                <w:szCs w:val="22"/>
                <w:lang w:val="pt-BR"/>
              </w:rPr>
              <w:t xml:space="preserve">  </w:t>
            </w:r>
          </w:p>
        </w:tc>
        <w:tc>
          <w:tcPr>
            <w:tcW w:w="1545" w:type="dxa"/>
            <w:shd w:val="clear" w:color="auto" w:fill="auto"/>
            <w:tcMar>
              <w:top w:w="20" w:type="dxa"/>
              <w:left w:w="20" w:type="dxa"/>
              <w:bottom w:w="20" w:type="dxa"/>
              <w:right w:w="20" w:type="dxa"/>
            </w:tcMar>
          </w:tcPr>
          <w:p w14:paraId="516E6C96" w14:textId="2D0B0B3C" w:rsidR="00793257" w:rsidRPr="00AE70F5" w:rsidRDefault="008619CF" w:rsidP="00793257">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2</w:t>
            </w:r>
            <w:r w:rsidR="009549C5">
              <w:rPr>
                <w:rFonts w:ascii="Verdana" w:eastAsia="Verdana" w:hAnsi="Verdana" w:cs="Verdana"/>
                <w:color w:val="000000"/>
                <w:sz w:val="16"/>
                <w:szCs w:val="22"/>
                <w:lang w:val="pt-BR"/>
              </w:rPr>
              <w:t>,</w:t>
            </w:r>
            <w:r>
              <w:rPr>
                <w:rFonts w:ascii="Verdana" w:eastAsia="Verdana" w:hAnsi="Verdana" w:cs="Verdana"/>
                <w:color w:val="000000"/>
                <w:sz w:val="16"/>
                <w:szCs w:val="22"/>
                <w:lang w:val="pt-BR"/>
              </w:rPr>
              <w:t>486</w:t>
            </w:r>
          </w:p>
        </w:tc>
      </w:tr>
      <w:tr w:rsidR="00793257" w:rsidRPr="00A95292" w14:paraId="6E6CD4D3" w14:textId="77777777" w:rsidTr="00AE70F5">
        <w:trPr>
          <w:trHeight w:val="117"/>
        </w:trPr>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4042EE20" w14:textId="77777777" w:rsidR="00793257" w:rsidRPr="00A95292" w:rsidRDefault="00793257" w:rsidP="00793257">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89</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62B628B9" w14:textId="77777777" w:rsidR="00793257" w:rsidRPr="00A95292" w:rsidRDefault="00793257" w:rsidP="00793257">
            <w:pPr>
              <w:pStyle w:val="T1TableStyle"/>
              <w:jc w:val="right"/>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89</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14:paraId="01453F04" w14:textId="77777777" w:rsidR="00793257" w:rsidRPr="00A95292" w:rsidRDefault="00793257" w:rsidP="00793257">
            <w:pPr>
              <w:pStyle w:val="T1TableStyle"/>
              <w:jc w:val="center"/>
              <w:rPr>
                <w:rFonts w:ascii="Verdana" w:eastAsia="Verdana" w:hAnsi="Verdana" w:cs="Verdana"/>
                <w:b/>
                <w:color w:val="000000"/>
                <w:sz w:val="2"/>
                <w:szCs w:val="22"/>
                <w:lang w:val="pt-BR"/>
              </w:rPr>
            </w:pPr>
            <w:r w:rsidRPr="00A95292">
              <w:rPr>
                <w:rFonts w:ascii="Verdana" w:eastAsia="Verdana" w:hAnsi="Verdana" w:cs="Verdana"/>
                <w:b/>
                <w:color w:val="000000"/>
                <w:sz w:val="2"/>
                <w:szCs w:val="22"/>
                <w:lang w:val="pt-BR"/>
              </w:rPr>
              <w:t xml:space="preserve"> </w:t>
            </w:r>
          </w:p>
        </w:tc>
        <w:tc>
          <w:tcPr>
            <w:tcW w:w="3435" w:type="dxa"/>
            <w:tcBorders>
              <w:top w:val="single" w:sz="2" w:space="0" w:color="000000"/>
              <w:bottom w:val="single" w:sz="12" w:space="0" w:color="000000"/>
            </w:tcBorders>
            <w:shd w:val="clear" w:color="auto" w:fill="auto"/>
            <w:tcMar>
              <w:top w:w="20" w:type="dxa"/>
              <w:left w:w="20" w:type="dxa"/>
              <w:bottom w:w="20" w:type="dxa"/>
              <w:right w:w="20" w:type="dxa"/>
            </w:tcMar>
          </w:tcPr>
          <w:p w14:paraId="588F2EF4" w14:textId="77777777" w:rsidR="00793257" w:rsidRPr="00A95292" w:rsidRDefault="00793257" w:rsidP="00793257">
            <w:pPr>
              <w:pStyle w:val="T1TableStyle"/>
              <w:rPr>
                <w:rFonts w:ascii="Verdana" w:eastAsia="Verdana" w:hAnsi="Verdana" w:cs="Verdana"/>
                <w:b/>
                <w:color w:val="000000"/>
                <w:sz w:val="16"/>
                <w:szCs w:val="22"/>
                <w:lang w:val="pt-BR"/>
              </w:rPr>
            </w:pPr>
            <w:r w:rsidRPr="00A95292">
              <w:rPr>
                <w:rFonts w:ascii="Verdana" w:eastAsia="Verdana" w:hAnsi="Verdana" w:cs="Verdana"/>
                <w:b/>
                <w:color w:val="000000"/>
                <w:sz w:val="16"/>
                <w:szCs w:val="22"/>
                <w:lang w:val="pt-BR"/>
              </w:rPr>
              <w:t>Net cash flows from financing activities</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080930D2" w14:textId="1BBACC86" w:rsidR="00793257" w:rsidRPr="00AE70F5" w:rsidRDefault="008619CF" w:rsidP="00793257">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2</w:t>
            </w:r>
            <w:r w:rsidR="009549C5">
              <w:rPr>
                <w:rFonts w:ascii="Verdana" w:eastAsia="Verdana" w:hAnsi="Verdana" w:cs="Verdana"/>
                <w:b/>
                <w:color w:val="000000"/>
                <w:sz w:val="16"/>
                <w:szCs w:val="22"/>
                <w:lang w:val="pt-BR"/>
              </w:rPr>
              <w:t>,</w:t>
            </w:r>
            <w:r>
              <w:rPr>
                <w:rFonts w:ascii="Verdana" w:eastAsia="Verdana" w:hAnsi="Verdana" w:cs="Verdana"/>
                <w:b/>
                <w:color w:val="000000"/>
                <w:sz w:val="16"/>
                <w:szCs w:val="22"/>
                <w:lang w:val="pt-BR"/>
              </w:rPr>
              <w:t>486</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63A28FA0" w14:textId="6844EE58" w:rsidR="00793257" w:rsidRPr="00AE70F5" w:rsidRDefault="008619CF" w:rsidP="00793257">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2</w:t>
            </w:r>
            <w:r w:rsidR="009549C5">
              <w:rPr>
                <w:rFonts w:ascii="Verdana" w:eastAsia="Verdana" w:hAnsi="Verdana" w:cs="Verdana"/>
                <w:b/>
                <w:color w:val="000000"/>
                <w:sz w:val="16"/>
                <w:szCs w:val="22"/>
                <w:lang w:val="pt-BR"/>
              </w:rPr>
              <w:t>,</w:t>
            </w:r>
            <w:r>
              <w:rPr>
                <w:rFonts w:ascii="Verdana" w:eastAsia="Verdana" w:hAnsi="Verdana" w:cs="Verdana"/>
                <w:b/>
                <w:color w:val="000000"/>
                <w:sz w:val="16"/>
                <w:szCs w:val="22"/>
                <w:lang w:val="pt-BR"/>
              </w:rPr>
              <w:t>486</w:t>
            </w:r>
          </w:p>
        </w:tc>
      </w:tr>
    </w:tbl>
    <w:p w14:paraId="602D8B7A" w14:textId="77777777" w:rsidR="00CA6653" w:rsidRPr="003516A4" w:rsidRDefault="00CA6653" w:rsidP="00CA6653">
      <w:pPr>
        <w:pStyle w:val="T1TableStyle"/>
        <w:rPr>
          <w:rFonts w:ascii="Verdana" w:hAnsi="Verdana"/>
          <w:sz w:val="22"/>
          <w:szCs w:val="22"/>
          <w:highlight w:val="yellow"/>
          <w:lang w:val="pt-BR"/>
        </w:rPr>
      </w:pPr>
    </w:p>
    <w:p w14:paraId="4E4CA5A8" w14:textId="77777777" w:rsidR="0030507D" w:rsidRPr="00E245E6" w:rsidRDefault="0030507D">
      <w:pPr>
        <w:rPr>
          <w:rFonts w:asciiTheme="majorHAnsi" w:eastAsiaTheme="majorEastAsia" w:hAnsiTheme="majorHAnsi" w:cstheme="majorBidi"/>
          <w:color w:val="2E74B5" w:themeColor="accent1" w:themeShade="BF"/>
          <w:sz w:val="32"/>
          <w:szCs w:val="32"/>
          <w:lang w:val="pt-BR"/>
        </w:rPr>
      </w:pPr>
      <w:r w:rsidRPr="00E245E6">
        <w:br w:type="page"/>
      </w:r>
    </w:p>
    <w:p w14:paraId="6D7BEBCE" w14:textId="77777777" w:rsidR="00CA6653" w:rsidRPr="00DF0FF9" w:rsidRDefault="00502D6C" w:rsidP="00A31A9E">
      <w:pPr>
        <w:pStyle w:val="Heading1"/>
      </w:pPr>
      <w:bookmarkStart w:id="53" w:name="_Toc75122806"/>
      <w:r w:rsidRPr="00E245E6">
        <w:t>Note 3</w:t>
      </w:r>
      <w:r w:rsidR="00960EC4" w:rsidRPr="00E245E6">
        <w:t>8</w:t>
      </w:r>
      <w:r w:rsidR="00CA6653" w:rsidRPr="00E245E6">
        <w:t xml:space="preserve"> - Reconciliation</w:t>
      </w:r>
      <w:r w:rsidR="00CA6653" w:rsidRPr="00DF0FF9">
        <w:t xml:space="preserve"> of Liabilities Arising from Financing Activities</w:t>
      </w:r>
      <w:bookmarkEnd w:id="53"/>
      <w:r w:rsidR="00CA6653" w:rsidRPr="00DF0FF9">
        <w:t xml:space="preserve"> </w:t>
      </w:r>
    </w:p>
    <w:tbl>
      <w:tblPr>
        <w:tblW w:w="0" w:type="auto"/>
        <w:jc w:val="center"/>
        <w:tblLayout w:type="fixed"/>
        <w:tblLook w:val="04A0" w:firstRow="1" w:lastRow="0" w:firstColumn="1" w:lastColumn="0" w:noHBand="0" w:noVBand="1"/>
      </w:tblPr>
      <w:tblGrid>
        <w:gridCol w:w="3908"/>
        <w:gridCol w:w="1149"/>
        <w:gridCol w:w="1149"/>
        <w:gridCol w:w="1149"/>
        <w:gridCol w:w="1150"/>
        <w:gridCol w:w="1151"/>
      </w:tblGrid>
      <w:tr w:rsidR="004D417B" w:rsidRPr="00DF0FF9" w14:paraId="424235A4" w14:textId="77777777" w:rsidTr="00E245E6">
        <w:trPr>
          <w:trHeight w:val="301"/>
          <w:jc w:val="center"/>
        </w:trPr>
        <w:tc>
          <w:tcPr>
            <w:tcW w:w="9656" w:type="dxa"/>
            <w:gridSpan w:val="6"/>
            <w:shd w:val="clear" w:color="auto" w:fill="auto"/>
            <w:tcMar>
              <w:top w:w="20" w:type="dxa"/>
              <w:left w:w="20" w:type="dxa"/>
              <w:bottom w:w="20" w:type="dxa"/>
              <w:right w:w="20" w:type="dxa"/>
            </w:tcMar>
            <w:vAlign w:val="bottom"/>
          </w:tcPr>
          <w:p w14:paraId="46122C81" w14:textId="77777777" w:rsidR="00CA6653" w:rsidRPr="00DF0FF9" w:rsidRDefault="00CA6653">
            <w:pPr>
              <w:pStyle w:val="T1TableStyle"/>
              <w:rPr>
                <w:rFonts w:ascii="Calibri" w:eastAsia="Calibri" w:hAnsi="Calibri" w:cs="Calibri"/>
                <w:b/>
                <w:color w:val="000000"/>
                <w:sz w:val="22"/>
                <w:lang w:val="en-GB"/>
              </w:rPr>
            </w:pPr>
            <w:r w:rsidRPr="00DF0FF9">
              <w:rPr>
                <w:rFonts w:ascii="Calibri" w:eastAsia="Calibri" w:hAnsi="Calibri" w:cs="Calibri"/>
                <w:b/>
                <w:color w:val="000000"/>
                <w:sz w:val="22"/>
                <w:lang w:val="en-GB"/>
              </w:rPr>
              <w:t>Reconciliation of Liabilities Arising from Financing Activities</w:t>
            </w:r>
          </w:p>
        </w:tc>
      </w:tr>
      <w:tr w:rsidR="004D417B" w:rsidRPr="00DF0FF9" w14:paraId="2D64182C" w14:textId="77777777" w:rsidTr="00E245E6">
        <w:trPr>
          <w:trHeight w:hRule="exact" w:val="301"/>
          <w:jc w:val="center"/>
        </w:trPr>
        <w:tc>
          <w:tcPr>
            <w:tcW w:w="3908" w:type="dxa"/>
            <w:shd w:val="clear" w:color="auto" w:fill="auto"/>
            <w:tcMar>
              <w:top w:w="20" w:type="dxa"/>
              <w:left w:w="20" w:type="dxa"/>
              <w:bottom w:w="20" w:type="dxa"/>
              <w:right w:w="20" w:type="dxa"/>
            </w:tcMar>
            <w:vAlign w:val="bottom"/>
          </w:tcPr>
          <w:p w14:paraId="0110BA2F" w14:textId="77777777" w:rsidR="00CA6653" w:rsidRPr="00DF0FF9" w:rsidRDefault="00CA6653">
            <w:pPr>
              <w:pStyle w:val="T1TableStyle"/>
              <w:jc w:val="center"/>
              <w:rPr>
                <w:rFonts w:ascii="Verdana" w:eastAsia="Verdana" w:hAnsi="Verdana" w:cs="Verdana"/>
                <w:color w:val="000000"/>
                <w:sz w:val="2"/>
                <w:lang w:val="en-GB"/>
              </w:rPr>
            </w:pPr>
            <w:r w:rsidRPr="00DF0FF9">
              <w:rPr>
                <w:rFonts w:ascii="Verdana" w:eastAsia="Verdana" w:hAnsi="Verdana" w:cs="Verdana"/>
                <w:color w:val="000000"/>
                <w:sz w:val="2"/>
                <w:lang w:val="en-GB"/>
              </w:rPr>
              <w:t xml:space="preserve"> </w:t>
            </w:r>
          </w:p>
        </w:tc>
        <w:tc>
          <w:tcPr>
            <w:tcW w:w="1149" w:type="dxa"/>
            <w:shd w:val="clear" w:color="auto" w:fill="auto"/>
            <w:tcMar>
              <w:top w:w="20" w:type="dxa"/>
              <w:left w:w="20" w:type="dxa"/>
              <w:bottom w:w="20" w:type="dxa"/>
              <w:right w:w="20" w:type="dxa"/>
            </w:tcMar>
            <w:vAlign w:val="bottom"/>
          </w:tcPr>
          <w:p w14:paraId="79C35C3C" w14:textId="77777777" w:rsidR="00CA6653" w:rsidRPr="00DF0FF9" w:rsidRDefault="00CA6653">
            <w:pPr>
              <w:pStyle w:val="T1TableStyle"/>
              <w:jc w:val="center"/>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14:paraId="56B66EB8" w14:textId="77777777" w:rsidR="00CA6653" w:rsidRPr="00DF0FF9" w:rsidRDefault="00CA6653">
            <w:pPr>
              <w:pStyle w:val="T1TableStyle"/>
              <w:jc w:val="center"/>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14:paraId="2FC27711" w14:textId="77777777" w:rsidR="00CA6653" w:rsidRPr="00DF0FF9" w:rsidRDefault="00CA6653">
            <w:pPr>
              <w:pStyle w:val="T1TableStyle"/>
              <w:jc w:val="center"/>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c>
          <w:tcPr>
            <w:tcW w:w="1150" w:type="dxa"/>
            <w:shd w:val="clear" w:color="auto" w:fill="auto"/>
            <w:tcMar>
              <w:top w:w="20" w:type="dxa"/>
              <w:left w:w="20" w:type="dxa"/>
              <w:bottom w:w="20" w:type="dxa"/>
              <w:right w:w="20" w:type="dxa"/>
            </w:tcMar>
            <w:vAlign w:val="bottom"/>
          </w:tcPr>
          <w:p w14:paraId="525E8212" w14:textId="77777777" w:rsidR="00CA6653" w:rsidRPr="00DF0FF9" w:rsidRDefault="00CA6653">
            <w:pPr>
              <w:pStyle w:val="T1TableStyle"/>
              <w:jc w:val="center"/>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c>
          <w:tcPr>
            <w:tcW w:w="1151" w:type="dxa"/>
            <w:shd w:val="clear" w:color="auto" w:fill="auto"/>
            <w:tcMar>
              <w:top w:w="20" w:type="dxa"/>
              <w:left w:w="20" w:type="dxa"/>
              <w:bottom w:w="20" w:type="dxa"/>
              <w:right w:w="20" w:type="dxa"/>
            </w:tcMar>
            <w:vAlign w:val="bottom"/>
          </w:tcPr>
          <w:p w14:paraId="0EB0BD8A" w14:textId="77777777" w:rsidR="00CA6653" w:rsidRPr="00DF0FF9" w:rsidRDefault="00CA6653">
            <w:pPr>
              <w:pStyle w:val="T1TableStyle"/>
              <w:jc w:val="center"/>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r>
      <w:tr w:rsidR="004D417B" w:rsidRPr="00DF0FF9" w14:paraId="42874DD8" w14:textId="77777777" w:rsidTr="00E245E6">
        <w:trPr>
          <w:trHeight w:val="452"/>
          <w:jc w:val="center"/>
        </w:trPr>
        <w:tc>
          <w:tcPr>
            <w:tcW w:w="3908" w:type="dxa"/>
            <w:shd w:val="clear" w:color="auto" w:fill="auto"/>
            <w:tcMar>
              <w:top w:w="20" w:type="dxa"/>
              <w:left w:w="20" w:type="dxa"/>
              <w:bottom w:w="20" w:type="dxa"/>
              <w:right w:w="20" w:type="dxa"/>
            </w:tcMar>
            <w:vAlign w:val="bottom"/>
          </w:tcPr>
          <w:p w14:paraId="74001CEF" w14:textId="77777777" w:rsidR="00CA6653" w:rsidRPr="00DF0FF9" w:rsidRDefault="00CA6653">
            <w:pPr>
              <w:pStyle w:val="T1TableStyle"/>
              <w:jc w:val="center"/>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14:paraId="4362EB92" w14:textId="77777777" w:rsidR="00CA6653" w:rsidRPr="00DF0FF9" w:rsidRDefault="00CA6653" w:rsidP="00274769">
            <w:pPr>
              <w:pStyle w:val="T1TableStyle"/>
              <w:jc w:val="center"/>
              <w:rPr>
                <w:rFonts w:ascii="Verdana" w:eastAsia="Verdana" w:hAnsi="Verdana" w:cs="Verdana"/>
                <w:b/>
                <w:color w:val="000000"/>
                <w:sz w:val="16"/>
                <w:lang w:val="en-GB"/>
              </w:rPr>
            </w:pPr>
            <w:r w:rsidRPr="00DF0FF9">
              <w:rPr>
                <w:rFonts w:ascii="Verdana" w:eastAsia="Verdana" w:hAnsi="Verdana" w:cs="Verdana"/>
                <w:b/>
                <w:color w:val="000000"/>
                <w:sz w:val="16"/>
                <w:lang w:val="en-GB"/>
              </w:rPr>
              <w:t>1 April 20</w:t>
            </w:r>
            <w:r w:rsidR="00274769" w:rsidRPr="00DF0FF9">
              <w:rPr>
                <w:rFonts w:ascii="Verdana" w:eastAsia="Verdana" w:hAnsi="Verdana" w:cs="Verdana"/>
                <w:b/>
                <w:color w:val="000000"/>
                <w:sz w:val="16"/>
                <w:lang w:val="en-GB"/>
              </w:rPr>
              <w:t>20</w:t>
            </w:r>
          </w:p>
        </w:tc>
        <w:tc>
          <w:tcPr>
            <w:tcW w:w="1149" w:type="dxa"/>
            <w:shd w:val="clear" w:color="auto" w:fill="auto"/>
            <w:tcMar>
              <w:top w:w="20" w:type="dxa"/>
              <w:left w:w="20" w:type="dxa"/>
              <w:bottom w:w="20" w:type="dxa"/>
              <w:right w:w="20" w:type="dxa"/>
            </w:tcMar>
            <w:vAlign w:val="bottom"/>
          </w:tcPr>
          <w:p w14:paraId="44F4057F" w14:textId="77777777" w:rsidR="00CA6653" w:rsidRPr="00DF0FF9" w:rsidRDefault="00CA6653">
            <w:pPr>
              <w:pStyle w:val="T1TableStyle"/>
              <w:jc w:val="center"/>
              <w:rPr>
                <w:rFonts w:ascii="Verdana" w:eastAsia="Verdana" w:hAnsi="Verdana" w:cs="Verdana"/>
                <w:b/>
                <w:color w:val="000000"/>
                <w:sz w:val="16"/>
                <w:lang w:val="en-GB"/>
              </w:rPr>
            </w:pPr>
            <w:r w:rsidRPr="00DF0FF9">
              <w:rPr>
                <w:rFonts w:ascii="Verdana" w:eastAsia="Verdana" w:hAnsi="Verdana" w:cs="Verdana"/>
                <w:b/>
                <w:color w:val="000000"/>
                <w:sz w:val="16"/>
                <w:lang w:val="en-GB"/>
              </w:rPr>
              <w:t>Financing cash flows</w:t>
            </w:r>
          </w:p>
        </w:tc>
        <w:tc>
          <w:tcPr>
            <w:tcW w:w="2299" w:type="dxa"/>
            <w:gridSpan w:val="2"/>
            <w:shd w:val="clear" w:color="auto" w:fill="auto"/>
            <w:tcMar>
              <w:top w:w="20" w:type="dxa"/>
              <w:left w:w="20" w:type="dxa"/>
              <w:bottom w:w="20" w:type="dxa"/>
              <w:right w:w="20" w:type="dxa"/>
            </w:tcMar>
            <w:vAlign w:val="bottom"/>
          </w:tcPr>
          <w:p w14:paraId="6083C196" w14:textId="77777777" w:rsidR="00CA6653" w:rsidRPr="00DF0FF9" w:rsidRDefault="00CA6653">
            <w:pPr>
              <w:pStyle w:val="T1TableStyle"/>
              <w:jc w:val="center"/>
              <w:rPr>
                <w:rFonts w:ascii="Verdana" w:eastAsia="Verdana" w:hAnsi="Verdana" w:cs="Verdana"/>
                <w:b/>
                <w:color w:val="000000"/>
                <w:sz w:val="16"/>
                <w:lang w:val="en-GB"/>
              </w:rPr>
            </w:pPr>
            <w:r w:rsidRPr="00DF0FF9">
              <w:rPr>
                <w:rFonts w:ascii="Verdana" w:eastAsia="Verdana" w:hAnsi="Verdana" w:cs="Verdana"/>
                <w:b/>
                <w:color w:val="000000"/>
                <w:sz w:val="16"/>
                <w:lang w:val="en-GB"/>
              </w:rPr>
              <w:t>Non-cash changes</w:t>
            </w:r>
          </w:p>
        </w:tc>
        <w:tc>
          <w:tcPr>
            <w:tcW w:w="1151" w:type="dxa"/>
            <w:shd w:val="clear" w:color="auto" w:fill="auto"/>
            <w:tcMar>
              <w:top w:w="20" w:type="dxa"/>
              <w:left w:w="20" w:type="dxa"/>
              <w:bottom w:w="20" w:type="dxa"/>
              <w:right w:w="20" w:type="dxa"/>
            </w:tcMar>
            <w:vAlign w:val="bottom"/>
          </w:tcPr>
          <w:p w14:paraId="39A67946" w14:textId="77777777" w:rsidR="00CA6653" w:rsidRPr="00DF0FF9" w:rsidRDefault="00CA6653" w:rsidP="00274769">
            <w:pPr>
              <w:pStyle w:val="T1TableStyle"/>
              <w:jc w:val="center"/>
              <w:rPr>
                <w:rFonts w:ascii="Verdana" w:eastAsia="Verdana" w:hAnsi="Verdana" w:cs="Verdana"/>
                <w:b/>
                <w:color w:val="000000"/>
                <w:sz w:val="16"/>
                <w:lang w:val="en-GB"/>
              </w:rPr>
            </w:pPr>
            <w:r w:rsidRPr="00DF0FF9">
              <w:rPr>
                <w:rFonts w:ascii="Verdana" w:eastAsia="Verdana" w:hAnsi="Verdana" w:cs="Verdana"/>
                <w:b/>
                <w:color w:val="000000"/>
                <w:sz w:val="16"/>
                <w:lang w:val="en-GB"/>
              </w:rPr>
              <w:t>31 March 202</w:t>
            </w:r>
            <w:r w:rsidR="00274769" w:rsidRPr="00DF0FF9">
              <w:rPr>
                <w:rFonts w:ascii="Verdana" w:eastAsia="Verdana" w:hAnsi="Verdana" w:cs="Verdana"/>
                <w:b/>
                <w:color w:val="000000"/>
                <w:sz w:val="16"/>
                <w:lang w:val="en-GB"/>
              </w:rPr>
              <w:t>1</w:t>
            </w:r>
          </w:p>
        </w:tc>
      </w:tr>
      <w:tr w:rsidR="004D417B" w:rsidRPr="00DF0FF9" w14:paraId="675BE973" w14:textId="77777777" w:rsidTr="00E245E6">
        <w:trPr>
          <w:trHeight w:val="664"/>
          <w:jc w:val="center"/>
        </w:trPr>
        <w:tc>
          <w:tcPr>
            <w:tcW w:w="3908" w:type="dxa"/>
            <w:shd w:val="clear" w:color="auto" w:fill="auto"/>
            <w:tcMar>
              <w:top w:w="20" w:type="dxa"/>
              <w:left w:w="20" w:type="dxa"/>
              <w:bottom w:w="20" w:type="dxa"/>
              <w:right w:w="20" w:type="dxa"/>
            </w:tcMar>
            <w:vAlign w:val="bottom"/>
          </w:tcPr>
          <w:p w14:paraId="5BC22205" w14:textId="77777777" w:rsidR="00CA6653" w:rsidRPr="00DF0FF9" w:rsidRDefault="00CA6653">
            <w:pPr>
              <w:pStyle w:val="T1TableStyle"/>
              <w:jc w:val="center"/>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14:paraId="41A00FC1" w14:textId="77777777" w:rsidR="00CA6653" w:rsidRPr="00DF0FF9" w:rsidRDefault="00CA6653">
            <w:pPr>
              <w:pStyle w:val="T1TableStyle"/>
              <w:jc w:val="center"/>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14:paraId="34893535" w14:textId="77777777" w:rsidR="00CA6653" w:rsidRPr="00DF0FF9" w:rsidRDefault="00CA6653">
            <w:pPr>
              <w:pStyle w:val="T1TableStyle"/>
              <w:jc w:val="center"/>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14:paraId="0ECB00C8" w14:textId="77777777" w:rsidR="00CA6653" w:rsidRPr="00DF0FF9" w:rsidRDefault="00CA6653">
            <w:pPr>
              <w:pStyle w:val="T1TableStyle"/>
              <w:jc w:val="center"/>
              <w:rPr>
                <w:rFonts w:ascii="Verdana" w:eastAsia="Verdana" w:hAnsi="Verdana" w:cs="Verdana"/>
                <w:b/>
                <w:color w:val="000000"/>
                <w:sz w:val="16"/>
                <w:lang w:val="en-GB"/>
              </w:rPr>
            </w:pPr>
            <w:r w:rsidRPr="00DF0FF9">
              <w:rPr>
                <w:rFonts w:ascii="Verdana" w:eastAsia="Verdana" w:hAnsi="Verdana" w:cs="Verdana"/>
                <w:b/>
                <w:color w:val="000000"/>
                <w:sz w:val="16"/>
                <w:lang w:val="en-GB"/>
              </w:rPr>
              <w:t>Acquisition</w:t>
            </w:r>
          </w:p>
        </w:tc>
        <w:tc>
          <w:tcPr>
            <w:tcW w:w="1150" w:type="dxa"/>
            <w:shd w:val="clear" w:color="auto" w:fill="auto"/>
            <w:tcMar>
              <w:top w:w="20" w:type="dxa"/>
              <w:left w:w="20" w:type="dxa"/>
              <w:bottom w:w="20" w:type="dxa"/>
              <w:right w:w="20" w:type="dxa"/>
            </w:tcMar>
            <w:vAlign w:val="bottom"/>
          </w:tcPr>
          <w:p w14:paraId="1CE9B9EC" w14:textId="77777777" w:rsidR="00CA6653" w:rsidRPr="00DF0FF9" w:rsidRDefault="00CA6653">
            <w:pPr>
              <w:pStyle w:val="T1TableStyle"/>
              <w:jc w:val="center"/>
              <w:rPr>
                <w:rFonts w:ascii="Verdana" w:eastAsia="Verdana" w:hAnsi="Verdana" w:cs="Verdana"/>
                <w:b/>
                <w:color w:val="000000"/>
                <w:sz w:val="16"/>
                <w:lang w:val="en-GB"/>
              </w:rPr>
            </w:pPr>
            <w:r w:rsidRPr="00DF0FF9">
              <w:rPr>
                <w:rFonts w:ascii="Verdana" w:eastAsia="Verdana" w:hAnsi="Verdana" w:cs="Verdana"/>
                <w:b/>
                <w:color w:val="000000"/>
                <w:sz w:val="16"/>
                <w:lang w:val="en-GB"/>
              </w:rPr>
              <w:t>Other non-cash changes</w:t>
            </w:r>
          </w:p>
        </w:tc>
        <w:tc>
          <w:tcPr>
            <w:tcW w:w="1151" w:type="dxa"/>
            <w:shd w:val="clear" w:color="auto" w:fill="auto"/>
            <w:tcMar>
              <w:top w:w="20" w:type="dxa"/>
              <w:left w:w="20" w:type="dxa"/>
              <w:bottom w:w="20" w:type="dxa"/>
              <w:right w:w="20" w:type="dxa"/>
            </w:tcMar>
            <w:vAlign w:val="bottom"/>
          </w:tcPr>
          <w:p w14:paraId="4D8E4E3A" w14:textId="77777777" w:rsidR="00CA6653" w:rsidRPr="00DF0FF9" w:rsidRDefault="00CA6653">
            <w:pPr>
              <w:pStyle w:val="T1TableStyle"/>
              <w:jc w:val="center"/>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r>
      <w:tr w:rsidR="004D417B" w:rsidRPr="00DF0FF9" w14:paraId="615C88C0" w14:textId="77777777" w:rsidTr="00E245E6">
        <w:trPr>
          <w:trHeight w:val="301"/>
          <w:jc w:val="center"/>
        </w:trPr>
        <w:tc>
          <w:tcPr>
            <w:tcW w:w="3908" w:type="dxa"/>
            <w:tcBorders>
              <w:bottom w:val="single" w:sz="2" w:space="0" w:color="000000"/>
            </w:tcBorders>
            <w:shd w:val="clear" w:color="auto" w:fill="auto"/>
            <w:tcMar>
              <w:top w:w="20" w:type="dxa"/>
              <w:left w:w="20" w:type="dxa"/>
              <w:bottom w:w="20" w:type="dxa"/>
              <w:right w:w="20" w:type="dxa"/>
            </w:tcMar>
            <w:vAlign w:val="bottom"/>
          </w:tcPr>
          <w:p w14:paraId="4C17CD93" w14:textId="77777777" w:rsidR="00CA6653" w:rsidRPr="00DF0FF9" w:rsidRDefault="00CA6653">
            <w:pPr>
              <w:pStyle w:val="T1TableStyle"/>
              <w:jc w:val="right"/>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c>
          <w:tcPr>
            <w:tcW w:w="1149" w:type="dxa"/>
            <w:tcBorders>
              <w:bottom w:val="single" w:sz="2" w:space="0" w:color="000000"/>
            </w:tcBorders>
            <w:shd w:val="clear" w:color="auto" w:fill="auto"/>
            <w:tcMar>
              <w:top w:w="20" w:type="dxa"/>
              <w:left w:w="20" w:type="dxa"/>
              <w:bottom w:w="20" w:type="dxa"/>
              <w:right w:w="20" w:type="dxa"/>
            </w:tcMar>
            <w:vAlign w:val="bottom"/>
          </w:tcPr>
          <w:p w14:paraId="4836505A" w14:textId="77777777" w:rsidR="00CA6653" w:rsidRPr="00DF0FF9" w:rsidRDefault="00CA6653">
            <w:pPr>
              <w:pStyle w:val="T1TableStyle"/>
              <w:jc w:val="right"/>
              <w:rPr>
                <w:rFonts w:ascii="Verdana" w:eastAsia="Verdana" w:hAnsi="Verdana" w:cs="Verdana"/>
                <w:b/>
                <w:color w:val="000000"/>
                <w:sz w:val="16"/>
                <w:lang w:val="en-GB"/>
              </w:rPr>
            </w:pPr>
            <w:r w:rsidRPr="00DF0FF9">
              <w:rPr>
                <w:rFonts w:ascii="Verdana" w:eastAsia="Verdana" w:hAnsi="Verdana" w:cs="Verdana"/>
                <w:b/>
                <w:color w:val="000000"/>
                <w:sz w:val="16"/>
                <w:lang w:val="en-GB"/>
              </w:rPr>
              <w:t>£000</w:t>
            </w:r>
          </w:p>
        </w:tc>
        <w:tc>
          <w:tcPr>
            <w:tcW w:w="1149" w:type="dxa"/>
            <w:tcBorders>
              <w:bottom w:val="single" w:sz="2" w:space="0" w:color="000000"/>
            </w:tcBorders>
            <w:shd w:val="clear" w:color="auto" w:fill="auto"/>
            <w:tcMar>
              <w:top w:w="20" w:type="dxa"/>
              <w:left w:w="20" w:type="dxa"/>
              <w:bottom w:w="20" w:type="dxa"/>
              <w:right w:w="20" w:type="dxa"/>
            </w:tcMar>
            <w:vAlign w:val="bottom"/>
          </w:tcPr>
          <w:p w14:paraId="66B55F44" w14:textId="77777777" w:rsidR="00CA6653" w:rsidRPr="00DF0FF9" w:rsidRDefault="00CA6653">
            <w:pPr>
              <w:pStyle w:val="T1TableStyle"/>
              <w:jc w:val="right"/>
              <w:rPr>
                <w:rFonts w:ascii="Verdana" w:eastAsia="Verdana" w:hAnsi="Verdana" w:cs="Verdana"/>
                <w:b/>
                <w:color w:val="000000"/>
                <w:sz w:val="16"/>
                <w:lang w:val="en-GB"/>
              </w:rPr>
            </w:pPr>
            <w:r w:rsidRPr="00DF0FF9">
              <w:rPr>
                <w:rFonts w:ascii="Verdana" w:eastAsia="Verdana" w:hAnsi="Verdana" w:cs="Verdana"/>
                <w:b/>
                <w:color w:val="000000"/>
                <w:sz w:val="16"/>
                <w:lang w:val="en-GB"/>
              </w:rPr>
              <w:t>£000</w:t>
            </w:r>
          </w:p>
        </w:tc>
        <w:tc>
          <w:tcPr>
            <w:tcW w:w="1149" w:type="dxa"/>
            <w:tcBorders>
              <w:bottom w:val="single" w:sz="2" w:space="0" w:color="000000"/>
            </w:tcBorders>
            <w:shd w:val="clear" w:color="auto" w:fill="auto"/>
            <w:tcMar>
              <w:top w:w="20" w:type="dxa"/>
              <w:left w:w="20" w:type="dxa"/>
              <w:bottom w:w="20" w:type="dxa"/>
              <w:right w:w="20" w:type="dxa"/>
            </w:tcMar>
            <w:vAlign w:val="bottom"/>
          </w:tcPr>
          <w:p w14:paraId="571493FC" w14:textId="77777777" w:rsidR="00CA6653" w:rsidRPr="00DF0FF9" w:rsidRDefault="00CA6653">
            <w:pPr>
              <w:pStyle w:val="T1TableStyle"/>
              <w:jc w:val="right"/>
              <w:rPr>
                <w:rFonts w:ascii="Verdana" w:eastAsia="Verdana" w:hAnsi="Verdana" w:cs="Verdana"/>
                <w:b/>
                <w:color w:val="000000"/>
                <w:sz w:val="16"/>
                <w:lang w:val="en-GB"/>
              </w:rPr>
            </w:pPr>
            <w:r w:rsidRPr="00DF0FF9">
              <w:rPr>
                <w:rFonts w:ascii="Verdana" w:eastAsia="Verdana" w:hAnsi="Verdana" w:cs="Verdana"/>
                <w:b/>
                <w:color w:val="000000"/>
                <w:sz w:val="16"/>
                <w:lang w:val="en-GB"/>
              </w:rPr>
              <w:t>£000</w:t>
            </w:r>
          </w:p>
        </w:tc>
        <w:tc>
          <w:tcPr>
            <w:tcW w:w="1150" w:type="dxa"/>
            <w:tcBorders>
              <w:bottom w:val="single" w:sz="2" w:space="0" w:color="000000"/>
            </w:tcBorders>
            <w:shd w:val="clear" w:color="auto" w:fill="auto"/>
            <w:tcMar>
              <w:top w:w="20" w:type="dxa"/>
              <w:left w:w="20" w:type="dxa"/>
              <w:bottom w:w="20" w:type="dxa"/>
              <w:right w:w="20" w:type="dxa"/>
            </w:tcMar>
            <w:vAlign w:val="bottom"/>
          </w:tcPr>
          <w:p w14:paraId="4B7E140C" w14:textId="77777777" w:rsidR="00CA6653" w:rsidRPr="00DF0FF9" w:rsidRDefault="00CA6653">
            <w:pPr>
              <w:pStyle w:val="T1TableStyle"/>
              <w:jc w:val="right"/>
              <w:rPr>
                <w:rFonts w:ascii="Verdana" w:eastAsia="Verdana" w:hAnsi="Verdana" w:cs="Verdana"/>
                <w:b/>
                <w:color w:val="000000"/>
                <w:sz w:val="16"/>
                <w:lang w:val="en-GB"/>
              </w:rPr>
            </w:pPr>
            <w:r w:rsidRPr="00DF0FF9">
              <w:rPr>
                <w:rFonts w:ascii="Verdana" w:eastAsia="Verdana" w:hAnsi="Verdana" w:cs="Verdana"/>
                <w:b/>
                <w:color w:val="000000"/>
                <w:sz w:val="16"/>
                <w:lang w:val="en-GB"/>
              </w:rPr>
              <w:t>£000</w:t>
            </w:r>
          </w:p>
        </w:tc>
        <w:tc>
          <w:tcPr>
            <w:tcW w:w="1151" w:type="dxa"/>
            <w:tcBorders>
              <w:bottom w:val="single" w:sz="2" w:space="0" w:color="000000"/>
            </w:tcBorders>
            <w:shd w:val="clear" w:color="auto" w:fill="auto"/>
            <w:tcMar>
              <w:top w:w="20" w:type="dxa"/>
              <w:left w:w="20" w:type="dxa"/>
              <w:bottom w:w="20" w:type="dxa"/>
              <w:right w:w="20" w:type="dxa"/>
            </w:tcMar>
            <w:vAlign w:val="bottom"/>
          </w:tcPr>
          <w:p w14:paraId="3ED3E09C" w14:textId="77777777" w:rsidR="00CA6653" w:rsidRPr="00DF0FF9" w:rsidRDefault="00CA6653">
            <w:pPr>
              <w:pStyle w:val="T1TableStyle"/>
              <w:jc w:val="right"/>
              <w:rPr>
                <w:rFonts w:ascii="Verdana" w:eastAsia="Verdana" w:hAnsi="Verdana" w:cs="Verdana"/>
                <w:b/>
                <w:color w:val="000000"/>
                <w:sz w:val="16"/>
                <w:lang w:val="en-GB"/>
              </w:rPr>
            </w:pPr>
            <w:r w:rsidRPr="00DF0FF9">
              <w:rPr>
                <w:rFonts w:ascii="Verdana" w:eastAsia="Verdana" w:hAnsi="Verdana" w:cs="Verdana"/>
                <w:b/>
                <w:color w:val="000000"/>
                <w:sz w:val="16"/>
                <w:lang w:val="en-GB"/>
              </w:rPr>
              <w:t>£000</w:t>
            </w:r>
          </w:p>
        </w:tc>
      </w:tr>
      <w:tr w:rsidR="004D417B" w:rsidRPr="00DF0FF9" w14:paraId="29343061" w14:textId="77777777" w:rsidTr="00E245E6">
        <w:trPr>
          <w:trHeight w:val="301"/>
          <w:jc w:val="center"/>
        </w:trPr>
        <w:tc>
          <w:tcPr>
            <w:tcW w:w="3908" w:type="dxa"/>
            <w:shd w:val="clear" w:color="auto" w:fill="auto"/>
            <w:tcMar>
              <w:top w:w="20" w:type="dxa"/>
              <w:left w:w="20" w:type="dxa"/>
              <w:bottom w:w="20" w:type="dxa"/>
              <w:right w:w="20" w:type="dxa"/>
            </w:tcMar>
          </w:tcPr>
          <w:p w14:paraId="35F723EA" w14:textId="77777777" w:rsidR="00CA6653" w:rsidRPr="00DF0FF9" w:rsidRDefault="00CA6653">
            <w:pPr>
              <w:pStyle w:val="T1TableStyle"/>
              <w:rPr>
                <w:rFonts w:ascii="Verdana" w:eastAsia="Verdana" w:hAnsi="Verdana" w:cs="Verdana"/>
                <w:color w:val="000000"/>
                <w:sz w:val="16"/>
                <w:lang w:val="en-GB"/>
              </w:rPr>
            </w:pPr>
            <w:r w:rsidRPr="00DF0FF9">
              <w:rPr>
                <w:rFonts w:ascii="Verdana" w:eastAsia="Verdana" w:hAnsi="Verdana" w:cs="Verdana"/>
                <w:color w:val="000000"/>
                <w:sz w:val="16"/>
                <w:lang w:val="en-GB"/>
              </w:rPr>
              <w:t>Long-term borrowings</w:t>
            </w:r>
          </w:p>
        </w:tc>
        <w:tc>
          <w:tcPr>
            <w:tcW w:w="1149" w:type="dxa"/>
            <w:shd w:val="clear" w:color="auto" w:fill="auto"/>
            <w:tcMar>
              <w:top w:w="20" w:type="dxa"/>
              <w:left w:w="20" w:type="dxa"/>
              <w:bottom w:w="20" w:type="dxa"/>
              <w:right w:w="20" w:type="dxa"/>
            </w:tcMar>
          </w:tcPr>
          <w:p w14:paraId="65298CA4" w14:textId="77777777" w:rsidR="00CA6653" w:rsidRPr="00DF0FF9" w:rsidRDefault="00CA6653" w:rsidP="00274769">
            <w:pPr>
              <w:pStyle w:val="T1TableStyle"/>
              <w:jc w:val="right"/>
              <w:rPr>
                <w:rFonts w:ascii="Verdana" w:eastAsia="Verdana" w:hAnsi="Verdana" w:cs="Verdana"/>
                <w:color w:val="000000"/>
                <w:sz w:val="16"/>
                <w:lang w:val="en-GB"/>
              </w:rPr>
            </w:pPr>
            <w:r w:rsidRPr="00DF0FF9">
              <w:rPr>
                <w:rFonts w:ascii="Verdana" w:eastAsia="Verdana" w:hAnsi="Verdana" w:cs="Verdana"/>
                <w:color w:val="000000"/>
                <w:sz w:val="16"/>
                <w:lang w:val="en-GB"/>
              </w:rPr>
              <w:t>(15,</w:t>
            </w:r>
            <w:r w:rsidR="00274769" w:rsidRPr="00DF0FF9">
              <w:rPr>
                <w:rFonts w:ascii="Verdana" w:eastAsia="Verdana" w:hAnsi="Verdana" w:cs="Verdana"/>
                <w:color w:val="000000"/>
                <w:sz w:val="16"/>
                <w:lang w:val="en-GB"/>
              </w:rPr>
              <w:t>084</w:t>
            </w:r>
            <w:r w:rsidRPr="00DF0FF9">
              <w:rPr>
                <w:rFonts w:ascii="Verdana" w:eastAsia="Verdana" w:hAnsi="Verdana" w:cs="Verdana"/>
                <w:color w:val="000000"/>
                <w:sz w:val="16"/>
                <w:lang w:val="en-GB"/>
              </w:rPr>
              <w:t>)</w:t>
            </w:r>
          </w:p>
        </w:tc>
        <w:tc>
          <w:tcPr>
            <w:tcW w:w="1149" w:type="dxa"/>
            <w:shd w:val="clear" w:color="auto" w:fill="auto"/>
            <w:tcMar>
              <w:top w:w="20" w:type="dxa"/>
              <w:left w:w="20" w:type="dxa"/>
              <w:bottom w:w="20" w:type="dxa"/>
              <w:right w:w="20" w:type="dxa"/>
            </w:tcMar>
          </w:tcPr>
          <w:p w14:paraId="0605581B" w14:textId="77777777" w:rsidR="00CA6653" w:rsidRPr="00DF0FF9" w:rsidRDefault="00CA6653">
            <w:pPr>
              <w:pStyle w:val="T1TableStyle"/>
              <w:jc w:val="right"/>
              <w:rPr>
                <w:rFonts w:ascii="Verdana" w:eastAsia="Verdana" w:hAnsi="Verdana" w:cs="Verdana"/>
                <w:color w:val="000000"/>
                <w:sz w:val="16"/>
                <w:lang w:val="en-GB"/>
              </w:rPr>
            </w:pPr>
            <w:r w:rsidRPr="00DF0FF9">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14:paraId="1611C633" w14:textId="77777777" w:rsidR="00CA6653" w:rsidRPr="00DF0FF9" w:rsidRDefault="00CA6653">
            <w:pPr>
              <w:pStyle w:val="T1TableStyle"/>
              <w:jc w:val="right"/>
              <w:rPr>
                <w:rFonts w:ascii="Verdana" w:eastAsia="Verdana" w:hAnsi="Verdana" w:cs="Verdana"/>
                <w:color w:val="000000"/>
                <w:sz w:val="16"/>
                <w:lang w:val="en-GB"/>
              </w:rPr>
            </w:pPr>
            <w:r w:rsidRPr="00DF0FF9">
              <w:rPr>
                <w:rFonts w:ascii="Verdana" w:eastAsia="Verdana" w:hAnsi="Verdana" w:cs="Verdana"/>
                <w:color w:val="000000"/>
                <w:sz w:val="16"/>
                <w:lang w:val="en-GB"/>
              </w:rPr>
              <w:t>0</w:t>
            </w:r>
          </w:p>
        </w:tc>
        <w:tc>
          <w:tcPr>
            <w:tcW w:w="1150" w:type="dxa"/>
            <w:shd w:val="clear" w:color="auto" w:fill="auto"/>
            <w:tcMar>
              <w:top w:w="20" w:type="dxa"/>
              <w:left w:w="20" w:type="dxa"/>
              <w:bottom w:w="20" w:type="dxa"/>
              <w:right w:w="20" w:type="dxa"/>
            </w:tcMar>
          </w:tcPr>
          <w:p w14:paraId="42ED4375" w14:textId="77777777" w:rsidR="00CA6653" w:rsidRPr="00DF0FF9" w:rsidRDefault="00CA6653">
            <w:pPr>
              <w:pStyle w:val="T1TableStyle"/>
              <w:jc w:val="right"/>
              <w:rPr>
                <w:rFonts w:ascii="Verdana" w:eastAsia="Verdana" w:hAnsi="Verdana" w:cs="Verdana"/>
                <w:color w:val="000000"/>
                <w:sz w:val="16"/>
                <w:lang w:val="en-GB"/>
              </w:rPr>
            </w:pPr>
            <w:r w:rsidRPr="00DF0FF9">
              <w:rPr>
                <w:rFonts w:ascii="Verdana" w:eastAsia="Verdana" w:hAnsi="Verdana" w:cs="Verdana"/>
                <w:color w:val="000000"/>
                <w:sz w:val="16"/>
                <w:lang w:val="en-GB"/>
              </w:rPr>
              <w:t>0</w:t>
            </w:r>
          </w:p>
        </w:tc>
        <w:tc>
          <w:tcPr>
            <w:tcW w:w="1151" w:type="dxa"/>
            <w:shd w:val="clear" w:color="auto" w:fill="auto"/>
            <w:tcMar>
              <w:top w:w="20" w:type="dxa"/>
              <w:left w:w="20" w:type="dxa"/>
              <w:bottom w:w="20" w:type="dxa"/>
              <w:right w:w="20" w:type="dxa"/>
            </w:tcMar>
          </w:tcPr>
          <w:p w14:paraId="2341AA6F" w14:textId="3B4405E3" w:rsidR="00CA6653" w:rsidRPr="00DF0FF9" w:rsidRDefault="00DF0FF9">
            <w:pPr>
              <w:pStyle w:val="T1TableStyle"/>
              <w:jc w:val="right"/>
              <w:rPr>
                <w:rFonts w:ascii="Verdana" w:eastAsia="Verdana" w:hAnsi="Verdana" w:cs="Verdana"/>
                <w:color w:val="000000"/>
                <w:sz w:val="16"/>
                <w:lang w:val="en-GB"/>
              </w:rPr>
            </w:pPr>
            <w:r w:rsidRPr="00DF0FF9">
              <w:rPr>
                <w:rFonts w:ascii="Verdana" w:eastAsia="Verdana" w:hAnsi="Verdana" w:cs="Verdana"/>
                <w:color w:val="000000"/>
                <w:sz w:val="16"/>
                <w:lang w:val="en-GB"/>
              </w:rPr>
              <w:t>(14,562)</w:t>
            </w:r>
          </w:p>
        </w:tc>
      </w:tr>
      <w:tr w:rsidR="004D417B" w:rsidRPr="00DF0FF9" w14:paraId="3623F300" w14:textId="77777777" w:rsidTr="00E245E6">
        <w:trPr>
          <w:trHeight w:val="301"/>
          <w:jc w:val="center"/>
        </w:trPr>
        <w:tc>
          <w:tcPr>
            <w:tcW w:w="3908" w:type="dxa"/>
            <w:shd w:val="clear" w:color="auto" w:fill="auto"/>
            <w:tcMar>
              <w:top w:w="20" w:type="dxa"/>
              <w:left w:w="20" w:type="dxa"/>
              <w:bottom w:w="20" w:type="dxa"/>
              <w:right w:w="20" w:type="dxa"/>
            </w:tcMar>
          </w:tcPr>
          <w:p w14:paraId="5230BABA" w14:textId="77777777" w:rsidR="00CA6653" w:rsidRPr="00DF0FF9" w:rsidRDefault="00CA6653">
            <w:pPr>
              <w:pStyle w:val="T1TableStyle"/>
              <w:rPr>
                <w:rFonts w:ascii="Verdana" w:eastAsia="Verdana" w:hAnsi="Verdana" w:cs="Verdana"/>
                <w:color w:val="000000"/>
                <w:sz w:val="16"/>
                <w:lang w:val="en-GB"/>
              </w:rPr>
            </w:pPr>
            <w:r w:rsidRPr="00DF0FF9">
              <w:rPr>
                <w:rFonts w:ascii="Verdana" w:eastAsia="Verdana" w:hAnsi="Verdana" w:cs="Verdana"/>
                <w:color w:val="000000"/>
                <w:sz w:val="16"/>
                <w:lang w:val="en-GB"/>
              </w:rPr>
              <w:t>Short-term borrowings</w:t>
            </w:r>
          </w:p>
        </w:tc>
        <w:tc>
          <w:tcPr>
            <w:tcW w:w="1149" w:type="dxa"/>
            <w:shd w:val="clear" w:color="auto" w:fill="auto"/>
            <w:tcMar>
              <w:top w:w="20" w:type="dxa"/>
              <w:left w:w="20" w:type="dxa"/>
              <w:bottom w:w="20" w:type="dxa"/>
              <w:right w:w="20" w:type="dxa"/>
            </w:tcMar>
          </w:tcPr>
          <w:p w14:paraId="327841F8" w14:textId="77777777" w:rsidR="00CA6653" w:rsidRPr="00DF0FF9" w:rsidRDefault="00CA6653">
            <w:pPr>
              <w:pStyle w:val="T1TableStyle"/>
              <w:jc w:val="right"/>
              <w:rPr>
                <w:rFonts w:ascii="Verdana" w:eastAsia="Verdana" w:hAnsi="Verdana" w:cs="Verdana"/>
                <w:color w:val="000000"/>
                <w:sz w:val="16"/>
                <w:lang w:val="en-GB"/>
              </w:rPr>
            </w:pPr>
            <w:r w:rsidRPr="00DF0FF9">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14:paraId="4A879D1C" w14:textId="77777777" w:rsidR="00CA6653" w:rsidRPr="00DF0FF9" w:rsidRDefault="00CA6653">
            <w:pPr>
              <w:pStyle w:val="T1TableStyle"/>
              <w:jc w:val="right"/>
              <w:rPr>
                <w:rFonts w:ascii="Verdana" w:eastAsia="Verdana" w:hAnsi="Verdana" w:cs="Verdana"/>
                <w:color w:val="000000"/>
                <w:sz w:val="16"/>
                <w:lang w:val="en-GB"/>
              </w:rPr>
            </w:pPr>
            <w:r w:rsidRPr="00DF0FF9">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14:paraId="4FA32917" w14:textId="77777777" w:rsidR="00CA6653" w:rsidRPr="00DF0FF9" w:rsidRDefault="00CA6653">
            <w:pPr>
              <w:pStyle w:val="T1TableStyle"/>
              <w:jc w:val="right"/>
              <w:rPr>
                <w:rFonts w:ascii="Verdana" w:eastAsia="Verdana" w:hAnsi="Verdana" w:cs="Verdana"/>
                <w:color w:val="000000"/>
                <w:sz w:val="16"/>
                <w:lang w:val="en-GB"/>
              </w:rPr>
            </w:pPr>
            <w:r w:rsidRPr="00DF0FF9">
              <w:rPr>
                <w:rFonts w:ascii="Verdana" w:eastAsia="Verdana" w:hAnsi="Verdana" w:cs="Verdana"/>
                <w:color w:val="000000"/>
                <w:sz w:val="16"/>
                <w:lang w:val="en-GB"/>
              </w:rPr>
              <w:t>0</w:t>
            </w:r>
          </w:p>
        </w:tc>
        <w:tc>
          <w:tcPr>
            <w:tcW w:w="1150" w:type="dxa"/>
            <w:shd w:val="clear" w:color="auto" w:fill="auto"/>
            <w:tcMar>
              <w:top w:w="20" w:type="dxa"/>
              <w:left w:w="20" w:type="dxa"/>
              <w:bottom w:w="20" w:type="dxa"/>
              <w:right w:w="20" w:type="dxa"/>
            </w:tcMar>
          </w:tcPr>
          <w:p w14:paraId="416C431A" w14:textId="77777777" w:rsidR="00CA6653" w:rsidRPr="00DF0FF9" w:rsidRDefault="00CA6653">
            <w:pPr>
              <w:pStyle w:val="T1TableStyle"/>
              <w:jc w:val="right"/>
              <w:rPr>
                <w:rFonts w:ascii="Verdana" w:eastAsia="Verdana" w:hAnsi="Verdana" w:cs="Verdana"/>
                <w:color w:val="000000"/>
                <w:sz w:val="16"/>
                <w:lang w:val="en-GB"/>
              </w:rPr>
            </w:pPr>
            <w:r w:rsidRPr="00DF0FF9">
              <w:rPr>
                <w:rFonts w:ascii="Verdana" w:eastAsia="Verdana" w:hAnsi="Verdana" w:cs="Verdana"/>
                <w:color w:val="000000"/>
                <w:sz w:val="16"/>
                <w:lang w:val="en-GB"/>
              </w:rPr>
              <w:t>0</w:t>
            </w:r>
          </w:p>
        </w:tc>
        <w:tc>
          <w:tcPr>
            <w:tcW w:w="1151" w:type="dxa"/>
            <w:shd w:val="clear" w:color="auto" w:fill="auto"/>
            <w:tcMar>
              <w:top w:w="20" w:type="dxa"/>
              <w:left w:w="20" w:type="dxa"/>
              <w:bottom w:w="20" w:type="dxa"/>
              <w:right w:w="20" w:type="dxa"/>
            </w:tcMar>
          </w:tcPr>
          <w:p w14:paraId="71571DED" w14:textId="77777777" w:rsidR="00CA6653" w:rsidRPr="00DF0FF9" w:rsidRDefault="00CA6653">
            <w:pPr>
              <w:pStyle w:val="T1TableStyle"/>
              <w:jc w:val="right"/>
              <w:rPr>
                <w:rFonts w:ascii="Verdana" w:eastAsia="Verdana" w:hAnsi="Verdana" w:cs="Verdana"/>
                <w:color w:val="000000"/>
                <w:sz w:val="16"/>
                <w:lang w:val="en-GB"/>
              </w:rPr>
            </w:pPr>
            <w:r w:rsidRPr="00DF0FF9">
              <w:rPr>
                <w:rFonts w:ascii="Verdana" w:eastAsia="Verdana" w:hAnsi="Verdana" w:cs="Verdana"/>
                <w:color w:val="000000"/>
                <w:sz w:val="16"/>
                <w:lang w:val="en-GB"/>
              </w:rPr>
              <w:t>0</w:t>
            </w:r>
          </w:p>
        </w:tc>
      </w:tr>
      <w:tr w:rsidR="004D417B" w:rsidRPr="00DF0FF9" w14:paraId="7C01EFB6" w14:textId="77777777" w:rsidTr="00E245E6">
        <w:trPr>
          <w:trHeight w:val="301"/>
          <w:jc w:val="center"/>
        </w:trPr>
        <w:tc>
          <w:tcPr>
            <w:tcW w:w="3908" w:type="dxa"/>
            <w:shd w:val="clear" w:color="auto" w:fill="auto"/>
            <w:tcMar>
              <w:top w:w="20" w:type="dxa"/>
              <w:left w:w="20" w:type="dxa"/>
              <w:bottom w:w="20" w:type="dxa"/>
              <w:right w:w="20" w:type="dxa"/>
            </w:tcMar>
          </w:tcPr>
          <w:p w14:paraId="1C2E220A" w14:textId="77777777" w:rsidR="00CA6653" w:rsidRPr="00DF0FF9" w:rsidRDefault="00CA6653">
            <w:pPr>
              <w:pStyle w:val="T1TableStyle"/>
              <w:rPr>
                <w:rFonts w:ascii="Verdana" w:eastAsia="Verdana" w:hAnsi="Verdana" w:cs="Verdana"/>
                <w:color w:val="000000"/>
                <w:sz w:val="16"/>
                <w:lang w:val="en-GB"/>
              </w:rPr>
            </w:pPr>
            <w:r w:rsidRPr="00DF0FF9">
              <w:rPr>
                <w:rFonts w:ascii="Verdana" w:eastAsia="Verdana" w:hAnsi="Verdana" w:cs="Verdana"/>
                <w:color w:val="000000"/>
                <w:sz w:val="16"/>
                <w:lang w:val="en-GB"/>
              </w:rPr>
              <w:t>Lease liabilities</w:t>
            </w:r>
          </w:p>
        </w:tc>
        <w:tc>
          <w:tcPr>
            <w:tcW w:w="1149" w:type="dxa"/>
            <w:shd w:val="clear" w:color="auto" w:fill="auto"/>
            <w:tcMar>
              <w:top w:w="20" w:type="dxa"/>
              <w:left w:w="20" w:type="dxa"/>
              <w:bottom w:w="20" w:type="dxa"/>
              <w:right w:w="20" w:type="dxa"/>
            </w:tcMar>
          </w:tcPr>
          <w:p w14:paraId="30DCA7B6" w14:textId="77777777" w:rsidR="00CA6653" w:rsidRPr="00DF0FF9" w:rsidRDefault="00CA6653">
            <w:pPr>
              <w:pStyle w:val="T1TableStyle"/>
              <w:jc w:val="right"/>
              <w:rPr>
                <w:rFonts w:ascii="Verdana" w:eastAsia="Verdana" w:hAnsi="Verdana" w:cs="Verdana"/>
                <w:color w:val="000000"/>
                <w:sz w:val="16"/>
                <w:lang w:val="en-GB"/>
              </w:rPr>
            </w:pPr>
            <w:r w:rsidRPr="00DF0FF9">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14:paraId="1C1AAEF0" w14:textId="77777777" w:rsidR="00CA6653" w:rsidRPr="00DF0FF9" w:rsidRDefault="00CA6653">
            <w:pPr>
              <w:pStyle w:val="T1TableStyle"/>
              <w:jc w:val="right"/>
              <w:rPr>
                <w:rFonts w:ascii="Verdana" w:eastAsia="Verdana" w:hAnsi="Verdana" w:cs="Verdana"/>
                <w:color w:val="000000"/>
                <w:sz w:val="16"/>
                <w:lang w:val="en-GB"/>
              </w:rPr>
            </w:pPr>
            <w:r w:rsidRPr="00DF0FF9">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14:paraId="46B5DB0B" w14:textId="77777777" w:rsidR="00CA6653" w:rsidRPr="00DF0FF9" w:rsidRDefault="00CA6653">
            <w:pPr>
              <w:pStyle w:val="T1TableStyle"/>
              <w:jc w:val="right"/>
              <w:rPr>
                <w:rFonts w:ascii="Verdana" w:eastAsia="Verdana" w:hAnsi="Verdana" w:cs="Verdana"/>
                <w:color w:val="000000"/>
                <w:sz w:val="16"/>
                <w:lang w:val="en-GB"/>
              </w:rPr>
            </w:pPr>
            <w:r w:rsidRPr="00DF0FF9">
              <w:rPr>
                <w:rFonts w:ascii="Verdana" w:eastAsia="Verdana" w:hAnsi="Verdana" w:cs="Verdana"/>
                <w:color w:val="000000"/>
                <w:sz w:val="16"/>
                <w:lang w:val="en-GB"/>
              </w:rPr>
              <w:t>0</w:t>
            </w:r>
          </w:p>
        </w:tc>
        <w:tc>
          <w:tcPr>
            <w:tcW w:w="1150" w:type="dxa"/>
            <w:shd w:val="clear" w:color="auto" w:fill="auto"/>
            <w:tcMar>
              <w:top w:w="20" w:type="dxa"/>
              <w:left w:w="20" w:type="dxa"/>
              <w:bottom w:w="20" w:type="dxa"/>
              <w:right w:w="20" w:type="dxa"/>
            </w:tcMar>
          </w:tcPr>
          <w:p w14:paraId="49A11521" w14:textId="77777777" w:rsidR="00CA6653" w:rsidRPr="00DF0FF9" w:rsidRDefault="00CA6653">
            <w:pPr>
              <w:pStyle w:val="T1TableStyle"/>
              <w:jc w:val="right"/>
              <w:rPr>
                <w:rFonts w:ascii="Verdana" w:eastAsia="Verdana" w:hAnsi="Verdana" w:cs="Verdana"/>
                <w:color w:val="000000"/>
                <w:sz w:val="16"/>
                <w:lang w:val="en-GB"/>
              </w:rPr>
            </w:pPr>
            <w:r w:rsidRPr="00DF0FF9">
              <w:rPr>
                <w:rFonts w:ascii="Verdana" w:eastAsia="Verdana" w:hAnsi="Verdana" w:cs="Verdana"/>
                <w:color w:val="000000"/>
                <w:sz w:val="16"/>
                <w:lang w:val="en-GB"/>
              </w:rPr>
              <w:t>0</w:t>
            </w:r>
          </w:p>
        </w:tc>
        <w:tc>
          <w:tcPr>
            <w:tcW w:w="1151" w:type="dxa"/>
            <w:shd w:val="clear" w:color="auto" w:fill="auto"/>
            <w:tcMar>
              <w:top w:w="20" w:type="dxa"/>
              <w:left w:w="20" w:type="dxa"/>
              <w:bottom w:w="20" w:type="dxa"/>
              <w:right w:w="20" w:type="dxa"/>
            </w:tcMar>
          </w:tcPr>
          <w:p w14:paraId="43B46E8D" w14:textId="77777777" w:rsidR="00CA6653" w:rsidRPr="00DF0FF9" w:rsidRDefault="00CA6653">
            <w:pPr>
              <w:pStyle w:val="T1TableStyle"/>
              <w:jc w:val="right"/>
              <w:rPr>
                <w:rFonts w:ascii="Verdana" w:eastAsia="Verdana" w:hAnsi="Verdana" w:cs="Verdana"/>
                <w:color w:val="000000"/>
                <w:sz w:val="16"/>
                <w:lang w:val="en-GB"/>
              </w:rPr>
            </w:pPr>
            <w:r w:rsidRPr="00DF0FF9">
              <w:rPr>
                <w:rFonts w:ascii="Verdana" w:eastAsia="Verdana" w:hAnsi="Verdana" w:cs="Verdana"/>
                <w:color w:val="000000"/>
                <w:sz w:val="16"/>
                <w:lang w:val="en-GB"/>
              </w:rPr>
              <w:t>0</w:t>
            </w:r>
          </w:p>
        </w:tc>
      </w:tr>
      <w:tr w:rsidR="004D417B" w:rsidRPr="00DF0FF9" w14:paraId="53906640" w14:textId="77777777" w:rsidTr="00E245E6">
        <w:trPr>
          <w:trHeight w:val="437"/>
          <w:jc w:val="center"/>
        </w:trPr>
        <w:tc>
          <w:tcPr>
            <w:tcW w:w="3908"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15606CF" w14:textId="77777777" w:rsidR="00CA6653" w:rsidRPr="00DF0FF9" w:rsidRDefault="00CA6653">
            <w:pPr>
              <w:pStyle w:val="T1TableStyle"/>
              <w:rPr>
                <w:rFonts w:ascii="Verdana" w:eastAsia="Verdana" w:hAnsi="Verdana" w:cs="Verdana"/>
                <w:b/>
                <w:color w:val="000000"/>
                <w:sz w:val="16"/>
                <w:lang w:val="en-GB"/>
              </w:rPr>
            </w:pPr>
            <w:r w:rsidRPr="00DF0FF9">
              <w:rPr>
                <w:rFonts w:ascii="Verdana" w:eastAsia="Verdana" w:hAnsi="Verdana" w:cs="Verdana"/>
                <w:b/>
                <w:color w:val="000000"/>
                <w:sz w:val="16"/>
                <w:lang w:val="en-GB"/>
              </w:rPr>
              <w:t>Total liabilities from financing activities</w:t>
            </w:r>
          </w:p>
        </w:tc>
        <w:tc>
          <w:tcPr>
            <w:tcW w:w="114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C503068" w14:textId="77777777" w:rsidR="00CA6653" w:rsidRPr="00DF0FF9" w:rsidRDefault="00CA6653" w:rsidP="00274769">
            <w:pPr>
              <w:pStyle w:val="T1TableStyle"/>
              <w:jc w:val="right"/>
              <w:rPr>
                <w:rFonts w:ascii="Verdana" w:eastAsia="Verdana" w:hAnsi="Verdana" w:cs="Verdana"/>
                <w:b/>
                <w:color w:val="000000"/>
                <w:sz w:val="16"/>
                <w:lang w:val="en-GB"/>
              </w:rPr>
            </w:pPr>
            <w:r w:rsidRPr="00DF0FF9">
              <w:rPr>
                <w:rFonts w:ascii="Verdana" w:eastAsia="Verdana" w:hAnsi="Verdana" w:cs="Verdana"/>
                <w:b/>
                <w:color w:val="000000"/>
                <w:sz w:val="16"/>
                <w:lang w:val="en-GB"/>
              </w:rPr>
              <w:t>(15,</w:t>
            </w:r>
            <w:r w:rsidR="00274769" w:rsidRPr="00DF0FF9">
              <w:rPr>
                <w:rFonts w:ascii="Verdana" w:eastAsia="Verdana" w:hAnsi="Verdana" w:cs="Verdana"/>
                <w:b/>
                <w:color w:val="000000"/>
                <w:sz w:val="16"/>
                <w:lang w:val="en-GB"/>
              </w:rPr>
              <w:t>084</w:t>
            </w:r>
            <w:r w:rsidRPr="00DF0FF9">
              <w:rPr>
                <w:rFonts w:ascii="Verdana" w:eastAsia="Verdana" w:hAnsi="Verdana" w:cs="Verdana"/>
                <w:b/>
                <w:color w:val="000000"/>
                <w:sz w:val="16"/>
                <w:lang w:val="en-GB"/>
              </w:rPr>
              <w:t>)</w:t>
            </w:r>
          </w:p>
        </w:tc>
        <w:tc>
          <w:tcPr>
            <w:tcW w:w="114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B5DCD56" w14:textId="77777777" w:rsidR="00CA6653" w:rsidRPr="00DF0FF9" w:rsidRDefault="00CA6653">
            <w:pPr>
              <w:pStyle w:val="T1TableStyle"/>
              <w:jc w:val="right"/>
              <w:rPr>
                <w:rFonts w:ascii="Verdana" w:eastAsia="Verdana" w:hAnsi="Verdana" w:cs="Verdana"/>
                <w:b/>
                <w:color w:val="000000"/>
                <w:sz w:val="16"/>
                <w:lang w:val="en-GB"/>
              </w:rPr>
            </w:pPr>
            <w:r w:rsidRPr="00DF0FF9">
              <w:rPr>
                <w:rFonts w:ascii="Verdana" w:eastAsia="Verdana" w:hAnsi="Verdana" w:cs="Verdana"/>
                <w:b/>
                <w:color w:val="000000"/>
                <w:sz w:val="16"/>
                <w:lang w:val="en-GB"/>
              </w:rPr>
              <w:t>0</w:t>
            </w:r>
          </w:p>
        </w:tc>
        <w:tc>
          <w:tcPr>
            <w:tcW w:w="114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89B47FD" w14:textId="77777777" w:rsidR="00CA6653" w:rsidRPr="00DF0FF9" w:rsidRDefault="00CA6653">
            <w:pPr>
              <w:pStyle w:val="T1TableStyle"/>
              <w:jc w:val="right"/>
              <w:rPr>
                <w:rFonts w:ascii="Verdana" w:eastAsia="Verdana" w:hAnsi="Verdana" w:cs="Verdana"/>
                <w:b/>
                <w:color w:val="000000"/>
                <w:sz w:val="16"/>
                <w:lang w:val="en-GB"/>
              </w:rPr>
            </w:pPr>
            <w:r w:rsidRPr="00DF0FF9">
              <w:rPr>
                <w:rFonts w:ascii="Verdana" w:eastAsia="Verdana" w:hAnsi="Verdana" w:cs="Verdana"/>
                <w:b/>
                <w:color w:val="000000"/>
                <w:sz w:val="16"/>
                <w:lang w:val="en-GB"/>
              </w:rPr>
              <w:t>0</w:t>
            </w:r>
          </w:p>
        </w:tc>
        <w:tc>
          <w:tcPr>
            <w:tcW w:w="115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825968A" w14:textId="77777777" w:rsidR="00CA6653" w:rsidRPr="00DF0FF9" w:rsidRDefault="00CA6653">
            <w:pPr>
              <w:pStyle w:val="T1TableStyle"/>
              <w:jc w:val="right"/>
              <w:rPr>
                <w:rFonts w:ascii="Verdana" w:eastAsia="Verdana" w:hAnsi="Verdana" w:cs="Verdana"/>
                <w:b/>
                <w:color w:val="000000"/>
                <w:sz w:val="16"/>
                <w:lang w:val="en-GB"/>
              </w:rPr>
            </w:pPr>
            <w:r w:rsidRPr="00DF0FF9">
              <w:rPr>
                <w:rFonts w:ascii="Verdana" w:eastAsia="Verdana" w:hAnsi="Verdana" w:cs="Verdana"/>
                <w:b/>
                <w:color w:val="000000"/>
                <w:sz w:val="16"/>
                <w:lang w:val="en-GB"/>
              </w:rPr>
              <w:t>0</w:t>
            </w:r>
          </w:p>
        </w:tc>
        <w:tc>
          <w:tcPr>
            <w:tcW w:w="11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50D1FF9" w14:textId="6BBEAE69" w:rsidR="00CA6653" w:rsidRPr="00DF0FF9" w:rsidRDefault="00DF0FF9">
            <w:pPr>
              <w:pStyle w:val="T1TableStyle"/>
              <w:jc w:val="right"/>
              <w:rPr>
                <w:rFonts w:ascii="Verdana" w:eastAsia="Verdana" w:hAnsi="Verdana" w:cs="Verdana"/>
                <w:b/>
                <w:color w:val="000000"/>
                <w:sz w:val="16"/>
                <w:lang w:val="en-GB"/>
              </w:rPr>
            </w:pPr>
            <w:r w:rsidRPr="00DF0FF9">
              <w:rPr>
                <w:rFonts w:ascii="Verdana" w:eastAsia="Verdana" w:hAnsi="Verdana" w:cs="Verdana"/>
                <w:b/>
                <w:color w:val="000000"/>
                <w:sz w:val="16"/>
                <w:lang w:val="en-GB"/>
              </w:rPr>
              <w:t>(14,562)</w:t>
            </w:r>
          </w:p>
        </w:tc>
      </w:tr>
      <w:tr w:rsidR="004D417B" w:rsidRPr="00DF0FF9" w14:paraId="08C219DF" w14:textId="77777777" w:rsidTr="00E245E6">
        <w:trPr>
          <w:trHeight w:hRule="exact" w:val="301"/>
          <w:jc w:val="center"/>
        </w:trPr>
        <w:tc>
          <w:tcPr>
            <w:tcW w:w="3908" w:type="dxa"/>
            <w:shd w:val="clear" w:color="auto" w:fill="auto"/>
            <w:tcMar>
              <w:top w:w="20" w:type="dxa"/>
              <w:left w:w="20" w:type="dxa"/>
              <w:bottom w:w="20" w:type="dxa"/>
              <w:right w:w="20" w:type="dxa"/>
            </w:tcMar>
            <w:vAlign w:val="center"/>
          </w:tcPr>
          <w:p w14:paraId="65AF9A70" w14:textId="77777777" w:rsidR="00CA6653" w:rsidRPr="00DF0FF9" w:rsidRDefault="00CA6653">
            <w:pPr>
              <w:pStyle w:val="T1TableStyle"/>
              <w:jc w:val="center"/>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center"/>
          </w:tcPr>
          <w:p w14:paraId="1CC497D3" w14:textId="77777777" w:rsidR="00CA6653" w:rsidRPr="00DF0FF9" w:rsidRDefault="00CA6653">
            <w:pPr>
              <w:pStyle w:val="T1TableStyle"/>
              <w:jc w:val="center"/>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center"/>
          </w:tcPr>
          <w:p w14:paraId="3D014B06" w14:textId="77777777" w:rsidR="00CA6653" w:rsidRPr="00DF0FF9" w:rsidRDefault="00CA6653">
            <w:pPr>
              <w:pStyle w:val="T1TableStyle"/>
              <w:jc w:val="center"/>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center"/>
          </w:tcPr>
          <w:p w14:paraId="75A8090E" w14:textId="77777777" w:rsidR="00CA6653" w:rsidRPr="00DF0FF9" w:rsidRDefault="00CA6653">
            <w:pPr>
              <w:pStyle w:val="T1TableStyle"/>
              <w:jc w:val="center"/>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c>
          <w:tcPr>
            <w:tcW w:w="1150" w:type="dxa"/>
            <w:shd w:val="clear" w:color="auto" w:fill="auto"/>
            <w:tcMar>
              <w:top w:w="20" w:type="dxa"/>
              <w:left w:w="20" w:type="dxa"/>
              <w:bottom w:w="20" w:type="dxa"/>
              <w:right w:w="20" w:type="dxa"/>
            </w:tcMar>
            <w:vAlign w:val="center"/>
          </w:tcPr>
          <w:p w14:paraId="4A706329" w14:textId="77777777" w:rsidR="00CA6653" w:rsidRPr="00DF0FF9" w:rsidRDefault="00CA6653">
            <w:pPr>
              <w:pStyle w:val="T1TableStyle"/>
              <w:jc w:val="center"/>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c>
          <w:tcPr>
            <w:tcW w:w="1151" w:type="dxa"/>
            <w:shd w:val="clear" w:color="auto" w:fill="auto"/>
            <w:tcMar>
              <w:top w:w="20" w:type="dxa"/>
              <w:left w:w="20" w:type="dxa"/>
              <w:bottom w:w="20" w:type="dxa"/>
              <w:right w:w="20" w:type="dxa"/>
            </w:tcMar>
            <w:vAlign w:val="center"/>
          </w:tcPr>
          <w:p w14:paraId="5498E626" w14:textId="77777777" w:rsidR="00CA6653" w:rsidRPr="00DF0FF9" w:rsidRDefault="00CA6653">
            <w:pPr>
              <w:pStyle w:val="T1TableStyle"/>
              <w:jc w:val="center"/>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r>
      <w:tr w:rsidR="004D417B" w:rsidRPr="00A95292" w14:paraId="48A94C95" w14:textId="77777777" w:rsidTr="00E245E6">
        <w:trPr>
          <w:trHeight w:val="452"/>
          <w:jc w:val="center"/>
        </w:trPr>
        <w:tc>
          <w:tcPr>
            <w:tcW w:w="3908" w:type="dxa"/>
            <w:shd w:val="clear" w:color="auto" w:fill="auto"/>
            <w:tcMar>
              <w:top w:w="20" w:type="dxa"/>
              <w:left w:w="20" w:type="dxa"/>
              <w:bottom w:w="20" w:type="dxa"/>
              <w:right w:w="20" w:type="dxa"/>
            </w:tcMar>
            <w:vAlign w:val="bottom"/>
          </w:tcPr>
          <w:p w14:paraId="1967403A" w14:textId="77777777" w:rsidR="00CA6653" w:rsidRPr="00DF0FF9" w:rsidRDefault="00CA6653">
            <w:pPr>
              <w:pStyle w:val="T1TableStyle"/>
              <w:jc w:val="center"/>
              <w:rPr>
                <w:rFonts w:ascii="Verdana" w:eastAsia="Verdana" w:hAnsi="Verdana" w:cs="Verdana"/>
                <w:b/>
                <w:color w:val="000000"/>
                <w:sz w:val="2"/>
                <w:lang w:val="en-GB"/>
              </w:rPr>
            </w:pPr>
            <w:r w:rsidRPr="00DF0FF9">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14:paraId="2917BE19" w14:textId="77777777" w:rsidR="00DC5E2A" w:rsidRPr="00DF0FF9" w:rsidRDefault="00DC5E2A">
            <w:pPr>
              <w:pStyle w:val="T1TableStyle"/>
              <w:jc w:val="center"/>
              <w:rPr>
                <w:rFonts w:ascii="Verdana" w:eastAsia="Verdana" w:hAnsi="Verdana" w:cs="Verdana"/>
                <w:b/>
                <w:color w:val="000000"/>
                <w:sz w:val="16"/>
                <w:lang w:val="en-GB"/>
              </w:rPr>
            </w:pPr>
          </w:p>
          <w:p w14:paraId="0EE4946F" w14:textId="77777777" w:rsidR="00DC5E2A" w:rsidRPr="00DF0FF9" w:rsidRDefault="00DC5E2A">
            <w:pPr>
              <w:pStyle w:val="T1TableStyle"/>
              <w:jc w:val="center"/>
              <w:rPr>
                <w:rFonts w:ascii="Verdana" w:eastAsia="Verdana" w:hAnsi="Verdana" w:cs="Verdana"/>
                <w:b/>
                <w:color w:val="000000"/>
                <w:sz w:val="16"/>
                <w:lang w:val="en-GB"/>
              </w:rPr>
            </w:pPr>
          </w:p>
          <w:p w14:paraId="721F2782" w14:textId="77777777" w:rsidR="00DC5E2A" w:rsidRPr="00DF0FF9" w:rsidRDefault="00DC5E2A">
            <w:pPr>
              <w:pStyle w:val="T1TableStyle"/>
              <w:jc w:val="center"/>
              <w:rPr>
                <w:rFonts w:ascii="Verdana" w:eastAsia="Verdana" w:hAnsi="Verdana" w:cs="Verdana"/>
                <w:b/>
                <w:color w:val="000000"/>
                <w:sz w:val="16"/>
                <w:lang w:val="en-GB"/>
              </w:rPr>
            </w:pPr>
          </w:p>
          <w:p w14:paraId="303BA77B" w14:textId="77777777" w:rsidR="00DC5E2A" w:rsidRPr="00DF0FF9" w:rsidRDefault="00DC5E2A">
            <w:pPr>
              <w:pStyle w:val="T1TableStyle"/>
              <w:jc w:val="center"/>
              <w:rPr>
                <w:rFonts w:ascii="Verdana" w:eastAsia="Verdana" w:hAnsi="Verdana" w:cs="Verdana"/>
                <w:b/>
                <w:color w:val="000000"/>
                <w:sz w:val="16"/>
                <w:lang w:val="en-GB"/>
              </w:rPr>
            </w:pPr>
          </w:p>
          <w:p w14:paraId="7B94D9E5" w14:textId="77777777" w:rsidR="00CA6653" w:rsidRPr="00DF0FF9" w:rsidRDefault="00CA6653" w:rsidP="00274769">
            <w:pPr>
              <w:pStyle w:val="T1TableStyle"/>
              <w:jc w:val="center"/>
              <w:rPr>
                <w:rFonts w:ascii="Verdana" w:eastAsia="Verdana" w:hAnsi="Verdana" w:cs="Verdana"/>
                <w:b/>
                <w:color w:val="000000"/>
                <w:sz w:val="16"/>
                <w:lang w:val="en-GB"/>
              </w:rPr>
            </w:pPr>
            <w:r w:rsidRPr="00DF0FF9">
              <w:rPr>
                <w:rFonts w:ascii="Verdana" w:eastAsia="Verdana" w:hAnsi="Verdana" w:cs="Verdana"/>
                <w:b/>
                <w:color w:val="000000"/>
                <w:sz w:val="16"/>
                <w:lang w:val="en-GB"/>
              </w:rPr>
              <w:t>1 April 201</w:t>
            </w:r>
            <w:r w:rsidR="00274769" w:rsidRPr="00DF0FF9">
              <w:rPr>
                <w:rFonts w:ascii="Verdana" w:eastAsia="Verdana" w:hAnsi="Verdana" w:cs="Verdana"/>
                <w:b/>
                <w:color w:val="000000"/>
                <w:sz w:val="16"/>
                <w:lang w:val="en-GB"/>
              </w:rPr>
              <w:t>9</w:t>
            </w:r>
          </w:p>
        </w:tc>
        <w:tc>
          <w:tcPr>
            <w:tcW w:w="1149" w:type="dxa"/>
            <w:shd w:val="clear" w:color="auto" w:fill="auto"/>
            <w:tcMar>
              <w:top w:w="20" w:type="dxa"/>
              <w:left w:w="20" w:type="dxa"/>
              <w:bottom w:w="20" w:type="dxa"/>
              <w:right w:w="20" w:type="dxa"/>
            </w:tcMar>
            <w:vAlign w:val="bottom"/>
          </w:tcPr>
          <w:p w14:paraId="18781995" w14:textId="77777777" w:rsidR="00DC5E2A" w:rsidRPr="00DF0FF9" w:rsidRDefault="00DC5E2A">
            <w:pPr>
              <w:pStyle w:val="T1TableStyle"/>
              <w:jc w:val="center"/>
              <w:rPr>
                <w:rFonts w:ascii="Verdana" w:eastAsia="Verdana" w:hAnsi="Verdana" w:cs="Verdana"/>
                <w:b/>
                <w:color w:val="000000"/>
                <w:sz w:val="16"/>
                <w:lang w:val="en-GB"/>
              </w:rPr>
            </w:pPr>
          </w:p>
          <w:p w14:paraId="527A387A" w14:textId="77777777" w:rsidR="00DC5E2A" w:rsidRPr="00DF0FF9" w:rsidRDefault="00DC5E2A">
            <w:pPr>
              <w:pStyle w:val="T1TableStyle"/>
              <w:jc w:val="center"/>
              <w:rPr>
                <w:rFonts w:ascii="Verdana" w:eastAsia="Verdana" w:hAnsi="Verdana" w:cs="Verdana"/>
                <w:b/>
                <w:color w:val="000000"/>
                <w:sz w:val="16"/>
                <w:lang w:val="en-GB"/>
              </w:rPr>
            </w:pPr>
          </w:p>
          <w:p w14:paraId="35D587DF" w14:textId="77777777" w:rsidR="00DC5E2A" w:rsidRPr="00DF0FF9" w:rsidRDefault="00DC5E2A">
            <w:pPr>
              <w:pStyle w:val="T1TableStyle"/>
              <w:jc w:val="center"/>
              <w:rPr>
                <w:rFonts w:ascii="Verdana" w:eastAsia="Verdana" w:hAnsi="Verdana" w:cs="Verdana"/>
                <w:b/>
                <w:color w:val="000000"/>
                <w:sz w:val="16"/>
                <w:lang w:val="en-GB"/>
              </w:rPr>
            </w:pPr>
          </w:p>
          <w:p w14:paraId="5BCA50E6" w14:textId="77777777" w:rsidR="00CA6653" w:rsidRPr="00DF0FF9" w:rsidRDefault="00CA6653">
            <w:pPr>
              <w:pStyle w:val="T1TableStyle"/>
              <w:jc w:val="center"/>
              <w:rPr>
                <w:rFonts w:ascii="Verdana" w:eastAsia="Verdana" w:hAnsi="Verdana" w:cs="Verdana"/>
                <w:b/>
                <w:color w:val="000000"/>
                <w:sz w:val="16"/>
                <w:lang w:val="en-GB"/>
              </w:rPr>
            </w:pPr>
            <w:r w:rsidRPr="00DF0FF9">
              <w:rPr>
                <w:rFonts w:ascii="Verdana" w:eastAsia="Verdana" w:hAnsi="Verdana" w:cs="Verdana"/>
                <w:b/>
                <w:color w:val="000000"/>
                <w:sz w:val="16"/>
                <w:lang w:val="en-GB"/>
              </w:rPr>
              <w:t>Financing cash flows</w:t>
            </w:r>
          </w:p>
        </w:tc>
        <w:tc>
          <w:tcPr>
            <w:tcW w:w="2299" w:type="dxa"/>
            <w:gridSpan w:val="2"/>
            <w:shd w:val="clear" w:color="auto" w:fill="auto"/>
            <w:tcMar>
              <w:top w:w="20" w:type="dxa"/>
              <w:left w:w="20" w:type="dxa"/>
              <w:bottom w:w="20" w:type="dxa"/>
              <w:right w:w="20" w:type="dxa"/>
            </w:tcMar>
            <w:vAlign w:val="bottom"/>
          </w:tcPr>
          <w:p w14:paraId="7B8E6E0E" w14:textId="77777777" w:rsidR="00CA6653" w:rsidRPr="00DF0FF9" w:rsidRDefault="00CA6653">
            <w:pPr>
              <w:pStyle w:val="T1TableStyle"/>
              <w:jc w:val="center"/>
              <w:rPr>
                <w:rFonts w:ascii="Verdana" w:eastAsia="Verdana" w:hAnsi="Verdana" w:cs="Verdana"/>
                <w:b/>
                <w:color w:val="000000"/>
                <w:sz w:val="16"/>
                <w:lang w:val="en-GB"/>
              </w:rPr>
            </w:pPr>
            <w:r w:rsidRPr="00DF0FF9">
              <w:rPr>
                <w:rFonts w:ascii="Verdana" w:eastAsia="Verdana" w:hAnsi="Verdana" w:cs="Verdana"/>
                <w:b/>
                <w:color w:val="000000"/>
                <w:sz w:val="16"/>
                <w:lang w:val="en-GB"/>
              </w:rPr>
              <w:t>Non-cash changes</w:t>
            </w:r>
          </w:p>
        </w:tc>
        <w:tc>
          <w:tcPr>
            <w:tcW w:w="1151" w:type="dxa"/>
            <w:shd w:val="clear" w:color="auto" w:fill="auto"/>
            <w:tcMar>
              <w:top w:w="20" w:type="dxa"/>
              <w:left w:w="20" w:type="dxa"/>
              <w:bottom w:w="20" w:type="dxa"/>
              <w:right w:w="20" w:type="dxa"/>
            </w:tcMar>
            <w:vAlign w:val="bottom"/>
          </w:tcPr>
          <w:p w14:paraId="2220FB82" w14:textId="77777777" w:rsidR="00DC5E2A" w:rsidRPr="00DF0FF9" w:rsidRDefault="00DC5E2A">
            <w:pPr>
              <w:pStyle w:val="T1TableStyle"/>
              <w:jc w:val="center"/>
              <w:rPr>
                <w:rFonts w:ascii="Verdana" w:eastAsia="Verdana" w:hAnsi="Verdana" w:cs="Verdana"/>
                <w:b/>
                <w:color w:val="000000"/>
                <w:sz w:val="16"/>
                <w:lang w:val="en-GB"/>
              </w:rPr>
            </w:pPr>
          </w:p>
          <w:p w14:paraId="665D7DC5" w14:textId="77777777" w:rsidR="00DC5E2A" w:rsidRPr="00DF0FF9" w:rsidRDefault="00DC5E2A">
            <w:pPr>
              <w:pStyle w:val="T1TableStyle"/>
              <w:jc w:val="center"/>
              <w:rPr>
                <w:rFonts w:ascii="Verdana" w:eastAsia="Verdana" w:hAnsi="Verdana" w:cs="Verdana"/>
                <w:b/>
                <w:color w:val="000000"/>
                <w:sz w:val="16"/>
                <w:lang w:val="en-GB"/>
              </w:rPr>
            </w:pPr>
          </w:p>
          <w:p w14:paraId="2BAEDCB6" w14:textId="77777777" w:rsidR="00DC5E2A" w:rsidRPr="00DF0FF9" w:rsidRDefault="00DC5E2A">
            <w:pPr>
              <w:pStyle w:val="T1TableStyle"/>
              <w:jc w:val="center"/>
              <w:rPr>
                <w:rFonts w:ascii="Verdana" w:eastAsia="Verdana" w:hAnsi="Verdana" w:cs="Verdana"/>
                <w:b/>
                <w:color w:val="000000"/>
                <w:sz w:val="16"/>
                <w:lang w:val="en-GB"/>
              </w:rPr>
            </w:pPr>
          </w:p>
          <w:p w14:paraId="6E560C67" w14:textId="77777777" w:rsidR="00CA6653" w:rsidRPr="00A95292" w:rsidRDefault="00CA6653" w:rsidP="00274769">
            <w:pPr>
              <w:pStyle w:val="T1TableStyle"/>
              <w:jc w:val="center"/>
              <w:rPr>
                <w:rFonts w:ascii="Verdana" w:eastAsia="Verdana" w:hAnsi="Verdana" w:cs="Verdana"/>
                <w:b/>
                <w:color w:val="000000"/>
                <w:sz w:val="16"/>
                <w:lang w:val="en-GB"/>
              </w:rPr>
            </w:pPr>
            <w:r w:rsidRPr="00DF0FF9">
              <w:rPr>
                <w:rFonts w:ascii="Verdana" w:eastAsia="Verdana" w:hAnsi="Verdana" w:cs="Verdana"/>
                <w:b/>
                <w:color w:val="000000"/>
                <w:sz w:val="16"/>
                <w:lang w:val="en-GB"/>
              </w:rPr>
              <w:t>31 March 20</w:t>
            </w:r>
            <w:r w:rsidR="00274769" w:rsidRPr="00DF0FF9">
              <w:rPr>
                <w:rFonts w:ascii="Verdana" w:eastAsia="Verdana" w:hAnsi="Verdana" w:cs="Verdana"/>
                <w:b/>
                <w:color w:val="000000"/>
                <w:sz w:val="16"/>
                <w:lang w:val="en-GB"/>
              </w:rPr>
              <w:t>20</w:t>
            </w:r>
          </w:p>
          <w:p w14:paraId="7626C6E6" w14:textId="77777777" w:rsidR="00274769" w:rsidRPr="00A95292" w:rsidRDefault="00274769" w:rsidP="00274769">
            <w:pPr>
              <w:pStyle w:val="T1TableStyle"/>
              <w:jc w:val="center"/>
              <w:rPr>
                <w:rFonts w:ascii="Verdana" w:eastAsia="Verdana" w:hAnsi="Verdana" w:cs="Verdana"/>
                <w:b/>
                <w:color w:val="000000"/>
                <w:sz w:val="16"/>
                <w:lang w:val="en-GB"/>
              </w:rPr>
            </w:pPr>
          </w:p>
        </w:tc>
      </w:tr>
      <w:tr w:rsidR="004D417B" w:rsidRPr="00A95292" w14:paraId="030A7E98" w14:textId="77777777" w:rsidTr="00E245E6">
        <w:trPr>
          <w:trHeight w:val="664"/>
          <w:jc w:val="center"/>
        </w:trPr>
        <w:tc>
          <w:tcPr>
            <w:tcW w:w="3908" w:type="dxa"/>
            <w:shd w:val="clear" w:color="auto" w:fill="auto"/>
            <w:tcMar>
              <w:top w:w="20" w:type="dxa"/>
              <w:left w:w="20" w:type="dxa"/>
              <w:bottom w:w="20" w:type="dxa"/>
              <w:right w:w="20" w:type="dxa"/>
            </w:tcMar>
            <w:vAlign w:val="bottom"/>
          </w:tcPr>
          <w:p w14:paraId="21EBC0AE" w14:textId="77777777" w:rsidR="00CA6653" w:rsidRPr="00A95292" w:rsidRDefault="00CA6653">
            <w:pPr>
              <w:pStyle w:val="T1TableStyle"/>
              <w:jc w:val="center"/>
              <w:rPr>
                <w:rFonts w:ascii="Verdana" w:eastAsia="Verdana" w:hAnsi="Verdana" w:cs="Verdana"/>
                <w:b/>
                <w:color w:val="000000"/>
                <w:sz w:val="2"/>
                <w:lang w:val="en-GB"/>
              </w:rPr>
            </w:pPr>
            <w:r w:rsidRPr="00A95292">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14:paraId="6C4B90CD" w14:textId="77777777" w:rsidR="00CA6653" w:rsidRPr="00A95292" w:rsidRDefault="00CA6653">
            <w:pPr>
              <w:pStyle w:val="T1TableStyle"/>
              <w:jc w:val="center"/>
              <w:rPr>
                <w:rFonts w:ascii="Verdana" w:eastAsia="Verdana" w:hAnsi="Verdana" w:cs="Verdana"/>
                <w:b/>
                <w:color w:val="000000"/>
                <w:sz w:val="2"/>
                <w:lang w:val="en-GB"/>
              </w:rPr>
            </w:pPr>
            <w:r w:rsidRPr="00A95292">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14:paraId="29FEEE27" w14:textId="77777777" w:rsidR="00CA6653" w:rsidRPr="00A95292" w:rsidRDefault="00CA6653">
            <w:pPr>
              <w:pStyle w:val="T1TableStyle"/>
              <w:jc w:val="center"/>
              <w:rPr>
                <w:rFonts w:ascii="Verdana" w:eastAsia="Verdana" w:hAnsi="Verdana" w:cs="Verdana"/>
                <w:b/>
                <w:color w:val="000000"/>
                <w:sz w:val="2"/>
                <w:lang w:val="en-GB"/>
              </w:rPr>
            </w:pPr>
            <w:r w:rsidRPr="00A95292">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14:paraId="34031460" w14:textId="77777777" w:rsidR="00CA6653" w:rsidRPr="00A95292" w:rsidRDefault="00CA6653">
            <w:pPr>
              <w:pStyle w:val="T1TableStyle"/>
              <w:jc w:val="center"/>
              <w:rPr>
                <w:rFonts w:ascii="Verdana" w:eastAsia="Verdana" w:hAnsi="Verdana" w:cs="Verdana"/>
                <w:b/>
                <w:color w:val="000000"/>
                <w:sz w:val="16"/>
                <w:lang w:val="en-GB"/>
              </w:rPr>
            </w:pPr>
            <w:r w:rsidRPr="00A95292">
              <w:rPr>
                <w:rFonts w:ascii="Verdana" w:eastAsia="Verdana" w:hAnsi="Verdana" w:cs="Verdana"/>
                <w:b/>
                <w:color w:val="000000"/>
                <w:sz w:val="16"/>
                <w:lang w:val="en-GB"/>
              </w:rPr>
              <w:t>Acquisition</w:t>
            </w:r>
          </w:p>
        </w:tc>
        <w:tc>
          <w:tcPr>
            <w:tcW w:w="1150" w:type="dxa"/>
            <w:shd w:val="clear" w:color="auto" w:fill="auto"/>
            <w:tcMar>
              <w:top w:w="20" w:type="dxa"/>
              <w:left w:w="20" w:type="dxa"/>
              <w:bottom w:w="20" w:type="dxa"/>
              <w:right w:w="20" w:type="dxa"/>
            </w:tcMar>
            <w:vAlign w:val="bottom"/>
          </w:tcPr>
          <w:p w14:paraId="75318847" w14:textId="77777777" w:rsidR="00CA6653" w:rsidRPr="00A95292" w:rsidRDefault="00CA6653">
            <w:pPr>
              <w:pStyle w:val="T1TableStyle"/>
              <w:jc w:val="center"/>
              <w:rPr>
                <w:rFonts w:ascii="Verdana" w:eastAsia="Verdana" w:hAnsi="Verdana" w:cs="Verdana"/>
                <w:b/>
                <w:color w:val="000000"/>
                <w:sz w:val="16"/>
                <w:lang w:val="en-GB"/>
              </w:rPr>
            </w:pPr>
            <w:r w:rsidRPr="00A95292">
              <w:rPr>
                <w:rFonts w:ascii="Verdana" w:eastAsia="Verdana" w:hAnsi="Verdana" w:cs="Verdana"/>
                <w:b/>
                <w:color w:val="000000"/>
                <w:sz w:val="16"/>
                <w:lang w:val="en-GB"/>
              </w:rPr>
              <w:t>Other non-cash changes</w:t>
            </w:r>
          </w:p>
        </w:tc>
        <w:tc>
          <w:tcPr>
            <w:tcW w:w="1151" w:type="dxa"/>
            <w:shd w:val="clear" w:color="auto" w:fill="auto"/>
            <w:tcMar>
              <w:top w:w="20" w:type="dxa"/>
              <w:left w:w="20" w:type="dxa"/>
              <w:bottom w:w="20" w:type="dxa"/>
              <w:right w:w="20" w:type="dxa"/>
            </w:tcMar>
            <w:vAlign w:val="bottom"/>
          </w:tcPr>
          <w:p w14:paraId="08461118" w14:textId="77777777" w:rsidR="00CA6653" w:rsidRPr="00A95292" w:rsidRDefault="00CA6653">
            <w:pPr>
              <w:pStyle w:val="T1TableStyle"/>
              <w:jc w:val="center"/>
              <w:rPr>
                <w:rFonts w:ascii="Verdana" w:eastAsia="Verdana" w:hAnsi="Verdana" w:cs="Verdana"/>
                <w:b/>
                <w:color w:val="000000"/>
                <w:sz w:val="2"/>
                <w:lang w:val="en-GB"/>
              </w:rPr>
            </w:pPr>
            <w:r w:rsidRPr="00A95292">
              <w:rPr>
                <w:rFonts w:ascii="Verdana" w:eastAsia="Verdana" w:hAnsi="Verdana" w:cs="Verdana"/>
                <w:b/>
                <w:color w:val="000000"/>
                <w:sz w:val="2"/>
                <w:lang w:val="en-GB"/>
              </w:rPr>
              <w:t xml:space="preserve"> </w:t>
            </w:r>
          </w:p>
        </w:tc>
      </w:tr>
      <w:tr w:rsidR="004D417B" w:rsidRPr="00A95292" w14:paraId="7F7D7540" w14:textId="77777777" w:rsidTr="00E245E6">
        <w:trPr>
          <w:trHeight w:val="301"/>
          <w:jc w:val="center"/>
        </w:trPr>
        <w:tc>
          <w:tcPr>
            <w:tcW w:w="3908" w:type="dxa"/>
            <w:tcBorders>
              <w:bottom w:val="single" w:sz="2" w:space="0" w:color="000000"/>
            </w:tcBorders>
            <w:shd w:val="clear" w:color="auto" w:fill="auto"/>
            <w:tcMar>
              <w:top w:w="20" w:type="dxa"/>
              <w:left w:w="20" w:type="dxa"/>
              <w:bottom w:w="20" w:type="dxa"/>
              <w:right w:w="20" w:type="dxa"/>
            </w:tcMar>
            <w:vAlign w:val="bottom"/>
          </w:tcPr>
          <w:p w14:paraId="44A73B86" w14:textId="77777777" w:rsidR="00CA6653" w:rsidRPr="00A95292" w:rsidRDefault="00CA6653">
            <w:pPr>
              <w:pStyle w:val="T1TableStyle"/>
              <w:jc w:val="right"/>
              <w:rPr>
                <w:rFonts w:ascii="Verdana" w:eastAsia="Verdana" w:hAnsi="Verdana" w:cs="Verdana"/>
                <w:b/>
                <w:color w:val="000000"/>
                <w:sz w:val="2"/>
                <w:lang w:val="en-GB"/>
              </w:rPr>
            </w:pPr>
            <w:r w:rsidRPr="00A95292">
              <w:rPr>
                <w:rFonts w:ascii="Verdana" w:eastAsia="Verdana" w:hAnsi="Verdana" w:cs="Verdana"/>
                <w:b/>
                <w:color w:val="000000"/>
                <w:sz w:val="2"/>
                <w:lang w:val="en-GB"/>
              </w:rPr>
              <w:t xml:space="preserve"> </w:t>
            </w:r>
          </w:p>
        </w:tc>
        <w:tc>
          <w:tcPr>
            <w:tcW w:w="1149" w:type="dxa"/>
            <w:tcBorders>
              <w:bottom w:val="single" w:sz="2" w:space="0" w:color="000000"/>
            </w:tcBorders>
            <w:shd w:val="clear" w:color="auto" w:fill="auto"/>
            <w:tcMar>
              <w:top w:w="20" w:type="dxa"/>
              <w:left w:w="20" w:type="dxa"/>
              <w:bottom w:w="20" w:type="dxa"/>
              <w:right w:w="20" w:type="dxa"/>
            </w:tcMar>
            <w:vAlign w:val="bottom"/>
          </w:tcPr>
          <w:p w14:paraId="5EA36743" w14:textId="77777777" w:rsidR="00CA6653" w:rsidRPr="00A95292" w:rsidRDefault="00CA6653">
            <w:pPr>
              <w:pStyle w:val="T1TableStyle"/>
              <w:jc w:val="right"/>
              <w:rPr>
                <w:rFonts w:ascii="Verdana" w:eastAsia="Verdana" w:hAnsi="Verdana" w:cs="Verdana"/>
                <w:b/>
                <w:color w:val="000000"/>
                <w:sz w:val="16"/>
                <w:lang w:val="en-GB"/>
              </w:rPr>
            </w:pPr>
            <w:r w:rsidRPr="00A95292">
              <w:rPr>
                <w:rFonts w:ascii="Verdana" w:eastAsia="Verdana" w:hAnsi="Verdana" w:cs="Verdana"/>
                <w:b/>
                <w:color w:val="000000"/>
                <w:sz w:val="16"/>
                <w:lang w:val="en-GB"/>
              </w:rPr>
              <w:t>£000</w:t>
            </w:r>
          </w:p>
        </w:tc>
        <w:tc>
          <w:tcPr>
            <w:tcW w:w="1149" w:type="dxa"/>
            <w:tcBorders>
              <w:bottom w:val="single" w:sz="2" w:space="0" w:color="000000"/>
            </w:tcBorders>
            <w:shd w:val="clear" w:color="auto" w:fill="auto"/>
            <w:tcMar>
              <w:top w:w="20" w:type="dxa"/>
              <w:left w:w="20" w:type="dxa"/>
              <w:bottom w:w="20" w:type="dxa"/>
              <w:right w:w="20" w:type="dxa"/>
            </w:tcMar>
            <w:vAlign w:val="bottom"/>
          </w:tcPr>
          <w:p w14:paraId="3DBD4F2E" w14:textId="77777777" w:rsidR="00CA6653" w:rsidRPr="00A95292" w:rsidRDefault="00CA6653">
            <w:pPr>
              <w:pStyle w:val="T1TableStyle"/>
              <w:jc w:val="right"/>
              <w:rPr>
                <w:rFonts w:ascii="Verdana" w:eastAsia="Verdana" w:hAnsi="Verdana" w:cs="Verdana"/>
                <w:b/>
                <w:color w:val="000000"/>
                <w:sz w:val="16"/>
                <w:lang w:val="en-GB"/>
              </w:rPr>
            </w:pPr>
            <w:r w:rsidRPr="00A95292">
              <w:rPr>
                <w:rFonts w:ascii="Verdana" w:eastAsia="Verdana" w:hAnsi="Verdana" w:cs="Verdana"/>
                <w:b/>
                <w:color w:val="000000"/>
                <w:sz w:val="16"/>
                <w:lang w:val="en-GB"/>
              </w:rPr>
              <w:t>£000</w:t>
            </w:r>
          </w:p>
        </w:tc>
        <w:tc>
          <w:tcPr>
            <w:tcW w:w="1149" w:type="dxa"/>
            <w:tcBorders>
              <w:bottom w:val="single" w:sz="2" w:space="0" w:color="000000"/>
            </w:tcBorders>
            <w:shd w:val="clear" w:color="auto" w:fill="auto"/>
            <w:tcMar>
              <w:top w:w="20" w:type="dxa"/>
              <w:left w:w="20" w:type="dxa"/>
              <w:bottom w:w="20" w:type="dxa"/>
              <w:right w:w="20" w:type="dxa"/>
            </w:tcMar>
            <w:vAlign w:val="bottom"/>
          </w:tcPr>
          <w:p w14:paraId="22936963" w14:textId="77777777" w:rsidR="00CA6653" w:rsidRPr="00A95292" w:rsidRDefault="00CA6653">
            <w:pPr>
              <w:pStyle w:val="T1TableStyle"/>
              <w:jc w:val="right"/>
              <w:rPr>
                <w:rFonts w:ascii="Verdana" w:eastAsia="Verdana" w:hAnsi="Verdana" w:cs="Verdana"/>
                <w:b/>
                <w:color w:val="000000"/>
                <w:sz w:val="16"/>
                <w:lang w:val="en-GB"/>
              </w:rPr>
            </w:pPr>
            <w:r w:rsidRPr="00A95292">
              <w:rPr>
                <w:rFonts w:ascii="Verdana" w:eastAsia="Verdana" w:hAnsi="Verdana" w:cs="Verdana"/>
                <w:b/>
                <w:color w:val="000000"/>
                <w:sz w:val="16"/>
                <w:lang w:val="en-GB"/>
              </w:rPr>
              <w:t>£000</w:t>
            </w:r>
          </w:p>
        </w:tc>
        <w:tc>
          <w:tcPr>
            <w:tcW w:w="1150" w:type="dxa"/>
            <w:tcBorders>
              <w:bottom w:val="single" w:sz="2" w:space="0" w:color="000000"/>
            </w:tcBorders>
            <w:shd w:val="clear" w:color="auto" w:fill="auto"/>
            <w:tcMar>
              <w:top w:w="20" w:type="dxa"/>
              <w:left w:w="20" w:type="dxa"/>
              <w:bottom w:w="20" w:type="dxa"/>
              <w:right w:w="20" w:type="dxa"/>
            </w:tcMar>
            <w:vAlign w:val="bottom"/>
          </w:tcPr>
          <w:p w14:paraId="0C3EADFF" w14:textId="77777777" w:rsidR="00CA6653" w:rsidRPr="00A95292" w:rsidRDefault="00CA6653">
            <w:pPr>
              <w:pStyle w:val="T1TableStyle"/>
              <w:jc w:val="right"/>
              <w:rPr>
                <w:rFonts w:ascii="Verdana" w:eastAsia="Verdana" w:hAnsi="Verdana" w:cs="Verdana"/>
                <w:b/>
                <w:color w:val="000000"/>
                <w:sz w:val="16"/>
                <w:lang w:val="en-GB"/>
              </w:rPr>
            </w:pPr>
            <w:r w:rsidRPr="00A95292">
              <w:rPr>
                <w:rFonts w:ascii="Verdana" w:eastAsia="Verdana" w:hAnsi="Verdana" w:cs="Verdana"/>
                <w:b/>
                <w:color w:val="000000"/>
                <w:sz w:val="16"/>
                <w:lang w:val="en-GB"/>
              </w:rPr>
              <w:t>£000</w:t>
            </w:r>
          </w:p>
        </w:tc>
        <w:tc>
          <w:tcPr>
            <w:tcW w:w="1151" w:type="dxa"/>
            <w:tcBorders>
              <w:bottom w:val="single" w:sz="2" w:space="0" w:color="000000"/>
            </w:tcBorders>
            <w:shd w:val="clear" w:color="auto" w:fill="auto"/>
            <w:tcMar>
              <w:top w:w="20" w:type="dxa"/>
              <w:left w:w="20" w:type="dxa"/>
              <w:bottom w:w="20" w:type="dxa"/>
              <w:right w:w="20" w:type="dxa"/>
            </w:tcMar>
            <w:vAlign w:val="bottom"/>
          </w:tcPr>
          <w:p w14:paraId="5BA5B77F" w14:textId="77777777" w:rsidR="00CA6653" w:rsidRPr="00A95292" w:rsidRDefault="00CA6653">
            <w:pPr>
              <w:pStyle w:val="T1TableStyle"/>
              <w:jc w:val="right"/>
              <w:rPr>
                <w:rFonts w:ascii="Verdana" w:eastAsia="Verdana" w:hAnsi="Verdana" w:cs="Verdana"/>
                <w:b/>
                <w:color w:val="000000"/>
                <w:sz w:val="16"/>
                <w:lang w:val="en-GB"/>
              </w:rPr>
            </w:pPr>
            <w:r w:rsidRPr="00A95292">
              <w:rPr>
                <w:rFonts w:ascii="Verdana" w:eastAsia="Verdana" w:hAnsi="Verdana" w:cs="Verdana"/>
                <w:b/>
                <w:color w:val="000000"/>
                <w:sz w:val="16"/>
                <w:lang w:val="en-GB"/>
              </w:rPr>
              <w:t>£000</w:t>
            </w:r>
          </w:p>
        </w:tc>
      </w:tr>
      <w:tr w:rsidR="00274769" w:rsidRPr="00A95292" w14:paraId="168D54D1" w14:textId="77777777" w:rsidTr="00E245E6">
        <w:trPr>
          <w:trHeight w:val="301"/>
          <w:jc w:val="center"/>
        </w:trPr>
        <w:tc>
          <w:tcPr>
            <w:tcW w:w="3908" w:type="dxa"/>
            <w:shd w:val="clear" w:color="auto" w:fill="auto"/>
            <w:tcMar>
              <w:top w:w="20" w:type="dxa"/>
              <w:left w:w="20" w:type="dxa"/>
              <w:bottom w:w="20" w:type="dxa"/>
              <w:right w:w="20" w:type="dxa"/>
            </w:tcMar>
          </w:tcPr>
          <w:p w14:paraId="0B080A98" w14:textId="77777777" w:rsidR="00274769" w:rsidRPr="00A95292" w:rsidRDefault="00274769" w:rsidP="00274769">
            <w:pPr>
              <w:pStyle w:val="T1TableStyle"/>
              <w:rPr>
                <w:rFonts w:ascii="Verdana" w:eastAsia="Verdana" w:hAnsi="Verdana" w:cs="Verdana"/>
                <w:color w:val="000000"/>
                <w:sz w:val="16"/>
                <w:lang w:val="en-GB"/>
              </w:rPr>
            </w:pPr>
            <w:r w:rsidRPr="00A95292">
              <w:rPr>
                <w:rFonts w:ascii="Verdana" w:eastAsia="Verdana" w:hAnsi="Verdana" w:cs="Verdana"/>
                <w:color w:val="000000"/>
                <w:sz w:val="16"/>
                <w:lang w:val="en-GB"/>
              </w:rPr>
              <w:t>Long-term borrowings</w:t>
            </w:r>
          </w:p>
        </w:tc>
        <w:tc>
          <w:tcPr>
            <w:tcW w:w="1149" w:type="dxa"/>
            <w:shd w:val="clear" w:color="auto" w:fill="auto"/>
            <w:tcMar>
              <w:top w:w="20" w:type="dxa"/>
              <w:left w:w="20" w:type="dxa"/>
              <w:bottom w:w="20" w:type="dxa"/>
              <w:right w:w="20" w:type="dxa"/>
            </w:tcMar>
          </w:tcPr>
          <w:p w14:paraId="4E8B23E3" w14:textId="77777777" w:rsidR="00274769" w:rsidRPr="00A95292" w:rsidRDefault="00274769" w:rsidP="00274769">
            <w:pPr>
              <w:pStyle w:val="T1TableStyle"/>
              <w:jc w:val="right"/>
              <w:rPr>
                <w:rFonts w:ascii="Verdana" w:eastAsia="Verdana" w:hAnsi="Verdana" w:cs="Verdana"/>
                <w:color w:val="000000"/>
                <w:sz w:val="16"/>
                <w:lang w:val="en-GB"/>
              </w:rPr>
            </w:pPr>
            <w:r w:rsidRPr="00A95292">
              <w:rPr>
                <w:rFonts w:ascii="Verdana" w:eastAsia="Verdana" w:hAnsi="Verdana" w:cs="Verdana"/>
                <w:color w:val="000000"/>
                <w:sz w:val="16"/>
                <w:lang w:val="en-GB"/>
              </w:rPr>
              <w:t>(15,635)</w:t>
            </w:r>
          </w:p>
        </w:tc>
        <w:tc>
          <w:tcPr>
            <w:tcW w:w="1149" w:type="dxa"/>
            <w:shd w:val="clear" w:color="auto" w:fill="auto"/>
            <w:tcMar>
              <w:top w:w="20" w:type="dxa"/>
              <w:left w:w="20" w:type="dxa"/>
              <w:bottom w:w="20" w:type="dxa"/>
              <w:right w:w="20" w:type="dxa"/>
            </w:tcMar>
          </w:tcPr>
          <w:p w14:paraId="4AEC9DEC" w14:textId="77777777" w:rsidR="00274769" w:rsidRPr="00A95292" w:rsidRDefault="00274769" w:rsidP="00274769">
            <w:pPr>
              <w:pStyle w:val="T1TableStyle"/>
              <w:jc w:val="right"/>
              <w:rPr>
                <w:rFonts w:ascii="Verdana" w:eastAsia="Verdana" w:hAnsi="Verdana" w:cs="Verdana"/>
                <w:color w:val="000000"/>
                <w:sz w:val="16"/>
                <w:lang w:val="en-GB"/>
              </w:rPr>
            </w:pPr>
            <w:r w:rsidRPr="00A95292">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14:paraId="72733422" w14:textId="77777777" w:rsidR="00274769" w:rsidRPr="00A95292" w:rsidRDefault="00274769" w:rsidP="00274769">
            <w:pPr>
              <w:pStyle w:val="T1TableStyle"/>
              <w:jc w:val="right"/>
              <w:rPr>
                <w:rFonts w:ascii="Verdana" w:eastAsia="Verdana" w:hAnsi="Verdana" w:cs="Verdana"/>
                <w:color w:val="000000"/>
                <w:sz w:val="16"/>
                <w:lang w:val="en-GB"/>
              </w:rPr>
            </w:pPr>
            <w:r w:rsidRPr="00A95292">
              <w:rPr>
                <w:rFonts w:ascii="Verdana" w:eastAsia="Verdana" w:hAnsi="Verdana" w:cs="Verdana"/>
                <w:color w:val="000000"/>
                <w:sz w:val="16"/>
                <w:lang w:val="en-GB"/>
              </w:rPr>
              <w:t>0</w:t>
            </w:r>
          </w:p>
        </w:tc>
        <w:tc>
          <w:tcPr>
            <w:tcW w:w="1150" w:type="dxa"/>
            <w:shd w:val="clear" w:color="auto" w:fill="auto"/>
            <w:tcMar>
              <w:top w:w="20" w:type="dxa"/>
              <w:left w:w="20" w:type="dxa"/>
              <w:bottom w:w="20" w:type="dxa"/>
              <w:right w:w="20" w:type="dxa"/>
            </w:tcMar>
          </w:tcPr>
          <w:p w14:paraId="48A3EE8B" w14:textId="77777777" w:rsidR="00274769" w:rsidRPr="00A95292" w:rsidRDefault="00274769" w:rsidP="00274769">
            <w:pPr>
              <w:pStyle w:val="T1TableStyle"/>
              <w:jc w:val="right"/>
              <w:rPr>
                <w:rFonts w:ascii="Verdana" w:eastAsia="Verdana" w:hAnsi="Verdana" w:cs="Verdana"/>
                <w:color w:val="000000"/>
                <w:sz w:val="16"/>
                <w:lang w:val="en-GB"/>
              </w:rPr>
            </w:pPr>
            <w:r w:rsidRPr="00A95292">
              <w:rPr>
                <w:rFonts w:ascii="Verdana" w:eastAsia="Verdana" w:hAnsi="Verdana" w:cs="Verdana"/>
                <w:color w:val="000000"/>
                <w:sz w:val="16"/>
                <w:lang w:val="en-GB"/>
              </w:rPr>
              <w:t>0</w:t>
            </w:r>
          </w:p>
        </w:tc>
        <w:tc>
          <w:tcPr>
            <w:tcW w:w="1151" w:type="dxa"/>
            <w:shd w:val="clear" w:color="auto" w:fill="auto"/>
            <w:tcMar>
              <w:top w:w="20" w:type="dxa"/>
              <w:left w:w="20" w:type="dxa"/>
              <w:bottom w:w="20" w:type="dxa"/>
              <w:right w:w="20" w:type="dxa"/>
            </w:tcMar>
          </w:tcPr>
          <w:p w14:paraId="54031D71" w14:textId="77777777" w:rsidR="00274769" w:rsidRPr="00A95292" w:rsidRDefault="00274769" w:rsidP="00274769">
            <w:pPr>
              <w:pStyle w:val="T1TableStyle"/>
              <w:jc w:val="right"/>
              <w:rPr>
                <w:rFonts w:ascii="Verdana" w:eastAsia="Verdana" w:hAnsi="Verdana" w:cs="Verdana"/>
                <w:color w:val="000000"/>
                <w:sz w:val="16"/>
                <w:lang w:val="en-GB"/>
              </w:rPr>
            </w:pPr>
            <w:r w:rsidRPr="00A95292">
              <w:rPr>
                <w:rFonts w:ascii="Verdana" w:eastAsia="Verdana" w:hAnsi="Verdana" w:cs="Verdana"/>
                <w:color w:val="000000"/>
                <w:sz w:val="16"/>
                <w:lang w:val="en-GB"/>
              </w:rPr>
              <w:t>(15,084)</w:t>
            </w:r>
          </w:p>
        </w:tc>
      </w:tr>
      <w:tr w:rsidR="00274769" w:rsidRPr="00A95292" w14:paraId="353378FB" w14:textId="77777777" w:rsidTr="00E245E6">
        <w:trPr>
          <w:trHeight w:val="301"/>
          <w:jc w:val="center"/>
        </w:trPr>
        <w:tc>
          <w:tcPr>
            <w:tcW w:w="3908" w:type="dxa"/>
            <w:shd w:val="clear" w:color="auto" w:fill="auto"/>
            <w:tcMar>
              <w:top w:w="20" w:type="dxa"/>
              <w:left w:w="20" w:type="dxa"/>
              <w:bottom w:w="20" w:type="dxa"/>
              <w:right w:w="20" w:type="dxa"/>
            </w:tcMar>
          </w:tcPr>
          <w:p w14:paraId="46FB8475" w14:textId="77777777" w:rsidR="00274769" w:rsidRPr="00A95292" w:rsidRDefault="00274769" w:rsidP="00274769">
            <w:pPr>
              <w:pStyle w:val="T1TableStyle"/>
              <w:rPr>
                <w:rFonts w:ascii="Verdana" w:eastAsia="Verdana" w:hAnsi="Verdana" w:cs="Verdana"/>
                <w:color w:val="000000"/>
                <w:sz w:val="16"/>
                <w:lang w:val="en-GB"/>
              </w:rPr>
            </w:pPr>
            <w:r w:rsidRPr="00A95292">
              <w:rPr>
                <w:rFonts w:ascii="Verdana" w:eastAsia="Verdana" w:hAnsi="Verdana" w:cs="Verdana"/>
                <w:color w:val="000000"/>
                <w:sz w:val="16"/>
                <w:lang w:val="en-GB"/>
              </w:rPr>
              <w:t>Short-term borrowings</w:t>
            </w:r>
          </w:p>
        </w:tc>
        <w:tc>
          <w:tcPr>
            <w:tcW w:w="1149" w:type="dxa"/>
            <w:shd w:val="clear" w:color="auto" w:fill="auto"/>
            <w:tcMar>
              <w:top w:w="20" w:type="dxa"/>
              <w:left w:w="20" w:type="dxa"/>
              <w:bottom w:w="20" w:type="dxa"/>
              <w:right w:w="20" w:type="dxa"/>
            </w:tcMar>
          </w:tcPr>
          <w:p w14:paraId="3A154EA0" w14:textId="77777777" w:rsidR="00274769" w:rsidRPr="00A95292" w:rsidRDefault="00274769" w:rsidP="00274769">
            <w:pPr>
              <w:pStyle w:val="T1TableStyle"/>
              <w:jc w:val="right"/>
              <w:rPr>
                <w:rFonts w:ascii="Verdana" w:eastAsia="Verdana" w:hAnsi="Verdana" w:cs="Verdana"/>
                <w:color w:val="000000"/>
                <w:sz w:val="16"/>
                <w:lang w:val="en-GB"/>
              </w:rPr>
            </w:pPr>
            <w:r w:rsidRPr="00A95292">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14:paraId="5E762CF6" w14:textId="77777777" w:rsidR="00274769" w:rsidRPr="00A95292" w:rsidRDefault="00274769" w:rsidP="00274769">
            <w:pPr>
              <w:pStyle w:val="T1TableStyle"/>
              <w:jc w:val="right"/>
              <w:rPr>
                <w:rFonts w:ascii="Verdana" w:eastAsia="Verdana" w:hAnsi="Verdana" w:cs="Verdana"/>
                <w:color w:val="000000"/>
                <w:sz w:val="16"/>
                <w:lang w:val="en-GB"/>
              </w:rPr>
            </w:pPr>
            <w:r w:rsidRPr="00A95292">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14:paraId="76A7B53A" w14:textId="77777777" w:rsidR="00274769" w:rsidRPr="00A95292" w:rsidRDefault="00274769" w:rsidP="00274769">
            <w:pPr>
              <w:pStyle w:val="T1TableStyle"/>
              <w:jc w:val="right"/>
              <w:rPr>
                <w:rFonts w:ascii="Verdana" w:eastAsia="Verdana" w:hAnsi="Verdana" w:cs="Verdana"/>
                <w:color w:val="000000"/>
                <w:sz w:val="16"/>
                <w:lang w:val="en-GB"/>
              </w:rPr>
            </w:pPr>
            <w:r w:rsidRPr="00A95292">
              <w:rPr>
                <w:rFonts w:ascii="Verdana" w:eastAsia="Verdana" w:hAnsi="Verdana" w:cs="Verdana"/>
                <w:color w:val="000000"/>
                <w:sz w:val="16"/>
                <w:lang w:val="en-GB"/>
              </w:rPr>
              <w:t>0</w:t>
            </w:r>
          </w:p>
        </w:tc>
        <w:tc>
          <w:tcPr>
            <w:tcW w:w="1150" w:type="dxa"/>
            <w:shd w:val="clear" w:color="auto" w:fill="auto"/>
            <w:tcMar>
              <w:top w:w="20" w:type="dxa"/>
              <w:left w:w="20" w:type="dxa"/>
              <w:bottom w:w="20" w:type="dxa"/>
              <w:right w:w="20" w:type="dxa"/>
            </w:tcMar>
          </w:tcPr>
          <w:p w14:paraId="1AE06670" w14:textId="77777777" w:rsidR="00274769" w:rsidRPr="00A95292" w:rsidRDefault="00274769" w:rsidP="00274769">
            <w:pPr>
              <w:pStyle w:val="T1TableStyle"/>
              <w:jc w:val="right"/>
              <w:rPr>
                <w:rFonts w:ascii="Verdana" w:eastAsia="Verdana" w:hAnsi="Verdana" w:cs="Verdana"/>
                <w:color w:val="000000"/>
                <w:sz w:val="16"/>
                <w:lang w:val="en-GB"/>
              </w:rPr>
            </w:pPr>
            <w:r w:rsidRPr="00A95292">
              <w:rPr>
                <w:rFonts w:ascii="Verdana" w:eastAsia="Verdana" w:hAnsi="Verdana" w:cs="Verdana"/>
                <w:color w:val="000000"/>
                <w:sz w:val="16"/>
                <w:lang w:val="en-GB"/>
              </w:rPr>
              <w:t>0</w:t>
            </w:r>
          </w:p>
        </w:tc>
        <w:tc>
          <w:tcPr>
            <w:tcW w:w="1151" w:type="dxa"/>
            <w:shd w:val="clear" w:color="auto" w:fill="auto"/>
            <w:tcMar>
              <w:top w:w="20" w:type="dxa"/>
              <w:left w:w="20" w:type="dxa"/>
              <w:bottom w:w="20" w:type="dxa"/>
              <w:right w:w="20" w:type="dxa"/>
            </w:tcMar>
          </w:tcPr>
          <w:p w14:paraId="2DC68D9D" w14:textId="77777777" w:rsidR="00274769" w:rsidRPr="00A95292" w:rsidRDefault="00274769" w:rsidP="00274769">
            <w:pPr>
              <w:pStyle w:val="T1TableStyle"/>
              <w:jc w:val="right"/>
              <w:rPr>
                <w:rFonts w:ascii="Verdana" w:eastAsia="Verdana" w:hAnsi="Verdana" w:cs="Verdana"/>
                <w:color w:val="000000"/>
                <w:sz w:val="16"/>
                <w:lang w:val="en-GB"/>
              </w:rPr>
            </w:pPr>
            <w:r w:rsidRPr="00A95292">
              <w:rPr>
                <w:rFonts w:ascii="Verdana" w:eastAsia="Verdana" w:hAnsi="Verdana" w:cs="Verdana"/>
                <w:color w:val="000000"/>
                <w:sz w:val="16"/>
                <w:lang w:val="en-GB"/>
              </w:rPr>
              <w:t>0</w:t>
            </w:r>
          </w:p>
        </w:tc>
      </w:tr>
      <w:tr w:rsidR="00274769" w:rsidRPr="00A95292" w14:paraId="3BC6638A" w14:textId="77777777" w:rsidTr="00E245E6">
        <w:trPr>
          <w:trHeight w:val="301"/>
          <w:jc w:val="center"/>
        </w:trPr>
        <w:tc>
          <w:tcPr>
            <w:tcW w:w="3908" w:type="dxa"/>
            <w:shd w:val="clear" w:color="auto" w:fill="auto"/>
            <w:tcMar>
              <w:top w:w="20" w:type="dxa"/>
              <w:left w:w="20" w:type="dxa"/>
              <w:bottom w:w="20" w:type="dxa"/>
              <w:right w:w="20" w:type="dxa"/>
            </w:tcMar>
          </w:tcPr>
          <w:p w14:paraId="12B510D3" w14:textId="77777777" w:rsidR="00274769" w:rsidRPr="00A95292" w:rsidRDefault="00274769" w:rsidP="00274769">
            <w:pPr>
              <w:pStyle w:val="T1TableStyle"/>
              <w:rPr>
                <w:rFonts w:ascii="Verdana" w:eastAsia="Verdana" w:hAnsi="Verdana" w:cs="Verdana"/>
                <w:color w:val="000000"/>
                <w:sz w:val="16"/>
                <w:lang w:val="en-GB"/>
              </w:rPr>
            </w:pPr>
            <w:r w:rsidRPr="00A95292">
              <w:rPr>
                <w:rFonts w:ascii="Verdana" w:eastAsia="Verdana" w:hAnsi="Verdana" w:cs="Verdana"/>
                <w:color w:val="000000"/>
                <w:sz w:val="16"/>
                <w:lang w:val="en-GB"/>
              </w:rPr>
              <w:t>Lease liabilities</w:t>
            </w:r>
          </w:p>
        </w:tc>
        <w:tc>
          <w:tcPr>
            <w:tcW w:w="1149" w:type="dxa"/>
            <w:shd w:val="clear" w:color="auto" w:fill="auto"/>
            <w:tcMar>
              <w:top w:w="20" w:type="dxa"/>
              <w:left w:w="20" w:type="dxa"/>
              <w:bottom w:w="20" w:type="dxa"/>
              <w:right w:w="20" w:type="dxa"/>
            </w:tcMar>
          </w:tcPr>
          <w:p w14:paraId="475327BF" w14:textId="77777777" w:rsidR="00274769" w:rsidRPr="00A95292" w:rsidRDefault="00274769" w:rsidP="00274769">
            <w:pPr>
              <w:pStyle w:val="T1TableStyle"/>
              <w:jc w:val="right"/>
              <w:rPr>
                <w:rFonts w:ascii="Verdana" w:eastAsia="Verdana" w:hAnsi="Verdana" w:cs="Verdana"/>
                <w:color w:val="000000"/>
                <w:sz w:val="16"/>
                <w:lang w:val="en-GB"/>
              </w:rPr>
            </w:pPr>
            <w:r w:rsidRPr="00A95292">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14:paraId="5C28B3F6" w14:textId="77777777" w:rsidR="00274769" w:rsidRPr="00A95292" w:rsidRDefault="00274769" w:rsidP="00274769">
            <w:pPr>
              <w:pStyle w:val="T1TableStyle"/>
              <w:jc w:val="right"/>
              <w:rPr>
                <w:rFonts w:ascii="Verdana" w:eastAsia="Verdana" w:hAnsi="Verdana" w:cs="Verdana"/>
                <w:color w:val="000000"/>
                <w:sz w:val="16"/>
                <w:lang w:val="en-GB"/>
              </w:rPr>
            </w:pPr>
            <w:r w:rsidRPr="00A95292">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14:paraId="208CBB96" w14:textId="77777777" w:rsidR="00274769" w:rsidRPr="00A95292" w:rsidRDefault="00274769" w:rsidP="00274769">
            <w:pPr>
              <w:pStyle w:val="T1TableStyle"/>
              <w:jc w:val="right"/>
              <w:rPr>
                <w:rFonts w:ascii="Verdana" w:eastAsia="Verdana" w:hAnsi="Verdana" w:cs="Verdana"/>
                <w:color w:val="000000"/>
                <w:sz w:val="16"/>
                <w:lang w:val="en-GB"/>
              </w:rPr>
            </w:pPr>
            <w:r w:rsidRPr="00A95292">
              <w:rPr>
                <w:rFonts w:ascii="Verdana" w:eastAsia="Verdana" w:hAnsi="Verdana" w:cs="Verdana"/>
                <w:color w:val="000000"/>
                <w:sz w:val="16"/>
                <w:lang w:val="en-GB"/>
              </w:rPr>
              <w:t>0</w:t>
            </w:r>
          </w:p>
        </w:tc>
        <w:tc>
          <w:tcPr>
            <w:tcW w:w="1150" w:type="dxa"/>
            <w:shd w:val="clear" w:color="auto" w:fill="auto"/>
            <w:tcMar>
              <w:top w:w="20" w:type="dxa"/>
              <w:left w:w="20" w:type="dxa"/>
              <w:bottom w:w="20" w:type="dxa"/>
              <w:right w:w="20" w:type="dxa"/>
            </w:tcMar>
          </w:tcPr>
          <w:p w14:paraId="52052D74" w14:textId="77777777" w:rsidR="00274769" w:rsidRPr="00A95292" w:rsidRDefault="00274769" w:rsidP="00274769">
            <w:pPr>
              <w:pStyle w:val="T1TableStyle"/>
              <w:jc w:val="right"/>
              <w:rPr>
                <w:rFonts w:ascii="Verdana" w:eastAsia="Verdana" w:hAnsi="Verdana" w:cs="Verdana"/>
                <w:color w:val="000000"/>
                <w:sz w:val="16"/>
                <w:lang w:val="en-GB"/>
              </w:rPr>
            </w:pPr>
            <w:r w:rsidRPr="00A95292">
              <w:rPr>
                <w:rFonts w:ascii="Verdana" w:eastAsia="Verdana" w:hAnsi="Verdana" w:cs="Verdana"/>
                <w:color w:val="000000"/>
                <w:sz w:val="16"/>
                <w:lang w:val="en-GB"/>
              </w:rPr>
              <w:t>0</w:t>
            </w:r>
          </w:p>
        </w:tc>
        <w:tc>
          <w:tcPr>
            <w:tcW w:w="1151" w:type="dxa"/>
            <w:shd w:val="clear" w:color="auto" w:fill="auto"/>
            <w:tcMar>
              <w:top w:w="20" w:type="dxa"/>
              <w:left w:w="20" w:type="dxa"/>
              <w:bottom w:w="20" w:type="dxa"/>
              <w:right w:w="20" w:type="dxa"/>
            </w:tcMar>
          </w:tcPr>
          <w:p w14:paraId="2BAD8B51" w14:textId="77777777" w:rsidR="00274769" w:rsidRPr="00A95292" w:rsidRDefault="00274769" w:rsidP="00274769">
            <w:pPr>
              <w:pStyle w:val="T1TableStyle"/>
              <w:jc w:val="right"/>
              <w:rPr>
                <w:rFonts w:ascii="Verdana" w:eastAsia="Verdana" w:hAnsi="Verdana" w:cs="Verdana"/>
                <w:color w:val="000000"/>
                <w:sz w:val="16"/>
                <w:lang w:val="en-GB"/>
              </w:rPr>
            </w:pPr>
            <w:r w:rsidRPr="00A95292">
              <w:rPr>
                <w:rFonts w:ascii="Verdana" w:eastAsia="Verdana" w:hAnsi="Verdana" w:cs="Verdana"/>
                <w:color w:val="000000"/>
                <w:sz w:val="16"/>
                <w:lang w:val="en-GB"/>
              </w:rPr>
              <w:t>0</w:t>
            </w:r>
          </w:p>
        </w:tc>
      </w:tr>
      <w:tr w:rsidR="00274769" w:rsidRPr="00A95292" w14:paraId="33A2DC40" w14:textId="77777777" w:rsidTr="00E245E6">
        <w:trPr>
          <w:trHeight w:val="437"/>
          <w:jc w:val="center"/>
        </w:trPr>
        <w:tc>
          <w:tcPr>
            <w:tcW w:w="3908"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4E5790D" w14:textId="77777777" w:rsidR="00274769" w:rsidRPr="00A95292" w:rsidRDefault="00274769" w:rsidP="00274769">
            <w:pPr>
              <w:pStyle w:val="T1TableStyle"/>
              <w:rPr>
                <w:rFonts w:ascii="Verdana" w:eastAsia="Verdana" w:hAnsi="Verdana" w:cs="Verdana"/>
                <w:b/>
                <w:color w:val="000000"/>
                <w:sz w:val="16"/>
                <w:lang w:val="en-GB"/>
              </w:rPr>
            </w:pPr>
            <w:r w:rsidRPr="00A95292">
              <w:rPr>
                <w:rFonts w:ascii="Verdana" w:eastAsia="Verdana" w:hAnsi="Verdana" w:cs="Verdana"/>
                <w:b/>
                <w:color w:val="000000"/>
                <w:sz w:val="16"/>
                <w:lang w:val="en-GB"/>
              </w:rPr>
              <w:t>Total liabilities from financing activities</w:t>
            </w:r>
          </w:p>
        </w:tc>
        <w:tc>
          <w:tcPr>
            <w:tcW w:w="114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261D259" w14:textId="77777777" w:rsidR="00274769" w:rsidRPr="00A95292" w:rsidRDefault="00274769" w:rsidP="00274769">
            <w:pPr>
              <w:pStyle w:val="T1TableStyle"/>
              <w:jc w:val="right"/>
              <w:rPr>
                <w:rFonts w:ascii="Verdana" w:eastAsia="Verdana" w:hAnsi="Verdana" w:cs="Verdana"/>
                <w:b/>
                <w:color w:val="000000"/>
                <w:sz w:val="16"/>
                <w:lang w:val="en-GB"/>
              </w:rPr>
            </w:pPr>
            <w:r w:rsidRPr="00A95292">
              <w:rPr>
                <w:rFonts w:ascii="Verdana" w:eastAsia="Verdana" w:hAnsi="Verdana" w:cs="Verdana"/>
                <w:b/>
                <w:color w:val="000000"/>
                <w:sz w:val="16"/>
                <w:lang w:val="en-GB"/>
              </w:rPr>
              <w:t>(15,635)</w:t>
            </w:r>
          </w:p>
        </w:tc>
        <w:tc>
          <w:tcPr>
            <w:tcW w:w="114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DCF6603" w14:textId="77777777" w:rsidR="00274769" w:rsidRPr="00A95292" w:rsidRDefault="00274769" w:rsidP="00274769">
            <w:pPr>
              <w:pStyle w:val="T1TableStyle"/>
              <w:jc w:val="right"/>
              <w:rPr>
                <w:rFonts w:ascii="Verdana" w:eastAsia="Verdana" w:hAnsi="Verdana" w:cs="Verdana"/>
                <w:b/>
                <w:color w:val="000000"/>
                <w:sz w:val="16"/>
                <w:lang w:val="en-GB"/>
              </w:rPr>
            </w:pPr>
            <w:r w:rsidRPr="00A95292">
              <w:rPr>
                <w:rFonts w:ascii="Verdana" w:eastAsia="Verdana" w:hAnsi="Verdana" w:cs="Verdana"/>
                <w:b/>
                <w:color w:val="000000"/>
                <w:sz w:val="16"/>
                <w:lang w:val="en-GB"/>
              </w:rPr>
              <w:t>0</w:t>
            </w:r>
          </w:p>
        </w:tc>
        <w:tc>
          <w:tcPr>
            <w:tcW w:w="114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8897E72" w14:textId="77777777" w:rsidR="00274769" w:rsidRPr="00A95292" w:rsidRDefault="00274769" w:rsidP="00274769">
            <w:pPr>
              <w:pStyle w:val="T1TableStyle"/>
              <w:jc w:val="right"/>
              <w:rPr>
                <w:rFonts w:ascii="Verdana" w:eastAsia="Verdana" w:hAnsi="Verdana" w:cs="Verdana"/>
                <w:b/>
                <w:color w:val="000000"/>
                <w:sz w:val="16"/>
                <w:lang w:val="en-GB"/>
              </w:rPr>
            </w:pPr>
            <w:r w:rsidRPr="00A95292">
              <w:rPr>
                <w:rFonts w:ascii="Verdana" w:eastAsia="Verdana" w:hAnsi="Verdana" w:cs="Verdana"/>
                <w:b/>
                <w:color w:val="000000"/>
                <w:sz w:val="16"/>
                <w:lang w:val="en-GB"/>
              </w:rPr>
              <w:t>0</w:t>
            </w:r>
          </w:p>
        </w:tc>
        <w:tc>
          <w:tcPr>
            <w:tcW w:w="115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DC4B0E8" w14:textId="77777777" w:rsidR="00274769" w:rsidRPr="00A95292" w:rsidRDefault="00274769" w:rsidP="00274769">
            <w:pPr>
              <w:pStyle w:val="T1TableStyle"/>
              <w:jc w:val="right"/>
              <w:rPr>
                <w:rFonts w:ascii="Verdana" w:eastAsia="Verdana" w:hAnsi="Verdana" w:cs="Verdana"/>
                <w:b/>
                <w:color w:val="000000"/>
                <w:sz w:val="16"/>
                <w:lang w:val="en-GB"/>
              </w:rPr>
            </w:pPr>
            <w:r w:rsidRPr="00A95292">
              <w:rPr>
                <w:rFonts w:ascii="Verdana" w:eastAsia="Verdana" w:hAnsi="Verdana" w:cs="Verdana"/>
                <w:b/>
                <w:color w:val="000000"/>
                <w:sz w:val="16"/>
                <w:lang w:val="en-GB"/>
              </w:rPr>
              <w:t>0</w:t>
            </w:r>
          </w:p>
        </w:tc>
        <w:tc>
          <w:tcPr>
            <w:tcW w:w="11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DC397C9" w14:textId="77777777" w:rsidR="00274769" w:rsidRPr="00A95292" w:rsidRDefault="00274769" w:rsidP="00274769">
            <w:pPr>
              <w:pStyle w:val="T1TableStyle"/>
              <w:jc w:val="right"/>
              <w:rPr>
                <w:rFonts w:ascii="Verdana" w:eastAsia="Verdana" w:hAnsi="Verdana" w:cs="Verdana"/>
                <w:b/>
                <w:color w:val="000000"/>
                <w:sz w:val="16"/>
                <w:lang w:val="en-GB"/>
              </w:rPr>
            </w:pPr>
            <w:r w:rsidRPr="00A95292">
              <w:rPr>
                <w:rFonts w:ascii="Verdana" w:eastAsia="Verdana" w:hAnsi="Verdana" w:cs="Verdana"/>
                <w:b/>
                <w:color w:val="000000"/>
                <w:sz w:val="16"/>
                <w:lang w:val="en-GB"/>
              </w:rPr>
              <w:t>(15,084)</w:t>
            </w:r>
          </w:p>
        </w:tc>
      </w:tr>
    </w:tbl>
    <w:p w14:paraId="09E8621D" w14:textId="77777777" w:rsidR="00CA6653" w:rsidRPr="003516A4" w:rsidRDefault="00CA6653">
      <w:pPr>
        <w:pStyle w:val="T1TableStyle"/>
        <w:rPr>
          <w:rFonts w:ascii="Verdana" w:eastAsia="Verdana" w:hAnsi="Verdana" w:cs="Verdana"/>
          <w:sz w:val="22"/>
          <w:highlight w:val="yellow"/>
          <w:lang w:val="en-GB"/>
        </w:rPr>
      </w:pPr>
    </w:p>
    <w:p w14:paraId="6D96559B" w14:textId="77777777" w:rsidR="00CA6653" w:rsidRPr="00C65353" w:rsidRDefault="00491740" w:rsidP="00A31A9E">
      <w:pPr>
        <w:pStyle w:val="Heading1"/>
        <w:rPr>
          <w:rFonts w:eastAsia="Times New Roman"/>
          <w:lang w:eastAsia="en-GB"/>
        </w:rPr>
      </w:pPr>
      <w:bookmarkStart w:id="54" w:name="_Toc75122807"/>
      <w:r w:rsidRPr="00C65353">
        <w:t xml:space="preserve">Note </w:t>
      </w:r>
      <w:r w:rsidR="004A190F" w:rsidRPr="00C65353">
        <w:t>39</w:t>
      </w:r>
      <w:r w:rsidRPr="00C65353">
        <w:t xml:space="preserve"> - </w:t>
      </w:r>
      <w:r w:rsidR="00CA6653" w:rsidRPr="00C65353">
        <w:rPr>
          <w:rFonts w:eastAsia="Times New Roman"/>
          <w:lang w:eastAsia="en-GB"/>
        </w:rPr>
        <w:t>Accounting Policies</w:t>
      </w:r>
      <w:bookmarkEnd w:id="54"/>
      <w:r w:rsidR="00CA6653" w:rsidRPr="00C65353">
        <w:rPr>
          <w:rFonts w:eastAsia="Times New Roman"/>
          <w:lang w:eastAsia="en-GB"/>
        </w:rPr>
        <w:t xml:space="preserve"> </w:t>
      </w:r>
    </w:p>
    <w:p w14:paraId="46F4ED46" w14:textId="77777777" w:rsidR="00C65353" w:rsidRPr="000E2C81" w:rsidRDefault="00C65353" w:rsidP="00C65353">
      <w:pPr>
        <w:pStyle w:val="Normal00"/>
        <w:jc w:val="both"/>
        <w:rPr>
          <w:rFonts w:ascii="Verdana" w:hAnsi="Verdana"/>
          <w:b/>
          <w:sz w:val="22"/>
          <w:szCs w:val="22"/>
          <w:lang w:val="en-GB"/>
        </w:rPr>
      </w:pPr>
      <w:r w:rsidRPr="00C65353">
        <w:rPr>
          <w:rFonts w:ascii="Verdana" w:hAnsi="Verdana"/>
          <w:b/>
          <w:sz w:val="22"/>
          <w:szCs w:val="22"/>
          <w:lang w:val="en-GB"/>
        </w:rPr>
        <w:t>General</w:t>
      </w:r>
      <w:r w:rsidRPr="000E2C81">
        <w:rPr>
          <w:rFonts w:ascii="Verdana" w:hAnsi="Verdana"/>
          <w:b/>
          <w:sz w:val="22"/>
          <w:szCs w:val="22"/>
          <w:lang w:val="en-GB"/>
        </w:rPr>
        <w:t xml:space="preserve"> Principles</w:t>
      </w:r>
    </w:p>
    <w:p w14:paraId="3D3F69E6" w14:textId="77777777" w:rsidR="00C65353" w:rsidRPr="000E2C81" w:rsidRDefault="00C65353" w:rsidP="00C65353">
      <w:pPr>
        <w:pStyle w:val="Normal00"/>
        <w:jc w:val="both"/>
        <w:rPr>
          <w:rFonts w:ascii="Verdana" w:hAnsi="Verdana"/>
          <w:sz w:val="22"/>
          <w:szCs w:val="22"/>
          <w:lang w:val="en-GB"/>
        </w:rPr>
      </w:pPr>
    </w:p>
    <w:p w14:paraId="44CE83BB" w14:textId="77777777" w:rsidR="00C65353" w:rsidRDefault="00C65353" w:rsidP="00C65353">
      <w:pPr>
        <w:pStyle w:val="Normal00"/>
        <w:jc w:val="both"/>
        <w:rPr>
          <w:rFonts w:ascii="Verdana" w:hAnsi="Verdana"/>
          <w:sz w:val="22"/>
          <w:szCs w:val="22"/>
          <w:lang w:val="en-GB"/>
        </w:rPr>
      </w:pPr>
      <w:r>
        <w:rPr>
          <w:rFonts w:ascii="Verdana" w:hAnsi="Verdana"/>
          <w:sz w:val="22"/>
          <w:szCs w:val="22"/>
          <w:lang w:val="en-GB"/>
        </w:rPr>
        <w:t>The Statement of accounts summarises the organisation’s transactions for the financial year and its position at the year-end of 31 March. The organisation is required to prepare an annual statement of accounts by the Accounts and Audit Regulations 2015, which require to be prepared in accordance with proper accounting practices. These practices primarily comprise the Code of Practice on Local Authority Accounting in the United Kingdom (the Code).</w:t>
      </w:r>
    </w:p>
    <w:p w14:paraId="41A07B58" w14:textId="77777777" w:rsidR="00C65353" w:rsidRDefault="00C65353" w:rsidP="00C65353">
      <w:pPr>
        <w:pStyle w:val="Normal00"/>
        <w:jc w:val="both"/>
        <w:rPr>
          <w:rFonts w:ascii="Verdana" w:hAnsi="Verdana" w:cs="Arial"/>
          <w:sz w:val="22"/>
          <w:szCs w:val="22"/>
          <w:lang w:val="en-GB"/>
        </w:rPr>
      </w:pPr>
    </w:p>
    <w:p w14:paraId="44A8B3B6" w14:textId="77777777" w:rsidR="00C65353" w:rsidRPr="000E2C81" w:rsidRDefault="00C65353" w:rsidP="00C65353">
      <w:pPr>
        <w:pStyle w:val="Normal00"/>
        <w:jc w:val="both"/>
        <w:rPr>
          <w:rFonts w:ascii="Verdana" w:hAnsi="Verdana"/>
          <w:sz w:val="22"/>
          <w:szCs w:val="22"/>
          <w:lang w:val="en-GB"/>
        </w:rPr>
      </w:pPr>
      <w:r w:rsidRPr="000E2C81">
        <w:rPr>
          <w:rFonts w:ascii="Verdana" w:hAnsi="Verdana" w:cs="Arial"/>
          <w:sz w:val="22"/>
          <w:szCs w:val="22"/>
          <w:lang w:val="en-GB"/>
        </w:rPr>
        <w:t xml:space="preserve">The financial statements have been prepared in accordance with the Code, issued by the Chartered Institute of Public Finance and Accountancy (CIPFA) and reviewed by the Financial Reporting Advisory Board (FRAB).  The Code is based on approved accounting standards issued by the International Accounting Standards Board (IASB) and interpretations of the International Financial Reporting Interpretations Committee, except where these are inconsistent with specific statutory requirements.  The Code also draws on approved accounting standards issued by the International Public Sector Accounting Standards Board (IPSAS) and the UK Accounting Standards Board (ASB) where these provide additional guidance.  </w:t>
      </w:r>
    </w:p>
    <w:p w14:paraId="170337AB" w14:textId="77777777" w:rsidR="00C65353" w:rsidRPr="000E2C81" w:rsidRDefault="00C65353" w:rsidP="00C65353">
      <w:pPr>
        <w:pStyle w:val="Normal00"/>
        <w:jc w:val="both"/>
        <w:rPr>
          <w:rFonts w:ascii="Verdana" w:hAnsi="Verdana"/>
          <w:sz w:val="22"/>
          <w:szCs w:val="22"/>
          <w:lang w:val="en-GB"/>
        </w:rPr>
      </w:pPr>
    </w:p>
    <w:p w14:paraId="717B59D5" w14:textId="77777777" w:rsidR="00C65353" w:rsidRPr="000E2C81" w:rsidRDefault="00C65353" w:rsidP="00C65353">
      <w:pPr>
        <w:pStyle w:val="Normal00"/>
        <w:jc w:val="both"/>
        <w:rPr>
          <w:rFonts w:ascii="Verdana" w:hAnsi="Verdana"/>
          <w:sz w:val="22"/>
          <w:szCs w:val="22"/>
          <w:lang w:val="en-GB"/>
        </w:rPr>
      </w:pPr>
      <w:r w:rsidRPr="000E2C81">
        <w:rPr>
          <w:rFonts w:ascii="Verdana" w:hAnsi="Verdana" w:cs="Arial"/>
          <w:sz w:val="22"/>
          <w:szCs w:val="22"/>
          <w:lang w:val="en-GB"/>
        </w:rPr>
        <w:t>Following the passing of the Police Reform and Social Responsibility Act 2011 the Police and Crime Commissioner for Surrey (PCC) and the Chief Constable of Surrey (CC) were set up as two ‘corporation sole’ bodies.  Both bodies are required to prepare separate Statement of Accounts.</w:t>
      </w:r>
    </w:p>
    <w:p w14:paraId="243241DB" w14:textId="77777777" w:rsidR="00C65353" w:rsidRPr="000E2C81" w:rsidRDefault="00C65353" w:rsidP="00C65353">
      <w:pPr>
        <w:pStyle w:val="Normal00"/>
        <w:jc w:val="both"/>
        <w:rPr>
          <w:rFonts w:ascii="Verdana" w:hAnsi="Verdana"/>
          <w:sz w:val="22"/>
          <w:szCs w:val="22"/>
          <w:lang w:val="en-GB"/>
        </w:rPr>
      </w:pPr>
    </w:p>
    <w:p w14:paraId="3715439A" w14:textId="77777777" w:rsidR="00C65353" w:rsidRDefault="00C65353" w:rsidP="00C65353">
      <w:pPr>
        <w:pStyle w:val="Normal00"/>
        <w:jc w:val="both"/>
        <w:rPr>
          <w:rFonts w:ascii="Verdana" w:hAnsi="Verdana"/>
          <w:sz w:val="22"/>
          <w:szCs w:val="22"/>
          <w:lang w:val="en-GB"/>
        </w:rPr>
      </w:pPr>
      <w:r w:rsidRPr="000E2C81">
        <w:rPr>
          <w:rFonts w:ascii="Verdana" w:hAnsi="Verdana"/>
          <w:sz w:val="22"/>
          <w:szCs w:val="22"/>
          <w:lang w:val="en-GB"/>
        </w:rPr>
        <w:t>The Financial Statements</w:t>
      </w:r>
      <w:r>
        <w:rPr>
          <w:rFonts w:ascii="Verdana" w:hAnsi="Verdana"/>
          <w:sz w:val="22"/>
          <w:szCs w:val="22"/>
          <w:lang w:val="en-GB"/>
        </w:rPr>
        <w:t xml:space="preserve"> (Statement of accounts)</w:t>
      </w:r>
      <w:r w:rsidRPr="000E2C81">
        <w:rPr>
          <w:rFonts w:ascii="Verdana" w:hAnsi="Verdana"/>
          <w:sz w:val="22"/>
          <w:szCs w:val="22"/>
          <w:lang w:val="en-GB"/>
        </w:rPr>
        <w:t xml:space="preserve"> included here represent the accounts for the PCC and also those for the PCC Group.  The term ‘Group’ is used to indicate individual transactions and policies of PCC and CC for the year ended 31 March.  Under the Police Reform and Social Responsibility Act 2011 the powers and responsibilities attributed to the PCC as the holding organisation identifies the requirement to produce group accounts.</w:t>
      </w:r>
    </w:p>
    <w:p w14:paraId="45CF4B01" w14:textId="77777777" w:rsidR="00C65353" w:rsidRDefault="00C65353" w:rsidP="00C65353">
      <w:pPr>
        <w:pStyle w:val="Normal00"/>
        <w:jc w:val="both"/>
        <w:rPr>
          <w:rFonts w:ascii="Verdana" w:hAnsi="Verdana"/>
          <w:sz w:val="22"/>
          <w:szCs w:val="22"/>
          <w:lang w:val="en-GB"/>
        </w:rPr>
      </w:pPr>
    </w:p>
    <w:p w14:paraId="3C7D39F5" w14:textId="77777777" w:rsidR="00C65353" w:rsidRDefault="00C65353" w:rsidP="00C65353">
      <w:pPr>
        <w:pStyle w:val="Normal00"/>
        <w:jc w:val="both"/>
        <w:rPr>
          <w:rFonts w:ascii="Verdana" w:hAnsi="Verdana"/>
          <w:sz w:val="22"/>
          <w:szCs w:val="22"/>
          <w:lang w:val="en-GB"/>
        </w:rPr>
      </w:pPr>
      <w:r>
        <w:rPr>
          <w:rFonts w:ascii="Verdana" w:hAnsi="Verdana"/>
          <w:sz w:val="22"/>
          <w:szCs w:val="22"/>
          <w:lang w:val="en-GB"/>
        </w:rPr>
        <w:t>The accounting convention adopted in the statement of accounts is principally historical cost, modified by the revaluation of certain categories of non-current asset and financial instruments.</w:t>
      </w:r>
    </w:p>
    <w:p w14:paraId="2B25489E" w14:textId="77777777" w:rsidR="00C65353" w:rsidRDefault="00C65353" w:rsidP="00C65353">
      <w:pPr>
        <w:pStyle w:val="Normal00"/>
        <w:jc w:val="both"/>
        <w:rPr>
          <w:rFonts w:ascii="Verdana" w:hAnsi="Verdana"/>
          <w:sz w:val="22"/>
          <w:szCs w:val="22"/>
          <w:lang w:val="en-GB"/>
        </w:rPr>
      </w:pPr>
    </w:p>
    <w:p w14:paraId="505F9C5B" w14:textId="77777777" w:rsidR="00C65353" w:rsidRPr="000E2C81" w:rsidRDefault="00C65353" w:rsidP="00C65353">
      <w:pPr>
        <w:pStyle w:val="Normal00"/>
        <w:jc w:val="both"/>
        <w:rPr>
          <w:rFonts w:ascii="Verdana" w:hAnsi="Verdana"/>
          <w:b/>
          <w:sz w:val="22"/>
          <w:szCs w:val="22"/>
          <w:lang w:val="en-GB"/>
        </w:rPr>
      </w:pPr>
      <w:r w:rsidRPr="000E2C81">
        <w:rPr>
          <w:rFonts w:ascii="Verdana" w:hAnsi="Verdana"/>
          <w:b/>
          <w:sz w:val="22"/>
          <w:szCs w:val="22"/>
          <w:lang w:val="en-GB"/>
        </w:rPr>
        <w:t>Fundamental Accounting Policies</w:t>
      </w:r>
    </w:p>
    <w:p w14:paraId="7EFE296B" w14:textId="77777777" w:rsidR="00C65353" w:rsidRPr="000E2C81" w:rsidRDefault="00C65353" w:rsidP="00C65353">
      <w:pPr>
        <w:pStyle w:val="Normal00"/>
        <w:jc w:val="both"/>
        <w:rPr>
          <w:rFonts w:ascii="Verdana" w:hAnsi="Verdana"/>
          <w:sz w:val="22"/>
          <w:szCs w:val="22"/>
          <w:lang w:val="en-GB"/>
        </w:rPr>
      </w:pPr>
    </w:p>
    <w:p w14:paraId="7787F051" w14:textId="77777777" w:rsidR="00C65353" w:rsidRPr="000E2C81" w:rsidRDefault="00C65353" w:rsidP="00C65353">
      <w:pPr>
        <w:pStyle w:val="Normal00"/>
        <w:jc w:val="both"/>
        <w:rPr>
          <w:rFonts w:ascii="Verdana" w:hAnsi="Verdana"/>
          <w:sz w:val="22"/>
          <w:szCs w:val="22"/>
          <w:lang w:val="en-GB"/>
        </w:rPr>
      </w:pPr>
      <w:r w:rsidRPr="000E2C81">
        <w:rPr>
          <w:rFonts w:ascii="Verdana" w:hAnsi="Verdana"/>
          <w:sz w:val="22"/>
          <w:szCs w:val="22"/>
          <w:lang w:val="en-GB"/>
        </w:rPr>
        <w:t>The Statement of Accounts has been prepared in accordance with the following accounting concepts and principles:</w:t>
      </w:r>
    </w:p>
    <w:p w14:paraId="351B5CC5" w14:textId="77777777" w:rsidR="00C65353" w:rsidRPr="00F242EB" w:rsidRDefault="00C65353" w:rsidP="00C65353">
      <w:pPr>
        <w:pStyle w:val="Normal00"/>
        <w:jc w:val="both"/>
        <w:rPr>
          <w:rFonts w:ascii="Verdana" w:hAnsi="Verdana"/>
          <w:sz w:val="22"/>
          <w:szCs w:val="22"/>
          <w:lang w:val="en-GB"/>
        </w:rPr>
      </w:pPr>
    </w:p>
    <w:p w14:paraId="75C2C974" w14:textId="77777777" w:rsidR="00C65353" w:rsidRPr="00F242EB" w:rsidRDefault="00C65353" w:rsidP="00C65353">
      <w:pPr>
        <w:pStyle w:val="ListParagraph"/>
        <w:numPr>
          <w:ilvl w:val="0"/>
          <w:numId w:val="2"/>
        </w:numPr>
        <w:ind w:left="357" w:hanging="357"/>
        <w:jc w:val="both"/>
        <w:rPr>
          <w:sz w:val="22"/>
        </w:rPr>
      </w:pPr>
      <w:r w:rsidRPr="00F242EB">
        <w:rPr>
          <w:b/>
          <w:sz w:val="22"/>
        </w:rPr>
        <w:t>Accruals</w:t>
      </w:r>
      <w:r w:rsidRPr="00F242EB">
        <w:rPr>
          <w:sz w:val="22"/>
        </w:rPr>
        <w:t xml:space="preserve"> – the accrual basis of accounting establishes that the non-cash effects of transactions are reflected in the accounting period in which those effects occur, even if the resulting cash receipts and payments occur in a different period.</w:t>
      </w:r>
    </w:p>
    <w:p w14:paraId="4CB769D1" w14:textId="77777777" w:rsidR="00C65353" w:rsidRPr="00F242EB" w:rsidRDefault="00C65353" w:rsidP="00C65353">
      <w:pPr>
        <w:pStyle w:val="Normal00"/>
        <w:jc w:val="both"/>
        <w:rPr>
          <w:rFonts w:ascii="Verdana" w:hAnsi="Verdana"/>
          <w:sz w:val="22"/>
          <w:szCs w:val="22"/>
          <w:lang w:val="en-GB"/>
        </w:rPr>
      </w:pPr>
    </w:p>
    <w:p w14:paraId="33634860" w14:textId="77777777" w:rsidR="00C65353" w:rsidRPr="00F242EB" w:rsidRDefault="00C65353" w:rsidP="00C65353">
      <w:pPr>
        <w:pStyle w:val="ListParagraph"/>
        <w:numPr>
          <w:ilvl w:val="0"/>
          <w:numId w:val="2"/>
        </w:numPr>
        <w:ind w:left="357" w:hanging="357"/>
        <w:jc w:val="both"/>
        <w:rPr>
          <w:sz w:val="22"/>
        </w:rPr>
      </w:pPr>
      <w:r w:rsidRPr="00F242EB">
        <w:rPr>
          <w:b/>
          <w:sz w:val="22"/>
        </w:rPr>
        <w:t>Going Concern</w:t>
      </w:r>
      <w:r w:rsidRPr="00F242EB">
        <w:rPr>
          <w:sz w:val="22"/>
        </w:rPr>
        <w:t xml:space="preserve"> – the Accounts have been prepared on the assumption that the functions of the Group will continue in operational existence for the foreseeable future.  This means in particular that the Comprehensive Income and Expenditure Statement and Balance Sheet assume no intention to curtail significantly the scale of operation.</w:t>
      </w:r>
    </w:p>
    <w:p w14:paraId="02DC4F5D" w14:textId="77777777" w:rsidR="00C65353" w:rsidRPr="00F242EB" w:rsidRDefault="00C65353" w:rsidP="00C65353">
      <w:pPr>
        <w:pStyle w:val="Normal00"/>
        <w:jc w:val="both"/>
        <w:rPr>
          <w:rFonts w:ascii="Verdana" w:hAnsi="Verdana"/>
          <w:sz w:val="22"/>
          <w:szCs w:val="22"/>
          <w:lang w:val="en-GB"/>
        </w:rPr>
      </w:pPr>
    </w:p>
    <w:p w14:paraId="58DD5702" w14:textId="77777777" w:rsidR="00C65353" w:rsidRPr="00F242EB" w:rsidRDefault="00C65353" w:rsidP="00C65353">
      <w:pPr>
        <w:pStyle w:val="ListParagraph"/>
        <w:numPr>
          <w:ilvl w:val="0"/>
          <w:numId w:val="2"/>
        </w:numPr>
        <w:ind w:left="357" w:hanging="357"/>
        <w:jc w:val="both"/>
        <w:rPr>
          <w:sz w:val="22"/>
        </w:rPr>
      </w:pPr>
      <w:r w:rsidRPr="00F242EB">
        <w:rPr>
          <w:b/>
          <w:sz w:val="22"/>
        </w:rPr>
        <w:t>Understandable</w:t>
      </w:r>
      <w:r w:rsidRPr="00F242EB">
        <w:rPr>
          <w:sz w:val="22"/>
        </w:rPr>
        <w:t xml:space="preserve"> – to ensure that the Statements of Accounts produced can be understood by readers who have a reasonable knowledge of business and economic activities.</w:t>
      </w:r>
    </w:p>
    <w:p w14:paraId="3E5FD8B9" w14:textId="77777777" w:rsidR="00C65353" w:rsidRPr="00F242EB" w:rsidRDefault="00C65353" w:rsidP="00C65353">
      <w:pPr>
        <w:pStyle w:val="Normal00"/>
        <w:jc w:val="both"/>
        <w:rPr>
          <w:rFonts w:ascii="Verdana" w:hAnsi="Verdana"/>
          <w:sz w:val="22"/>
          <w:szCs w:val="22"/>
          <w:lang w:val="en-GB"/>
        </w:rPr>
      </w:pPr>
    </w:p>
    <w:p w14:paraId="7E09F863" w14:textId="77777777" w:rsidR="00C65353" w:rsidRPr="00F242EB" w:rsidRDefault="00C65353" w:rsidP="00C65353">
      <w:pPr>
        <w:pStyle w:val="ListParagraph"/>
        <w:numPr>
          <w:ilvl w:val="0"/>
          <w:numId w:val="2"/>
        </w:numPr>
        <w:ind w:left="357" w:hanging="357"/>
        <w:jc w:val="both"/>
        <w:rPr>
          <w:sz w:val="22"/>
        </w:rPr>
      </w:pPr>
      <w:r w:rsidRPr="00F242EB">
        <w:rPr>
          <w:b/>
          <w:sz w:val="22"/>
        </w:rPr>
        <w:t>Relevance</w:t>
      </w:r>
      <w:r w:rsidRPr="00F242EB">
        <w:rPr>
          <w:sz w:val="22"/>
        </w:rPr>
        <w:t xml:space="preserve"> – to ensure that the information provided about the Group’s financial position, performance and cash flow is useful for assessing stewardship of public funds and for making economic decisions.</w:t>
      </w:r>
    </w:p>
    <w:p w14:paraId="5F8ADD3B" w14:textId="77777777" w:rsidR="00C65353" w:rsidRPr="00F242EB" w:rsidRDefault="00C65353" w:rsidP="00C65353">
      <w:pPr>
        <w:pStyle w:val="Normal00"/>
        <w:jc w:val="both"/>
        <w:rPr>
          <w:rFonts w:ascii="Verdana" w:hAnsi="Verdana"/>
          <w:sz w:val="22"/>
          <w:szCs w:val="22"/>
          <w:lang w:val="en-GB"/>
        </w:rPr>
      </w:pPr>
    </w:p>
    <w:p w14:paraId="6D561698" w14:textId="77777777" w:rsidR="00C65353" w:rsidRPr="00F242EB" w:rsidRDefault="00C65353" w:rsidP="00C65353">
      <w:pPr>
        <w:pStyle w:val="ListParagraph"/>
        <w:numPr>
          <w:ilvl w:val="0"/>
          <w:numId w:val="2"/>
        </w:numPr>
        <w:ind w:left="357" w:hanging="357"/>
        <w:jc w:val="both"/>
        <w:rPr>
          <w:sz w:val="22"/>
        </w:rPr>
      </w:pPr>
      <w:r w:rsidRPr="00F242EB">
        <w:rPr>
          <w:b/>
          <w:sz w:val="22"/>
        </w:rPr>
        <w:t>Materiality</w:t>
      </w:r>
      <w:r w:rsidRPr="00F242EB">
        <w:rPr>
          <w:sz w:val="22"/>
        </w:rPr>
        <w:t xml:space="preserve"> – provides a threshold or cut-off point to ensure that the information included in the Financial Statements is of such significance as to justify its inclusion.  Omissions or misstatements of items are material if they could, individually or collectively, influence users decisions or assessment of the Financial Statements.</w:t>
      </w:r>
    </w:p>
    <w:p w14:paraId="1AADB038" w14:textId="77777777" w:rsidR="00C65353" w:rsidRPr="00F242EB" w:rsidRDefault="00C65353" w:rsidP="00C65353">
      <w:pPr>
        <w:pStyle w:val="Normal00"/>
        <w:jc w:val="both"/>
        <w:rPr>
          <w:rFonts w:ascii="Verdana" w:hAnsi="Verdana"/>
          <w:sz w:val="22"/>
          <w:szCs w:val="22"/>
          <w:lang w:val="en-GB"/>
        </w:rPr>
      </w:pPr>
    </w:p>
    <w:p w14:paraId="144E1682" w14:textId="77777777" w:rsidR="00C65353" w:rsidRPr="00F242EB" w:rsidRDefault="00C65353" w:rsidP="00C65353">
      <w:pPr>
        <w:pStyle w:val="ListParagraph"/>
        <w:numPr>
          <w:ilvl w:val="0"/>
          <w:numId w:val="2"/>
        </w:numPr>
        <w:ind w:left="357" w:hanging="357"/>
        <w:jc w:val="both"/>
        <w:rPr>
          <w:sz w:val="22"/>
        </w:rPr>
      </w:pPr>
      <w:r w:rsidRPr="00F242EB">
        <w:rPr>
          <w:b/>
          <w:sz w:val="22"/>
        </w:rPr>
        <w:t>Reliability</w:t>
      </w:r>
      <w:r w:rsidRPr="00F242EB">
        <w:rPr>
          <w:sz w:val="22"/>
        </w:rPr>
        <w:t xml:space="preserve"> – to ensure that the financial information provided accurately reflects the substance of the transactions and other events that have taken place.</w:t>
      </w:r>
    </w:p>
    <w:p w14:paraId="12C23B9E" w14:textId="77777777" w:rsidR="00C65353" w:rsidRPr="00F242EB" w:rsidRDefault="00C65353" w:rsidP="00C65353">
      <w:pPr>
        <w:pStyle w:val="Normal00"/>
        <w:jc w:val="both"/>
        <w:rPr>
          <w:rFonts w:ascii="Verdana" w:hAnsi="Verdana"/>
          <w:sz w:val="22"/>
          <w:szCs w:val="22"/>
          <w:lang w:val="en-GB"/>
        </w:rPr>
      </w:pPr>
    </w:p>
    <w:p w14:paraId="4075CD54" w14:textId="77777777" w:rsidR="00C65353" w:rsidRPr="00F242EB" w:rsidRDefault="00C65353" w:rsidP="00C65353">
      <w:pPr>
        <w:pStyle w:val="ListParagraph"/>
        <w:numPr>
          <w:ilvl w:val="0"/>
          <w:numId w:val="2"/>
        </w:numPr>
        <w:ind w:left="357" w:hanging="357"/>
        <w:jc w:val="both"/>
        <w:rPr>
          <w:sz w:val="22"/>
        </w:rPr>
      </w:pPr>
      <w:r w:rsidRPr="00F242EB">
        <w:rPr>
          <w:b/>
          <w:sz w:val="22"/>
        </w:rPr>
        <w:t>Comparability</w:t>
      </w:r>
      <w:r w:rsidRPr="00F242EB">
        <w:rPr>
          <w:sz w:val="22"/>
        </w:rPr>
        <w:t xml:space="preserve"> – the information contained in the Financial Statements has been prepared so that it can be readily compared with similar information about the same entity for different accounting periods and with similar information about other entities. </w:t>
      </w:r>
    </w:p>
    <w:p w14:paraId="0252DA73" w14:textId="77777777" w:rsidR="00C65353" w:rsidRPr="00F242EB" w:rsidRDefault="00C65353" w:rsidP="00C65353">
      <w:pPr>
        <w:pStyle w:val="Normal00"/>
        <w:jc w:val="both"/>
        <w:rPr>
          <w:rFonts w:ascii="Verdana" w:hAnsi="Verdana"/>
          <w:sz w:val="22"/>
          <w:szCs w:val="22"/>
          <w:lang w:val="en-GB"/>
        </w:rPr>
      </w:pPr>
    </w:p>
    <w:p w14:paraId="3F931377" w14:textId="77777777" w:rsidR="00C65353" w:rsidRPr="00F242EB" w:rsidRDefault="00C65353" w:rsidP="00C65353">
      <w:pPr>
        <w:pStyle w:val="ListParagraph"/>
        <w:numPr>
          <w:ilvl w:val="0"/>
          <w:numId w:val="2"/>
        </w:numPr>
        <w:ind w:left="357" w:hanging="357"/>
        <w:jc w:val="both"/>
        <w:rPr>
          <w:sz w:val="22"/>
        </w:rPr>
      </w:pPr>
      <w:r w:rsidRPr="00F242EB">
        <w:rPr>
          <w:b/>
          <w:sz w:val="22"/>
        </w:rPr>
        <w:t>Primacy of Legislative Requirements</w:t>
      </w:r>
      <w:r w:rsidRPr="00F242EB">
        <w:rPr>
          <w:sz w:val="22"/>
        </w:rPr>
        <w:t xml:space="preserve"> – the PCC derives powers from statute and the financial and accounting framework is closely controlled by primary and secondary legislation.  Where specific legislative requirements and accounting principles conflict, the legislative requirement is applied.  However, the Code deals with such conflicts by showing the position required by the Code’s accounting requirements in the Comprehensive Income and Expenditure Statement, and the effect of the legislative requirements in the Movement in Reserves Statement.</w:t>
      </w:r>
    </w:p>
    <w:p w14:paraId="085EA416" w14:textId="77777777" w:rsidR="00C65353" w:rsidRPr="00F242EB" w:rsidRDefault="00C65353" w:rsidP="00C65353">
      <w:pPr>
        <w:pStyle w:val="Normal00"/>
        <w:jc w:val="both"/>
        <w:rPr>
          <w:rFonts w:ascii="Verdana" w:hAnsi="Verdana"/>
          <w:sz w:val="22"/>
          <w:szCs w:val="22"/>
          <w:lang w:val="en-GB"/>
        </w:rPr>
      </w:pPr>
    </w:p>
    <w:p w14:paraId="31C9A108"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The following sections set out the Group’s principal accounting policies that have been reviewed and adopted in 2020/21.</w:t>
      </w:r>
    </w:p>
    <w:p w14:paraId="1F337CDC" w14:textId="77777777" w:rsidR="00C65353" w:rsidRPr="00F242EB" w:rsidRDefault="00C65353" w:rsidP="00C65353">
      <w:pPr>
        <w:pStyle w:val="Normal00"/>
        <w:jc w:val="both"/>
        <w:rPr>
          <w:rFonts w:ascii="Verdana" w:hAnsi="Verdana"/>
          <w:b/>
          <w:sz w:val="22"/>
          <w:szCs w:val="22"/>
          <w:lang w:val="en-GB"/>
        </w:rPr>
      </w:pPr>
    </w:p>
    <w:p w14:paraId="1549CC4E"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Income &amp; Expenditure Recognition</w:t>
      </w:r>
    </w:p>
    <w:p w14:paraId="4B2F91A5" w14:textId="77777777" w:rsidR="00C65353" w:rsidRPr="00F242EB" w:rsidRDefault="00C65353" w:rsidP="00C65353">
      <w:pPr>
        <w:pStyle w:val="Normal000"/>
        <w:rPr>
          <w:rFonts w:eastAsia="Times New Roman" w:cs="Arial"/>
          <w:szCs w:val="22"/>
          <w:lang w:val="en-GB" w:eastAsia="en-GB"/>
        </w:rPr>
      </w:pPr>
    </w:p>
    <w:p w14:paraId="7AF34174" w14:textId="77777777" w:rsidR="00C65353" w:rsidRPr="00A41E76" w:rsidRDefault="00C65353" w:rsidP="00C65353">
      <w:pPr>
        <w:pStyle w:val="Normal00"/>
        <w:jc w:val="both"/>
        <w:rPr>
          <w:rFonts w:ascii="Verdana" w:hAnsi="Verdana" w:cs="Arial"/>
          <w:sz w:val="22"/>
          <w:szCs w:val="22"/>
          <w:lang w:val="en-GB"/>
        </w:rPr>
      </w:pPr>
      <w:r w:rsidRPr="00A41E76">
        <w:rPr>
          <w:rStyle w:val="Strong"/>
          <w:rFonts w:ascii="Verdana" w:hAnsi="Verdana"/>
          <w:b w:val="0"/>
          <w:sz w:val="22"/>
          <w:szCs w:val="22"/>
          <w:lang w:val="en-GB"/>
        </w:rPr>
        <w:t>Revenue (Income) is measured at the fair value of the consideration received or receivable and represents the amounts receivable for goods or services provided</w:t>
      </w:r>
      <w:r w:rsidRPr="00A41E76">
        <w:rPr>
          <w:rFonts w:ascii="Verdana" w:hAnsi="Verdana" w:cs="Arial"/>
          <w:b/>
          <w:sz w:val="22"/>
          <w:szCs w:val="22"/>
          <w:lang w:val="en-GB"/>
        </w:rPr>
        <w:t xml:space="preserve"> </w:t>
      </w:r>
      <w:r w:rsidRPr="00A41E76">
        <w:rPr>
          <w:rFonts w:ascii="Verdana" w:hAnsi="Verdana" w:cs="Arial"/>
          <w:sz w:val="22"/>
          <w:szCs w:val="22"/>
          <w:lang w:val="en-GB"/>
        </w:rPr>
        <w:t xml:space="preserve">in the normal course of business less discounts and VAT.  </w:t>
      </w:r>
    </w:p>
    <w:p w14:paraId="6122E92A" w14:textId="77777777" w:rsidR="00C65353" w:rsidRPr="00F242EB" w:rsidRDefault="00C65353" w:rsidP="00C65353">
      <w:pPr>
        <w:pStyle w:val="Normal00"/>
        <w:jc w:val="both"/>
        <w:rPr>
          <w:rFonts w:ascii="Verdana" w:hAnsi="Verdana" w:cs="Arial"/>
          <w:sz w:val="22"/>
          <w:szCs w:val="22"/>
          <w:lang w:val="en-GB"/>
        </w:rPr>
      </w:pPr>
    </w:p>
    <w:p w14:paraId="1357CB00"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Revenue is recognised when goods are delivered and title has passed.  The provision of services contains many accounting aspects and revenue is only recognised when all related work has been completed or when the percentage of completion of the transaction can be reliably measured and it is probable that economic benefits or service potential associated with the transaction will flow to the PCC and group.  Whilst all income is received by the PCC and all expenditure is paid for by the PCC including wages of police staff and officers, the actual recognition in the respective Police and Crime Commissioner and Chief Constable Accounts is based on economic benefit.</w:t>
      </w:r>
    </w:p>
    <w:p w14:paraId="2A137134" w14:textId="77777777" w:rsidR="00C65353" w:rsidRPr="00F242EB" w:rsidRDefault="00C65353" w:rsidP="00C65353">
      <w:pPr>
        <w:pStyle w:val="Normal00"/>
        <w:jc w:val="both"/>
        <w:rPr>
          <w:rFonts w:ascii="Verdana" w:hAnsi="Verdana" w:cs="Arial"/>
          <w:sz w:val="22"/>
          <w:szCs w:val="22"/>
          <w:lang w:val="en-GB"/>
        </w:rPr>
      </w:pPr>
    </w:p>
    <w:p w14:paraId="46EAA631"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Supplies are recorded as expenditure when they are consumed – where there is a gap between the date on which supplies are received and when they are consumed, they are carried as inventories or stocks on the Balance Sheet.</w:t>
      </w:r>
    </w:p>
    <w:p w14:paraId="32F67886" w14:textId="77777777" w:rsidR="00C65353" w:rsidRPr="00F242EB" w:rsidRDefault="00C65353" w:rsidP="00C65353">
      <w:pPr>
        <w:pStyle w:val="Normal00"/>
        <w:jc w:val="both"/>
        <w:rPr>
          <w:rFonts w:ascii="Verdana" w:hAnsi="Verdana" w:cs="Arial"/>
          <w:sz w:val="22"/>
          <w:szCs w:val="22"/>
          <w:lang w:val="en-GB"/>
        </w:rPr>
      </w:pPr>
    </w:p>
    <w:p w14:paraId="347A7489"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Income and Expenditure are credited and debited to the relevant revenue account, unless they properly represent capital receipts or capital expenditure.  Works of a capital nature are charged as capital expenditure when they are completed, before which they are carried as Assets Under Construction on the Balance Sheet.</w:t>
      </w:r>
    </w:p>
    <w:p w14:paraId="58D58D06" w14:textId="77777777" w:rsidR="00C65353" w:rsidRPr="00F242EB" w:rsidRDefault="00C65353" w:rsidP="00C65353">
      <w:pPr>
        <w:pStyle w:val="Normal00"/>
        <w:jc w:val="both"/>
        <w:rPr>
          <w:rFonts w:ascii="Verdana" w:hAnsi="Verdana" w:cs="Arial"/>
          <w:sz w:val="22"/>
          <w:szCs w:val="22"/>
          <w:lang w:val="en-GB"/>
        </w:rPr>
      </w:pPr>
    </w:p>
    <w:p w14:paraId="1390168B"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Activity is accounted for in the year that it takes place, not simply when cash payments are made or received, thus the accounts reflect the normal accruals concept for both capital and revenue.  Exceptions to this can be made for utilities (gas, electricity, telephones, etc.), where invoices may be accounted for in the year they fall, providing that only four quarterly or twelve monthly invoices are charged in any one year.</w:t>
      </w:r>
    </w:p>
    <w:p w14:paraId="19BD9389" w14:textId="77777777" w:rsidR="00C65353" w:rsidRPr="00F242EB" w:rsidRDefault="00C65353" w:rsidP="00C65353">
      <w:pPr>
        <w:pStyle w:val="Normal00"/>
        <w:jc w:val="both"/>
        <w:rPr>
          <w:rFonts w:ascii="Verdana" w:hAnsi="Verdana" w:cs="Arial"/>
          <w:sz w:val="22"/>
          <w:szCs w:val="22"/>
          <w:lang w:val="en-GB"/>
        </w:rPr>
      </w:pPr>
    </w:p>
    <w:p w14:paraId="18D1BBB9" w14:textId="77777777" w:rsidR="00C65353" w:rsidRDefault="00C65353" w:rsidP="00C65353">
      <w:pPr>
        <w:pStyle w:val="Normal00"/>
        <w:jc w:val="both"/>
        <w:rPr>
          <w:rFonts w:ascii="Verdana" w:hAnsi="Verdana"/>
          <w:sz w:val="22"/>
          <w:szCs w:val="22"/>
          <w:lang w:val="en-GB"/>
        </w:rPr>
      </w:pPr>
      <w:r w:rsidRPr="00F242EB">
        <w:rPr>
          <w:rFonts w:ascii="Verdana" w:hAnsi="Verdana"/>
          <w:sz w:val="22"/>
          <w:szCs w:val="22"/>
          <w:lang w:val="en-GB"/>
        </w:rPr>
        <w:t>Where revenue or expenditure have been recognised by cash has not been received or paid, a debtor or creditor for the relevant amount is recorded in the Balance Sheet.  Creditors are included within the Balance Sheet for goods and services received and risks and rewards of ownership transferred, but not paid for at the year end.  Debtors are included within the Balance Sheet where services have been provided but not yet reimbursed at the year end.</w:t>
      </w:r>
    </w:p>
    <w:p w14:paraId="411B7097" w14:textId="77777777" w:rsidR="00C65353" w:rsidRDefault="00C65353" w:rsidP="00C65353">
      <w:pPr>
        <w:pStyle w:val="Normal00"/>
        <w:jc w:val="both"/>
        <w:rPr>
          <w:rFonts w:ascii="Verdana" w:hAnsi="Verdana"/>
          <w:sz w:val="22"/>
          <w:szCs w:val="22"/>
          <w:lang w:val="en-GB"/>
        </w:rPr>
      </w:pPr>
    </w:p>
    <w:p w14:paraId="54BB162A" w14:textId="77777777" w:rsidR="00C65353" w:rsidRPr="00F242EB" w:rsidRDefault="00C65353" w:rsidP="00C65353">
      <w:pPr>
        <w:pStyle w:val="Normal00"/>
        <w:jc w:val="both"/>
        <w:rPr>
          <w:rFonts w:ascii="Verdana" w:hAnsi="Verdana" w:cs="Arial"/>
          <w:sz w:val="22"/>
          <w:szCs w:val="22"/>
          <w:lang w:val="en-GB"/>
        </w:rPr>
      </w:pPr>
      <w:r>
        <w:rPr>
          <w:rFonts w:ascii="Verdana" w:hAnsi="Verdana"/>
          <w:sz w:val="22"/>
          <w:szCs w:val="22"/>
          <w:lang w:val="en-GB"/>
        </w:rPr>
        <w:t xml:space="preserve">The above recognition policy complies with IFRS 15 </w:t>
      </w:r>
      <w:r w:rsidRPr="00E57C99">
        <w:rPr>
          <w:rFonts w:ascii="Verdana" w:hAnsi="Verdana"/>
          <w:i/>
          <w:sz w:val="22"/>
          <w:szCs w:val="22"/>
          <w:lang w:val="en-GB"/>
        </w:rPr>
        <w:t>Revenue from Contracts with Customers</w:t>
      </w:r>
      <w:r>
        <w:rPr>
          <w:rFonts w:ascii="Verdana" w:hAnsi="Verdana"/>
          <w:sz w:val="22"/>
          <w:szCs w:val="22"/>
          <w:lang w:val="en-GB"/>
        </w:rPr>
        <w:t>.</w:t>
      </w:r>
    </w:p>
    <w:p w14:paraId="284E23C6" w14:textId="77777777" w:rsidR="00C65353" w:rsidRPr="00F242EB" w:rsidRDefault="00C65353" w:rsidP="00C65353">
      <w:pPr>
        <w:pStyle w:val="Normal00"/>
        <w:jc w:val="both"/>
        <w:rPr>
          <w:rFonts w:ascii="Verdana" w:hAnsi="Verdana"/>
          <w:sz w:val="22"/>
          <w:szCs w:val="22"/>
          <w:lang w:val="en-GB"/>
        </w:rPr>
      </w:pPr>
    </w:p>
    <w:p w14:paraId="58BF2697"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Cash &amp; Cash Equivalents</w:t>
      </w:r>
    </w:p>
    <w:p w14:paraId="38384985" w14:textId="77777777" w:rsidR="00C65353" w:rsidRPr="00F242EB" w:rsidRDefault="00C65353" w:rsidP="00C65353">
      <w:pPr>
        <w:pStyle w:val="Normal00"/>
        <w:jc w:val="both"/>
        <w:rPr>
          <w:rFonts w:ascii="Verdana" w:hAnsi="Verdana"/>
          <w:sz w:val="22"/>
          <w:szCs w:val="22"/>
          <w:lang w:val="en-GB"/>
        </w:rPr>
      </w:pPr>
    </w:p>
    <w:p w14:paraId="626944E9"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Cash equivalents are short term, highly liquid investments that are readily convertible to known amounts of cash and which are subject to an insignificant risk of changes in value.  All investments due in 1 day or less are therefore treated as "cash and cash equivalents”, and are not therefore included within Investments.</w:t>
      </w:r>
    </w:p>
    <w:p w14:paraId="7B85976D" w14:textId="77777777" w:rsidR="00C65353" w:rsidRPr="00F242EB" w:rsidRDefault="00C65353" w:rsidP="00C65353">
      <w:pPr>
        <w:pStyle w:val="Normal00"/>
        <w:jc w:val="both"/>
        <w:rPr>
          <w:rFonts w:ascii="Verdana" w:hAnsi="Verdana"/>
          <w:sz w:val="22"/>
          <w:szCs w:val="22"/>
          <w:lang w:val="en-GB"/>
        </w:rPr>
      </w:pPr>
    </w:p>
    <w:p w14:paraId="4F0F294E"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Cash is represented by cash in hand and deposits with financial institutions repayable without penalty on notice of not more than 24 hours. Cash equivalents are investments that mature in one day or less from the date of acquisition and that are readily convertible to known amounts of cash with insignificant risk of change in value.  Investments held by Surrey County Council on behalf of the Group are classified as cash equivalents as they are low risk, short term and readily available.</w:t>
      </w:r>
    </w:p>
    <w:p w14:paraId="13B08728" w14:textId="77777777" w:rsidR="00C65353" w:rsidRPr="00F242EB" w:rsidRDefault="00C65353" w:rsidP="00C65353">
      <w:pPr>
        <w:pStyle w:val="Normal00"/>
        <w:jc w:val="both"/>
        <w:rPr>
          <w:rFonts w:ascii="Verdana" w:hAnsi="Verdana"/>
          <w:sz w:val="22"/>
          <w:szCs w:val="22"/>
          <w:lang w:val="en-GB"/>
        </w:rPr>
      </w:pPr>
    </w:p>
    <w:p w14:paraId="763DB9A2"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In the Cash Flow Statement, cash and cash equivalents are shown net of bank overdrafts that are repayable on demand.</w:t>
      </w:r>
    </w:p>
    <w:p w14:paraId="39076D38" w14:textId="77777777" w:rsidR="00C65353" w:rsidRPr="00F242EB" w:rsidRDefault="00C65353" w:rsidP="00C65353">
      <w:pPr>
        <w:pStyle w:val="Normal00"/>
        <w:jc w:val="both"/>
        <w:rPr>
          <w:rFonts w:ascii="Verdana" w:hAnsi="Verdana"/>
          <w:b/>
          <w:sz w:val="22"/>
          <w:szCs w:val="22"/>
          <w:lang w:val="en-GB"/>
        </w:rPr>
      </w:pPr>
    </w:p>
    <w:p w14:paraId="6CF5D070"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Prior Period Adjustments, Changes in Accounting Policies, Estimates and Errors</w:t>
      </w:r>
    </w:p>
    <w:p w14:paraId="2D4A4363" w14:textId="77777777" w:rsidR="00C65353" w:rsidRPr="00F242EB" w:rsidRDefault="00C65353" w:rsidP="00C65353">
      <w:pPr>
        <w:pStyle w:val="Normal00"/>
        <w:jc w:val="both"/>
        <w:rPr>
          <w:rFonts w:ascii="Verdana" w:hAnsi="Verdana"/>
          <w:sz w:val="22"/>
          <w:szCs w:val="22"/>
          <w:lang w:val="en-GB"/>
        </w:rPr>
      </w:pPr>
    </w:p>
    <w:p w14:paraId="1507F99F"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Prior period adjustments may arise as a result of a change in accounting policies or to correct a material error. Changes in accounting estimates are accounted for prospectively, i.e. in the current and future years affected by the change and do not give rise to a prior period adjustment.</w:t>
      </w:r>
    </w:p>
    <w:p w14:paraId="6DFFF544" w14:textId="77777777" w:rsidR="00C65353" w:rsidRPr="00F242EB" w:rsidRDefault="00C65353" w:rsidP="00C65353">
      <w:pPr>
        <w:pStyle w:val="Normal00"/>
        <w:jc w:val="both"/>
        <w:rPr>
          <w:rFonts w:ascii="Verdana" w:hAnsi="Verdana"/>
          <w:sz w:val="22"/>
          <w:szCs w:val="22"/>
          <w:lang w:val="en-GB"/>
        </w:rPr>
      </w:pPr>
    </w:p>
    <w:p w14:paraId="0F712DDD"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Changes in accounting policies are only made when required by proper accounting practices or the change provides more reliable or relevant information about the effect of transactions, other events and conditions on the Police and Crime Commissioner's financial position or financial performance. Where a change is made, it is applied retrospectively (unless stated otherwise) by adjusting opening balances and comparative amounts for the prior period as if the new policy had always been applied.</w:t>
      </w:r>
    </w:p>
    <w:p w14:paraId="03F92A04" w14:textId="77777777" w:rsidR="00C65353" w:rsidRPr="00F242EB" w:rsidRDefault="00C65353" w:rsidP="00C65353">
      <w:pPr>
        <w:pStyle w:val="Normal00"/>
        <w:jc w:val="both"/>
        <w:rPr>
          <w:rFonts w:ascii="Verdana" w:hAnsi="Verdana"/>
          <w:sz w:val="22"/>
          <w:szCs w:val="22"/>
          <w:lang w:val="en-GB"/>
        </w:rPr>
      </w:pPr>
    </w:p>
    <w:p w14:paraId="08CD8DCF"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Material errors discovered in prior period figures are corrected retrospectively by amending opening balances and comparative amounts for the prior period.</w:t>
      </w:r>
    </w:p>
    <w:p w14:paraId="50C5F412" w14:textId="77777777" w:rsidR="00C65353" w:rsidRPr="00F242EB" w:rsidRDefault="00C65353" w:rsidP="00C65353">
      <w:pPr>
        <w:pStyle w:val="Normal00"/>
        <w:jc w:val="both"/>
        <w:rPr>
          <w:rFonts w:ascii="Verdana" w:hAnsi="Verdana"/>
          <w:sz w:val="22"/>
          <w:szCs w:val="22"/>
          <w:lang w:val="en-GB"/>
        </w:rPr>
      </w:pPr>
    </w:p>
    <w:p w14:paraId="46EBB542" w14:textId="77777777" w:rsidR="00E245E6" w:rsidRDefault="00E245E6" w:rsidP="00C65353">
      <w:pPr>
        <w:pStyle w:val="Normal00"/>
        <w:jc w:val="both"/>
        <w:rPr>
          <w:rFonts w:ascii="Verdana" w:hAnsi="Verdana"/>
          <w:b/>
          <w:sz w:val="22"/>
          <w:szCs w:val="22"/>
          <w:lang w:val="en-GB"/>
        </w:rPr>
      </w:pPr>
    </w:p>
    <w:p w14:paraId="5B95735A" w14:textId="77777777" w:rsidR="00E245E6" w:rsidRDefault="00E245E6" w:rsidP="00C65353">
      <w:pPr>
        <w:pStyle w:val="Normal00"/>
        <w:jc w:val="both"/>
        <w:rPr>
          <w:rFonts w:ascii="Verdana" w:hAnsi="Verdana"/>
          <w:b/>
          <w:sz w:val="22"/>
          <w:szCs w:val="22"/>
          <w:lang w:val="en-GB"/>
        </w:rPr>
      </w:pPr>
    </w:p>
    <w:p w14:paraId="0F771D63" w14:textId="77777777" w:rsidR="00E245E6" w:rsidRDefault="00E245E6" w:rsidP="00C65353">
      <w:pPr>
        <w:pStyle w:val="Normal00"/>
        <w:jc w:val="both"/>
        <w:rPr>
          <w:rFonts w:ascii="Verdana" w:hAnsi="Verdana"/>
          <w:b/>
          <w:sz w:val="22"/>
          <w:szCs w:val="22"/>
          <w:lang w:val="en-GB"/>
        </w:rPr>
      </w:pPr>
    </w:p>
    <w:p w14:paraId="55314761"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Events after the Balance Sheet</w:t>
      </w:r>
      <w:r>
        <w:rPr>
          <w:rFonts w:ascii="Verdana" w:hAnsi="Verdana"/>
          <w:b/>
          <w:sz w:val="22"/>
          <w:szCs w:val="22"/>
          <w:lang w:val="en-GB"/>
        </w:rPr>
        <w:t xml:space="preserve"> Date</w:t>
      </w:r>
    </w:p>
    <w:p w14:paraId="5E8C4335" w14:textId="77777777" w:rsidR="00C65353" w:rsidRPr="00F242EB" w:rsidRDefault="00C65353" w:rsidP="00C65353">
      <w:pPr>
        <w:pStyle w:val="Normal00"/>
        <w:jc w:val="both"/>
        <w:rPr>
          <w:rFonts w:ascii="Verdana" w:hAnsi="Verdana"/>
          <w:sz w:val="22"/>
          <w:szCs w:val="22"/>
          <w:lang w:val="en-GB"/>
        </w:rPr>
      </w:pPr>
    </w:p>
    <w:p w14:paraId="45FB2278"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 xml:space="preserve">Events after the Balance Sheet </w:t>
      </w:r>
      <w:r>
        <w:rPr>
          <w:rFonts w:ascii="Verdana" w:hAnsi="Verdana"/>
          <w:sz w:val="22"/>
          <w:szCs w:val="22"/>
          <w:lang w:val="en-GB"/>
        </w:rPr>
        <w:t xml:space="preserve">reporting </w:t>
      </w:r>
      <w:r w:rsidRPr="00F242EB">
        <w:rPr>
          <w:rFonts w:ascii="Verdana" w:hAnsi="Verdana"/>
          <w:sz w:val="22"/>
          <w:szCs w:val="22"/>
          <w:lang w:val="en-GB"/>
        </w:rPr>
        <w:t>date are those events, both favourable and unfavourable, that occur between the end of the reporting period and the date when the Statement of Accounts is authorised for issue. Two types of events can be identified:</w:t>
      </w:r>
    </w:p>
    <w:p w14:paraId="4E6623BE" w14:textId="77777777" w:rsidR="00C65353" w:rsidRPr="00F242EB" w:rsidRDefault="00C65353" w:rsidP="00C65353">
      <w:pPr>
        <w:pStyle w:val="Normal00"/>
        <w:jc w:val="both"/>
        <w:rPr>
          <w:rFonts w:ascii="Verdana" w:hAnsi="Verdana"/>
          <w:sz w:val="22"/>
          <w:szCs w:val="22"/>
          <w:lang w:val="en-GB"/>
        </w:rPr>
      </w:pPr>
    </w:p>
    <w:p w14:paraId="3F761B2C" w14:textId="77777777" w:rsidR="00C65353" w:rsidRPr="00F242EB" w:rsidRDefault="00C65353" w:rsidP="00C65353">
      <w:pPr>
        <w:pStyle w:val="ListParagraph"/>
        <w:numPr>
          <w:ilvl w:val="0"/>
          <w:numId w:val="2"/>
        </w:numPr>
        <w:ind w:left="357" w:hanging="357"/>
        <w:jc w:val="both"/>
        <w:rPr>
          <w:sz w:val="22"/>
        </w:rPr>
      </w:pPr>
      <w:r w:rsidRPr="00F242EB">
        <w:rPr>
          <w:sz w:val="22"/>
        </w:rPr>
        <w:t>those that provide evidence of conditions that existed at the end of the reporting period the Statement of Accounts is adjusted to reflect such events</w:t>
      </w:r>
    </w:p>
    <w:p w14:paraId="30FD3715" w14:textId="77777777" w:rsidR="00C65353" w:rsidRPr="00F242EB" w:rsidRDefault="00C65353" w:rsidP="00C65353">
      <w:pPr>
        <w:pStyle w:val="ListParagraph"/>
        <w:ind w:left="357"/>
        <w:jc w:val="both"/>
        <w:rPr>
          <w:sz w:val="22"/>
        </w:rPr>
      </w:pPr>
    </w:p>
    <w:p w14:paraId="7D370122" w14:textId="77777777" w:rsidR="00C65353" w:rsidRPr="00F242EB" w:rsidRDefault="00C65353" w:rsidP="00C65353">
      <w:pPr>
        <w:pStyle w:val="ListParagraph"/>
        <w:numPr>
          <w:ilvl w:val="0"/>
          <w:numId w:val="2"/>
        </w:numPr>
        <w:ind w:left="357" w:hanging="357"/>
        <w:jc w:val="both"/>
        <w:rPr>
          <w:sz w:val="22"/>
        </w:rPr>
      </w:pPr>
      <w:r w:rsidRPr="00F242EB">
        <w:rPr>
          <w:sz w:val="22"/>
        </w:rPr>
        <w:t>those that are indicative of conditions that arose after the reporting period – the Statement of Accounts is not adjusted to reflect such events, but where a category of events would have a material effect, disclosure is made in the notes of the nature of the events and their estimated financial effect</w:t>
      </w:r>
    </w:p>
    <w:p w14:paraId="423373C1" w14:textId="77777777" w:rsidR="00C65353" w:rsidRPr="00F242EB" w:rsidRDefault="00C65353" w:rsidP="00C65353">
      <w:pPr>
        <w:pStyle w:val="Normal00"/>
        <w:jc w:val="both"/>
        <w:rPr>
          <w:rFonts w:ascii="Verdana" w:hAnsi="Verdana"/>
          <w:sz w:val="22"/>
          <w:szCs w:val="22"/>
          <w:lang w:val="en-GB"/>
        </w:rPr>
      </w:pPr>
    </w:p>
    <w:p w14:paraId="4AEC9D70"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Events taking place after the date of authorisation for issue are not reflected in the Statement of Accounts.</w:t>
      </w:r>
    </w:p>
    <w:p w14:paraId="7260A1DC" w14:textId="77777777" w:rsidR="00C65353" w:rsidRPr="00F242EB" w:rsidRDefault="00C65353" w:rsidP="00C65353">
      <w:pPr>
        <w:pStyle w:val="Normal00"/>
        <w:jc w:val="both"/>
        <w:rPr>
          <w:rFonts w:ascii="Verdana" w:hAnsi="Verdana"/>
          <w:sz w:val="22"/>
          <w:szCs w:val="22"/>
          <w:lang w:val="en-GB"/>
        </w:rPr>
      </w:pPr>
    </w:p>
    <w:p w14:paraId="002E5C67"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 xml:space="preserve">Government Grants and Contributions </w:t>
      </w:r>
    </w:p>
    <w:p w14:paraId="0D9B890D" w14:textId="77777777" w:rsidR="00C65353" w:rsidRPr="00F242EB" w:rsidRDefault="00C65353" w:rsidP="00C65353">
      <w:pPr>
        <w:pStyle w:val="Normal00"/>
        <w:jc w:val="both"/>
        <w:rPr>
          <w:rFonts w:ascii="Verdana" w:hAnsi="Verdana"/>
          <w:sz w:val="22"/>
          <w:szCs w:val="22"/>
          <w:lang w:val="en-GB"/>
        </w:rPr>
      </w:pPr>
    </w:p>
    <w:p w14:paraId="22E582F4" w14:textId="77777777" w:rsidR="00C65353" w:rsidRDefault="00C65353" w:rsidP="00C65353">
      <w:pPr>
        <w:pStyle w:val="Normal00"/>
        <w:jc w:val="both"/>
        <w:rPr>
          <w:rFonts w:ascii="Verdana" w:hAnsi="Verdana"/>
          <w:sz w:val="22"/>
          <w:szCs w:val="22"/>
          <w:lang w:val="en-GB"/>
        </w:rPr>
      </w:pPr>
      <w:r w:rsidRPr="00F242EB">
        <w:rPr>
          <w:rFonts w:ascii="Verdana" w:hAnsi="Verdana"/>
          <w:sz w:val="22"/>
          <w:szCs w:val="22"/>
          <w:lang w:val="en-GB"/>
        </w:rPr>
        <w:t>Government grants and third party contributions are recognised as income at the date the Group satisfies the conditions of entitleme</w:t>
      </w:r>
      <w:r>
        <w:rPr>
          <w:rFonts w:ascii="Verdana" w:hAnsi="Verdana"/>
          <w:sz w:val="22"/>
          <w:szCs w:val="22"/>
          <w:lang w:val="en-GB"/>
        </w:rPr>
        <w:t>nt to the grant or contribution and</w:t>
      </w:r>
      <w:r w:rsidRPr="00F242EB">
        <w:rPr>
          <w:rFonts w:ascii="Verdana" w:hAnsi="Verdana"/>
          <w:sz w:val="22"/>
          <w:szCs w:val="22"/>
          <w:lang w:val="en-GB"/>
        </w:rPr>
        <w:t xml:space="preserve"> where there is reasonable assurance that the monies will be received</w:t>
      </w:r>
      <w:r>
        <w:rPr>
          <w:rFonts w:ascii="Verdana" w:hAnsi="Verdana"/>
          <w:sz w:val="22"/>
          <w:szCs w:val="22"/>
          <w:lang w:val="en-GB"/>
        </w:rPr>
        <w:t>.</w:t>
      </w:r>
      <w:r w:rsidRPr="00F242EB">
        <w:rPr>
          <w:rFonts w:ascii="Verdana" w:hAnsi="Verdana"/>
          <w:sz w:val="22"/>
          <w:szCs w:val="22"/>
          <w:lang w:val="en-GB"/>
        </w:rPr>
        <w:t xml:space="preserve"> </w:t>
      </w:r>
    </w:p>
    <w:p w14:paraId="59DD9A92" w14:textId="77777777" w:rsidR="00C65353" w:rsidRPr="00F242EB" w:rsidRDefault="00C65353" w:rsidP="00C65353">
      <w:pPr>
        <w:pStyle w:val="Normal00"/>
        <w:jc w:val="both"/>
        <w:rPr>
          <w:rFonts w:ascii="Verdana" w:hAnsi="Verdana"/>
          <w:sz w:val="22"/>
          <w:szCs w:val="22"/>
          <w:lang w:val="en-GB"/>
        </w:rPr>
      </w:pPr>
    </w:p>
    <w:p w14:paraId="257FAD7B"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Net expenditure is expressed before deducting government grants in support of the overall expenditure of the Group, e.g. specific police grants, revenue support grants and national non domestic rates. Other smaller revenue grants are shown as income in arriving at net expenditure, and can be matched against specific items of expenditure.</w:t>
      </w:r>
    </w:p>
    <w:p w14:paraId="2E2F0460" w14:textId="77777777" w:rsidR="00C65353" w:rsidRPr="00F242EB" w:rsidRDefault="00C65353" w:rsidP="00C65353">
      <w:pPr>
        <w:pStyle w:val="Normal00"/>
        <w:jc w:val="both"/>
        <w:rPr>
          <w:rFonts w:ascii="Verdana" w:hAnsi="Verdana"/>
          <w:sz w:val="22"/>
          <w:szCs w:val="22"/>
          <w:lang w:val="en-GB"/>
        </w:rPr>
      </w:pPr>
    </w:p>
    <w:p w14:paraId="5CC7B5A8"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Amounts recognised as due to the PCC are not credited to the Comprehensive Income and Expenditure Statement until conditions attached to the grant or contribution has been satisfied. Conditions are stipulations that specify that the future economic benefits or service potential embodied in the asset acquired using the grant or contribution, are required to be consumed by the recipient as specified, or future economic benefits or service potential must be returned to the transferor.</w:t>
      </w:r>
    </w:p>
    <w:p w14:paraId="7490E59D" w14:textId="77777777" w:rsidR="00C65353" w:rsidRPr="00F242EB" w:rsidRDefault="00C65353" w:rsidP="00C65353">
      <w:pPr>
        <w:pStyle w:val="Normal00"/>
        <w:jc w:val="both"/>
        <w:rPr>
          <w:rFonts w:ascii="Verdana" w:hAnsi="Verdana"/>
          <w:sz w:val="22"/>
          <w:szCs w:val="22"/>
          <w:lang w:val="en-GB"/>
        </w:rPr>
      </w:pPr>
    </w:p>
    <w:p w14:paraId="75C5B457"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Monies advanced as grants and contributions for which conditions have not been satisfied are carried in the Balance Sheet as creditors. When conditions are satisfied, the grant or contribution is credited to the relevant service line (attributable revenue grants and contributions) or Taxation and Non-Specific Grant Income (non-ring-fenced revenue grants and all capital grants) in the Comprehensive Income and Expenditure Statement.</w:t>
      </w:r>
      <w:r>
        <w:rPr>
          <w:rFonts w:ascii="Verdana" w:hAnsi="Verdana"/>
          <w:sz w:val="22"/>
          <w:szCs w:val="22"/>
          <w:lang w:val="en-GB"/>
        </w:rPr>
        <w:t xml:space="preserve"> </w:t>
      </w:r>
      <w:r w:rsidRPr="00C33925">
        <w:rPr>
          <w:rFonts w:ascii="Verdana" w:hAnsi="Verdana"/>
          <w:sz w:val="22"/>
          <w:szCs w:val="22"/>
          <w:lang w:val="en-GB"/>
        </w:rPr>
        <w:t>Grants and contributions in excess of £20,000 are considered material.</w:t>
      </w:r>
    </w:p>
    <w:p w14:paraId="3CA454A2" w14:textId="77777777" w:rsidR="00C65353" w:rsidRPr="00F242EB" w:rsidRDefault="00C65353" w:rsidP="00C65353">
      <w:pPr>
        <w:pStyle w:val="Normal00"/>
        <w:jc w:val="both"/>
        <w:rPr>
          <w:rFonts w:ascii="Verdana" w:hAnsi="Verdana"/>
          <w:b/>
          <w:sz w:val="22"/>
          <w:szCs w:val="22"/>
          <w:lang w:val="en-GB"/>
        </w:rPr>
      </w:pPr>
    </w:p>
    <w:p w14:paraId="074F9B67"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 xml:space="preserve">Funding of Capital Expenditure to purchase Non-Current Assets </w:t>
      </w:r>
    </w:p>
    <w:p w14:paraId="14097C03" w14:textId="77777777" w:rsidR="00C65353" w:rsidRPr="00F242EB" w:rsidRDefault="00C65353" w:rsidP="00C65353">
      <w:pPr>
        <w:pStyle w:val="Normal00"/>
        <w:jc w:val="both"/>
        <w:rPr>
          <w:rFonts w:ascii="Verdana" w:hAnsi="Verdana" w:cs="Arial"/>
          <w:sz w:val="22"/>
          <w:szCs w:val="22"/>
          <w:lang w:val="en-GB"/>
        </w:rPr>
      </w:pPr>
    </w:p>
    <w:p w14:paraId="4AE73E67"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Capital expenditure is funded by government grants, capital receipts, revenue contributions, third party contributions and borrowing.</w:t>
      </w:r>
    </w:p>
    <w:p w14:paraId="2451E1EB" w14:textId="77777777" w:rsidR="00C65353" w:rsidRPr="00F242EB" w:rsidRDefault="00C65353" w:rsidP="00C65353">
      <w:pPr>
        <w:pStyle w:val="Normal00"/>
        <w:jc w:val="both"/>
        <w:rPr>
          <w:rFonts w:ascii="Verdana" w:hAnsi="Verdana" w:cs="Arial"/>
          <w:sz w:val="22"/>
          <w:szCs w:val="22"/>
          <w:lang w:val="en-GB"/>
        </w:rPr>
      </w:pPr>
    </w:p>
    <w:p w14:paraId="7454A872"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Capital contributions and grants are accounted for in the Comprehensive Income and Expenditure Statement on an accruals basis (unless the grant or contribution has an unsatisfied condition); they are then transferred to the Balance Sheet as follows:</w:t>
      </w:r>
    </w:p>
    <w:p w14:paraId="6ECF0077" w14:textId="77777777" w:rsidR="00C65353" w:rsidRPr="00F242EB" w:rsidRDefault="00C65353" w:rsidP="00C65353">
      <w:pPr>
        <w:pStyle w:val="Normal00"/>
        <w:jc w:val="both"/>
        <w:rPr>
          <w:rFonts w:ascii="Verdana" w:hAnsi="Verdana" w:cs="Arial"/>
          <w:sz w:val="22"/>
          <w:szCs w:val="22"/>
          <w:lang w:val="en-GB"/>
        </w:rPr>
      </w:pPr>
    </w:p>
    <w:p w14:paraId="1651DA88" w14:textId="77777777" w:rsidR="00C65353" w:rsidRPr="007636A0" w:rsidRDefault="00C65353" w:rsidP="00C65353">
      <w:pPr>
        <w:pStyle w:val="ListParagraph"/>
        <w:numPr>
          <w:ilvl w:val="0"/>
          <w:numId w:val="2"/>
        </w:numPr>
        <w:ind w:left="357" w:hanging="357"/>
        <w:jc w:val="both"/>
        <w:rPr>
          <w:sz w:val="22"/>
        </w:rPr>
      </w:pPr>
      <w:r w:rsidRPr="00F242EB">
        <w:rPr>
          <w:sz w:val="22"/>
        </w:rPr>
        <w:t xml:space="preserve">When a capital grant or contribution has been recognised in the Comprehensive Income and Expenditure Statement, and the expenditure to be financed from that grant or contribution has been incurred, the grant or contribution is transferred from the </w:t>
      </w:r>
      <w:r w:rsidRPr="007636A0">
        <w:rPr>
          <w:sz w:val="22"/>
        </w:rPr>
        <w:t xml:space="preserve">General Fund to the Capital Adjustment Account, reflecting the application of capital reserves to finance expenditure. </w:t>
      </w:r>
    </w:p>
    <w:p w14:paraId="5D394C46" w14:textId="77777777" w:rsidR="00C65353" w:rsidRPr="007636A0" w:rsidRDefault="00C65353" w:rsidP="00C65353">
      <w:pPr>
        <w:pStyle w:val="ListParagraph"/>
        <w:ind w:left="357"/>
        <w:jc w:val="both"/>
        <w:rPr>
          <w:sz w:val="22"/>
        </w:rPr>
      </w:pPr>
    </w:p>
    <w:p w14:paraId="7A301475" w14:textId="77777777" w:rsidR="00C65353" w:rsidRPr="007636A0" w:rsidRDefault="00C65353" w:rsidP="00C65353">
      <w:pPr>
        <w:pStyle w:val="ListParagraph"/>
        <w:numPr>
          <w:ilvl w:val="0"/>
          <w:numId w:val="2"/>
        </w:numPr>
        <w:ind w:left="357" w:hanging="357"/>
        <w:jc w:val="both"/>
        <w:rPr>
          <w:sz w:val="22"/>
        </w:rPr>
      </w:pPr>
      <w:r w:rsidRPr="007636A0">
        <w:rPr>
          <w:sz w:val="22"/>
        </w:rPr>
        <w:t>When a grant or contribution has yet to be used to finance capital expenditure, it is posted to the Capital Grants Unapplied Account, reflecting its status as a capital resource available to finance expenditure.  Amounts in the Capital Grants Unapplied reserve are transferred to the Capital Adjustment Account once they have been applied to fund capital expenditure.</w:t>
      </w:r>
    </w:p>
    <w:p w14:paraId="218DD673" w14:textId="77777777" w:rsidR="00C65353" w:rsidRPr="007636A0" w:rsidRDefault="00C65353" w:rsidP="00C65353">
      <w:pPr>
        <w:pStyle w:val="ListParagraph"/>
        <w:ind w:left="357"/>
        <w:jc w:val="both"/>
        <w:rPr>
          <w:sz w:val="22"/>
        </w:rPr>
      </w:pPr>
    </w:p>
    <w:p w14:paraId="5968BCB0" w14:textId="77777777" w:rsidR="00C65353" w:rsidRPr="00F242EB" w:rsidRDefault="00C65353" w:rsidP="00C65353">
      <w:pPr>
        <w:pStyle w:val="ListParagraph"/>
        <w:numPr>
          <w:ilvl w:val="0"/>
          <w:numId w:val="2"/>
        </w:numPr>
        <w:ind w:left="357" w:hanging="357"/>
        <w:jc w:val="both"/>
        <w:rPr>
          <w:sz w:val="22"/>
        </w:rPr>
      </w:pPr>
      <w:r w:rsidRPr="007636A0">
        <w:rPr>
          <w:sz w:val="22"/>
        </w:rPr>
        <w:t>When a capital</w:t>
      </w:r>
      <w:r w:rsidRPr="00F242EB">
        <w:rPr>
          <w:sz w:val="22"/>
        </w:rPr>
        <w:t xml:space="preserve"> grant or contribution has been received with conditions that the Group has not met, the grant or contribution is recognised in the Balance Sheet as Capital Grants Receipts in Advance. Once the condition has been met, the grant or contribution is transferred from the Capital Grants Receipts in Advance Account and recognised as income in the Comprehensive Income and Expenditure Statement and accounted for as above depending on whether expenditure has been incurred.</w:t>
      </w:r>
    </w:p>
    <w:p w14:paraId="221B8DA5" w14:textId="77777777" w:rsidR="00C65353" w:rsidRPr="00F242EB" w:rsidRDefault="00C65353" w:rsidP="00C65353">
      <w:pPr>
        <w:pStyle w:val="Normal00"/>
        <w:jc w:val="both"/>
        <w:rPr>
          <w:rFonts w:ascii="Verdana" w:hAnsi="Verdana"/>
          <w:sz w:val="22"/>
          <w:szCs w:val="22"/>
          <w:lang w:val="en-GB"/>
        </w:rPr>
      </w:pPr>
    </w:p>
    <w:p w14:paraId="1615C763"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 xml:space="preserve">Where capital grants are credited to the Comprehensive Income and Expenditure Statement, they are reversed out of the General Fund Balance in the Movement in Reserves Statement. </w:t>
      </w:r>
    </w:p>
    <w:p w14:paraId="5C8EEFA3" w14:textId="77777777" w:rsidR="00C65353" w:rsidRPr="00F242EB" w:rsidRDefault="00C65353" w:rsidP="00C65353">
      <w:pPr>
        <w:pStyle w:val="Normal00"/>
        <w:jc w:val="both"/>
        <w:rPr>
          <w:rFonts w:ascii="Verdana" w:hAnsi="Verdana"/>
          <w:sz w:val="22"/>
          <w:szCs w:val="22"/>
          <w:lang w:val="en-GB"/>
        </w:rPr>
      </w:pPr>
    </w:p>
    <w:p w14:paraId="728C35C6"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 xml:space="preserve">At the year end the Police and Crime Commissioner reviews all material grants and considers whether any existing conditions are outstanding, and the appropriate accounting policy treatment is then applied accordingly. </w:t>
      </w:r>
      <w:r w:rsidRPr="00C33925">
        <w:rPr>
          <w:rFonts w:ascii="Verdana" w:hAnsi="Verdana"/>
          <w:sz w:val="22"/>
          <w:szCs w:val="22"/>
          <w:lang w:val="en-GB"/>
        </w:rPr>
        <w:t>Capital grants and contributions in excess of £20,000 are considered material.</w:t>
      </w:r>
    </w:p>
    <w:p w14:paraId="4D486369"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 xml:space="preserve">Non-Current Assets – Property, Plant and Equipment </w:t>
      </w:r>
    </w:p>
    <w:p w14:paraId="6D1A98E5" w14:textId="77777777" w:rsidR="00C65353" w:rsidRPr="00F242EB" w:rsidRDefault="00C65353" w:rsidP="00C65353">
      <w:pPr>
        <w:pStyle w:val="Normal00"/>
        <w:jc w:val="both"/>
        <w:rPr>
          <w:rFonts w:ascii="Verdana" w:hAnsi="Verdana"/>
          <w:b/>
          <w:bCs/>
          <w:sz w:val="22"/>
          <w:szCs w:val="22"/>
          <w:lang w:val="en-GB"/>
        </w:rPr>
      </w:pPr>
    </w:p>
    <w:p w14:paraId="30687CA8"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 xml:space="preserve">Assets that have physical substance, are used to supply services and that are expected to be used during more than one financial year are classified as Property, Plant and Equipment. </w:t>
      </w:r>
    </w:p>
    <w:p w14:paraId="33830F6D" w14:textId="77777777" w:rsidR="00C65353" w:rsidRPr="00F242EB" w:rsidRDefault="00C65353" w:rsidP="00C65353">
      <w:pPr>
        <w:pStyle w:val="Normal00"/>
        <w:jc w:val="both"/>
        <w:rPr>
          <w:rFonts w:ascii="Verdana" w:hAnsi="Verdana"/>
          <w:sz w:val="22"/>
          <w:szCs w:val="22"/>
          <w:lang w:val="en-GB"/>
        </w:rPr>
      </w:pPr>
    </w:p>
    <w:p w14:paraId="45F38CA2"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 xml:space="preserve">Recognition </w:t>
      </w:r>
    </w:p>
    <w:p w14:paraId="2B66F9FF" w14:textId="77777777" w:rsidR="00C65353" w:rsidRPr="00F242EB" w:rsidRDefault="00C65353" w:rsidP="00C65353">
      <w:pPr>
        <w:pStyle w:val="Normal00"/>
        <w:jc w:val="both"/>
        <w:rPr>
          <w:rFonts w:ascii="Verdana" w:hAnsi="Verdana"/>
          <w:sz w:val="22"/>
          <w:szCs w:val="22"/>
          <w:lang w:val="en-GB"/>
        </w:rPr>
      </w:pPr>
    </w:p>
    <w:p w14:paraId="289168A1" w14:textId="77777777" w:rsidR="00C65353" w:rsidRDefault="00C65353" w:rsidP="00C65353">
      <w:pPr>
        <w:pStyle w:val="Normal00"/>
        <w:jc w:val="both"/>
        <w:rPr>
          <w:rFonts w:ascii="Verdana" w:hAnsi="Verdana"/>
          <w:sz w:val="22"/>
          <w:szCs w:val="22"/>
          <w:lang w:val="en-GB"/>
        </w:rPr>
      </w:pPr>
      <w:r w:rsidRPr="00F242EB">
        <w:rPr>
          <w:rFonts w:ascii="Verdana" w:hAnsi="Verdana"/>
          <w:sz w:val="22"/>
          <w:szCs w:val="22"/>
          <w:lang w:val="en-GB"/>
        </w:rPr>
        <w:t>The cost of acquisition, creation or enhancement of Property, Plant and Equipment is capitalised, provided that it is probable that the future economic benefits or service potential associated with the item will flow to the Police and Crime Commissioner for a period of more than one year, and the cost of the item can be measured reliably. Expenditure that maintains but does not add to an asset's potential to deliver future economic benefits or service potential (i.e. repairs and maintenance) is charged as an expense when it is incurred.</w:t>
      </w:r>
      <w:r>
        <w:rPr>
          <w:rFonts w:ascii="Verdana" w:hAnsi="Verdana"/>
          <w:sz w:val="22"/>
          <w:szCs w:val="22"/>
          <w:lang w:val="en-GB"/>
        </w:rPr>
        <w:t xml:space="preserve"> </w:t>
      </w:r>
      <w:r w:rsidRPr="00F242EB">
        <w:rPr>
          <w:rFonts w:ascii="Verdana" w:hAnsi="Verdana"/>
          <w:sz w:val="22"/>
          <w:szCs w:val="22"/>
          <w:lang w:val="en-GB"/>
        </w:rPr>
        <w:t xml:space="preserve">When a component is replaced, restored or enhanced, the carrying amount of the old component is de-recognised, and the new component reflected in the carrying amount. </w:t>
      </w:r>
    </w:p>
    <w:p w14:paraId="6D67BCC8" w14:textId="77777777" w:rsidR="00C65353" w:rsidRPr="001236FA" w:rsidRDefault="00C65353" w:rsidP="00C65353">
      <w:pPr>
        <w:pStyle w:val="Normal00"/>
        <w:jc w:val="both"/>
        <w:rPr>
          <w:rFonts w:ascii="Verdana" w:hAnsi="Verdana"/>
          <w:sz w:val="22"/>
          <w:szCs w:val="22"/>
          <w:lang w:val="en-GB"/>
        </w:rPr>
      </w:pPr>
    </w:p>
    <w:p w14:paraId="3FC22BC2" w14:textId="77777777" w:rsidR="00C65353" w:rsidRPr="001236FA" w:rsidRDefault="00C65353" w:rsidP="00C65353">
      <w:pPr>
        <w:pStyle w:val="Normal0"/>
        <w:jc w:val="both"/>
        <w:rPr>
          <w:rFonts w:ascii="Verdana" w:hAnsi="Verdana"/>
          <w:sz w:val="22"/>
          <w:szCs w:val="22"/>
          <w:lang w:val="en-GB"/>
        </w:rPr>
      </w:pPr>
      <w:r w:rsidRPr="001236FA">
        <w:rPr>
          <w:rFonts w:ascii="Verdana" w:hAnsi="Verdana"/>
          <w:sz w:val="22"/>
          <w:szCs w:val="22"/>
          <w:lang w:val="en-GB"/>
        </w:rPr>
        <w:t>The Police and Crime Commissioner has the following de-minimis limits for capitalisation whereby items above these amounts must be capitalised:</w:t>
      </w:r>
    </w:p>
    <w:p w14:paraId="171588EC" w14:textId="77777777" w:rsidR="00C65353" w:rsidRPr="001236FA" w:rsidRDefault="00C65353" w:rsidP="00C65353">
      <w:pPr>
        <w:pStyle w:val="ListParagraph"/>
        <w:numPr>
          <w:ilvl w:val="0"/>
          <w:numId w:val="2"/>
        </w:numPr>
        <w:ind w:left="357" w:hanging="357"/>
        <w:jc w:val="both"/>
        <w:rPr>
          <w:sz w:val="22"/>
        </w:rPr>
      </w:pPr>
      <w:r w:rsidRPr="001236FA">
        <w:rPr>
          <w:sz w:val="22"/>
        </w:rPr>
        <w:t>Land and buildings</w:t>
      </w:r>
      <w:r w:rsidRPr="001236FA">
        <w:rPr>
          <w:sz w:val="22"/>
        </w:rPr>
        <w:tab/>
      </w:r>
      <w:r w:rsidRPr="001236FA">
        <w:rPr>
          <w:sz w:val="22"/>
        </w:rPr>
        <w:tab/>
        <w:t xml:space="preserve">£100,000 </w:t>
      </w:r>
    </w:p>
    <w:p w14:paraId="3032783D" w14:textId="77777777" w:rsidR="00C65353" w:rsidRPr="001236FA" w:rsidRDefault="00C65353" w:rsidP="00C65353">
      <w:pPr>
        <w:pStyle w:val="ListParagraph"/>
        <w:numPr>
          <w:ilvl w:val="0"/>
          <w:numId w:val="2"/>
        </w:numPr>
        <w:ind w:left="357" w:hanging="357"/>
        <w:jc w:val="both"/>
        <w:rPr>
          <w:sz w:val="22"/>
        </w:rPr>
      </w:pPr>
      <w:r w:rsidRPr="001236FA">
        <w:rPr>
          <w:sz w:val="22"/>
        </w:rPr>
        <w:t>ICT and other equipment</w:t>
      </w:r>
      <w:r w:rsidRPr="001236FA">
        <w:rPr>
          <w:sz w:val="22"/>
        </w:rPr>
        <w:tab/>
        <w:t xml:space="preserve">£25,000 </w:t>
      </w:r>
    </w:p>
    <w:p w14:paraId="1B3B7FF9" w14:textId="77777777" w:rsidR="00C65353" w:rsidRPr="001236FA" w:rsidRDefault="00C65353" w:rsidP="00C65353">
      <w:pPr>
        <w:pStyle w:val="ListParagraph"/>
        <w:numPr>
          <w:ilvl w:val="0"/>
          <w:numId w:val="2"/>
        </w:numPr>
        <w:ind w:left="357" w:hanging="357"/>
        <w:jc w:val="both"/>
        <w:rPr>
          <w:sz w:val="22"/>
        </w:rPr>
      </w:pPr>
      <w:r w:rsidRPr="001236FA">
        <w:rPr>
          <w:sz w:val="22"/>
        </w:rPr>
        <w:t>Vehicles</w:t>
      </w:r>
      <w:r w:rsidRPr="001236FA">
        <w:rPr>
          <w:sz w:val="22"/>
        </w:rPr>
        <w:tab/>
      </w:r>
      <w:r w:rsidRPr="001236FA">
        <w:rPr>
          <w:sz w:val="22"/>
        </w:rPr>
        <w:tab/>
      </w:r>
      <w:r w:rsidRPr="001236FA">
        <w:rPr>
          <w:sz w:val="22"/>
        </w:rPr>
        <w:tab/>
      </w:r>
      <w:r w:rsidRPr="001236FA">
        <w:rPr>
          <w:sz w:val="22"/>
        </w:rPr>
        <w:tab/>
        <w:t>£Nil</w:t>
      </w:r>
    </w:p>
    <w:p w14:paraId="54A935B1" w14:textId="77777777" w:rsidR="00C65353" w:rsidRPr="001236FA" w:rsidRDefault="00C65353" w:rsidP="00C65353">
      <w:pPr>
        <w:pStyle w:val="Normal00"/>
        <w:jc w:val="both"/>
        <w:rPr>
          <w:rFonts w:ascii="Verdana" w:hAnsi="Verdana"/>
          <w:sz w:val="22"/>
          <w:szCs w:val="22"/>
          <w:lang w:val="en-GB"/>
        </w:rPr>
      </w:pPr>
    </w:p>
    <w:p w14:paraId="7A7DB704"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Measurement</w:t>
      </w:r>
    </w:p>
    <w:p w14:paraId="43E30DFD" w14:textId="77777777" w:rsidR="00C65353" w:rsidRPr="00F242EB" w:rsidRDefault="00C65353" w:rsidP="00C65353">
      <w:pPr>
        <w:pStyle w:val="Normal00"/>
        <w:jc w:val="both"/>
        <w:rPr>
          <w:rFonts w:ascii="Verdana" w:hAnsi="Verdana"/>
          <w:sz w:val="22"/>
          <w:szCs w:val="22"/>
          <w:lang w:val="en-GB"/>
        </w:rPr>
      </w:pPr>
    </w:p>
    <w:p w14:paraId="789C6E5C"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Items of Property, Plant and Equipment are initially measured at cost, comprising all expenditure that is directly attributable to bringing the assets into working condition for their intended use.</w:t>
      </w:r>
    </w:p>
    <w:p w14:paraId="2442BC41" w14:textId="77777777" w:rsidR="00C65353" w:rsidRPr="00F242EB" w:rsidRDefault="00C65353" w:rsidP="00C65353">
      <w:pPr>
        <w:pStyle w:val="Normal00"/>
        <w:jc w:val="both"/>
        <w:rPr>
          <w:rFonts w:ascii="Verdana" w:hAnsi="Verdana"/>
          <w:sz w:val="22"/>
          <w:szCs w:val="22"/>
          <w:lang w:val="en-GB"/>
        </w:rPr>
      </w:pPr>
    </w:p>
    <w:p w14:paraId="2F3CD4C5"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 xml:space="preserve">The Police and Crime Commissioner does not capitalise its borrowing costs. </w:t>
      </w:r>
    </w:p>
    <w:p w14:paraId="4BBB4429" w14:textId="77777777" w:rsidR="00C65353" w:rsidRPr="00F242EB" w:rsidRDefault="00C65353" w:rsidP="00C65353">
      <w:pPr>
        <w:pStyle w:val="Normal00"/>
        <w:jc w:val="both"/>
        <w:rPr>
          <w:rFonts w:ascii="Verdana" w:hAnsi="Verdana"/>
          <w:sz w:val="22"/>
          <w:szCs w:val="22"/>
          <w:lang w:val="en-GB"/>
        </w:rPr>
      </w:pPr>
    </w:p>
    <w:p w14:paraId="6A32B461"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 xml:space="preserve">The Code stipulates that assets and liabilities should be measured and disclosures provided in accordance with IFRS 13 </w:t>
      </w:r>
      <w:r w:rsidRPr="00F242EB">
        <w:rPr>
          <w:rFonts w:ascii="Verdana" w:hAnsi="Verdana"/>
          <w:i/>
          <w:sz w:val="22"/>
          <w:szCs w:val="22"/>
          <w:lang w:val="en-GB"/>
        </w:rPr>
        <w:t>Fair Value Measurement</w:t>
      </w:r>
      <w:r w:rsidRPr="00F242EB">
        <w:rPr>
          <w:rFonts w:ascii="Verdana" w:hAnsi="Verdana"/>
          <w:sz w:val="22"/>
          <w:szCs w:val="22"/>
          <w:lang w:val="en-GB"/>
        </w:rPr>
        <w:t xml:space="preserve">.  There are no adaptions to IFRS 13 for the public sector context.  However, section 4 of the Code adapts IAS 16 to require that items of property, plant and equipment that are operational and therefore providing service potential for the authority are measured for their service potential at existing use value or depreciated replacement cost, and not fair value.  Surplus assets of property, plant and equipment are measured at fair value.        </w:t>
      </w:r>
    </w:p>
    <w:p w14:paraId="363EE520" w14:textId="77777777" w:rsidR="00C65353" w:rsidRPr="00F242EB" w:rsidRDefault="00C65353" w:rsidP="00C65353">
      <w:pPr>
        <w:pStyle w:val="Normal00"/>
        <w:jc w:val="both"/>
        <w:rPr>
          <w:rFonts w:ascii="Verdana" w:hAnsi="Verdana" w:cs="Arial"/>
          <w:sz w:val="22"/>
          <w:szCs w:val="22"/>
          <w:lang w:val="en-GB"/>
        </w:rPr>
      </w:pPr>
    </w:p>
    <w:p w14:paraId="25E8C814"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Property, plant and equipment assets are therefore measured at current value as follows:</w:t>
      </w:r>
    </w:p>
    <w:p w14:paraId="6E507DBB" w14:textId="77777777" w:rsidR="00C65353" w:rsidRPr="00F242EB" w:rsidRDefault="00C65353" w:rsidP="00C65353">
      <w:pPr>
        <w:pStyle w:val="ListParagraph"/>
        <w:numPr>
          <w:ilvl w:val="0"/>
          <w:numId w:val="2"/>
        </w:numPr>
        <w:ind w:left="357" w:hanging="357"/>
        <w:jc w:val="both"/>
        <w:rPr>
          <w:sz w:val="22"/>
        </w:rPr>
      </w:pPr>
      <w:r w:rsidRPr="00F242EB">
        <w:rPr>
          <w:sz w:val="22"/>
        </w:rPr>
        <w:t>Assets under construction - depreciated historical cost</w:t>
      </w:r>
    </w:p>
    <w:p w14:paraId="20F4604D" w14:textId="77777777" w:rsidR="00C65353" w:rsidRPr="00F242EB" w:rsidRDefault="00C65353" w:rsidP="00C65353">
      <w:pPr>
        <w:pStyle w:val="ListParagraph"/>
        <w:numPr>
          <w:ilvl w:val="0"/>
          <w:numId w:val="2"/>
        </w:numPr>
        <w:ind w:left="357" w:hanging="357"/>
        <w:jc w:val="both"/>
        <w:rPr>
          <w:sz w:val="22"/>
        </w:rPr>
      </w:pPr>
      <w:r w:rsidRPr="00F242EB">
        <w:rPr>
          <w:sz w:val="22"/>
        </w:rPr>
        <w:t>Land and Buildings - current value, determined using the following bases:</w:t>
      </w:r>
    </w:p>
    <w:p w14:paraId="5A1F3D11" w14:textId="77777777" w:rsidR="00C65353" w:rsidRPr="00F242EB" w:rsidRDefault="00C65353" w:rsidP="00C65353">
      <w:pPr>
        <w:pStyle w:val="ListParagraph"/>
        <w:numPr>
          <w:ilvl w:val="1"/>
          <w:numId w:val="2"/>
        </w:numPr>
        <w:jc w:val="both"/>
        <w:rPr>
          <w:sz w:val="22"/>
        </w:rPr>
      </w:pPr>
      <w:r w:rsidRPr="00F242EB">
        <w:rPr>
          <w:sz w:val="22"/>
        </w:rPr>
        <w:t>Operational properties – Existing Use Value (EUV) in accordance with RICS valuation standards</w:t>
      </w:r>
    </w:p>
    <w:p w14:paraId="7B769FDF" w14:textId="77777777" w:rsidR="00C65353" w:rsidRPr="00F242EB" w:rsidRDefault="00C65353" w:rsidP="00C65353">
      <w:pPr>
        <w:pStyle w:val="ListParagraph"/>
        <w:numPr>
          <w:ilvl w:val="1"/>
          <w:numId w:val="2"/>
        </w:numPr>
        <w:jc w:val="both"/>
        <w:rPr>
          <w:sz w:val="22"/>
        </w:rPr>
      </w:pPr>
      <w:r w:rsidRPr="00F242EB">
        <w:rPr>
          <w:sz w:val="22"/>
        </w:rPr>
        <w:t>Operational specialised properties such as police custody centres – Depreciated Replacement Cost (DRC)</w:t>
      </w:r>
    </w:p>
    <w:p w14:paraId="10E02108" w14:textId="77777777" w:rsidR="00C65353" w:rsidRPr="00F242EB" w:rsidRDefault="00C65353" w:rsidP="00C65353">
      <w:pPr>
        <w:pStyle w:val="ListParagraph"/>
        <w:numPr>
          <w:ilvl w:val="1"/>
          <w:numId w:val="2"/>
        </w:numPr>
        <w:jc w:val="both"/>
        <w:rPr>
          <w:sz w:val="22"/>
        </w:rPr>
      </w:pPr>
      <w:r w:rsidRPr="00F242EB">
        <w:rPr>
          <w:sz w:val="22"/>
        </w:rPr>
        <w:t>Non-operational properties such as police houses – Fair Value (based on Market Value)</w:t>
      </w:r>
    </w:p>
    <w:p w14:paraId="015FDC7E" w14:textId="77777777" w:rsidR="00C65353" w:rsidRPr="00F242EB" w:rsidRDefault="00C65353" w:rsidP="00C65353">
      <w:pPr>
        <w:pStyle w:val="ListParagraph"/>
        <w:numPr>
          <w:ilvl w:val="1"/>
          <w:numId w:val="2"/>
        </w:numPr>
        <w:jc w:val="both"/>
        <w:rPr>
          <w:sz w:val="22"/>
        </w:rPr>
      </w:pPr>
      <w:r w:rsidRPr="00F242EB">
        <w:rPr>
          <w:sz w:val="22"/>
        </w:rPr>
        <w:t>All other assets – (EUV)</w:t>
      </w:r>
    </w:p>
    <w:p w14:paraId="559A842C" w14:textId="77777777" w:rsidR="00C65353" w:rsidRPr="00F242EB" w:rsidRDefault="00C65353" w:rsidP="00C65353">
      <w:pPr>
        <w:pStyle w:val="Normal00"/>
        <w:jc w:val="both"/>
        <w:rPr>
          <w:rFonts w:ascii="Verdana" w:hAnsi="Verdana" w:cs="Arial"/>
          <w:sz w:val="22"/>
          <w:szCs w:val="22"/>
          <w:lang w:val="en-GB"/>
        </w:rPr>
      </w:pPr>
    </w:p>
    <w:p w14:paraId="23CD60E2"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 xml:space="preserve">Depreciated Replacement Cost (DRC) is used for assets where there is no market-based evidence of current value and/or the asset is specialised. </w:t>
      </w:r>
    </w:p>
    <w:p w14:paraId="190A7554" w14:textId="77777777" w:rsidR="00C65353" w:rsidRPr="00F242EB" w:rsidRDefault="00C65353" w:rsidP="00C65353">
      <w:pPr>
        <w:pStyle w:val="Normal00"/>
        <w:jc w:val="both"/>
        <w:rPr>
          <w:rFonts w:ascii="Verdana" w:hAnsi="Verdana" w:cs="Arial"/>
          <w:sz w:val="22"/>
          <w:szCs w:val="22"/>
          <w:lang w:val="en-GB"/>
        </w:rPr>
      </w:pPr>
    </w:p>
    <w:p w14:paraId="4143C5F9"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Non-property assets that have short useful lives or low values (or both) are valued using the depreciated historical cost basis (</w:t>
      </w:r>
      <w:smartTag w:uri="urn:schemas-microsoft-com:office:smarttags" w:element="stockticker">
        <w:r w:rsidRPr="00F242EB">
          <w:rPr>
            <w:rFonts w:ascii="Verdana" w:hAnsi="Verdana"/>
            <w:sz w:val="22"/>
            <w:szCs w:val="22"/>
            <w:lang w:val="en-GB"/>
          </w:rPr>
          <w:t>DHC</w:t>
        </w:r>
      </w:smartTag>
      <w:r w:rsidRPr="00F242EB">
        <w:rPr>
          <w:rFonts w:ascii="Verdana" w:hAnsi="Verdana"/>
          <w:sz w:val="22"/>
          <w:szCs w:val="22"/>
          <w:lang w:val="en-GB"/>
        </w:rPr>
        <w:t>) as a proxy for current value.  This is on the assumption that the useful life is a realistic reflection of the life of the asset and the depreciation method used is a realistic reflection of the consumption of that asset class.</w:t>
      </w:r>
    </w:p>
    <w:p w14:paraId="600EAC9C" w14:textId="77777777" w:rsidR="00C65353" w:rsidRPr="00F242EB" w:rsidRDefault="00C65353" w:rsidP="00C65353">
      <w:pPr>
        <w:pStyle w:val="Normal00"/>
        <w:jc w:val="both"/>
        <w:rPr>
          <w:rFonts w:ascii="Verdana" w:hAnsi="Verdana"/>
          <w:sz w:val="22"/>
          <w:szCs w:val="22"/>
          <w:lang w:val="en-GB"/>
        </w:rPr>
      </w:pPr>
    </w:p>
    <w:p w14:paraId="2E00BDA1" w14:textId="77777777" w:rsidR="00C65353" w:rsidRDefault="00C65353" w:rsidP="00C65353">
      <w:pPr>
        <w:pStyle w:val="Normal00"/>
        <w:jc w:val="both"/>
        <w:rPr>
          <w:rFonts w:ascii="Verdana" w:hAnsi="Verdana"/>
          <w:sz w:val="22"/>
          <w:szCs w:val="22"/>
          <w:lang w:val="en-GB"/>
        </w:rPr>
      </w:pPr>
      <w:r w:rsidRPr="00F242EB">
        <w:rPr>
          <w:rFonts w:ascii="Verdana" w:hAnsi="Verdana"/>
          <w:sz w:val="22"/>
          <w:szCs w:val="22"/>
          <w:lang w:val="en-GB"/>
        </w:rPr>
        <w:t xml:space="preserve">Assets included in the Balance Sheet at fair value are re-valued sufficiently regularly to ensure that their carrying amount is not materially different from their fair value at the year-end, but as a minimum every five years. </w:t>
      </w:r>
    </w:p>
    <w:p w14:paraId="6D77A4F9" w14:textId="77777777" w:rsidR="00C65353" w:rsidRDefault="00C65353" w:rsidP="00C65353">
      <w:pPr>
        <w:pStyle w:val="Normal00"/>
        <w:jc w:val="both"/>
        <w:rPr>
          <w:rFonts w:ascii="Verdana" w:hAnsi="Verdana"/>
          <w:sz w:val="22"/>
          <w:szCs w:val="22"/>
          <w:lang w:val="en-GB"/>
        </w:rPr>
      </w:pPr>
    </w:p>
    <w:p w14:paraId="2200DC58"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Increases in valuations are recognised in the Revaluation Reserve to recognise unrealised gains unless the increase is reversing a previous impairment loss in which case it would be charged to the Comprehensive Income and Expenditure Statement.  Decreases in valuations are recognised in the Revaluation Reserve to the extent of previous revaluation increases recognised in the Revaluation Reserve in respect of that asset, and decreases in excess of that amount are recognised in the Comprehensive Income and Expenditure Statement.</w:t>
      </w:r>
    </w:p>
    <w:p w14:paraId="1611E76D" w14:textId="77777777" w:rsidR="00C65353" w:rsidRPr="00F242EB" w:rsidRDefault="00C65353" w:rsidP="00C65353">
      <w:pPr>
        <w:pStyle w:val="Normal00"/>
        <w:jc w:val="both"/>
        <w:rPr>
          <w:rFonts w:ascii="Verdana" w:hAnsi="Verdana"/>
          <w:sz w:val="22"/>
          <w:szCs w:val="22"/>
          <w:lang w:val="en-GB"/>
        </w:rPr>
      </w:pPr>
    </w:p>
    <w:p w14:paraId="47E7F0B4"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Component Assets</w:t>
      </w:r>
    </w:p>
    <w:p w14:paraId="2809F465" w14:textId="77777777" w:rsidR="00C65353" w:rsidRPr="00F242EB" w:rsidRDefault="00C65353" w:rsidP="00C65353">
      <w:pPr>
        <w:pStyle w:val="Normal00"/>
        <w:jc w:val="both"/>
        <w:rPr>
          <w:rFonts w:ascii="Verdana" w:hAnsi="Verdana"/>
          <w:sz w:val="22"/>
          <w:szCs w:val="22"/>
          <w:lang w:val="en-GB"/>
        </w:rPr>
      </w:pPr>
    </w:p>
    <w:p w14:paraId="20F199B7"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The Police and Crime Commissioner recognises and records component assets separately from the main asset with which they are associated where the component life differs significantly. The Police and Crime Commissioner has agreed an accounting policy stating that for accounting purposes, the value of the component must be above a minimum material level of £200,000 and the value of the component constitutes more than 20% of the main asset category value.  Where a component asset is identified it is written down on a straight line basis over its useful economic life in line with the depreciation policy for that class of asset.</w:t>
      </w:r>
    </w:p>
    <w:p w14:paraId="6FA2BED8" w14:textId="77777777" w:rsidR="00C65353" w:rsidRPr="00F242EB" w:rsidRDefault="00C65353" w:rsidP="00C65353">
      <w:pPr>
        <w:pStyle w:val="Normal00"/>
        <w:jc w:val="both"/>
        <w:rPr>
          <w:rFonts w:ascii="Verdana" w:hAnsi="Verdana"/>
          <w:sz w:val="22"/>
          <w:szCs w:val="22"/>
          <w:lang w:val="en-GB"/>
        </w:rPr>
      </w:pPr>
    </w:p>
    <w:p w14:paraId="51805B9B"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Impairment</w:t>
      </w:r>
    </w:p>
    <w:p w14:paraId="44471BF4" w14:textId="77777777" w:rsidR="00C65353" w:rsidRPr="00F242EB" w:rsidRDefault="00C65353" w:rsidP="00C65353">
      <w:pPr>
        <w:pStyle w:val="Normal00"/>
        <w:jc w:val="both"/>
        <w:rPr>
          <w:rFonts w:ascii="Verdana" w:hAnsi="Verdana"/>
          <w:sz w:val="22"/>
          <w:szCs w:val="22"/>
          <w:lang w:val="en-GB"/>
        </w:rPr>
      </w:pPr>
    </w:p>
    <w:p w14:paraId="770846E4"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Assets are assessed at each year-end as to whether there is any indication that an asset may be impaired.  Examples of events and changes in circumstances that indicate impairment may have incurred include:</w:t>
      </w:r>
    </w:p>
    <w:p w14:paraId="13947E36" w14:textId="77777777" w:rsidR="00C65353" w:rsidRPr="00F242EB" w:rsidRDefault="00C65353" w:rsidP="00C65353">
      <w:pPr>
        <w:pStyle w:val="Normal00"/>
        <w:jc w:val="both"/>
        <w:rPr>
          <w:rFonts w:ascii="Verdana" w:hAnsi="Verdana"/>
          <w:sz w:val="22"/>
          <w:szCs w:val="22"/>
          <w:lang w:val="en-GB"/>
        </w:rPr>
      </w:pPr>
    </w:p>
    <w:p w14:paraId="42BA87F4" w14:textId="77777777" w:rsidR="00C65353" w:rsidRPr="00F242EB" w:rsidRDefault="00C65353" w:rsidP="00C65353">
      <w:pPr>
        <w:pStyle w:val="ListParagraph"/>
        <w:numPr>
          <w:ilvl w:val="0"/>
          <w:numId w:val="2"/>
        </w:numPr>
        <w:ind w:left="357" w:hanging="357"/>
        <w:jc w:val="both"/>
        <w:rPr>
          <w:sz w:val="22"/>
        </w:rPr>
      </w:pPr>
      <w:r w:rsidRPr="00F242EB">
        <w:rPr>
          <w:sz w:val="22"/>
        </w:rPr>
        <w:t>Significant decline in a specific asset’s carrying amount during the period;</w:t>
      </w:r>
    </w:p>
    <w:p w14:paraId="08FE672C" w14:textId="77777777" w:rsidR="00C65353" w:rsidRPr="00F242EB" w:rsidRDefault="00C65353" w:rsidP="00C65353">
      <w:pPr>
        <w:pStyle w:val="ListParagraph"/>
        <w:numPr>
          <w:ilvl w:val="0"/>
          <w:numId w:val="2"/>
        </w:numPr>
        <w:ind w:left="357" w:hanging="357"/>
        <w:jc w:val="both"/>
        <w:rPr>
          <w:sz w:val="22"/>
        </w:rPr>
      </w:pPr>
      <w:r w:rsidRPr="00F242EB">
        <w:rPr>
          <w:sz w:val="22"/>
        </w:rPr>
        <w:t>Evidence of obsolescence or physical damage of an asset;</w:t>
      </w:r>
    </w:p>
    <w:p w14:paraId="22C8BA0F" w14:textId="77777777" w:rsidR="00C65353" w:rsidRPr="00F242EB" w:rsidRDefault="00C65353" w:rsidP="00C65353">
      <w:pPr>
        <w:pStyle w:val="ListParagraph"/>
        <w:numPr>
          <w:ilvl w:val="0"/>
          <w:numId w:val="2"/>
        </w:numPr>
        <w:ind w:left="357" w:hanging="357"/>
        <w:jc w:val="both"/>
        <w:rPr>
          <w:sz w:val="22"/>
        </w:rPr>
      </w:pPr>
      <w:r w:rsidRPr="00F242EB">
        <w:rPr>
          <w:sz w:val="22"/>
        </w:rPr>
        <w:t>Commitment by the Group to undertake a significant reorganisation</w:t>
      </w:r>
    </w:p>
    <w:p w14:paraId="09969856" w14:textId="77777777" w:rsidR="00C65353" w:rsidRPr="00F242EB" w:rsidRDefault="00C65353" w:rsidP="00C65353">
      <w:pPr>
        <w:pStyle w:val="ListParagraph"/>
        <w:numPr>
          <w:ilvl w:val="0"/>
          <w:numId w:val="2"/>
        </w:numPr>
        <w:ind w:left="357" w:hanging="357"/>
        <w:jc w:val="both"/>
        <w:rPr>
          <w:sz w:val="22"/>
        </w:rPr>
      </w:pPr>
      <w:r w:rsidRPr="00F242EB">
        <w:rPr>
          <w:sz w:val="22"/>
        </w:rPr>
        <w:t>Significant adverse change in the statutory or other regulatory environment in which the Group operates.</w:t>
      </w:r>
    </w:p>
    <w:p w14:paraId="715EC845" w14:textId="77777777" w:rsidR="00C65353" w:rsidRPr="00F242EB" w:rsidRDefault="00C65353" w:rsidP="00C65353">
      <w:pPr>
        <w:pStyle w:val="Normal00"/>
        <w:jc w:val="both"/>
        <w:rPr>
          <w:rFonts w:ascii="Verdana" w:hAnsi="Verdana" w:cs="Arial"/>
          <w:sz w:val="22"/>
          <w:szCs w:val="22"/>
          <w:lang w:val="en-GB"/>
        </w:rPr>
      </w:pPr>
    </w:p>
    <w:p w14:paraId="5C3605A3"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Where indications exist and any possible differences are estimated to be material, the recoverable amount of the asset is estimated and all impairment losses are recognised in the Revaluation Reserve up to the amount in the Revaluation Reserve for each respective asset and thereafter written down against the relevant service line in the Comprehensive Income and Expenditure Statement.</w:t>
      </w:r>
    </w:p>
    <w:p w14:paraId="1F8320BF" w14:textId="77777777" w:rsidR="00C65353" w:rsidRPr="00F242EB" w:rsidRDefault="00C65353" w:rsidP="00C65353">
      <w:pPr>
        <w:pStyle w:val="Normal00"/>
        <w:jc w:val="both"/>
        <w:rPr>
          <w:rFonts w:ascii="Verdana" w:hAnsi="Verdana" w:cs="Arial"/>
          <w:b/>
          <w:sz w:val="22"/>
          <w:szCs w:val="22"/>
          <w:lang w:val="en-GB"/>
        </w:rPr>
      </w:pPr>
    </w:p>
    <w:p w14:paraId="048C13C3" w14:textId="77777777" w:rsidR="00C65353" w:rsidRPr="00F242EB" w:rsidRDefault="00C65353" w:rsidP="00C65353">
      <w:pPr>
        <w:pStyle w:val="Normal00"/>
        <w:jc w:val="both"/>
        <w:rPr>
          <w:rFonts w:ascii="Verdana" w:hAnsi="Verdana" w:cs="Arial"/>
          <w:b/>
          <w:sz w:val="22"/>
          <w:szCs w:val="22"/>
          <w:lang w:val="en-GB"/>
        </w:rPr>
      </w:pPr>
      <w:r w:rsidRPr="00F242EB">
        <w:rPr>
          <w:rFonts w:ascii="Verdana" w:hAnsi="Verdana" w:cs="Arial"/>
          <w:b/>
          <w:sz w:val="22"/>
          <w:szCs w:val="22"/>
          <w:lang w:val="en-GB"/>
        </w:rPr>
        <w:t>Depreciation</w:t>
      </w:r>
    </w:p>
    <w:p w14:paraId="0CDEC130" w14:textId="77777777" w:rsidR="00C65353" w:rsidRPr="00F242EB" w:rsidRDefault="00C65353" w:rsidP="00C65353">
      <w:pPr>
        <w:pStyle w:val="Normal00"/>
        <w:jc w:val="both"/>
        <w:rPr>
          <w:rFonts w:ascii="Verdana" w:hAnsi="Verdana" w:cs="Arial"/>
          <w:sz w:val="22"/>
          <w:szCs w:val="22"/>
          <w:lang w:val="en-GB"/>
        </w:rPr>
      </w:pPr>
    </w:p>
    <w:p w14:paraId="58A5FB65"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Depreciation is provided for on all Property, Plant and Equipment assets by allocation of their depreciable amounts over their useful lives. An exception is made for assets without a determinable finite useful life (e.g. freehold land), assets that are not yet available for use (i.e. assets under construction) and assets held for sale.</w:t>
      </w:r>
    </w:p>
    <w:p w14:paraId="72AA2AEE" w14:textId="77777777" w:rsidR="00C65353" w:rsidRPr="00F242EB" w:rsidRDefault="00C65353" w:rsidP="00C65353">
      <w:pPr>
        <w:pStyle w:val="Normal00"/>
        <w:jc w:val="both"/>
        <w:rPr>
          <w:rFonts w:ascii="Verdana" w:hAnsi="Verdana" w:cs="Arial"/>
          <w:sz w:val="22"/>
          <w:szCs w:val="22"/>
          <w:lang w:val="en-GB"/>
        </w:rPr>
      </w:pPr>
    </w:p>
    <w:p w14:paraId="053DD31E"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 xml:space="preserve">Where an item of Property, Plant and Equipment asset has major components whose cost is significant in relation to the total cost of the item, the components are depreciated separately.  </w:t>
      </w:r>
    </w:p>
    <w:p w14:paraId="2FD8D3AE" w14:textId="77777777" w:rsidR="00C65353" w:rsidRPr="00F242EB" w:rsidRDefault="00C65353" w:rsidP="00C65353">
      <w:pPr>
        <w:pStyle w:val="Normal00"/>
        <w:jc w:val="both"/>
        <w:rPr>
          <w:rFonts w:ascii="Verdana" w:hAnsi="Verdana" w:cs="Arial"/>
          <w:sz w:val="22"/>
          <w:szCs w:val="22"/>
          <w:lang w:val="en-GB"/>
        </w:rPr>
      </w:pPr>
    </w:p>
    <w:p w14:paraId="2C3D9361"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Approximate average depreciation periods are as follows:</w:t>
      </w:r>
    </w:p>
    <w:p w14:paraId="514BA98F" w14:textId="77777777" w:rsidR="00C65353" w:rsidRPr="00F242EB" w:rsidRDefault="00C65353" w:rsidP="00C65353">
      <w:pPr>
        <w:pStyle w:val="Normal00"/>
        <w:jc w:val="both"/>
        <w:rPr>
          <w:rFonts w:ascii="Verdana" w:hAnsi="Verdana" w:cs="Arial"/>
          <w:sz w:val="22"/>
          <w:szCs w:val="22"/>
          <w:lang w:val="en-GB"/>
        </w:rPr>
      </w:pPr>
    </w:p>
    <w:p w14:paraId="5EB4AB10" w14:textId="77777777" w:rsidR="00C65353" w:rsidRPr="00F242EB" w:rsidRDefault="00C65353" w:rsidP="00C65353">
      <w:pPr>
        <w:pStyle w:val="Normal00"/>
        <w:numPr>
          <w:ilvl w:val="0"/>
          <w:numId w:val="3"/>
        </w:numPr>
        <w:jc w:val="both"/>
        <w:rPr>
          <w:rFonts w:ascii="Verdana" w:hAnsi="Verdana" w:cs="Arial"/>
          <w:sz w:val="22"/>
          <w:szCs w:val="22"/>
          <w:lang w:val="en-GB"/>
        </w:rPr>
      </w:pPr>
      <w:r w:rsidRPr="00F242EB">
        <w:rPr>
          <w:rFonts w:ascii="Verdana" w:hAnsi="Verdana" w:cs="Arial"/>
          <w:sz w:val="22"/>
          <w:szCs w:val="22"/>
          <w:lang w:val="en-GB"/>
        </w:rPr>
        <w:t>Buildings</w:t>
      </w:r>
      <w:r w:rsidRPr="00F242EB">
        <w:rPr>
          <w:rFonts w:ascii="Verdana" w:hAnsi="Verdana" w:cs="Arial"/>
          <w:sz w:val="22"/>
          <w:szCs w:val="22"/>
          <w:lang w:val="en-GB"/>
        </w:rPr>
        <w:tab/>
      </w:r>
      <w:r w:rsidRPr="00F242EB">
        <w:rPr>
          <w:rFonts w:ascii="Verdana" w:hAnsi="Verdana" w:cs="Arial"/>
          <w:sz w:val="22"/>
          <w:szCs w:val="22"/>
          <w:lang w:val="en-GB"/>
        </w:rPr>
        <w:tab/>
      </w:r>
      <w:r w:rsidRPr="00F242EB">
        <w:rPr>
          <w:rFonts w:ascii="Verdana" w:hAnsi="Verdana" w:cs="Arial"/>
          <w:sz w:val="22"/>
          <w:szCs w:val="22"/>
          <w:lang w:val="en-GB"/>
        </w:rPr>
        <w:tab/>
      </w:r>
      <w:r w:rsidRPr="00F242EB">
        <w:rPr>
          <w:rFonts w:ascii="Verdana" w:hAnsi="Verdana" w:cs="Arial"/>
          <w:sz w:val="22"/>
          <w:szCs w:val="22"/>
          <w:lang w:val="en-GB"/>
        </w:rPr>
        <w:tab/>
        <w:t xml:space="preserve"> 25</w:t>
      </w:r>
      <w:r>
        <w:rPr>
          <w:rFonts w:ascii="Verdana" w:hAnsi="Verdana" w:cs="Arial"/>
          <w:sz w:val="22"/>
          <w:szCs w:val="22"/>
          <w:lang w:val="en-GB"/>
        </w:rPr>
        <w:t>-60</w:t>
      </w:r>
      <w:r w:rsidRPr="00F242EB">
        <w:rPr>
          <w:rFonts w:ascii="Verdana" w:hAnsi="Verdana" w:cs="Arial"/>
          <w:sz w:val="22"/>
          <w:szCs w:val="22"/>
          <w:lang w:val="en-GB"/>
        </w:rPr>
        <w:t xml:space="preserve"> years </w:t>
      </w:r>
      <w:r w:rsidRPr="00F242EB">
        <w:rPr>
          <w:rFonts w:ascii="Verdana" w:hAnsi="Verdana" w:cs="Arial"/>
          <w:sz w:val="22"/>
          <w:szCs w:val="22"/>
          <w:lang w:val="en-GB"/>
        </w:rPr>
        <w:tab/>
        <w:t>(or as assessed by the valuer)</w:t>
      </w:r>
    </w:p>
    <w:p w14:paraId="54137607" w14:textId="77777777" w:rsidR="00C65353" w:rsidRPr="00F242EB" w:rsidRDefault="00C65353" w:rsidP="00C65353">
      <w:pPr>
        <w:pStyle w:val="Normal00"/>
        <w:numPr>
          <w:ilvl w:val="0"/>
          <w:numId w:val="3"/>
        </w:numPr>
        <w:jc w:val="both"/>
        <w:rPr>
          <w:rFonts w:ascii="Verdana" w:hAnsi="Verdana" w:cs="Arial"/>
          <w:sz w:val="22"/>
          <w:szCs w:val="22"/>
          <w:lang w:val="en-GB"/>
        </w:rPr>
      </w:pPr>
      <w:r w:rsidRPr="00F242EB">
        <w:rPr>
          <w:rFonts w:ascii="Verdana" w:hAnsi="Verdana" w:cs="Arial"/>
          <w:sz w:val="22"/>
          <w:szCs w:val="22"/>
          <w:lang w:val="en-GB"/>
        </w:rPr>
        <w:t>Plant, Furniture &amp; Equipment</w:t>
      </w:r>
      <w:r w:rsidRPr="00F242EB">
        <w:rPr>
          <w:rFonts w:ascii="Verdana" w:hAnsi="Verdana" w:cs="Arial"/>
          <w:sz w:val="22"/>
          <w:szCs w:val="22"/>
          <w:lang w:val="en-GB"/>
        </w:rPr>
        <w:tab/>
        <w:t xml:space="preserve"> 5 years </w:t>
      </w:r>
      <w:r w:rsidRPr="00F242EB">
        <w:rPr>
          <w:rFonts w:ascii="Verdana" w:hAnsi="Verdana" w:cs="Arial"/>
          <w:sz w:val="22"/>
          <w:szCs w:val="22"/>
          <w:lang w:val="en-GB"/>
        </w:rPr>
        <w:tab/>
      </w:r>
      <w:r>
        <w:rPr>
          <w:rFonts w:ascii="Verdana" w:hAnsi="Verdana" w:cs="Arial"/>
          <w:sz w:val="22"/>
          <w:szCs w:val="22"/>
          <w:lang w:val="en-GB"/>
        </w:rPr>
        <w:tab/>
      </w:r>
      <w:r w:rsidRPr="00F242EB">
        <w:rPr>
          <w:rFonts w:ascii="Verdana" w:hAnsi="Verdana" w:cs="Arial"/>
          <w:sz w:val="22"/>
          <w:szCs w:val="22"/>
          <w:lang w:val="en-GB"/>
        </w:rPr>
        <w:t>(or as assessed by the business)</w:t>
      </w:r>
    </w:p>
    <w:p w14:paraId="09A3D5FE" w14:textId="77777777" w:rsidR="00C65353" w:rsidRPr="00F242EB" w:rsidRDefault="00C65353" w:rsidP="00C65353">
      <w:pPr>
        <w:pStyle w:val="Normal00"/>
        <w:numPr>
          <w:ilvl w:val="0"/>
          <w:numId w:val="3"/>
        </w:numPr>
        <w:jc w:val="both"/>
        <w:rPr>
          <w:rFonts w:ascii="Verdana" w:hAnsi="Verdana" w:cs="Arial"/>
          <w:sz w:val="22"/>
          <w:szCs w:val="22"/>
          <w:lang w:val="en-GB"/>
        </w:rPr>
      </w:pPr>
      <w:r w:rsidRPr="00F242EB">
        <w:rPr>
          <w:rFonts w:ascii="Verdana" w:hAnsi="Verdana" w:cs="Arial"/>
          <w:sz w:val="22"/>
          <w:szCs w:val="22"/>
          <w:lang w:val="en-GB"/>
        </w:rPr>
        <w:t>Vehicles</w:t>
      </w:r>
      <w:r w:rsidRPr="00F242EB">
        <w:rPr>
          <w:rFonts w:ascii="Verdana" w:hAnsi="Verdana" w:cs="Arial"/>
          <w:sz w:val="22"/>
          <w:szCs w:val="22"/>
          <w:lang w:val="en-GB"/>
        </w:rPr>
        <w:tab/>
      </w:r>
      <w:r w:rsidRPr="00F242EB">
        <w:rPr>
          <w:rFonts w:ascii="Verdana" w:hAnsi="Verdana" w:cs="Arial"/>
          <w:sz w:val="22"/>
          <w:szCs w:val="22"/>
          <w:lang w:val="en-GB"/>
        </w:rPr>
        <w:tab/>
      </w:r>
      <w:r w:rsidRPr="00F242EB">
        <w:rPr>
          <w:rFonts w:ascii="Verdana" w:hAnsi="Verdana" w:cs="Arial"/>
          <w:sz w:val="22"/>
          <w:szCs w:val="22"/>
          <w:lang w:val="en-GB"/>
        </w:rPr>
        <w:tab/>
      </w:r>
      <w:r w:rsidRPr="00F242EB">
        <w:rPr>
          <w:rFonts w:ascii="Verdana" w:hAnsi="Verdana" w:cs="Arial"/>
          <w:sz w:val="22"/>
          <w:szCs w:val="22"/>
          <w:lang w:val="en-GB"/>
        </w:rPr>
        <w:tab/>
        <w:t xml:space="preserve"> 3-5 years </w:t>
      </w:r>
      <w:r w:rsidRPr="00F242EB">
        <w:rPr>
          <w:rFonts w:ascii="Verdana" w:hAnsi="Verdana" w:cs="Arial"/>
          <w:sz w:val="22"/>
          <w:szCs w:val="22"/>
          <w:lang w:val="en-GB"/>
        </w:rPr>
        <w:tab/>
      </w:r>
      <w:r>
        <w:rPr>
          <w:rFonts w:ascii="Verdana" w:hAnsi="Verdana" w:cs="Arial"/>
          <w:sz w:val="22"/>
          <w:szCs w:val="22"/>
          <w:lang w:val="en-GB"/>
        </w:rPr>
        <w:tab/>
      </w:r>
      <w:r w:rsidRPr="00F242EB">
        <w:rPr>
          <w:rFonts w:ascii="Verdana" w:hAnsi="Verdana" w:cs="Arial"/>
          <w:sz w:val="22"/>
          <w:szCs w:val="22"/>
          <w:lang w:val="en-GB"/>
        </w:rPr>
        <w:t xml:space="preserve">(depending on vehicle type as assessed by </w:t>
      </w:r>
    </w:p>
    <w:p w14:paraId="6D5536E1" w14:textId="77777777" w:rsidR="00C65353" w:rsidRPr="00F242EB" w:rsidRDefault="00C65353" w:rsidP="00C65353">
      <w:pPr>
        <w:pStyle w:val="Normal00"/>
        <w:ind w:left="5760" w:firstLine="720"/>
        <w:jc w:val="both"/>
        <w:rPr>
          <w:rFonts w:ascii="Verdana" w:hAnsi="Verdana" w:cs="Arial"/>
          <w:sz w:val="22"/>
          <w:szCs w:val="22"/>
          <w:lang w:val="en-GB"/>
        </w:rPr>
      </w:pPr>
      <w:r w:rsidRPr="00F242EB">
        <w:rPr>
          <w:rFonts w:ascii="Verdana" w:hAnsi="Verdana" w:cs="Arial"/>
          <w:sz w:val="22"/>
          <w:szCs w:val="22"/>
          <w:lang w:val="en-GB"/>
        </w:rPr>
        <w:t>the Transport Manager)</w:t>
      </w:r>
    </w:p>
    <w:p w14:paraId="79274C1F" w14:textId="77777777" w:rsidR="00C65353" w:rsidRPr="00F242EB" w:rsidRDefault="00C65353" w:rsidP="00C65353">
      <w:pPr>
        <w:pStyle w:val="Normal00"/>
        <w:jc w:val="both"/>
        <w:rPr>
          <w:rFonts w:ascii="Verdana" w:hAnsi="Verdana" w:cs="Arial"/>
          <w:sz w:val="22"/>
          <w:szCs w:val="22"/>
          <w:lang w:val="en-GB"/>
        </w:rPr>
      </w:pPr>
    </w:p>
    <w:p w14:paraId="73A04129"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 xml:space="preserve">Revaluation gains are depreciated, with an amount equal to the difference between current value depreciation charged on assets and the depreciation that would have been chargeable based on their historical cost being transferred each year from the Revaluation Reserve to the Capital Adjustment Account.  </w:t>
      </w:r>
    </w:p>
    <w:p w14:paraId="65F0C47E" w14:textId="77777777" w:rsidR="00C65353" w:rsidRPr="00F242EB" w:rsidRDefault="00C65353" w:rsidP="00C65353">
      <w:pPr>
        <w:pStyle w:val="Normal00"/>
        <w:jc w:val="both"/>
        <w:rPr>
          <w:rFonts w:ascii="Verdana" w:hAnsi="Verdana"/>
          <w:sz w:val="22"/>
          <w:szCs w:val="22"/>
          <w:lang w:val="en-GB"/>
        </w:rPr>
      </w:pPr>
    </w:p>
    <w:p w14:paraId="60AF06B0" w14:textId="77777777" w:rsidR="00C65353" w:rsidRPr="00F242EB" w:rsidRDefault="00C65353" w:rsidP="00C65353">
      <w:pPr>
        <w:pStyle w:val="Normal00"/>
        <w:jc w:val="both"/>
        <w:rPr>
          <w:rFonts w:ascii="Verdana" w:hAnsi="Verdana" w:cs="Arial"/>
          <w:b/>
          <w:sz w:val="22"/>
          <w:szCs w:val="22"/>
          <w:lang w:val="en-GB"/>
        </w:rPr>
      </w:pPr>
      <w:r w:rsidRPr="00F242EB">
        <w:rPr>
          <w:rFonts w:ascii="Verdana" w:hAnsi="Verdana" w:cs="Arial"/>
          <w:b/>
          <w:sz w:val="22"/>
          <w:szCs w:val="22"/>
          <w:lang w:val="en-GB"/>
        </w:rPr>
        <w:t xml:space="preserve">Disposal </w:t>
      </w:r>
    </w:p>
    <w:p w14:paraId="35A083E0" w14:textId="77777777" w:rsidR="00C65353" w:rsidRPr="00F242EB" w:rsidRDefault="00C65353" w:rsidP="00C65353">
      <w:pPr>
        <w:pStyle w:val="Normal00"/>
        <w:jc w:val="both"/>
        <w:rPr>
          <w:rFonts w:ascii="Verdana" w:hAnsi="Verdana" w:cs="Arial"/>
          <w:sz w:val="22"/>
          <w:szCs w:val="22"/>
          <w:lang w:val="en-GB"/>
        </w:rPr>
      </w:pPr>
    </w:p>
    <w:p w14:paraId="69EFFE77"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When a non-current asset is disposed of or decommissioned, the carrying amount of the asset in the Balance Sheet is written off to the Comprehensive Income and Expenditure Statement.  Disposal proceeds are credited to the Comprehensive Income and Expenditure Statement and netted off against the asset’s carrying value.  The resulting balance represents either the gain or loss on disposal.  Any revaluation gains accumulated for the asset in the Revaluation Reserve are transferred to the Capital Adjustment Account.</w:t>
      </w:r>
    </w:p>
    <w:p w14:paraId="3702101F" w14:textId="77777777" w:rsidR="00C65353" w:rsidRPr="00F242EB" w:rsidRDefault="00C65353" w:rsidP="00C65353">
      <w:pPr>
        <w:pStyle w:val="Normal00"/>
        <w:jc w:val="both"/>
        <w:rPr>
          <w:rFonts w:ascii="Verdana" w:hAnsi="Verdana" w:cs="Arial"/>
          <w:sz w:val="22"/>
          <w:szCs w:val="22"/>
          <w:lang w:val="en-GB"/>
        </w:rPr>
      </w:pPr>
    </w:p>
    <w:p w14:paraId="65313686"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Receipts in excess of £10,000 from the sale of non-current assets are defined as capital receipts and are used to fund future capital expenditure.  These receipts are transferred to the Capital Receipts Reserve via the Movement in Reserves Statement.  Individual receipts of less than £10,000 remain in the Comprehensive Income and Expenditure Statement.</w:t>
      </w:r>
    </w:p>
    <w:p w14:paraId="2C05948A" w14:textId="77777777" w:rsidR="00C65353" w:rsidRPr="00F242EB" w:rsidRDefault="00C65353" w:rsidP="00C65353">
      <w:pPr>
        <w:pStyle w:val="Normal00"/>
        <w:jc w:val="both"/>
        <w:rPr>
          <w:rFonts w:ascii="Verdana" w:hAnsi="Verdana" w:cs="Arial"/>
          <w:sz w:val="22"/>
          <w:szCs w:val="22"/>
          <w:lang w:val="en-GB"/>
        </w:rPr>
      </w:pPr>
    </w:p>
    <w:p w14:paraId="6D202E26"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The disposal value is not a charge against council tax, as the cost of non-current assets is fully provided for under a separate arrangement for capital financing.  Amounts are appropriated to the Capital Adjustment Account from the Movement in Reserves Statement.</w:t>
      </w:r>
    </w:p>
    <w:p w14:paraId="0697549B" w14:textId="77777777" w:rsidR="00C65353" w:rsidRPr="00F242EB" w:rsidRDefault="00C65353" w:rsidP="00C65353">
      <w:pPr>
        <w:pStyle w:val="Normal00"/>
        <w:jc w:val="both"/>
        <w:rPr>
          <w:rFonts w:ascii="Verdana" w:hAnsi="Verdana" w:cs="Arial"/>
          <w:sz w:val="22"/>
          <w:szCs w:val="22"/>
          <w:lang w:val="en-GB"/>
        </w:rPr>
      </w:pPr>
    </w:p>
    <w:p w14:paraId="769567E4"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 xml:space="preserve">Assets that are to be abandoned or scrapped are not reclassified as Assets Held for Sale. </w:t>
      </w:r>
    </w:p>
    <w:p w14:paraId="5CBF8EC3" w14:textId="77777777" w:rsidR="00C65353" w:rsidRPr="00F242EB" w:rsidRDefault="00C65353" w:rsidP="00C65353">
      <w:pPr>
        <w:pStyle w:val="Normal00"/>
        <w:jc w:val="both"/>
        <w:rPr>
          <w:rFonts w:ascii="Verdana" w:hAnsi="Verdana" w:cs="Arial"/>
          <w:sz w:val="22"/>
          <w:szCs w:val="22"/>
          <w:lang w:val="en-GB"/>
        </w:rPr>
      </w:pPr>
    </w:p>
    <w:p w14:paraId="3BD4AF46" w14:textId="77777777" w:rsidR="00C65353" w:rsidRPr="00F242EB" w:rsidRDefault="00C65353" w:rsidP="00C65353">
      <w:pPr>
        <w:pStyle w:val="Normal00"/>
        <w:jc w:val="both"/>
        <w:rPr>
          <w:rFonts w:ascii="Verdana" w:hAnsi="Verdana" w:cs="Arial"/>
          <w:b/>
          <w:sz w:val="22"/>
          <w:szCs w:val="22"/>
          <w:lang w:val="en-GB"/>
        </w:rPr>
      </w:pPr>
      <w:r w:rsidRPr="00F242EB">
        <w:rPr>
          <w:rFonts w:ascii="Verdana" w:hAnsi="Verdana" w:cs="Arial"/>
          <w:b/>
          <w:sz w:val="22"/>
          <w:szCs w:val="22"/>
          <w:lang w:val="en-GB"/>
        </w:rPr>
        <w:t>Assets Held for Sale</w:t>
      </w:r>
    </w:p>
    <w:p w14:paraId="6954E180" w14:textId="77777777" w:rsidR="00C65353" w:rsidRPr="00F242EB" w:rsidRDefault="00C65353" w:rsidP="00C65353">
      <w:pPr>
        <w:pStyle w:val="Normal00"/>
        <w:jc w:val="both"/>
        <w:rPr>
          <w:rFonts w:ascii="Verdana" w:hAnsi="Verdana"/>
          <w:sz w:val="22"/>
          <w:szCs w:val="22"/>
          <w:lang w:val="en-GB"/>
        </w:rPr>
      </w:pPr>
    </w:p>
    <w:p w14:paraId="785BD9DE"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 xml:space="preserve">Non-current assets are classified as Held for Sale only if they meet all of the following criteria: </w:t>
      </w:r>
    </w:p>
    <w:p w14:paraId="76C208D7" w14:textId="77777777" w:rsidR="00C65353" w:rsidRPr="00F242EB" w:rsidRDefault="00C65353" w:rsidP="00C65353">
      <w:pPr>
        <w:pStyle w:val="Normal00"/>
        <w:tabs>
          <w:tab w:val="left" w:pos="12672"/>
        </w:tabs>
        <w:jc w:val="both"/>
        <w:rPr>
          <w:rFonts w:ascii="Verdana" w:hAnsi="Verdana"/>
          <w:sz w:val="22"/>
          <w:szCs w:val="22"/>
          <w:lang w:val="en-GB"/>
        </w:rPr>
      </w:pPr>
      <w:r w:rsidRPr="00F242EB">
        <w:rPr>
          <w:rFonts w:ascii="Verdana" w:hAnsi="Verdana"/>
          <w:sz w:val="22"/>
          <w:szCs w:val="22"/>
          <w:lang w:val="en-GB"/>
        </w:rPr>
        <w:tab/>
      </w:r>
    </w:p>
    <w:p w14:paraId="0CDA0F3A" w14:textId="77777777" w:rsidR="00C65353" w:rsidRPr="00F242EB" w:rsidRDefault="00C65353" w:rsidP="00C65353">
      <w:pPr>
        <w:pStyle w:val="ListParagraph"/>
        <w:numPr>
          <w:ilvl w:val="0"/>
          <w:numId w:val="2"/>
        </w:numPr>
        <w:ind w:left="357" w:hanging="357"/>
        <w:jc w:val="both"/>
        <w:rPr>
          <w:sz w:val="22"/>
        </w:rPr>
      </w:pPr>
      <w:r w:rsidRPr="00F242EB">
        <w:rPr>
          <w:sz w:val="22"/>
        </w:rPr>
        <w:t>The asset must be available for immediate sale in its present condition;</w:t>
      </w:r>
    </w:p>
    <w:p w14:paraId="2486E5EF" w14:textId="77777777" w:rsidR="00C65353" w:rsidRPr="00F242EB" w:rsidRDefault="00C65353" w:rsidP="00C65353">
      <w:pPr>
        <w:pStyle w:val="ListParagraph"/>
        <w:numPr>
          <w:ilvl w:val="0"/>
          <w:numId w:val="2"/>
        </w:numPr>
        <w:ind w:left="357" w:hanging="357"/>
        <w:jc w:val="both"/>
        <w:rPr>
          <w:sz w:val="22"/>
        </w:rPr>
      </w:pPr>
      <w:r w:rsidRPr="00F242EB">
        <w:rPr>
          <w:sz w:val="22"/>
        </w:rPr>
        <w:t>The sale must be highly probable.  This means the appropriate level of management within the Group must be committed to a plan to sell the asset and an active programme to locate a buyer and complete the plan must have been initiated.</w:t>
      </w:r>
    </w:p>
    <w:p w14:paraId="662FCEB3" w14:textId="77777777" w:rsidR="00C65353" w:rsidRPr="00F242EB" w:rsidRDefault="00C65353" w:rsidP="00C65353">
      <w:pPr>
        <w:pStyle w:val="ListParagraph"/>
        <w:numPr>
          <w:ilvl w:val="0"/>
          <w:numId w:val="2"/>
        </w:numPr>
        <w:ind w:left="357" w:hanging="357"/>
        <w:jc w:val="both"/>
        <w:rPr>
          <w:sz w:val="22"/>
        </w:rPr>
      </w:pPr>
      <w:r w:rsidRPr="00F242EB">
        <w:rPr>
          <w:sz w:val="22"/>
        </w:rPr>
        <w:t>The asset must be actively marketed for sale at a price that is reasonable in relation to its current fair value.</w:t>
      </w:r>
    </w:p>
    <w:p w14:paraId="531990CD" w14:textId="77777777" w:rsidR="00C65353" w:rsidRPr="00F242EB" w:rsidRDefault="00C65353" w:rsidP="00C65353">
      <w:pPr>
        <w:pStyle w:val="ListParagraph"/>
        <w:numPr>
          <w:ilvl w:val="0"/>
          <w:numId w:val="2"/>
        </w:numPr>
        <w:ind w:left="357" w:hanging="357"/>
        <w:jc w:val="both"/>
        <w:rPr>
          <w:sz w:val="22"/>
        </w:rPr>
      </w:pPr>
      <w:r w:rsidRPr="00F242EB">
        <w:rPr>
          <w:sz w:val="22"/>
        </w:rPr>
        <w:t>The sale should be expected to qualify for recognition as a completed sale within one year from the date of classification and actions required to complete the plan should indicate that it is unlikely that significant changes to the plan will be made or that the plan will be withdrawn.</w:t>
      </w:r>
    </w:p>
    <w:p w14:paraId="16D4F845" w14:textId="77777777" w:rsidR="00C65353" w:rsidRPr="00F242EB" w:rsidRDefault="00C65353" w:rsidP="00C65353">
      <w:pPr>
        <w:pStyle w:val="Normal00"/>
        <w:jc w:val="both"/>
        <w:rPr>
          <w:rFonts w:ascii="Verdana" w:hAnsi="Verdana"/>
          <w:sz w:val="22"/>
          <w:szCs w:val="22"/>
          <w:lang w:val="en-GB"/>
        </w:rPr>
      </w:pPr>
    </w:p>
    <w:p w14:paraId="034522D9"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The asset is re-valued immediately before reclassification and then carried at the lower of carrying value and fair value less costs to sell.  Fair Value for Assets Held for Sale is the market value.</w:t>
      </w:r>
    </w:p>
    <w:p w14:paraId="0E567FA7" w14:textId="77777777" w:rsidR="00C65353" w:rsidRPr="00F242EB" w:rsidRDefault="00C65353" w:rsidP="00C65353">
      <w:pPr>
        <w:pStyle w:val="Normal00"/>
        <w:jc w:val="both"/>
        <w:rPr>
          <w:rFonts w:ascii="Verdana" w:hAnsi="Verdana"/>
          <w:sz w:val="22"/>
          <w:szCs w:val="22"/>
          <w:lang w:val="en-GB"/>
        </w:rPr>
      </w:pPr>
    </w:p>
    <w:p w14:paraId="276BF294"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 xml:space="preserve">If assets no longer meet the criteria to be classified as Assets Held for Sale, they are reclassified back to non-current assets and valued at the lower of their carrying amount before they were classified as held for sale; adjusted for depreciation, amortisation or revaluations that would have been recognised had they not been classified as Held for Sale, and their recoverable amount at the date of the decision not to sell.  </w:t>
      </w:r>
    </w:p>
    <w:p w14:paraId="7345D820" w14:textId="77777777" w:rsidR="00C65353" w:rsidRPr="00F242EB" w:rsidRDefault="00C65353" w:rsidP="00C65353">
      <w:pPr>
        <w:pStyle w:val="Normal00"/>
        <w:jc w:val="both"/>
        <w:rPr>
          <w:rFonts w:ascii="Verdana" w:hAnsi="Verdana"/>
          <w:sz w:val="22"/>
          <w:szCs w:val="22"/>
          <w:lang w:val="en-GB"/>
        </w:rPr>
      </w:pPr>
    </w:p>
    <w:p w14:paraId="598144F3"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Assets Held for Sale are not depreciated.</w:t>
      </w:r>
    </w:p>
    <w:p w14:paraId="4F3F0BE6" w14:textId="77777777" w:rsidR="00C65353" w:rsidRPr="00F242EB" w:rsidRDefault="00C65353" w:rsidP="00C65353">
      <w:pPr>
        <w:pStyle w:val="Normal00"/>
        <w:jc w:val="both"/>
        <w:rPr>
          <w:rFonts w:ascii="Verdana" w:hAnsi="Verdana"/>
          <w:b/>
          <w:sz w:val="22"/>
          <w:szCs w:val="22"/>
          <w:lang w:val="en-GB"/>
        </w:rPr>
      </w:pPr>
    </w:p>
    <w:p w14:paraId="40B8466E"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Inventories (Stock) and Long Term Contracts</w:t>
      </w:r>
    </w:p>
    <w:p w14:paraId="7872B58F" w14:textId="77777777" w:rsidR="00C65353" w:rsidRPr="00F242EB" w:rsidRDefault="00C65353" w:rsidP="00C65353">
      <w:pPr>
        <w:pStyle w:val="Normal00"/>
        <w:jc w:val="both"/>
        <w:rPr>
          <w:rFonts w:ascii="Verdana" w:hAnsi="Verdana"/>
          <w:sz w:val="22"/>
          <w:szCs w:val="22"/>
          <w:lang w:val="en-GB"/>
        </w:rPr>
      </w:pPr>
    </w:p>
    <w:p w14:paraId="63AC39B7"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Inventories are included in the Balance Sheet at cost.  All other expenditure on stock and stores is charged to the revenue account in the year of purchase.</w:t>
      </w:r>
    </w:p>
    <w:p w14:paraId="612F0A9A" w14:textId="77777777" w:rsidR="00C65353" w:rsidRPr="00F242EB" w:rsidRDefault="00C65353" w:rsidP="00C65353">
      <w:pPr>
        <w:pStyle w:val="Normal00"/>
        <w:jc w:val="both"/>
        <w:rPr>
          <w:rFonts w:ascii="Verdana" w:hAnsi="Verdana"/>
          <w:sz w:val="22"/>
          <w:szCs w:val="22"/>
          <w:lang w:val="en-GB"/>
        </w:rPr>
      </w:pPr>
    </w:p>
    <w:p w14:paraId="64B6B014"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This policy is a departure from the IFRS standard IAS2 which requires inventories to be valued at the lower of cost or net realisable value.  For many inventory items, particularly uniforms, net realisable value would be minimal and does not accurately reflect the value to the Group of holding these items.  The variation from IAS2 does not have a material impact on these financial statements.</w:t>
      </w:r>
    </w:p>
    <w:p w14:paraId="4F8DCBF4" w14:textId="77777777" w:rsidR="00C65353" w:rsidRPr="00F242EB" w:rsidRDefault="00C65353" w:rsidP="00C65353">
      <w:pPr>
        <w:pStyle w:val="Normal00"/>
        <w:jc w:val="both"/>
        <w:rPr>
          <w:rFonts w:ascii="Verdana" w:hAnsi="Verdana" w:cs="Arial"/>
          <w:sz w:val="22"/>
          <w:szCs w:val="22"/>
          <w:lang w:val="en-GB"/>
        </w:rPr>
      </w:pPr>
    </w:p>
    <w:p w14:paraId="0DD61D92"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Long term contracts are accounted for on the basis of charging the Surplus or Deficit on the Provision of Services with the value of works and services received under the contract during the financial year.</w:t>
      </w:r>
    </w:p>
    <w:p w14:paraId="6A3919EA" w14:textId="77777777" w:rsidR="00C65353" w:rsidRPr="00F242EB" w:rsidRDefault="00C65353" w:rsidP="00C65353">
      <w:pPr>
        <w:pStyle w:val="Normal00"/>
        <w:jc w:val="both"/>
        <w:rPr>
          <w:rFonts w:ascii="Verdana" w:hAnsi="Verdana"/>
          <w:b/>
          <w:sz w:val="22"/>
          <w:szCs w:val="22"/>
          <w:lang w:val="en-GB"/>
        </w:rPr>
      </w:pPr>
    </w:p>
    <w:p w14:paraId="67AF22B3" w14:textId="77777777" w:rsidR="00E245E6" w:rsidRDefault="00E245E6" w:rsidP="00C65353">
      <w:pPr>
        <w:pStyle w:val="Normal00"/>
        <w:jc w:val="both"/>
        <w:rPr>
          <w:rFonts w:ascii="Verdana" w:hAnsi="Verdana"/>
          <w:b/>
          <w:sz w:val="22"/>
          <w:szCs w:val="22"/>
          <w:lang w:val="en-GB"/>
        </w:rPr>
      </w:pPr>
    </w:p>
    <w:p w14:paraId="44D30EA9" w14:textId="77777777" w:rsidR="00E245E6" w:rsidRDefault="00E245E6" w:rsidP="00C65353">
      <w:pPr>
        <w:pStyle w:val="Normal00"/>
        <w:jc w:val="both"/>
        <w:rPr>
          <w:rFonts w:ascii="Verdana" w:hAnsi="Verdana"/>
          <w:b/>
          <w:sz w:val="22"/>
          <w:szCs w:val="22"/>
          <w:lang w:val="en-GB"/>
        </w:rPr>
      </w:pPr>
    </w:p>
    <w:p w14:paraId="2BA428D6"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Inve</w:t>
      </w:r>
      <w:r>
        <w:rPr>
          <w:rFonts w:ascii="Verdana" w:hAnsi="Verdana"/>
          <w:b/>
          <w:sz w:val="22"/>
          <w:szCs w:val="22"/>
          <w:lang w:val="en-GB"/>
        </w:rPr>
        <w:t>stment Property</w:t>
      </w:r>
    </w:p>
    <w:p w14:paraId="53BF52C3" w14:textId="77777777" w:rsidR="00C65353" w:rsidRPr="00F242EB" w:rsidRDefault="00C65353" w:rsidP="00C65353">
      <w:pPr>
        <w:pStyle w:val="Normal00"/>
        <w:jc w:val="both"/>
        <w:rPr>
          <w:rFonts w:ascii="Verdana" w:hAnsi="Verdana"/>
          <w:sz w:val="22"/>
          <w:szCs w:val="22"/>
          <w:lang w:val="en-GB"/>
        </w:rPr>
      </w:pPr>
    </w:p>
    <w:p w14:paraId="6DD6E571" w14:textId="77777777" w:rsidR="00C65353" w:rsidRPr="0029002A" w:rsidRDefault="00C65353" w:rsidP="00C65353">
      <w:pPr>
        <w:pStyle w:val="Normal0"/>
        <w:jc w:val="both"/>
        <w:rPr>
          <w:rFonts w:ascii="Verdana" w:hAnsi="Verdana"/>
          <w:sz w:val="22"/>
          <w:szCs w:val="22"/>
          <w:lang w:val="en-GB"/>
        </w:rPr>
      </w:pPr>
      <w:r w:rsidRPr="0029002A">
        <w:rPr>
          <w:rFonts w:ascii="Verdana" w:hAnsi="Verdana"/>
          <w:sz w:val="22"/>
          <w:szCs w:val="22"/>
          <w:lang w:val="en-GB"/>
        </w:rPr>
        <w:t xml:space="preserve">Investment properties are those that are used solely to earn rentals and/or for capital appreciation. The definition is not met if the property is used in any way to facilitate the delivery of services or production of goods or is held for sale. </w:t>
      </w:r>
    </w:p>
    <w:p w14:paraId="682D21C0" w14:textId="77777777" w:rsidR="00C65353" w:rsidRPr="0029002A" w:rsidRDefault="00C65353" w:rsidP="00C65353">
      <w:pPr>
        <w:pStyle w:val="Normal0"/>
        <w:jc w:val="both"/>
        <w:rPr>
          <w:rFonts w:ascii="Verdana" w:hAnsi="Verdana"/>
          <w:sz w:val="22"/>
          <w:szCs w:val="22"/>
          <w:lang w:val="en-GB"/>
        </w:rPr>
      </w:pPr>
    </w:p>
    <w:p w14:paraId="2674ACC7" w14:textId="77777777" w:rsidR="00C65353" w:rsidRPr="0029002A" w:rsidRDefault="00C65353" w:rsidP="00C65353">
      <w:pPr>
        <w:pStyle w:val="Normal0"/>
        <w:jc w:val="both"/>
        <w:rPr>
          <w:rFonts w:ascii="Verdana" w:hAnsi="Verdana"/>
          <w:sz w:val="22"/>
          <w:szCs w:val="22"/>
          <w:lang w:val="en-GB"/>
        </w:rPr>
      </w:pPr>
      <w:r w:rsidRPr="0029002A">
        <w:rPr>
          <w:rFonts w:ascii="Verdana" w:hAnsi="Verdana"/>
          <w:sz w:val="22"/>
          <w:szCs w:val="22"/>
          <w:lang w:val="en-GB"/>
        </w:rPr>
        <w:t xml:space="preserve">Investment properties are measured initially at cost and subsequently at fair value, being the price that would be received to sell the asset in an orderly transaction between market participants at the measurement date, this is assessed using the IFRS13 Fair Value market approach.  As a non-financial asset, investment properties are measured at highest and best use. </w:t>
      </w:r>
    </w:p>
    <w:p w14:paraId="65150297" w14:textId="77777777" w:rsidR="00C65353" w:rsidRPr="0029002A" w:rsidRDefault="00C65353" w:rsidP="00C65353">
      <w:pPr>
        <w:pStyle w:val="Normal0"/>
        <w:jc w:val="both"/>
        <w:rPr>
          <w:rFonts w:ascii="Verdana" w:hAnsi="Verdana"/>
          <w:sz w:val="22"/>
          <w:szCs w:val="22"/>
          <w:lang w:val="en-GB"/>
        </w:rPr>
      </w:pPr>
    </w:p>
    <w:p w14:paraId="721152D0" w14:textId="77777777" w:rsidR="00C65353" w:rsidRPr="003B1F1E" w:rsidRDefault="00C65353" w:rsidP="00C65353">
      <w:pPr>
        <w:pStyle w:val="Normal0"/>
        <w:jc w:val="both"/>
        <w:rPr>
          <w:rFonts w:ascii="Verdana" w:hAnsi="Verdana"/>
          <w:sz w:val="22"/>
          <w:szCs w:val="22"/>
          <w:lang w:val="en-GB"/>
        </w:rPr>
      </w:pPr>
      <w:r w:rsidRPr="0029002A">
        <w:rPr>
          <w:rFonts w:ascii="Verdana" w:hAnsi="Verdana"/>
          <w:sz w:val="22"/>
          <w:szCs w:val="22"/>
          <w:lang w:val="en-GB"/>
        </w:rPr>
        <w:t xml:space="preserve">Properties are not depreciated but are re-valued annually according to market conditions at the year-end.  The IFRS13 Fair Value market approach </w:t>
      </w:r>
      <w:r w:rsidRPr="003B1F1E">
        <w:rPr>
          <w:rFonts w:ascii="Verdana" w:hAnsi="Verdana"/>
          <w:sz w:val="22"/>
          <w:szCs w:val="22"/>
          <w:lang w:val="en-GB"/>
        </w:rPr>
        <w:t xml:space="preserve">uses prices and other relevant information (inputs) generated by market transactions involving similar properties and applies the valuer’s professional judgement in accordance with RICS valuation (professional standards published by the Royal Institution of Chartered Surveyors).  </w:t>
      </w:r>
    </w:p>
    <w:p w14:paraId="1DA2EE59" w14:textId="77777777" w:rsidR="00C65353" w:rsidRPr="003B1F1E" w:rsidRDefault="00C65353" w:rsidP="00C65353">
      <w:pPr>
        <w:pStyle w:val="Normal0"/>
        <w:jc w:val="both"/>
        <w:rPr>
          <w:rFonts w:ascii="Verdana" w:hAnsi="Verdana"/>
          <w:sz w:val="22"/>
          <w:szCs w:val="22"/>
          <w:lang w:val="en-GB"/>
        </w:rPr>
      </w:pPr>
    </w:p>
    <w:p w14:paraId="0E9E9EAE" w14:textId="77777777" w:rsidR="00C65353" w:rsidRPr="003B1F1E" w:rsidRDefault="00C65353" w:rsidP="00C65353">
      <w:pPr>
        <w:pStyle w:val="Normal0"/>
        <w:jc w:val="both"/>
        <w:rPr>
          <w:rFonts w:ascii="Verdana" w:hAnsi="Verdana"/>
          <w:sz w:val="22"/>
          <w:szCs w:val="22"/>
          <w:lang w:val="en-GB"/>
        </w:rPr>
      </w:pPr>
      <w:r w:rsidRPr="003B1F1E">
        <w:rPr>
          <w:rFonts w:ascii="Verdana" w:hAnsi="Verdana"/>
          <w:sz w:val="22"/>
          <w:szCs w:val="22"/>
          <w:lang w:val="en-GB"/>
        </w:rPr>
        <w:t xml:space="preserve">The IFRS on Fair Value includes a fair value hierarchy that categorises the inputs to valuation techniques used to measure fair value into three input levels as follows: </w:t>
      </w:r>
    </w:p>
    <w:p w14:paraId="763A4496" w14:textId="77777777" w:rsidR="00C65353" w:rsidRPr="003B1F1E" w:rsidRDefault="00C65353" w:rsidP="00C65353">
      <w:pPr>
        <w:pStyle w:val="ListParagraph"/>
        <w:numPr>
          <w:ilvl w:val="0"/>
          <w:numId w:val="2"/>
        </w:numPr>
        <w:ind w:left="357" w:hanging="357"/>
        <w:jc w:val="both"/>
        <w:rPr>
          <w:sz w:val="22"/>
        </w:rPr>
      </w:pPr>
      <w:r w:rsidRPr="003B1F1E">
        <w:rPr>
          <w:sz w:val="22"/>
        </w:rPr>
        <w:t>Level 1 Inputs – quoted prices (unadjusted) in active markets for identical assets or liabilities that the authority can access at the measurement date.</w:t>
      </w:r>
    </w:p>
    <w:p w14:paraId="3466245B" w14:textId="77777777" w:rsidR="00C65353" w:rsidRPr="003B1F1E" w:rsidRDefault="00C65353" w:rsidP="00C65353">
      <w:pPr>
        <w:pStyle w:val="ListParagraph"/>
        <w:numPr>
          <w:ilvl w:val="0"/>
          <w:numId w:val="2"/>
        </w:numPr>
        <w:ind w:left="357" w:hanging="357"/>
        <w:jc w:val="both"/>
        <w:rPr>
          <w:sz w:val="22"/>
        </w:rPr>
      </w:pPr>
      <w:r w:rsidRPr="003B1F1E">
        <w:rPr>
          <w:sz w:val="22"/>
        </w:rPr>
        <w:t>Level 2 Inputs – inputs other than quoted prices included within Level 1 that are observable for the asset or liability, either directly or indirectly.</w:t>
      </w:r>
    </w:p>
    <w:p w14:paraId="4D8D8642" w14:textId="77777777" w:rsidR="00C65353" w:rsidRPr="003B1F1E" w:rsidRDefault="00C65353" w:rsidP="00C65353">
      <w:pPr>
        <w:pStyle w:val="ListParagraph"/>
        <w:numPr>
          <w:ilvl w:val="0"/>
          <w:numId w:val="2"/>
        </w:numPr>
        <w:ind w:left="357" w:hanging="357"/>
        <w:jc w:val="both"/>
        <w:rPr>
          <w:sz w:val="22"/>
        </w:rPr>
      </w:pPr>
      <w:r w:rsidRPr="003B1F1E">
        <w:rPr>
          <w:sz w:val="22"/>
        </w:rPr>
        <w:t>Level 3 Inputs – unobservable inputs for the asset or liability.</w:t>
      </w:r>
    </w:p>
    <w:p w14:paraId="49646B97" w14:textId="77777777" w:rsidR="00C65353" w:rsidRPr="003B1F1E" w:rsidRDefault="00C65353" w:rsidP="00C65353">
      <w:pPr>
        <w:pStyle w:val="Normal0"/>
        <w:jc w:val="both"/>
        <w:rPr>
          <w:rFonts w:ascii="Verdana" w:hAnsi="Verdana"/>
          <w:sz w:val="22"/>
          <w:szCs w:val="22"/>
          <w:lang w:val="en-GB"/>
        </w:rPr>
      </w:pPr>
    </w:p>
    <w:p w14:paraId="2C8062FD" w14:textId="77777777" w:rsidR="00C65353" w:rsidRPr="0029002A" w:rsidRDefault="00C65353" w:rsidP="00C65353">
      <w:pPr>
        <w:pStyle w:val="Normal0"/>
        <w:jc w:val="both"/>
        <w:rPr>
          <w:rFonts w:ascii="Verdana" w:hAnsi="Verdana"/>
          <w:sz w:val="22"/>
          <w:szCs w:val="22"/>
          <w:lang w:val="en-GB"/>
        </w:rPr>
      </w:pPr>
      <w:r w:rsidRPr="003B1F1E">
        <w:rPr>
          <w:rFonts w:ascii="Verdana" w:hAnsi="Verdana"/>
          <w:sz w:val="22"/>
          <w:szCs w:val="22"/>
          <w:lang w:val="en-GB"/>
        </w:rPr>
        <w:t>Property market conditions in the South East of England are such that similar properties are actively purchased and sold and the level of observable inputs are significant.  We have therefore categorised the valuations of the investment portfolio as Level 2 inputs in the IFRS 13 fair value hierarchy.</w:t>
      </w:r>
      <w:r w:rsidRPr="0029002A">
        <w:rPr>
          <w:rFonts w:ascii="Verdana" w:hAnsi="Verdana"/>
          <w:sz w:val="22"/>
          <w:szCs w:val="22"/>
          <w:lang w:val="en-GB"/>
        </w:rPr>
        <w:t xml:space="preserve">  </w:t>
      </w:r>
    </w:p>
    <w:p w14:paraId="5462434C" w14:textId="77777777" w:rsidR="00C65353" w:rsidRPr="0029002A" w:rsidRDefault="00C65353" w:rsidP="00C65353">
      <w:pPr>
        <w:pStyle w:val="Normal0"/>
        <w:jc w:val="both"/>
        <w:rPr>
          <w:rFonts w:ascii="Verdana" w:hAnsi="Verdana" w:cs="Arial"/>
          <w:sz w:val="22"/>
          <w:szCs w:val="22"/>
          <w:lang w:val="en-GB"/>
        </w:rPr>
      </w:pPr>
    </w:p>
    <w:p w14:paraId="58BCAE13" w14:textId="77777777" w:rsidR="00C65353" w:rsidRPr="0029002A" w:rsidRDefault="00C65353" w:rsidP="00C65353">
      <w:pPr>
        <w:pStyle w:val="Normal0"/>
        <w:jc w:val="both"/>
        <w:rPr>
          <w:rFonts w:ascii="Verdana" w:hAnsi="Verdana" w:cs="Arial"/>
          <w:sz w:val="22"/>
          <w:szCs w:val="22"/>
          <w:lang w:val="en-GB"/>
        </w:rPr>
      </w:pPr>
      <w:r w:rsidRPr="0029002A">
        <w:rPr>
          <w:rFonts w:ascii="Verdana" w:hAnsi="Verdana" w:cs="Arial"/>
          <w:sz w:val="22"/>
          <w:szCs w:val="22"/>
          <w:lang w:val="en-GB"/>
        </w:rPr>
        <w:t xml:space="preserve">Gains and losses on revaluation are posted to the Financing and Investment Income and Expenditure line in the Comprehensive Income and Expenditure Statement. The same treatment is applied to gains and losses on disposal. </w:t>
      </w:r>
    </w:p>
    <w:p w14:paraId="596EE538" w14:textId="77777777" w:rsidR="00C65353" w:rsidRPr="0029002A" w:rsidRDefault="00C65353" w:rsidP="00C65353">
      <w:pPr>
        <w:pStyle w:val="Normal0"/>
        <w:jc w:val="both"/>
        <w:rPr>
          <w:rFonts w:ascii="Verdana" w:hAnsi="Verdana" w:cs="Arial"/>
          <w:sz w:val="22"/>
          <w:szCs w:val="22"/>
          <w:lang w:val="en-GB"/>
        </w:rPr>
      </w:pPr>
    </w:p>
    <w:p w14:paraId="0E5C78C7" w14:textId="77777777" w:rsidR="00C65353" w:rsidRPr="0029002A" w:rsidRDefault="00C65353" w:rsidP="00C65353">
      <w:pPr>
        <w:pStyle w:val="Normal0"/>
        <w:jc w:val="both"/>
        <w:rPr>
          <w:rFonts w:ascii="Verdana" w:hAnsi="Verdana" w:cs="Arial"/>
          <w:sz w:val="22"/>
          <w:szCs w:val="22"/>
          <w:lang w:val="en-GB"/>
        </w:rPr>
      </w:pPr>
      <w:r w:rsidRPr="0029002A">
        <w:rPr>
          <w:rFonts w:ascii="Verdana" w:hAnsi="Verdana" w:cs="Arial"/>
          <w:sz w:val="22"/>
          <w:szCs w:val="22"/>
          <w:lang w:val="en-GB"/>
        </w:rPr>
        <w:t>Rentals received in relation to investment properties are credited to the Financing and Investment Income line and result in a gain for the General Fund Balance.  However, revaluation and disposal gains and losses are not permitted by statutory arrangements to have an impact on the General Fund Balance. The gains and losses are therefore reversed out of the General Fund Balance in the Movement in Reserves Statement and posted to the Capital Adjustment Account and (for any sale proceeds greater than £10,000) the Capital Receipts Reserve.</w:t>
      </w:r>
    </w:p>
    <w:p w14:paraId="0C921F32" w14:textId="77777777" w:rsidR="00C65353" w:rsidRDefault="00C65353" w:rsidP="00C65353">
      <w:pPr>
        <w:pStyle w:val="Normal00"/>
        <w:jc w:val="both"/>
        <w:rPr>
          <w:rFonts w:ascii="Verdana" w:hAnsi="Verdana"/>
          <w:b/>
          <w:sz w:val="22"/>
          <w:szCs w:val="22"/>
          <w:lang w:val="en-GB"/>
        </w:rPr>
      </w:pPr>
    </w:p>
    <w:p w14:paraId="5CC37DC8"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Jointly Controlled Operations and Jointly Controlled Assets</w:t>
      </w:r>
    </w:p>
    <w:p w14:paraId="52BD3979" w14:textId="77777777" w:rsidR="00C65353" w:rsidRPr="00F242EB" w:rsidRDefault="00C65353" w:rsidP="00C65353">
      <w:pPr>
        <w:pStyle w:val="Normal00"/>
        <w:jc w:val="both"/>
        <w:rPr>
          <w:rFonts w:ascii="Verdana" w:hAnsi="Verdana"/>
          <w:sz w:val="22"/>
          <w:szCs w:val="22"/>
          <w:lang w:val="en-GB"/>
        </w:rPr>
      </w:pPr>
    </w:p>
    <w:p w14:paraId="4052AC4D" w14:textId="77777777" w:rsidR="00C65353" w:rsidRDefault="00C65353" w:rsidP="00C65353">
      <w:pPr>
        <w:pStyle w:val="Normal00"/>
        <w:jc w:val="both"/>
        <w:rPr>
          <w:rFonts w:ascii="Verdana" w:hAnsi="Verdana" w:cs="Arial"/>
          <w:sz w:val="22"/>
          <w:szCs w:val="22"/>
          <w:lang w:val="en-GB"/>
        </w:rPr>
      </w:pPr>
      <w:r>
        <w:rPr>
          <w:rFonts w:ascii="Verdana" w:hAnsi="Verdana" w:cs="Arial"/>
          <w:sz w:val="22"/>
          <w:szCs w:val="22"/>
          <w:lang w:val="en-GB"/>
        </w:rPr>
        <w:t>Joint operations are arrangements where the parties that have joint control of the arrangement have rights to the assets and obligations for the liabilities relating to the arrangement. Activities undertaken in conjunction with other joint operators involve the use of the assets and resources of those joint operators. In relation to its interest in a joint operation, the PCC/Group recognises the following as a joint operator:</w:t>
      </w:r>
    </w:p>
    <w:p w14:paraId="3EA8DB8B" w14:textId="77777777" w:rsidR="00C65353" w:rsidRPr="00F242EB" w:rsidRDefault="00C65353" w:rsidP="00C65353">
      <w:pPr>
        <w:pStyle w:val="Normal00"/>
        <w:jc w:val="both"/>
        <w:rPr>
          <w:rFonts w:ascii="Verdana" w:hAnsi="Verdana"/>
          <w:sz w:val="22"/>
          <w:szCs w:val="22"/>
          <w:lang w:val="en-GB"/>
        </w:rPr>
      </w:pPr>
    </w:p>
    <w:p w14:paraId="6EFB279A" w14:textId="77777777" w:rsidR="00C65353" w:rsidRPr="00F242EB" w:rsidRDefault="00C65353" w:rsidP="00C65353">
      <w:pPr>
        <w:pStyle w:val="ListParagraph"/>
        <w:numPr>
          <w:ilvl w:val="0"/>
          <w:numId w:val="2"/>
        </w:numPr>
        <w:ind w:left="357" w:hanging="357"/>
        <w:jc w:val="both"/>
        <w:rPr>
          <w:sz w:val="22"/>
        </w:rPr>
      </w:pPr>
      <w:r>
        <w:rPr>
          <w:sz w:val="22"/>
        </w:rPr>
        <w:t>Its assets, including its share of any assets held jointly</w:t>
      </w:r>
      <w:r w:rsidRPr="00F242EB">
        <w:rPr>
          <w:sz w:val="22"/>
        </w:rPr>
        <w:t xml:space="preserve"> </w:t>
      </w:r>
    </w:p>
    <w:p w14:paraId="342B436B" w14:textId="77777777" w:rsidR="00C65353" w:rsidRPr="00F242EB" w:rsidRDefault="00C65353" w:rsidP="00C65353">
      <w:pPr>
        <w:pStyle w:val="ListParagraph"/>
        <w:numPr>
          <w:ilvl w:val="0"/>
          <w:numId w:val="2"/>
        </w:numPr>
        <w:ind w:left="357" w:hanging="357"/>
        <w:jc w:val="both"/>
        <w:rPr>
          <w:sz w:val="22"/>
        </w:rPr>
      </w:pPr>
      <w:r>
        <w:rPr>
          <w:sz w:val="22"/>
        </w:rPr>
        <w:t>Its liabilities, including its share of any liabilities incurred jointly</w:t>
      </w:r>
    </w:p>
    <w:p w14:paraId="7AC63F1A" w14:textId="77777777" w:rsidR="00C65353" w:rsidRDefault="00C65353" w:rsidP="00C65353">
      <w:pPr>
        <w:pStyle w:val="ListParagraph"/>
        <w:numPr>
          <w:ilvl w:val="0"/>
          <w:numId w:val="2"/>
        </w:numPr>
        <w:ind w:left="357" w:hanging="357"/>
        <w:jc w:val="both"/>
        <w:rPr>
          <w:sz w:val="22"/>
        </w:rPr>
      </w:pPr>
      <w:r>
        <w:rPr>
          <w:sz w:val="22"/>
        </w:rPr>
        <w:t>Its revenue from the sale of its share of the output arising from the joint operation</w:t>
      </w:r>
    </w:p>
    <w:p w14:paraId="226FC37B" w14:textId="77777777" w:rsidR="00C65353" w:rsidRDefault="00C65353" w:rsidP="00C65353">
      <w:pPr>
        <w:pStyle w:val="ListParagraph"/>
        <w:numPr>
          <w:ilvl w:val="0"/>
          <w:numId w:val="2"/>
        </w:numPr>
        <w:ind w:left="357" w:hanging="357"/>
        <w:jc w:val="both"/>
        <w:rPr>
          <w:sz w:val="22"/>
        </w:rPr>
      </w:pPr>
      <w:r>
        <w:rPr>
          <w:sz w:val="22"/>
        </w:rPr>
        <w:t>Its share of the revenue from the sale of the output by the joint operation</w:t>
      </w:r>
    </w:p>
    <w:p w14:paraId="34AB030D" w14:textId="77777777" w:rsidR="00C65353" w:rsidRPr="00F242EB" w:rsidRDefault="00C65353" w:rsidP="00C65353">
      <w:pPr>
        <w:pStyle w:val="ListParagraph"/>
        <w:numPr>
          <w:ilvl w:val="0"/>
          <w:numId w:val="2"/>
        </w:numPr>
        <w:ind w:left="357" w:hanging="357"/>
        <w:jc w:val="both"/>
        <w:rPr>
          <w:sz w:val="22"/>
        </w:rPr>
      </w:pPr>
      <w:r>
        <w:rPr>
          <w:sz w:val="22"/>
        </w:rPr>
        <w:t>Its expenses, including its share of any expenses incurred jointly</w:t>
      </w:r>
    </w:p>
    <w:p w14:paraId="1FA0DA7F" w14:textId="77777777" w:rsidR="00C65353" w:rsidRPr="00F242EB" w:rsidRDefault="00C65353" w:rsidP="00C65353">
      <w:pPr>
        <w:pStyle w:val="Normal00"/>
        <w:jc w:val="both"/>
        <w:rPr>
          <w:rFonts w:ascii="Verdana" w:hAnsi="Verdana"/>
          <w:b/>
          <w:sz w:val="22"/>
          <w:szCs w:val="22"/>
          <w:lang w:val="en-GB"/>
        </w:rPr>
      </w:pPr>
    </w:p>
    <w:p w14:paraId="78EB0CA1"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Intangible Assets</w:t>
      </w:r>
    </w:p>
    <w:p w14:paraId="6C507C2A" w14:textId="77777777" w:rsidR="00C65353" w:rsidRPr="00F242EB" w:rsidRDefault="00C65353" w:rsidP="00C65353">
      <w:pPr>
        <w:pStyle w:val="Normal00"/>
        <w:jc w:val="both"/>
        <w:rPr>
          <w:rFonts w:ascii="Verdana" w:hAnsi="Verdana"/>
          <w:sz w:val="22"/>
          <w:szCs w:val="22"/>
          <w:lang w:val="en-GB"/>
        </w:rPr>
      </w:pPr>
    </w:p>
    <w:p w14:paraId="66B844E0"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Expenditure on non-monetary assets that do not have physical substance but are controlled by the Group as a result of past events (e.g. software licences) is capitalised when it is expected that future economic benefits or service potential will flow from the intangible asset to the Group.</w:t>
      </w:r>
    </w:p>
    <w:p w14:paraId="46373BB0" w14:textId="77777777" w:rsidR="00C65353" w:rsidRPr="00F242EB" w:rsidRDefault="00C65353" w:rsidP="00C65353">
      <w:pPr>
        <w:pStyle w:val="Normal00"/>
        <w:jc w:val="both"/>
        <w:rPr>
          <w:rFonts w:ascii="Verdana" w:hAnsi="Verdana" w:cs="Arial"/>
          <w:sz w:val="22"/>
          <w:szCs w:val="22"/>
          <w:lang w:val="en-GB"/>
        </w:rPr>
      </w:pPr>
    </w:p>
    <w:p w14:paraId="4FF9A182"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Internally generated assets are capitalised where it is demonstrable that the project is technically feasible and is intended to be completed (with adequate resources being available) and the Group will be able to generate future economic benefits or deliver service potential by being able to sell or use the asset.  Expenditure is capitalised where it can be measured reliably as attributable to the asset and is restricted to that incurred during the development phase (research expenditure cannot be capitalised).</w:t>
      </w:r>
    </w:p>
    <w:p w14:paraId="36B5D883" w14:textId="77777777" w:rsidR="00C65353" w:rsidRPr="00F242EB" w:rsidRDefault="00C65353" w:rsidP="00C65353">
      <w:pPr>
        <w:pStyle w:val="Normal00"/>
        <w:jc w:val="both"/>
        <w:rPr>
          <w:rFonts w:ascii="Verdana" w:hAnsi="Verdana"/>
          <w:sz w:val="22"/>
          <w:szCs w:val="22"/>
          <w:lang w:val="en-GB"/>
        </w:rPr>
      </w:pPr>
    </w:p>
    <w:p w14:paraId="793FDCB9"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Intangible assets are included in the Balance Sheet at amortised cost.  The depreciable amount of an intangible asset is amortised over its useful life to the relevant service revenue accounts in the Comprehensive Income and Expenditure Statement.  An asset is tested for impairment whenever there is an indication that the asset might be impaired - any losses recognised are posted to the relevant service revenue accounts in the Comprehensive Income and Expenditure Statement.  Any gains or losses arising on the disposal or abandonment of an int</w:t>
      </w:r>
      <w:r>
        <w:rPr>
          <w:rFonts w:ascii="Verdana" w:hAnsi="Verdana"/>
          <w:sz w:val="22"/>
          <w:szCs w:val="22"/>
          <w:lang w:val="en-GB"/>
        </w:rPr>
        <w:t xml:space="preserve">angible asset are posted to Other Operating Expenditure in the </w:t>
      </w:r>
      <w:r w:rsidRPr="00F242EB">
        <w:rPr>
          <w:rFonts w:ascii="Verdana" w:hAnsi="Verdana"/>
          <w:sz w:val="22"/>
          <w:szCs w:val="22"/>
          <w:lang w:val="en-GB"/>
        </w:rPr>
        <w:t>Comprehensive Income and Expenditure Statement.  Gains or losses are not permitted to have an impact on the General Fund Balance therefore they are moved out of the General Fund Balance in the Movement in Reserves Statement and posted to the Capital Adjustment Account and (for any sale proceeds greater than £10,000) the Capital Receipts Reserve.</w:t>
      </w:r>
    </w:p>
    <w:p w14:paraId="22039BD2" w14:textId="77777777" w:rsidR="00C65353" w:rsidRPr="00F242EB" w:rsidRDefault="00C65353" w:rsidP="00C65353">
      <w:pPr>
        <w:pStyle w:val="Normal00"/>
        <w:jc w:val="both"/>
        <w:rPr>
          <w:rFonts w:ascii="Verdana" w:hAnsi="Verdana"/>
          <w:b/>
          <w:sz w:val="22"/>
          <w:szCs w:val="22"/>
          <w:lang w:val="en-GB"/>
        </w:rPr>
      </w:pPr>
    </w:p>
    <w:p w14:paraId="7F7D8F71"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Charges to Revenue for Non-Current Assets</w:t>
      </w:r>
    </w:p>
    <w:p w14:paraId="0EF4DF2F" w14:textId="77777777" w:rsidR="00C65353" w:rsidRPr="00F242EB" w:rsidRDefault="00C65353" w:rsidP="00C65353">
      <w:pPr>
        <w:pStyle w:val="Normal00"/>
        <w:jc w:val="both"/>
        <w:rPr>
          <w:rFonts w:ascii="Verdana" w:hAnsi="Verdana"/>
          <w:sz w:val="22"/>
          <w:szCs w:val="22"/>
          <w:lang w:val="en-GB"/>
        </w:rPr>
      </w:pPr>
    </w:p>
    <w:p w14:paraId="6322CEBC"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The Group is not permitted to raise council tax to cover charges for depreciation, impairment losses or amortisation.  However it is required to make an annual provision from revenue towards the repayment of borrowing, known as the Minimum Revenue Provision (MRP).</w:t>
      </w:r>
    </w:p>
    <w:p w14:paraId="4961F922" w14:textId="77777777" w:rsidR="00C65353" w:rsidRPr="00F242EB" w:rsidRDefault="00C65353" w:rsidP="00C65353">
      <w:pPr>
        <w:pStyle w:val="Normal00"/>
        <w:jc w:val="both"/>
        <w:rPr>
          <w:rFonts w:ascii="Verdana" w:hAnsi="Verdana"/>
          <w:sz w:val="22"/>
          <w:szCs w:val="22"/>
          <w:lang w:val="en-GB"/>
        </w:rPr>
      </w:pPr>
    </w:p>
    <w:p w14:paraId="4E9F6A56"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Depreciation, impairment losses and amortisation are reversed from the General Fund via the Movement in Reserves Statement and MRP is charged as a contribution to the Capital Adjustment Account.</w:t>
      </w:r>
    </w:p>
    <w:p w14:paraId="54BF4F0A" w14:textId="77777777" w:rsidR="00C65353" w:rsidRPr="00F242EB" w:rsidRDefault="00C65353" w:rsidP="00C65353">
      <w:pPr>
        <w:pStyle w:val="Normal00"/>
        <w:jc w:val="both"/>
        <w:rPr>
          <w:rFonts w:ascii="Verdana" w:hAnsi="Verdana"/>
          <w:b/>
          <w:sz w:val="22"/>
          <w:szCs w:val="22"/>
          <w:lang w:val="en-GB"/>
        </w:rPr>
      </w:pPr>
    </w:p>
    <w:p w14:paraId="4A481EC1"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Debts Outstanding</w:t>
      </w:r>
    </w:p>
    <w:p w14:paraId="4BD0B013" w14:textId="77777777" w:rsidR="00C65353" w:rsidRPr="00F242EB" w:rsidRDefault="00C65353" w:rsidP="00C65353">
      <w:pPr>
        <w:pStyle w:val="Normal00"/>
        <w:jc w:val="both"/>
        <w:rPr>
          <w:rFonts w:ascii="Verdana" w:hAnsi="Verdana"/>
          <w:sz w:val="22"/>
          <w:szCs w:val="22"/>
          <w:lang w:val="en-GB"/>
        </w:rPr>
      </w:pPr>
    </w:p>
    <w:p w14:paraId="1FFF9A34"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Income is accounted for on an accruals basis.  Debts that cannot be collected are written off via the Comprehensive Income and Expenditure Statement to the command team or department that raised the debt.  The level of any bad debt provision is reviewed annually.</w:t>
      </w:r>
    </w:p>
    <w:p w14:paraId="2BCB7371" w14:textId="77777777" w:rsidR="00C65353" w:rsidRPr="00F242EB" w:rsidRDefault="00C65353" w:rsidP="00C65353">
      <w:pPr>
        <w:pStyle w:val="Normal00"/>
        <w:jc w:val="both"/>
        <w:rPr>
          <w:rFonts w:ascii="Verdana" w:hAnsi="Verdana" w:cs="Arial"/>
          <w:sz w:val="22"/>
          <w:szCs w:val="22"/>
          <w:lang w:val="en-GB"/>
        </w:rPr>
      </w:pPr>
    </w:p>
    <w:p w14:paraId="37187285"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 xml:space="preserve">The writing off of bad debt can be authorised by either the PCC’s CFO or the CC’s Executive Director of Commercial &amp; Finance Services in respect of their own corporations up to a value of £10,000 for individual bad debt cases and £25,000 cumulatively in any one financial year.  The write off of bad debts greater than these limits requires the approval of both CC’s Executive Director of Commercial &amp; Finance Services and PCC’s CFO up to a maximum of a cumulative value of £50,000 in any one financial year. </w:t>
      </w:r>
      <w:r>
        <w:rPr>
          <w:rFonts w:ascii="Verdana" w:hAnsi="Verdana" w:cs="Arial"/>
          <w:sz w:val="22"/>
          <w:szCs w:val="22"/>
          <w:lang w:val="en-GB"/>
        </w:rPr>
        <w:t>T</w:t>
      </w:r>
      <w:r w:rsidRPr="00F242EB">
        <w:rPr>
          <w:rFonts w:ascii="Verdana" w:hAnsi="Verdana" w:cs="Arial"/>
          <w:sz w:val="22"/>
          <w:szCs w:val="22"/>
          <w:lang w:val="en-GB"/>
        </w:rPr>
        <w:t xml:space="preserve">he PCC will approve where appropriate the writing off of debts in excess of the CFOs delegated authority. </w:t>
      </w:r>
    </w:p>
    <w:p w14:paraId="3FEE2232" w14:textId="77777777" w:rsidR="00C65353" w:rsidRPr="00F242EB" w:rsidRDefault="00C65353" w:rsidP="00C65353">
      <w:pPr>
        <w:pStyle w:val="Normal00"/>
        <w:jc w:val="both"/>
        <w:rPr>
          <w:rFonts w:ascii="Verdana" w:hAnsi="Verdana"/>
          <w:b/>
          <w:sz w:val="22"/>
          <w:szCs w:val="22"/>
          <w:lang w:val="en-GB"/>
        </w:rPr>
      </w:pPr>
    </w:p>
    <w:p w14:paraId="2DA2B5C0"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 xml:space="preserve">Reserves </w:t>
      </w:r>
    </w:p>
    <w:p w14:paraId="56235B91" w14:textId="77777777" w:rsidR="00C65353" w:rsidRPr="00F242EB" w:rsidRDefault="00C65353" w:rsidP="00C65353">
      <w:pPr>
        <w:pStyle w:val="Normal00"/>
        <w:jc w:val="both"/>
        <w:rPr>
          <w:rFonts w:ascii="Verdana" w:hAnsi="Verdana"/>
          <w:sz w:val="22"/>
          <w:szCs w:val="22"/>
          <w:lang w:val="en-GB"/>
        </w:rPr>
      </w:pPr>
    </w:p>
    <w:p w14:paraId="257CBB32"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 xml:space="preserve">The Group maintains reserves to finance future commitments, unforeseen circumstances, fluctuations in annual grant settlements and council tax precepts and emergency expenditure which cannot be contained within the approved budget.  The approved Reserves Policy sets a target for the level of General Reserve of 3% of </w:t>
      </w:r>
      <w:r>
        <w:rPr>
          <w:rFonts w:ascii="Verdana" w:hAnsi="Verdana" w:cs="Arial"/>
          <w:sz w:val="22"/>
          <w:szCs w:val="22"/>
          <w:lang w:val="en-GB"/>
        </w:rPr>
        <w:t xml:space="preserve">net </w:t>
      </w:r>
      <w:r w:rsidRPr="00F242EB">
        <w:rPr>
          <w:rFonts w:ascii="Verdana" w:hAnsi="Verdana" w:cs="Arial"/>
          <w:sz w:val="22"/>
          <w:szCs w:val="22"/>
          <w:lang w:val="en-GB"/>
        </w:rPr>
        <w:t>budgeted expenditure.</w:t>
      </w:r>
    </w:p>
    <w:p w14:paraId="3D2627C2" w14:textId="77777777" w:rsidR="00C65353" w:rsidRPr="00F242EB" w:rsidRDefault="00C65353" w:rsidP="00C65353">
      <w:pPr>
        <w:pStyle w:val="Normal00"/>
        <w:jc w:val="both"/>
        <w:rPr>
          <w:rFonts w:ascii="Verdana" w:hAnsi="Verdana" w:cs="Arial"/>
          <w:sz w:val="22"/>
          <w:szCs w:val="22"/>
          <w:lang w:val="en-GB"/>
        </w:rPr>
      </w:pPr>
    </w:p>
    <w:p w14:paraId="7BD018F6"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Certain reserves are kept to manage the accounting processes for non-current assets, retirement benefits and other employee benefits and do not represent usable resources for the Group.</w:t>
      </w:r>
    </w:p>
    <w:p w14:paraId="795A8D40" w14:textId="77777777" w:rsidR="00C65353" w:rsidRPr="00F242EB" w:rsidRDefault="00C65353" w:rsidP="00C65353">
      <w:pPr>
        <w:pStyle w:val="Normal00"/>
        <w:jc w:val="both"/>
        <w:rPr>
          <w:rFonts w:ascii="Verdana" w:hAnsi="Verdana"/>
          <w:sz w:val="22"/>
          <w:szCs w:val="22"/>
          <w:lang w:val="en-GB"/>
        </w:rPr>
      </w:pPr>
    </w:p>
    <w:p w14:paraId="21E9C211"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The nature and purpose of each reserve set up by the Group is described in the Notes to the Financial Statements.</w:t>
      </w:r>
    </w:p>
    <w:p w14:paraId="1FC6DCB8" w14:textId="77777777" w:rsidR="00C65353" w:rsidRPr="00F242EB" w:rsidRDefault="00C65353" w:rsidP="00C65353">
      <w:pPr>
        <w:pStyle w:val="Normal00"/>
        <w:jc w:val="both"/>
        <w:rPr>
          <w:rFonts w:ascii="Verdana" w:hAnsi="Verdana"/>
          <w:sz w:val="22"/>
          <w:szCs w:val="22"/>
          <w:lang w:val="en-GB"/>
        </w:rPr>
      </w:pPr>
    </w:p>
    <w:p w14:paraId="2B0E50D1"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 xml:space="preserve">The classification of reserves is consistent with the CIPFA Code of Practice and is reviewed annually by the Police and Crime Commissioner.  </w:t>
      </w:r>
    </w:p>
    <w:p w14:paraId="5F3F30D3" w14:textId="77777777" w:rsidR="00C65353" w:rsidRPr="00F242EB" w:rsidRDefault="00C65353" w:rsidP="00C65353">
      <w:pPr>
        <w:pStyle w:val="Normal00"/>
        <w:jc w:val="both"/>
        <w:rPr>
          <w:rFonts w:ascii="Verdana" w:hAnsi="Verdana"/>
          <w:b/>
          <w:sz w:val="22"/>
          <w:szCs w:val="22"/>
          <w:lang w:val="en-GB"/>
        </w:rPr>
      </w:pPr>
    </w:p>
    <w:p w14:paraId="1640F2C2"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 xml:space="preserve">Overheads and Support Services </w:t>
      </w:r>
    </w:p>
    <w:p w14:paraId="54ADC9BA" w14:textId="77777777" w:rsidR="00C65353" w:rsidRPr="00F242EB" w:rsidRDefault="00C65353" w:rsidP="00C65353">
      <w:pPr>
        <w:pStyle w:val="Normal00"/>
        <w:jc w:val="both"/>
        <w:rPr>
          <w:rFonts w:ascii="Verdana" w:hAnsi="Verdana"/>
          <w:sz w:val="22"/>
          <w:szCs w:val="22"/>
          <w:lang w:val="en-GB"/>
        </w:rPr>
      </w:pPr>
    </w:p>
    <w:p w14:paraId="2A20C8D3"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 xml:space="preserve">The costs of overheads and support services are charged </w:t>
      </w:r>
      <w:r>
        <w:rPr>
          <w:rFonts w:ascii="Verdana" w:hAnsi="Verdana"/>
          <w:sz w:val="22"/>
          <w:szCs w:val="22"/>
          <w:lang w:val="en-GB"/>
        </w:rPr>
        <w:t>to the Comprehensive Income and Expenditure Statement in accordance with the PCC/Group arrangements for accountability and financial performance.</w:t>
      </w:r>
      <w:r w:rsidRPr="00F242EB">
        <w:rPr>
          <w:rFonts w:ascii="Verdana" w:hAnsi="Verdana"/>
          <w:sz w:val="22"/>
          <w:szCs w:val="22"/>
          <w:lang w:val="en-GB"/>
        </w:rPr>
        <w:t xml:space="preserve"> </w:t>
      </w:r>
    </w:p>
    <w:p w14:paraId="46C521D7" w14:textId="77777777" w:rsidR="00C65353" w:rsidRPr="00F242EB" w:rsidRDefault="00C65353" w:rsidP="00C65353">
      <w:pPr>
        <w:pStyle w:val="Normal00"/>
        <w:jc w:val="both"/>
        <w:rPr>
          <w:rFonts w:ascii="Verdana" w:hAnsi="Verdana"/>
          <w:b/>
          <w:sz w:val="22"/>
          <w:szCs w:val="22"/>
          <w:lang w:val="en-GB"/>
        </w:rPr>
      </w:pPr>
    </w:p>
    <w:p w14:paraId="13B0111F" w14:textId="77777777" w:rsidR="00C65353" w:rsidRPr="00F242EB" w:rsidRDefault="00C65353" w:rsidP="00C65353">
      <w:pPr>
        <w:pStyle w:val="Normal00"/>
        <w:jc w:val="both"/>
        <w:rPr>
          <w:rFonts w:ascii="Verdana" w:hAnsi="Verdana"/>
          <w:sz w:val="22"/>
          <w:szCs w:val="22"/>
          <w:lang w:val="en-GB"/>
        </w:rPr>
      </w:pPr>
      <w:r w:rsidRPr="00F242EB">
        <w:rPr>
          <w:rFonts w:ascii="Verdana" w:hAnsi="Verdana"/>
          <w:b/>
          <w:sz w:val="22"/>
          <w:szCs w:val="22"/>
          <w:lang w:val="en-GB"/>
        </w:rPr>
        <w:t>Provisions and Contingent Liabilities</w:t>
      </w:r>
      <w:r w:rsidRPr="00F242EB">
        <w:rPr>
          <w:rFonts w:ascii="Verdana" w:hAnsi="Verdana"/>
          <w:sz w:val="22"/>
          <w:szCs w:val="22"/>
          <w:lang w:val="en-GB"/>
        </w:rPr>
        <w:t xml:space="preserve"> </w:t>
      </w:r>
    </w:p>
    <w:p w14:paraId="648D87D5" w14:textId="77777777" w:rsidR="00C65353" w:rsidRPr="00F242EB" w:rsidRDefault="00C65353" w:rsidP="00C65353">
      <w:pPr>
        <w:pStyle w:val="Normal00"/>
        <w:jc w:val="both"/>
        <w:rPr>
          <w:rFonts w:ascii="Verdana" w:hAnsi="Verdana"/>
          <w:sz w:val="22"/>
          <w:szCs w:val="22"/>
          <w:lang w:val="en-GB"/>
        </w:rPr>
      </w:pPr>
    </w:p>
    <w:p w14:paraId="24A0F1B6"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 xml:space="preserve">Provisions </w:t>
      </w:r>
    </w:p>
    <w:p w14:paraId="4D65AC35" w14:textId="77777777" w:rsidR="00C65353" w:rsidRPr="00F242EB" w:rsidRDefault="00C65353" w:rsidP="00C65353">
      <w:pPr>
        <w:pStyle w:val="Normal00"/>
        <w:jc w:val="both"/>
        <w:rPr>
          <w:rFonts w:ascii="Verdana" w:hAnsi="Verdana"/>
          <w:b/>
          <w:bCs/>
          <w:sz w:val="22"/>
          <w:szCs w:val="22"/>
          <w:lang w:val="en-GB"/>
        </w:rPr>
      </w:pPr>
    </w:p>
    <w:p w14:paraId="508C45F8"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Provisions are made where an event has taken place that gives the Group a legal or constructive obligation that probably requires settlement by a transfer of economic benefits or service potential, and a reliable estimate can be made of the amount of the obligation, but where the timing of transfer is uncertain.  Provisions are recognised on the Balance Sheet.</w:t>
      </w:r>
    </w:p>
    <w:p w14:paraId="30651755" w14:textId="77777777" w:rsidR="00C65353" w:rsidRPr="00F242EB" w:rsidRDefault="00C65353" w:rsidP="00C65353">
      <w:pPr>
        <w:pStyle w:val="Normal00"/>
        <w:jc w:val="both"/>
        <w:rPr>
          <w:rFonts w:ascii="Verdana" w:hAnsi="Verdana"/>
          <w:b/>
          <w:sz w:val="22"/>
          <w:szCs w:val="22"/>
          <w:lang w:val="en-GB"/>
        </w:rPr>
      </w:pPr>
    </w:p>
    <w:p w14:paraId="313CE25C"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Contingent Liabilities</w:t>
      </w:r>
    </w:p>
    <w:p w14:paraId="07C4AC08" w14:textId="77777777" w:rsidR="00C65353" w:rsidRPr="00F242EB" w:rsidRDefault="00C65353" w:rsidP="00C65353">
      <w:pPr>
        <w:pStyle w:val="Normal00"/>
        <w:jc w:val="both"/>
        <w:rPr>
          <w:rFonts w:ascii="Verdana" w:hAnsi="Verdana"/>
          <w:sz w:val="22"/>
          <w:szCs w:val="22"/>
          <w:lang w:val="en-GB"/>
        </w:rPr>
      </w:pPr>
    </w:p>
    <w:p w14:paraId="1F0862C2"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A contingent liability arises where an event has taken place that gives the Group a possible obligation whose existence will only be confirmed by the occurrence or otherwise of uncertain future events not wholly within the control of the Group. Contingent liabilities also arise in circumstances where a provision would otherwise be made but either it is not probable that an outflow of resources will be required or the amount of the obligation cannot be measured reliably.  Contingent liabilities are not recognised in the Balance Sheet but disclosed in a note to the accounts.</w:t>
      </w:r>
    </w:p>
    <w:p w14:paraId="1FC17AA1" w14:textId="77777777" w:rsidR="00C65353" w:rsidRPr="00F242EB" w:rsidRDefault="00C65353" w:rsidP="00C65353">
      <w:pPr>
        <w:pStyle w:val="Normal00"/>
        <w:jc w:val="both"/>
        <w:rPr>
          <w:rFonts w:ascii="Verdana" w:hAnsi="Verdana"/>
          <w:b/>
          <w:sz w:val="22"/>
          <w:szCs w:val="22"/>
          <w:lang w:val="en-GB"/>
        </w:rPr>
      </w:pPr>
    </w:p>
    <w:p w14:paraId="6FE636DE" w14:textId="77777777" w:rsidR="00E245E6" w:rsidRDefault="00E245E6" w:rsidP="00C65353">
      <w:pPr>
        <w:pStyle w:val="Normal00"/>
        <w:jc w:val="both"/>
        <w:rPr>
          <w:rFonts w:ascii="Verdana" w:hAnsi="Verdana"/>
          <w:b/>
          <w:sz w:val="22"/>
          <w:szCs w:val="22"/>
          <w:lang w:val="en-GB"/>
        </w:rPr>
      </w:pPr>
    </w:p>
    <w:p w14:paraId="5C8A3745"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Precept Income</w:t>
      </w:r>
    </w:p>
    <w:p w14:paraId="3D774887" w14:textId="77777777" w:rsidR="00C65353" w:rsidRPr="00F242EB" w:rsidRDefault="00C65353" w:rsidP="00C65353">
      <w:pPr>
        <w:pStyle w:val="Normal00"/>
        <w:jc w:val="both"/>
        <w:rPr>
          <w:rFonts w:ascii="Verdana" w:hAnsi="Verdana" w:cs="Arial"/>
          <w:sz w:val="22"/>
          <w:szCs w:val="22"/>
          <w:lang w:val="en-GB"/>
        </w:rPr>
      </w:pPr>
    </w:p>
    <w:p w14:paraId="2426438D"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 xml:space="preserve">Precept income from relevant local authorities is fixed for the year and not subject to revision.  </w:t>
      </w:r>
    </w:p>
    <w:p w14:paraId="6AFA5043" w14:textId="77777777" w:rsidR="00C65353" w:rsidRPr="00F242EB" w:rsidRDefault="00C65353" w:rsidP="00C65353">
      <w:pPr>
        <w:pStyle w:val="Normal00"/>
        <w:jc w:val="both"/>
        <w:rPr>
          <w:rFonts w:ascii="Verdana" w:hAnsi="Verdana"/>
          <w:b/>
          <w:sz w:val="22"/>
          <w:szCs w:val="22"/>
          <w:lang w:val="en-GB"/>
        </w:rPr>
      </w:pPr>
    </w:p>
    <w:p w14:paraId="1FE60497"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VAT</w:t>
      </w:r>
    </w:p>
    <w:p w14:paraId="564ADE36" w14:textId="77777777" w:rsidR="00C65353" w:rsidRPr="00F242EB" w:rsidRDefault="00C65353" w:rsidP="00C65353">
      <w:pPr>
        <w:pStyle w:val="Normal00"/>
        <w:jc w:val="both"/>
        <w:rPr>
          <w:rFonts w:ascii="Verdana" w:hAnsi="Verdana" w:cs="Arial"/>
          <w:sz w:val="22"/>
          <w:szCs w:val="22"/>
          <w:lang w:val="en-GB"/>
        </w:rPr>
      </w:pPr>
    </w:p>
    <w:p w14:paraId="113B90CA"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 xml:space="preserve">VAT payable is included as an expense only to the extent that it is not recoverable from Her Majesty's Revenue and Customs. VAT receivable is excluded from income. </w:t>
      </w:r>
    </w:p>
    <w:p w14:paraId="352E60B0" w14:textId="77777777" w:rsidR="00C65353" w:rsidRPr="00F242EB" w:rsidRDefault="00C65353" w:rsidP="00C65353">
      <w:pPr>
        <w:pStyle w:val="Normal00"/>
        <w:jc w:val="both"/>
        <w:rPr>
          <w:rFonts w:ascii="Verdana" w:hAnsi="Verdana" w:cs="Arial"/>
          <w:sz w:val="22"/>
          <w:szCs w:val="22"/>
          <w:lang w:val="en-GB"/>
        </w:rPr>
      </w:pPr>
    </w:p>
    <w:p w14:paraId="4F400878"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sz w:val="22"/>
          <w:szCs w:val="22"/>
          <w:lang w:val="en-GB"/>
        </w:rPr>
        <w:t xml:space="preserve">A single VAT return is submitted on behalf of the Group.  </w:t>
      </w:r>
    </w:p>
    <w:p w14:paraId="6691B6D6" w14:textId="77777777" w:rsidR="00C65353" w:rsidRPr="00F242EB" w:rsidRDefault="00C65353" w:rsidP="00C65353">
      <w:pPr>
        <w:pStyle w:val="Normal00"/>
        <w:jc w:val="both"/>
        <w:rPr>
          <w:rFonts w:ascii="Verdana" w:hAnsi="Verdana"/>
          <w:b/>
          <w:sz w:val="22"/>
          <w:szCs w:val="22"/>
          <w:lang w:val="en-GB"/>
        </w:rPr>
      </w:pPr>
    </w:p>
    <w:p w14:paraId="7F202860"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Leases</w:t>
      </w:r>
    </w:p>
    <w:p w14:paraId="0FB9D5A7" w14:textId="77777777" w:rsidR="00C65353" w:rsidRPr="00F242EB" w:rsidRDefault="00C65353" w:rsidP="00C65353">
      <w:pPr>
        <w:pStyle w:val="Normal00"/>
        <w:jc w:val="both"/>
        <w:rPr>
          <w:rFonts w:ascii="Verdana" w:hAnsi="Verdana"/>
          <w:sz w:val="22"/>
          <w:szCs w:val="22"/>
          <w:lang w:val="en-GB"/>
        </w:rPr>
      </w:pPr>
    </w:p>
    <w:p w14:paraId="674614FF"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 xml:space="preserve">Leases are classified as either finance leases or operating leases based on risks and rewards of ownership.  </w:t>
      </w:r>
    </w:p>
    <w:p w14:paraId="06A076B9" w14:textId="77777777" w:rsidR="00C65353" w:rsidRPr="00F242EB" w:rsidRDefault="00C65353" w:rsidP="00C65353">
      <w:pPr>
        <w:pStyle w:val="Normal00"/>
        <w:jc w:val="both"/>
        <w:rPr>
          <w:rFonts w:ascii="Verdana" w:hAnsi="Verdana"/>
          <w:sz w:val="22"/>
          <w:szCs w:val="22"/>
          <w:lang w:val="en-GB"/>
        </w:rPr>
      </w:pPr>
    </w:p>
    <w:p w14:paraId="54F742E4"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Leases are classified as finance leases where the terms of the lease transfer substantially all the risks and rewards incidental to ownership of the property, plant or equipment from the lessor to the lessee. All other leases are classified as operating leases.   Where a lease covers both land and buildings, the land and buildings elements are considered separately for classification.</w:t>
      </w:r>
    </w:p>
    <w:p w14:paraId="2CCDFAB3" w14:textId="77777777" w:rsidR="00C65353" w:rsidRPr="00F242EB" w:rsidRDefault="00C65353" w:rsidP="00C65353">
      <w:pPr>
        <w:pStyle w:val="Normal00"/>
        <w:jc w:val="both"/>
        <w:rPr>
          <w:rFonts w:ascii="Verdana" w:hAnsi="Verdana"/>
          <w:sz w:val="22"/>
          <w:szCs w:val="22"/>
          <w:lang w:val="en-GB"/>
        </w:rPr>
      </w:pPr>
    </w:p>
    <w:p w14:paraId="75175EA5"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Arrangements that do not have the legal status of a lease but convey a right to use an asset in return for payment are accounted for under this policy where fulfilment of the arrangement is dependent on the use of specific assets.</w:t>
      </w:r>
    </w:p>
    <w:p w14:paraId="1C96D3EF" w14:textId="77777777" w:rsidR="00C65353" w:rsidRPr="00F242EB" w:rsidRDefault="00C65353" w:rsidP="00C65353">
      <w:pPr>
        <w:pStyle w:val="Normal00"/>
        <w:jc w:val="both"/>
        <w:rPr>
          <w:rFonts w:ascii="Verdana" w:hAnsi="Verdana"/>
          <w:b/>
          <w:sz w:val="22"/>
          <w:szCs w:val="22"/>
          <w:lang w:val="en-GB"/>
        </w:rPr>
      </w:pPr>
    </w:p>
    <w:p w14:paraId="614D3231"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The Police and Crime Commissioner as Lessee</w:t>
      </w:r>
    </w:p>
    <w:p w14:paraId="698B6EBF" w14:textId="77777777" w:rsidR="00C65353" w:rsidRPr="00F242EB" w:rsidRDefault="00C65353" w:rsidP="00C65353">
      <w:pPr>
        <w:pStyle w:val="Normal00"/>
        <w:jc w:val="both"/>
        <w:rPr>
          <w:rFonts w:ascii="Verdana" w:hAnsi="Verdana"/>
          <w:sz w:val="22"/>
          <w:szCs w:val="22"/>
          <w:lang w:val="en-GB"/>
        </w:rPr>
      </w:pPr>
    </w:p>
    <w:p w14:paraId="25247346"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Finance Leases</w:t>
      </w:r>
    </w:p>
    <w:p w14:paraId="02670EC3" w14:textId="77777777" w:rsidR="00C65353" w:rsidRPr="00F242EB" w:rsidRDefault="00C65353" w:rsidP="00C65353">
      <w:pPr>
        <w:pStyle w:val="Normal00"/>
        <w:jc w:val="both"/>
        <w:rPr>
          <w:rFonts w:ascii="Verdana" w:hAnsi="Verdana"/>
          <w:sz w:val="22"/>
          <w:szCs w:val="22"/>
          <w:lang w:val="en-GB"/>
        </w:rPr>
      </w:pPr>
    </w:p>
    <w:p w14:paraId="46AE0982"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 xml:space="preserve">Property, Plant and Equipment held under finance leases is recognised on the Balance Sheet at the commencement of the lease at its fair value measured at the lease's inception (or the present value of the minimum lease payments, if lower).  The asset recognised is matched by a liability for the obligation to pay the lessor.  </w:t>
      </w:r>
    </w:p>
    <w:p w14:paraId="1DAFA2B0" w14:textId="77777777" w:rsidR="00C65353" w:rsidRPr="00F242EB" w:rsidRDefault="00C65353" w:rsidP="00C65353">
      <w:pPr>
        <w:pStyle w:val="Normal00"/>
        <w:jc w:val="both"/>
        <w:rPr>
          <w:rFonts w:ascii="Verdana" w:hAnsi="Verdana"/>
          <w:sz w:val="22"/>
          <w:szCs w:val="22"/>
          <w:lang w:val="en-GB"/>
        </w:rPr>
      </w:pPr>
    </w:p>
    <w:p w14:paraId="7600F7FA"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Lease payments are apportioned between a charge for the acquisition applied to write down the lease liability and the interest costs of the lease are charged to the Comprehensive Income and Expenditure Statement.</w:t>
      </w:r>
    </w:p>
    <w:p w14:paraId="1E361AF2" w14:textId="77777777" w:rsidR="00C65353" w:rsidRPr="00F242EB" w:rsidRDefault="00C65353" w:rsidP="00C65353">
      <w:pPr>
        <w:pStyle w:val="Normal00"/>
        <w:jc w:val="both"/>
        <w:rPr>
          <w:rFonts w:ascii="Verdana" w:hAnsi="Verdana"/>
          <w:b/>
          <w:sz w:val="22"/>
          <w:szCs w:val="22"/>
          <w:lang w:val="en-GB"/>
        </w:rPr>
      </w:pPr>
    </w:p>
    <w:p w14:paraId="1CB489C3"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Operating Leases</w:t>
      </w:r>
    </w:p>
    <w:p w14:paraId="5515BB21" w14:textId="77777777" w:rsidR="00C65353" w:rsidRPr="00F242EB" w:rsidRDefault="00C65353" w:rsidP="00C65353">
      <w:pPr>
        <w:pStyle w:val="Normal00"/>
        <w:jc w:val="both"/>
        <w:rPr>
          <w:rFonts w:ascii="Verdana" w:hAnsi="Verdana"/>
          <w:sz w:val="22"/>
          <w:szCs w:val="22"/>
          <w:lang w:val="en-GB"/>
        </w:rPr>
      </w:pPr>
    </w:p>
    <w:p w14:paraId="3DB8D128"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Rentals paid under operating leases are charged to the Comprehensive Income and Expenditure Statement on a straight-line basis over the life of the lease.</w:t>
      </w:r>
    </w:p>
    <w:p w14:paraId="763CC225" w14:textId="77777777" w:rsidR="00C65353" w:rsidRPr="00F242EB" w:rsidRDefault="00C65353" w:rsidP="00C65353">
      <w:pPr>
        <w:pStyle w:val="Normal00"/>
        <w:jc w:val="both"/>
        <w:rPr>
          <w:rFonts w:ascii="Verdana" w:hAnsi="Verdana"/>
          <w:b/>
          <w:sz w:val="22"/>
          <w:szCs w:val="22"/>
          <w:lang w:val="en-GB"/>
        </w:rPr>
      </w:pPr>
    </w:p>
    <w:p w14:paraId="13F104BF"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The Police and Crime Commissioner as Lessor</w:t>
      </w:r>
    </w:p>
    <w:p w14:paraId="204FDE3E" w14:textId="77777777" w:rsidR="00C65353" w:rsidRPr="00F242EB" w:rsidRDefault="00C65353" w:rsidP="00C65353">
      <w:pPr>
        <w:pStyle w:val="Normal00"/>
        <w:jc w:val="both"/>
        <w:rPr>
          <w:rFonts w:ascii="Verdana" w:hAnsi="Verdana"/>
          <w:sz w:val="22"/>
          <w:szCs w:val="22"/>
          <w:lang w:val="en-GB"/>
        </w:rPr>
      </w:pPr>
    </w:p>
    <w:p w14:paraId="330DB59C"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Operating Leases</w:t>
      </w:r>
    </w:p>
    <w:p w14:paraId="2FFCE748" w14:textId="77777777" w:rsidR="00C65353" w:rsidRPr="00F242EB" w:rsidRDefault="00C65353" w:rsidP="00C65353">
      <w:pPr>
        <w:pStyle w:val="Normal00"/>
        <w:jc w:val="both"/>
        <w:rPr>
          <w:rFonts w:ascii="Verdana" w:hAnsi="Verdana"/>
          <w:sz w:val="22"/>
          <w:szCs w:val="22"/>
          <w:lang w:val="en-GB"/>
        </w:rPr>
      </w:pPr>
    </w:p>
    <w:p w14:paraId="1441852F"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Where the Police and Crime Commissioner grants an operating lease over a property or an item of plant or equipment, the asset is retained in the Balance Sheet.  Rental income is credited to the Other Operating Expenditure line in the Comprehensive Income and Expenditure Statement. Credits are made on a straight-line basis over the life of the lease, even if this does not match the pattern of payments (e.g. there is a premium paid at the commencement of the lease). Initial direct costs incurred in negotiating and arranging the lease are added to the carrying amount of the relevant asset and charged as an expense over the lease term on the same basis as rental income.</w:t>
      </w:r>
    </w:p>
    <w:p w14:paraId="309F0F40" w14:textId="77777777" w:rsidR="00C65353" w:rsidRPr="00F242EB" w:rsidRDefault="00C65353" w:rsidP="00C65353">
      <w:pPr>
        <w:pStyle w:val="Normal00"/>
        <w:jc w:val="both"/>
        <w:rPr>
          <w:rFonts w:ascii="Verdana" w:hAnsi="Verdana"/>
          <w:b/>
          <w:sz w:val="22"/>
          <w:szCs w:val="22"/>
          <w:lang w:val="en-GB"/>
        </w:rPr>
      </w:pPr>
    </w:p>
    <w:p w14:paraId="6118E669"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Employee Benefits Payable During Employment</w:t>
      </w:r>
    </w:p>
    <w:p w14:paraId="134C3405" w14:textId="77777777" w:rsidR="00C65353" w:rsidRPr="00F242EB" w:rsidRDefault="00C65353" w:rsidP="00C65353">
      <w:pPr>
        <w:pStyle w:val="Normal00"/>
        <w:jc w:val="both"/>
        <w:rPr>
          <w:rFonts w:ascii="Verdana" w:hAnsi="Verdana" w:cs="Arial"/>
          <w:sz w:val="22"/>
          <w:szCs w:val="22"/>
          <w:lang w:val="en-GB"/>
        </w:rPr>
      </w:pPr>
    </w:p>
    <w:p w14:paraId="6D74708A"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 xml:space="preserve">Short-term employee benefits are those due to be settled </w:t>
      </w:r>
      <w:r>
        <w:rPr>
          <w:rFonts w:ascii="Verdana" w:hAnsi="Verdana" w:cs="Arial"/>
          <w:sz w:val="22"/>
          <w:szCs w:val="22"/>
          <w:lang w:val="en-GB"/>
        </w:rPr>
        <w:t xml:space="preserve">wholly </w:t>
      </w:r>
      <w:r w:rsidRPr="00F242EB">
        <w:rPr>
          <w:rFonts w:ascii="Verdana" w:hAnsi="Verdana" w:cs="Arial"/>
          <w:sz w:val="22"/>
          <w:szCs w:val="22"/>
          <w:lang w:val="en-GB"/>
        </w:rPr>
        <w:t xml:space="preserve">within 12 months of the year-end. They include such benefits as wages and salaries, paid annual leave and paid sick leave, bonuses and non-monetary benefits (e.g. cars) for current employees and are recognised as an expense for services in the year in which employees render service to the Police and Crime Commissioner. An accrual is made for the cost of holiday entitlements (or any form of leave, e.g. time off in lieu) earned by employees but not taken before the year-end which employees can carry forward into the next financial year. The accrual is charged to Surplus or Deficit on the Provision of Services, but then reversed out through the Movement in Reserves Statement </w:t>
      </w:r>
      <w:r>
        <w:rPr>
          <w:rFonts w:ascii="Verdana" w:hAnsi="Verdana" w:cs="Arial"/>
          <w:sz w:val="22"/>
          <w:szCs w:val="22"/>
          <w:lang w:val="en-GB"/>
        </w:rPr>
        <w:t xml:space="preserve">to the short term accumulated absences reserve </w:t>
      </w:r>
      <w:r w:rsidRPr="00F242EB">
        <w:rPr>
          <w:rFonts w:ascii="Verdana" w:hAnsi="Verdana" w:cs="Arial"/>
          <w:sz w:val="22"/>
          <w:szCs w:val="22"/>
          <w:lang w:val="en-GB"/>
        </w:rPr>
        <w:t>so that holiday benefits are charged to revenue in the financial year in which the holiday absence occurs.</w:t>
      </w:r>
    </w:p>
    <w:p w14:paraId="270E5E56" w14:textId="77777777" w:rsidR="00C65353" w:rsidRPr="00F242EB" w:rsidRDefault="00C65353" w:rsidP="00C65353">
      <w:pPr>
        <w:pStyle w:val="Normal00"/>
        <w:jc w:val="both"/>
        <w:rPr>
          <w:rFonts w:ascii="Verdana" w:hAnsi="Verdana"/>
          <w:b/>
          <w:sz w:val="22"/>
          <w:szCs w:val="22"/>
          <w:lang w:val="en-GB"/>
        </w:rPr>
      </w:pPr>
    </w:p>
    <w:p w14:paraId="6DD3DBCE" w14:textId="77777777" w:rsidR="00E245E6" w:rsidRDefault="00E245E6" w:rsidP="00C65353">
      <w:pPr>
        <w:pStyle w:val="Normal00"/>
        <w:jc w:val="both"/>
        <w:rPr>
          <w:rFonts w:ascii="Verdana" w:hAnsi="Verdana"/>
          <w:b/>
          <w:sz w:val="22"/>
          <w:szCs w:val="22"/>
          <w:lang w:val="en-GB"/>
        </w:rPr>
      </w:pPr>
    </w:p>
    <w:p w14:paraId="6D45DAFD"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Termination Benefits / Exit Packages</w:t>
      </w:r>
    </w:p>
    <w:p w14:paraId="2BEEFC45" w14:textId="77777777" w:rsidR="00C65353" w:rsidRPr="00F242EB" w:rsidRDefault="00C65353" w:rsidP="00C65353">
      <w:pPr>
        <w:pStyle w:val="Normal00"/>
        <w:jc w:val="both"/>
        <w:rPr>
          <w:rFonts w:ascii="Verdana" w:hAnsi="Verdana" w:cs="Arial"/>
          <w:sz w:val="22"/>
          <w:szCs w:val="22"/>
          <w:lang w:val="en-GB"/>
        </w:rPr>
      </w:pPr>
    </w:p>
    <w:p w14:paraId="0A50AD53"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Termination benefits are amounts payable as a result of a decision by the Group to terminate a member of staff's employment before the normal retirement date or an officer's decision to accept voluntary redundancy.  Termination benefits are charged on an accruals basis to the appropriate service line in the Comprehensive Income and Expenditure Statement when the Group is demonstrably committed to the termination of the employment of a staff member or group of staff members or making an offer to encourage voluntary redundancy.</w:t>
      </w:r>
    </w:p>
    <w:p w14:paraId="5415FCDA" w14:textId="77777777" w:rsidR="00C65353" w:rsidRPr="00F242EB" w:rsidRDefault="00C65353" w:rsidP="00C65353">
      <w:pPr>
        <w:pStyle w:val="Normal00"/>
        <w:jc w:val="both"/>
        <w:rPr>
          <w:rFonts w:ascii="Verdana" w:hAnsi="Verdana"/>
          <w:sz w:val="22"/>
          <w:szCs w:val="22"/>
          <w:lang w:val="en-GB"/>
        </w:rPr>
      </w:pPr>
    </w:p>
    <w:p w14:paraId="6A921DC5"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Where termination benefits involve the enhancement of pensions, statutory provisions require the General Fund balance to be charged with the amount payable by the Group to the pension fund or pensioner in the year, not the amount calculated according to the relevant accounting standards.  In the Movement in Reserves Statement, appropriations are required to and from the Pensions Reserve to remove the notional debits and credits for pension enhancement termination benefits and replace them with debits for the cash paid to the pension fund and pensioners and any such amounts payable but unpaid at the year-end.</w:t>
      </w:r>
    </w:p>
    <w:p w14:paraId="028D01F6" w14:textId="77777777" w:rsidR="00C65353" w:rsidRPr="00F242EB" w:rsidRDefault="00C65353" w:rsidP="00C65353">
      <w:pPr>
        <w:pStyle w:val="Normal00"/>
        <w:jc w:val="both"/>
        <w:rPr>
          <w:rFonts w:ascii="Verdana" w:hAnsi="Verdana"/>
          <w:sz w:val="22"/>
          <w:szCs w:val="22"/>
          <w:lang w:val="en-GB"/>
        </w:rPr>
      </w:pPr>
    </w:p>
    <w:p w14:paraId="7690E35A"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Long-term Employee Benefits – Pension Arrangements</w:t>
      </w:r>
    </w:p>
    <w:p w14:paraId="2F6EDB40" w14:textId="77777777" w:rsidR="00C65353" w:rsidRPr="00F242EB" w:rsidRDefault="00C65353" w:rsidP="00C65353">
      <w:pPr>
        <w:pStyle w:val="Normal00"/>
        <w:jc w:val="both"/>
        <w:rPr>
          <w:rFonts w:ascii="Verdana" w:hAnsi="Verdana"/>
          <w:b/>
          <w:sz w:val="22"/>
          <w:szCs w:val="22"/>
          <w:lang w:val="en-GB"/>
        </w:rPr>
      </w:pPr>
    </w:p>
    <w:p w14:paraId="4ADDF1DA"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The Chief Constable operates, on behalf of the Group, three pension schemes for police officers and a single scheme for police staff:</w:t>
      </w:r>
    </w:p>
    <w:p w14:paraId="3F941C99" w14:textId="77777777" w:rsidR="00C65353" w:rsidRPr="00F242EB" w:rsidRDefault="00C65353" w:rsidP="00C65353">
      <w:pPr>
        <w:pStyle w:val="Normal00"/>
        <w:jc w:val="both"/>
        <w:rPr>
          <w:rFonts w:ascii="Verdana" w:hAnsi="Verdana"/>
          <w:sz w:val="22"/>
          <w:szCs w:val="22"/>
          <w:lang w:val="en-GB"/>
        </w:rPr>
      </w:pPr>
    </w:p>
    <w:p w14:paraId="301A02B5" w14:textId="77777777" w:rsidR="00C65353" w:rsidRPr="00F242EB" w:rsidRDefault="00C65353" w:rsidP="00C65353">
      <w:pPr>
        <w:pStyle w:val="ListParagraph"/>
        <w:numPr>
          <w:ilvl w:val="0"/>
          <w:numId w:val="2"/>
        </w:numPr>
        <w:ind w:left="357" w:hanging="357"/>
        <w:jc w:val="both"/>
        <w:rPr>
          <w:sz w:val="22"/>
        </w:rPr>
      </w:pPr>
      <w:r w:rsidRPr="00F242EB">
        <w:rPr>
          <w:sz w:val="22"/>
        </w:rPr>
        <w:t>The Police Pension Scheme (</w:t>
      </w:r>
      <w:smartTag w:uri="urn:schemas-microsoft-com:office:smarttags" w:element="stockticker">
        <w:r w:rsidRPr="00F242EB">
          <w:rPr>
            <w:sz w:val="22"/>
          </w:rPr>
          <w:t>PPS</w:t>
        </w:r>
      </w:smartTag>
      <w:r w:rsidRPr="00F242EB">
        <w:rPr>
          <w:sz w:val="22"/>
        </w:rPr>
        <w:t>), regulated under the Police Pensions Act 1976</w:t>
      </w:r>
    </w:p>
    <w:p w14:paraId="70E6AD85" w14:textId="77777777" w:rsidR="00C65353" w:rsidRPr="00F242EB" w:rsidRDefault="00C65353" w:rsidP="00C65353">
      <w:pPr>
        <w:pStyle w:val="ListParagraph"/>
        <w:numPr>
          <w:ilvl w:val="0"/>
          <w:numId w:val="2"/>
        </w:numPr>
        <w:ind w:left="357" w:hanging="357"/>
        <w:jc w:val="both"/>
        <w:rPr>
          <w:sz w:val="22"/>
        </w:rPr>
      </w:pPr>
      <w:r w:rsidRPr="00F242EB">
        <w:rPr>
          <w:sz w:val="22"/>
        </w:rPr>
        <w:t>The New Police Pension Scheme (NPPS), regulated under the Police Pension Regulations 2006</w:t>
      </w:r>
    </w:p>
    <w:p w14:paraId="5C9BCA5D" w14:textId="77777777" w:rsidR="00C65353" w:rsidRPr="00F242EB" w:rsidRDefault="00C65353" w:rsidP="00C65353">
      <w:pPr>
        <w:pStyle w:val="ListParagraph"/>
        <w:numPr>
          <w:ilvl w:val="0"/>
          <w:numId w:val="2"/>
        </w:numPr>
        <w:ind w:left="357" w:hanging="357"/>
        <w:jc w:val="both"/>
        <w:rPr>
          <w:sz w:val="22"/>
        </w:rPr>
      </w:pPr>
      <w:r w:rsidRPr="00F242EB">
        <w:rPr>
          <w:sz w:val="22"/>
        </w:rPr>
        <w:t>The Police Pension Scheme 2015 (the 2015 scheme)</w:t>
      </w:r>
    </w:p>
    <w:p w14:paraId="5FAF4626" w14:textId="77777777" w:rsidR="00C65353" w:rsidRPr="00F242EB" w:rsidRDefault="00C65353" w:rsidP="00C65353">
      <w:pPr>
        <w:pStyle w:val="ListParagraph"/>
        <w:numPr>
          <w:ilvl w:val="0"/>
          <w:numId w:val="2"/>
        </w:numPr>
        <w:ind w:left="357" w:hanging="357"/>
        <w:jc w:val="both"/>
        <w:rPr>
          <w:sz w:val="22"/>
        </w:rPr>
      </w:pPr>
      <w:r w:rsidRPr="00F242EB">
        <w:rPr>
          <w:sz w:val="22"/>
        </w:rPr>
        <w:t>The Local Government Pensions Scheme (LGPS), administered by Surrey County Council</w:t>
      </w:r>
    </w:p>
    <w:p w14:paraId="6222FD04" w14:textId="77777777" w:rsidR="00C65353" w:rsidRPr="00F242EB" w:rsidRDefault="00C65353" w:rsidP="00C65353">
      <w:pPr>
        <w:pStyle w:val="Normal00"/>
        <w:jc w:val="both"/>
        <w:rPr>
          <w:rFonts w:ascii="Verdana" w:hAnsi="Verdana"/>
          <w:sz w:val="22"/>
          <w:szCs w:val="22"/>
          <w:lang w:val="en-GB"/>
        </w:rPr>
      </w:pPr>
    </w:p>
    <w:p w14:paraId="73515ACA"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All police schemes are contributory occupational pension schemes with officers making contributions.</w:t>
      </w:r>
    </w:p>
    <w:p w14:paraId="1314FD82" w14:textId="77777777" w:rsidR="00C65353" w:rsidRPr="00F242EB" w:rsidRDefault="00C65353" w:rsidP="00C65353">
      <w:pPr>
        <w:pStyle w:val="Normal00"/>
        <w:jc w:val="both"/>
        <w:rPr>
          <w:rFonts w:ascii="Verdana" w:hAnsi="Verdana"/>
          <w:sz w:val="22"/>
          <w:szCs w:val="22"/>
          <w:lang w:val="en-GB"/>
        </w:rPr>
      </w:pPr>
    </w:p>
    <w:p w14:paraId="274E1D19"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A Police Pension Account was set up on 1st April 2006 to administer the police pension schemes.  All police schemes are unfunded schemes which are treated as defined benefit schemes and provide defined benefits to members (retirement lump sums and pensions), earned as employees worked.</w:t>
      </w:r>
    </w:p>
    <w:p w14:paraId="7ABF1CBF" w14:textId="77777777" w:rsidR="00C65353" w:rsidRPr="00F242EB" w:rsidRDefault="00C65353" w:rsidP="00C65353">
      <w:pPr>
        <w:pStyle w:val="Normal00"/>
        <w:jc w:val="both"/>
        <w:rPr>
          <w:rFonts w:ascii="Verdana" w:hAnsi="Verdana"/>
          <w:sz w:val="22"/>
          <w:szCs w:val="22"/>
          <w:lang w:val="en-GB"/>
        </w:rPr>
      </w:pPr>
    </w:p>
    <w:p w14:paraId="10BED555"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 xml:space="preserve">All police pension schemes are unfunded schemes which are treated as defined benefit schemes paid from revenue (without managed pension assets).  Accrued net pension liabilities have been assessed on an actuarial basis in accordance with IAS19 Employee Benefits, the net liability and a pensions reserve for both Pension Schemes has been recognised on the Balance Sheet, as have entries in the CIES for movements in the asset/liability relating to the defined benefit scheme.  Transfers into and out of the Scheme representing joining and leaving police officers, are recorded on a cash basis in the Pension Fund, because of the length of time taken to finalise the sums involved.  </w:t>
      </w:r>
    </w:p>
    <w:p w14:paraId="040AE0CB" w14:textId="77777777" w:rsidR="00C65353" w:rsidRPr="00F242EB" w:rsidRDefault="00C65353" w:rsidP="00C65353">
      <w:pPr>
        <w:pStyle w:val="Normal00"/>
        <w:jc w:val="both"/>
        <w:rPr>
          <w:rFonts w:ascii="Verdana" w:hAnsi="Verdana" w:cs="Arial"/>
          <w:sz w:val="22"/>
          <w:szCs w:val="22"/>
          <w:lang w:val="en-GB"/>
        </w:rPr>
      </w:pPr>
    </w:p>
    <w:p w14:paraId="305E8717"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 xml:space="preserve">Following the Code’s requirements, IAS19 has been fully recognised in the Chief Constable and Group accounts.  </w:t>
      </w:r>
    </w:p>
    <w:p w14:paraId="357151CD" w14:textId="77777777" w:rsidR="00C65353" w:rsidRPr="00F242EB" w:rsidRDefault="00C65353" w:rsidP="00C65353">
      <w:pPr>
        <w:pStyle w:val="Normal00"/>
        <w:jc w:val="both"/>
        <w:rPr>
          <w:rFonts w:ascii="Verdana" w:hAnsi="Verdana" w:cs="Arial"/>
          <w:sz w:val="22"/>
          <w:szCs w:val="22"/>
          <w:lang w:val="en-GB"/>
        </w:rPr>
      </w:pPr>
    </w:p>
    <w:p w14:paraId="575BF425" w14:textId="77777777" w:rsidR="00C65353" w:rsidRPr="00F242EB" w:rsidRDefault="00C65353" w:rsidP="00C65353">
      <w:pPr>
        <w:pStyle w:val="ListParagraph"/>
        <w:numPr>
          <w:ilvl w:val="0"/>
          <w:numId w:val="2"/>
        </w:numPr>
        <w:ind w:left="357" w:hanging="357"/>
        <w:jc w:val="both"/>
        <w:rPr>
          <w:sz w:val="22"/>
        </w:rPr>
      </w:pPr>
      <w:r w:rsidRPr="00F242EB">
        <w:rPr>
          <w:sz w:val="22"/>
        </w:rPr>
        <w:t>The liabilities of the police schemes attributable are included in the Balance Sheet on an actuarial basis using the projected unit method - i.e. an assessment of the future payments that will be made in relation to retirement benefits earned to date by employees, based on assumptions about mortality rates, employee turnover rates, etc. and projections of projected earnings for current employees</w:t>
      </w:r>
    </w:p>
    <w:p w14:paraId="7DB22500" w14:textId="77777777" w:rsidR="00C65353" w:rsidRPr="00F242EB" w:rsidRDefault="00C65353" w:rsidP="00EA2D66">
      <w:pPr>
        <w:pStyle w:val="ListParagraph"/>
        <w:numPr>
          <w:ilvl w:val="0"/>
          <w:numId w:val="0"/>
        </w:numPr>
        <w:ind w:left="357"/>
        <w:jc w:val="both"/>
        <w:rPr>
          <w:sz w:val="22"/>
        </w:rPr>
      </w:pPr>
    </w:p>
    <w:p w14:paraId="364270FA" w14:textId="77777777" w:rsidR="00C65353" w:rsidRPr="00F242EB" w:rsidRDefault="00C65353" w:rsidP="00C65353">
      <w:pPr>
        <w:pStyle w:val="ListParagraph"/>
        <w:numPr>
          <w:ilvl w:val="0"/>
          <w:numId w:val="2"/>
        </w:numPr>
        <w:ind w:left="357" w:hanging="357"/>
        <w:jc w:val="both"/>
        <w:rPr>
          <w:sz w:val="22"/>
        </w:rPr>
      </w:pPr>
      <w:r w:rsidRPr="00F242EB">
        <w:rPr>
          <w:sz w:val="22"/>
        </w:rPr>
        <w:t>Liabilities are discounted to their value at current prices, using a discount rate based on the indicative rate of return on high quality corporate bond</w:t>
      </w:r>
    </w:p>
    <w:p w14:paraId="2DF509F4" w14:textId="77777777" w:rsidR="00C65353" w:rsidRPr="00F242EB" w:rsidRDefault="00C65353" w:rsidP="00C65353">
      <w:pPr>
        <w:pStyle w:val="Normal00"/>
        <w:jc w:val="both"/>
        <w:rPr>
          <w:rFonts w:ascii="Verdana" w:hAnsi="Verdana"/>
          <w:sz w:val="22"/>
          <w:szCs w:val="22"/>
          <w:lang w:val="en-GB"/>
        </w:rPr>
      </w:pPr>
    </w:p>
    <w:p w14:paraId="2C8B9508"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Police Staff are eligible to join the Local Government Pension Scheme (LGPS) administered by Surrey County Council.  This is a funded scheme.  The employer’s contribution rate is determined by the Fund’s actuary based on valuations every three years.</w:t>
      </w:r>
    </w:p>
    <w:p w14:paraId="01E12103" w14:textId="77777777" w:rsidR="00C65353" w:rsidRPr="00F242EB" w:rsidRDefault="00C65353" w:rsidP="00C65353">
      <w:pPr>
        <w:pStyle w:val="Normal00"/>
        <w:jc w:val="both"/>
        <w:rPr>
          <w:rFonts w:ascii="Verdana" w:hAnsi="Verdana"/>
          <w:sz w:val="22"/>
          <w:szCs w:val="22"/>
          <w:lang w:val="en-GB"/>
        </w:rPr>
      </w:pPr>
    </w:p>
    <w:p w14:paraId="34BC200C"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Additional contributions are payable to cover the cost of any early retirements except those due to ill-health.  In addition the Chief Constable is responsible for all pension payments relating to any added years’ benefits, together with the related increases.</w:t>
      </w:r>
    </w:p>
    <w:p w14:paraId="3026296E" w14:textId="77777777" w:rsidR="00C65353" w:rsidRPr="00F242EB" w:rsidRDefault="00C65353" w:rsidP="00C65353">
      <w:pPr>
        <w:pStyle w:val="Normal00"/>
        <w:jc w:val="both"/>
        <w:rPr>
          <w:rFonts w:ascii="Verdana" w:hAnsi="Verdana"/>
          <w:sz w:val="22"/>
          <w:szCs w:val="22"/>
          <w:lang w:val="en-GB"/>
        </w:rPr>
      </w:pPr>
    </w:p>
    <w:p w14:paraId="43102CDD" w14:textId="77777777" w:rsidR="00C65353" w:rsidRPr="00F242EB" w:rsidRDefault="00C65353" w:rsidP="00C65353">
      <w:pPr>
        <w:pStyle w:val="ListParagraph"/>
        <w:numPr>
          <w:ilvl w:val="0"/>
          <w:numId w:val="2"/>
        </w:numPr>
        <w:ind w:left="357" w:hanging="357"/>
        <w:jc w:val="both"/>
        <w:rPr>
          <w:sz w:val="22"/>
        </w:rPr>
      </w:pPr>
      <w:r w:rsidRPr="00F242EB">
        <w:rPr>
          <w:sz w:val="22"/>
        </w:rPr>
        <w:t xml:space="preserve">The assets of the LGPS attributable to Surrey Police are included in the Balance Sheet at their fair value:  </w:t>
      </w:r>
    </w:p>
    <w:p w14:paraId="5E95F433" w14:textId="77777777" w:rsidR="00C65353" w:rsidRPr="00F242EB" w:rsidRDefault="00C65353" w:rsidP="00C65353">
      <w:pPr>
        <w:pStyle w:val="ListParagraph"/>
        <w:numPr>
          <w:ilvl w:val="1"/>
          <w:numId w:val="2"/>
        </w:numPr>
        <w:jc w:val="both"/>
        <w:rPr>
          <w:sz w:val="22"/>
        </w:rPr>
      </w:pPr>
      <w:r w:rsidRPr="00F242EB">
        <w:rPr>
          <w:sz w:val="22"/>
        </w:rPr>
        <w:t>quoted securities - current bid price</w:t>
      </w:r>
    </w:p>
    <w:p w14:paraId="39C6212B" w14:textId="77777777" w:rsidR="00C65353" w:rsidRPr="00F242EB" w:rsidRDefault="00C65353" w:rsidP="00C65353">
      <w:pPr>
        <w:pStyle w:val="ListParagraph"/>
        <w:numPr>
          <w:ilvl w:val="1"/>
          <w:numId w:val="2"/>
        </w:numPr>
        <w:jc w:val="both"/>
        <w:rPr>
          <w:sz w:val="22"/>
        </w:rPr>
      </w:pPr>
      <w:r w:rsidRPr="00F242EB">
        <w:rPr>
          <w:sz w:val="22"/>
        </w:rPr>
        <w:t>unquoted securities - professional estimate</w:t>
      </w:r>
    </w:p>
    <w:p w14:paraId="00F343E5" w14:textId="77777777" w:rsidR="00C65353" w:rsidRPr="00F242EB" w:rsidRDefault="00C65353" w:rsidP="00C65353">
      <w:pPr>
        <w:pStyle w:val="ListParagraph"/>
        <w:numPr>
          <w:ilvl w:val="1"/>
          <w:numId w:val="2"/>
        </w:numPr>
        <w:jc w:val="both"/>
        <w:rPr>
          <w:sz w:val="22"/>
        </w:rPr>
      </w:pPr>
      <w:r w:rsidRPr="00F242EB">
        <w:rPr>
          <w:sz w:val="22"/>
        </w:rPr>
        <w:t>unitised securities - current bid price</w:t>
      </w:r>
    </w:p>
    <w:p w14:paraId="0F80506E" w14:textId="77777777" w:rsidR="00C65353" w:rsidRPr="00F242EB" w:rsidRDefault="00C65353" w:rsidP="00C65353">
      <w:pPr>
        <w:pStyle w:val="ListParagraph"/>
        <w:numPr>
          <w:ilvl w:val="1"/>
          <w:numId w:val="2"/>
        </w:numPr>
        <w:jc w:val="both"/>
        <w:rPr>
          <w:sz w:val="22"/>
        </w:rPr>
      </w:pPr>
      <w:r w:rsidRPr="00F242EB">
        <w:rPr>
          <w:sz w:val="22"/>
        </w:rPr>
        <w:t>property - market value</w:t>
      </w:r>
    </w:p>
    <w:p w14:paraId="489A5431" w14:textId="77777777" w:rsidR="00C65353" w:rsidRPr="00F242EB" w:rsidRDefault="00C65353" w:rsidP="00C65353">
      <w:pPr>
        <w:pStyle w:val="Normal00"/>
        <w:jc w:val="both"/>
        <w:rPr>
          <w:rFonts w:ascii="Verdana" w:hAnsi="Verdana"/>
          <w:sz w:val="22"/>
          <w:szCs w:val="22"/>
          <w:lang w:val="en-GB"/>
        </w:rPr>
      </w:pPr>
    </w:p>
    <w:p w14:paraId="639CC509"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The change in the net pension liability is analysed into seven components:</w:t>
      </w:r>
    </w:p>
    <w:p w14:paraId="103FDBB7" w14:textId="77777777" w:rsidR="00C65353" w:rsidRPr="00F242EB" w:rsidRDefault="00C65353" w:rsidP="00EA2D66">
      <w:pPr>
        <w:pStyle w:val="ListParagraph"/>
        <w:numPr>
          <w:ilvl w:val="0"/>
          <w:numId w:val="0"/>
        </w:numPr>
        <w:ind w:left="357"/>
        <w:jc w:val="both"/>
        <w:rPr>
          <w:sz w:val="22"/>
        </w:rPr>
      </w:pPr>
    </w:p>
    <w:p w14:paraId="7CDCAF1A" w14:textId="77777777" w:rsidR="00C65353" w:rsidRPr="00F242EB" w:rsidRDefault="00C65353" w:rsidP="00C65353">
      <w:pPr>
        <w:pStyle w:val="ListParagraph"/>
        <w:numPr>
          <w:ilvl w:val="0"/>
          <w:numId w:val="2"/>
        </w:numPr>
        <w:ind w:left="357" w:hanging="357"/>
        <w:jc w:val="both"/>
        <w:rPr>
          <w:sz w:val="22"/>
        </w:rPr>
      </w:pPr>
      <w:r w:rsidRPr="00F242EB">
        <w:rPr>
          <w:b/>
          <w:sz w:val="22"/>
        </w:rPr>
        <w:t xml:space="preserve">current service cost </w:t>
      </w:r>
      <w:r w:rsidRPr="00F242EB">
        <w:rPr>
          <w:sz w:val="22"/>
        </w:rPr>
        <w:t>- the increase in liabilities as a result of years of service earned this year allocated in the CIES to the services for which the employees worked</w:t>
      </w:r>
    </w:p>
    <w:p w14:paraId="39367E6B" w14:textId="77777777" w:rsidR="00C65353" w:rsidRPr="00F242EB" w:rsidRDefault="00C65353" w:rsidP="00EA2D66">
      <w:pPr>
        <w:pStyle w:val="ListParagraph"/>
        <w:numPr>
          <w:ilvl w:val="0"/>
          <w:numId w:val="0"/>
        </w:numPr>
        <w:ind w:left="357"/>
        <w:jc w:val="both"/>
        <w:rPr>
          <w:sz w:val="22"/>
        </w:rPr>
      </w:pPr>
    </w:p>
    <w:p w14:paraId="7A9CA004" w14:textId="77777777" w:rsidR="00C65353" w:rsidRPr="00F242EB" w:rsidRDefault="00C65353" w:rsidP="00C65353">
      <w:pPr>
        <w:pStyle w:val="ListParagraph"/>
        <w:numPr>
          <w:ilvl w:val="0"/>
          <w:numId w:val="2"/>
        </w:numPr>
        <w:ind w:left="357" w:hanging="357"/>
        <w:jc w:val="both"/>
        <w:rPr>
          <w:sz w:val="22"/>
        </w:rPr>
      </w:pPr>
      <w:r w:rsidRPr="00F242EB">
        <w:rPr>
          <w:b/>
          <w:sz w:val="22"/>
        </w:rPr>
        <w:t>past service cost</w:t>
      </w:r>
      <w:r w:rsidRPr="00F242EB">
        <w:rPr>
          <w:sz w:val="22"/>
        </w:rPr>
        <w:t xml:space="preserve"> - the increase in liabilities arising from current year decisions whose effect relates to years of service earned in earlier years - debited to the Surplus or Deficit on the Provision of Services in the CIES as part of Non Distributed Costs</w:t>
      </w:r>
    </w:p>
    <w:p w14:paraId="65B3AECA" w14:textId="77777777" w:rsidR="00C65353" w:rsidRPr="00F242EB" w:rsidRDefault="00C65353" w:rsidP="00EA2D66">
      <w:pPr>
        <w:pStyle w:val="ListParagraph"/>
        <w:numPr>
          <w:ilvl w:val="0"/>
          <w:numId w:val="0"/>
        </w:numPr>
        <w:ind w:left="357"/>
        <w:jc w:val="both"/>
        <w:rPr>
          <w:sz w:val="22"/>
        </w:rPr>
      </w:pPr>
    </w:p>
    <w:p w14:paraId="3945669B" w14:textId="77777777" w:rsidR="00C65353" w:rsidRPr="00F242EB" w:rsidRDefault="00C65353" w:rsidP="00C65353">
      <w:pPr>
        <w:pStyle w:val="ListParagraph"/>
        <w:numPr>
          <w:ilvl w:val="0"/>
          <w:numId w:val="2"/>
        </w:numPr>
        <w:ind w:left="357" w:hanging="357"/>
        <w:jc w:val="both"/>
        <w:rPr>
          <w:sz w:val="22"/>
        </w:rPr>
      </w:pPr>
      <w:r w:rsidRPr="00F242EB">
        <w:rPr>
          <w:b/>
          <w:sz w:val="22"/>
        </w:rPr>
        <w:t>interest cost</w:t>
      </w:r>
      <w:r w:rsidRPr="00F242EB">
        <w:rPr>
          <w:sz w:val="22"/>
        </w:rPr>
        <w:t xml:space="preserve"> - the expected increase in the present value of liabilities during the year as they move one year closer to being paid - debited to the Financing and Investment Income and Expenditure line in the CIES</w:t>
      </w:r>
    </w:p>
    <w:p w14:paraId="367E1F60" w14:textId="77777777" w:rsidR="00C65353" w:rsidRPr="00F242EB" w:rsidRDefault="00C65353" w:rsidP="00EA2D66">
      <w:pPr>
        <w:pStyle w:val="ListParagraph"/>
        <w:numPr>
          <w:ilvl w:val="0"/>
          <w:numId w:val="0"/>
        </w:numPr>
        <w:ind w:left="357"/>
        <w:jc w:val="both"/>
        <w:rPr>
          <w:sz w:val="22"/>
        </w:rPr>
      </w:pPr>
    </w:p>
    <w:p w14:paraId="1F868244" w14:textId="77777777" w:rsidR="00C65353" w:rsidRPr="00F242EB" w:rsidRDefault="00C65353" w:rsidP="00C65353">
      <w:pPr>
        <w:pStyle w:val="ListParagraph"/>
        <w:numPr>
          <w:ilvl w:val="0"/>
          <w:numId w:val="2"/>
        </w:numPr>
        <w:ind w:left="357" w:hanging="357"/>
        <w:jc w:val="both"/>
        <w:rPr>
          <w:sz w:val="22"/>
        </w:rPr>
      </w:pPr>
      <w:r w:rsidRPr="00F242EB">
        <w:rPr>
          <w:b/>
          <w:sz w:val="22"/>
        </w:rPr>
        <w:t>expected return on assets</w:t>
      </w:r>
      <w:r w:rsidRPr="00F242EB">
        <w:rPr>
          <w:sz w:val="22"/>
        </w:rPr>
        <w:t xml:space="preserve"> - the annual investment return on the fund assets attributable to the Group, based on an average of the expected long-term return - credited to the Financing and Investment Income and Expenditure line in the CIES</w:t>
      </w:r>
    </w:p>
    <w:p w14:paraId="06401CC2" w14:textId="77777777" w:rsidR="00C65353" w:rsidRPr="00F242EB" w:rsidRDefault="00C65353" w:rsidP="00EA2D66">
      <w:pPr>
        <w:pStyle w:val="ListParagraph"/>
        <w:numPr>
          <w:ilvl w:val="0"/>
          <w:numId w:val="0"/>
        </w:numPr>
        <w:ind w:left="357"/>
        <w:jc w:val="both"/>
        <w:rPr>
          <w:sz w:val="22"/>
        </w:rPr>
      </w:pPr>
    </w:p>
    <w:p w14:paraId="649BFED7" w14:textId="77777777" w:rsidR="00C65353" w:rsidRPr="00F242EB" w:rsidRDefault="00C65353" w:rsidP="00C65353">
      <w:pPr>
        <w:pStyle w:val="ListParagraph"/>
        <w:numPr>
          <w:ilvl w:val="0"/>
          <w:numId w:val="2"/>
        </w:numPr>
        <w:ind w:left="357" w:hanging="357"/>
        <w:jc w:val="both"/>
        <w:rPr>
          <w:sz w:val="22"/>
        </w:rPr>
      </w:pPr>
      <w:r w:rsidRPr="00F242EB">
        <w:rPr>
          <w:b/>
          <w:sz w:val="22"/>
        </w:rPr>
        <w:t>gains or losses on settlements and curtailments</w:t>
      </w:r>
      <w:r w:rsidRPr="00F242EB">
        <w:rPr>
          <w:sz w:val="22"/>
        </w:rPr>
        <w:t xml:space="preserve"> - the result of actions to relieve the Group of liabilities or events that reduce the expected future service or accrual of benefits of employees - debited or credited to the Surplus or Deficit on the Provision of Services in the CIES as part of Non Distributed Costs</w:t>
      </w:r>
    </w:p>
    <w:p w14:paraId="4F8C5911" w14:textId="77777777" w:rsidR="00C65353" w:rsidRPr="00F242EB" w:rsidRDefault="00C65353" w:rsidP="00EA2D66">
      <w:pPr>
        <w:pStyle w:val="ListParagraph"/>
        <w:numPr>
          <w:ilvl w:val="0"/>
          <w:numId w:val="0"/>
        </w:numPr>
        <w:ind w:left="357"/>
        <w:jc w:val="both"/>
        <w:rPr>
          <w:sz w:val="22"/>
        </w:rPr>
      </w:pPr>
    </w:p>
    <w:p w14:paraId="5641CEA5" w14:textId="77777777" w:rsidR="00C65353" w:rsidRPr="00F242EB" w:rsidRDefault="00C65353" w:rsidP="00C65353">
      <w:pPr>
        <w:pStyle w:val="ListParagraph"/>
        <w:numPr>
          <w:ilvl w:val="0"/>
          <w:numId w:val="2"/>
        </w:numPr>
        <w:ind w:left="357" w:hanging="357"/>
        <w:jc w:val="both"/>
        <w:rPr>
          <w:sz w:val="22"/>
        </w:rPr>
      </w:pPr>
      <w:r w:rsidRPr="00F242EB">
        <w:rPr>
          <w:b/>
          <w:sz w:val="22"/>
        </w:rPr>
        <w:t>actuarial gains and losses</w:t>
      </w:r>
      <w:r w:rsidRPr="00F242EB">
        <w:rPr>
          <w:sz w:val="22"/>
        </w:rPr>
        <w:t xml:space="preserve"> - changes in the net pensions liability that arise because events have not coincided with assumptions made at the last actuarial valuation or because the actuaries have updated their assumptions - debited to the Pensions Reserve</w:t>
      </w:r>
    </w:p>
    <w:p w14:paraId="35A1783E" w14:textId="77777777" w:rsidR="00C65353" w:rsidRPr="00F242EB" w:rsidRDefault="00C65353" w:rsidP="00EA2D66">
      <w:pPr>
        <w:pStyle w:val="ListParagraph"/>
        <w:numPr>
          <w:ilvl w:val="0"/>
          <w:numId w:val="0"/>
        </w:numPr>
        <w:ind w:left="357"/>
        <w:rPr>
          <w:b/>
          <w:sz w:val="22"/>
        </w:rPr>
      </w:pPr>
    </w:p>
    <w:p w14:paraId="0E8EB65F" w14:textId="77777777" w:rsidR="00C65353" w:rsidRPr="00F242EB" w:rsidRDefault="00C65353" w:rsidP="00C65353">
      <w:pPr>
        <w:pStyle w:val="ListParagraph"/>
        <w:numPr>
          <w:ilvl w:val="0"/>
          <w:numId w:val="2"/>
        </w:numPr>
        <w:ind w:left="357" w:hanging="357"/>
        <w:jc w:val="both"/>
        <w:rPr>
          <w:sz w:val="22"/>
        </w:rPr>
      </w:pPr>
      <w:r w:rsidRPr="00F242EB">
        <w:rPr>
          <w:b/>
          <w:sz w:val="22"/>
        </w:rPr>
        <w:t>contributions paid to the pension fund</w:t>
      </w:r>
      <w:r w:rsidRPr="00F242EB">
        <w:rPr>
          <w:sz w:val="22"/>
        </w:rPr>
        <w:t xml:space="preserve"> - cash paid as employer's contributions to the pension fund in settlement of liabilities; not accounted for as an expense</w:t>
      </w:r>
    </w:p>
    <w:p w14:paraId="13F717CE" w14:textId="77777777" w:rsidR="00C65353" w:rsidRPr="00F242EB" w:rsidRDefault="00C65353" w:rsidP="00C65353">
      <w:pPr>
        <w:pStyle w:val="Normal00"/>
        <w:jc w:val="both"/>
        <w:rPr>
          <w:rFonts w:ascii="Verdana" w:hAnsi="Verdana" w:cs="Arial"/>
          <w:sz w:val="22"/>
          <w:szCs w:val="22"/>
          <w:lang w:val="en-GB"/>
        </w:rPr>
      </w:pPr>
    </w:p>
    <w:p w14:paraId="095903A5"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 xml:space="preserve">In relation to retirement benefits, statutory provisions require the General Fund balance to be charged with the amount payable by the Group to the pension fund or directly to pensioners in the year, not the amount calculated according to the relevant accounting standards. In the Movement in Reserves Statement, this means that there are appropriations to and from the Pensions Reserve to remove the notional debits and credits for retirement benefits and replace them with debits for the cash paid to the pension fund and pensioners and any such amounts payable but unpaid at the year-end. The negative balance that arises on the Pensions Reserve thereby measures the beneficial impact to the General Fund of being required to account for retirement benefits on the basis of cash flows rather than as benefits are earned by employees. </w:t>
      </w:r>
    </w:p>
    <w:p w14:paraId="36ED8132" w14:textId="77777777" w:rsidR="00C65353" w:rsidRPr="00F242EB" w:rsidRDefault="00C65353" w:rsidP="00C65353">
      <w:pPr>
        <w:pStyle w:val="Normal00"/>
        <w:jc w:val="both"/>
        <w:rPr>
          <w:rFonts w:ascii="Verdana" w:hAnsi="Verdana" w:cs="Arial"/>
          <w:b/>
          <w:sz w:val="22"/>
          <w:szCs w:val="22"/>
          <w:lang w:val="en-GB"/>
        </w:rPr>
      </w:pPr>
    </w:p>
    <w:p w14:paraId="5082341A" w14:textId="77777777" w:rsidR="00C65353" w:rsidRPr="00F242EB" w:rsidRDefault="00C65353" w:rsidP="00C65353">
      <w:pPr>
        <w:pStyle w:val="Normal00"/>
        <w:jc w:val="both"/>
        <w:rPr>
          <w:rFonts w:ascii="Verdana" w:hAnsi="Verdana" w:cs="Arial"/>
          <w:b/>
          <w:sz w:val="22"/>
          <w:szCs w:val="22"/>
          <w:lang w:val="en-GB"/>
        </w:rPr>
      </w:pPr>
      <w:r w:rsidRPr="00F242EB">
        <w:rPr>
          <w:rFonts w:ascii="Verdana" w:hAnsi="Verdana" w:cs="Arial"/>
          <w:b/>
          <w:sz w:val="22"/>
          <w:szCs w:val="22"/>
          <w:lang w:val="en-GB"/>
        </w:rPr>
        <w:t>Discretionary Benefits</w:t>
      </w:r>
    </w:p>
    <w:p w14:paraId="2E15BA97" w14:textId="77777777" w:rsidR="00C65353" w:rsidRPr="00F242EB" w:rsidRDefault="00C65353" w:rsidP="00C65353">
      <w:pPr>
        <w:pStyle w:val="Normal00"/>
        <w:jc w:val="both"/>
        <w:rPr>
          <w:rFonts w:ascii="Verdana" w:hAnsi="Verdana" w:cs="Arial"/>
          <w:sz w:val="22"/>
          <w:szCs w:val="22"/>
          <w:lang w:val="en-GB"/>
        </w:rPr>
      </w:pPr>
    </w:p>
    <w:p w14:paraId="12A3F0F9"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The P</w:t>
      </w:r>
      <w:r>
        <w:rPr>
          <w:rFonts w:ascii="Verdana" w:hAnsi="Verdana" w:cs="Arial"/>
          <w:sz w:val="22"/>
          <w:szCs w:val="22"/>
          <w:lang w:val="en-GB"/>
        </w:rPr>
        <w:t xml:space="preserve">olice and Crime Commissioner </w:t>
      </w:r>
      <w:r w:rsidRPr="00F242EB">
        <w:rPr>
          <w:rFonts w:ascii="Verdana" w:hAnsi="Verdana" w:cs="Arial"/>
          <w:sz w:val="22"/>
          <w:szCs w:val="22"/>
          <w:lang w:val="en-GB"/>
        </w:rPr>
        <w:t>has restricted powers to make discretionary awards of retirement benefits in the event of early retirements. Any liabilities estimated to arise as a result of an award to any member of staff are accrued in the year of the decision to make the award and accounted for using the same policies as are applied to the relevant Pension Scheme.</w:t>
      </w:r>
    </w:p>
    <w:p w14:paraId="36604A30" w14:textId="77777777" w:rsidR="00C65353" w:rsidRPr="00F242EB" w:rsidRDefault="00C65353" w:rsidP="00C65353">
      <w:pPr>
        <w:pStyle w:val="Normal00"/>
        <w:jc w:val="both"/>
        <w:rPr>
          <w:rFonts w:ascii="Verdana" w:hAnsi="Verdana" w:cs="Arial"/>
          <w:sz w:val="22"/>
          <w:szCs w:val="22"/>
          <w:lang w:val="en-GB"/>
        </w:rPr>
      </w:pPr>
    </w:p>
    <w:p w14:paraId="270AE317"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 xml:space="preserve">The </w:t>
      </w:r>
      <w:r w:rsidRPr="00F242EB">
        <w:rPr>
          <w:rFonts w:ascii="Verdana" w:hAnsi="Verdana" w:cs="Arial"/>
          <w:sz w:val="22"/>
          <w:szCs w:val="22"/>
          <w:lang w:val="en-GB"/>
        </w:rPr>
        <w:t>P</w:t>
      </w:r>
      <w:r>
        <w:rPr>
          <w:rFonts w:ascii="Verdana" w:hAnsi="Verdana" w:cs="Arial"/>
          <w:sz w:val="22"/>
          <w:szCs w:val="22"/>
          <w:lang w:val="en-GB"/>
        </w:rPr>
        <w:t xml:space="preserve">olice and Crime Commissioner </w:t>
      </w:r>
      <w:r w:rsidRPr="00F242EB">
        <w:rPr>
          <w:rFonts w:ascii="Verdana" w:hAnsi="Verdana"/>
          <w:sz w:val="22"/>
          <w:szCs w:val="22"/>
          <w:lang w:val="en-GB"/>
        </w:rPr>
        <w:t>also has restricted powers to make material payments in relation to injury awards. Any liabilities estimated to arise as a result of an award to any member of staff or police officer are accrued in the year of the decision to make the award and accounted for using the same policies as are applied to the relevant pension scheme.</w:t>
      </w:r>
    </w:p>
    <w:p w14:paraId="67B6A00D" w14:textId="77777777" w:rsidR="00C65353" w:rsidRPr="00F242EB" w:rsidRDefault="00C65353" w:rsidP="00C65353">
      <w:pPr>
        <w:pStyle w:val="Normal00"/>
        <w:jc w:val="both"/>
        <w:rPr>
          <w:rFonts w:ascii="Verdana" w:hAnsi="Verdana" w:cs="Arial"/>
          <w:sz w:val="22"/>
          <w:szCs w:val="22"/>
          <w:lang w:val="en-GB"/>
        </w:rPr>
      </w:pPr>
    </w:p>
    <w:p w14:paraId="6427037D"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Fair Value Measurement</w:t>
      </w:r>
      <w:r>
        <w:rPr>
          <w:rFonts w:ascii="Verdana" w:hAnsi="Verdana"/>
          <w:b/>
          <w:sz w:val="22"/>
          <w:szCs w:val="22"/>
          <w:lang w:val="en-GB"/>
        </w:rPr>
        <w:t xml:space="preserve"> of non-financial assets</w:t>
      </w:r>
    </w:p>
    <w:p w14:paraId="47BDBA69" w14:textId="77777777" w:rsidR="00C65353" w:rsidRPr="00F242EB" w:rsidRDefault="00C65353" w:rsidP="00C65353">
      <w:pPr>
        <w:pStyle w:val="Normal00"/>
        <w:jc w:val="both"/>
        <w:rPr>
          <w:rFonts w:ascii="Verdana" w:hAnsi="Verdana" w:cs="Arial"/>
          <w:sz w:val="22"/>
          <w:szCs w:val="22"/>
          <w:lang w:val="en-GB"/>
        </w:rPr>
      </w:pPr>
    </w:p>
    <w:p w14:paraId="54A52C7A"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The P</w:t>
      </w:r>
      <w:r>
        <w:rPr>
          <w:rFonts w:ascii="Verdana" w:hAnsi="Verdana" w:cs="Arial"/>
          <w:sz w:val="22"/>
          <w:szCs w:val="22"/>
          <w:lang w:val="en-GB"/>
        </w:rPr>
        <w:t xml:space="preserve">olice and Crime Commissioner </w:t>
      </w:r>
      <w:r w:rsidRPr="00F242EB">
        <w:rPr>
          <w:rFonts w:ascii="Verdana" w:hAnsi="Verdana" w:cs="Arial"/>
          <w:sz w:val="22"/>
          <w:szCs w:val="22"/>
          <w:lang w:val="en-GB"/>
        </w:rPr>
        <w:t>measures some non-financial assets, surplus assets and assets held for sale at fair value at each reporting date using the IFRS13 Fair Value market approach.  Fair value is the price that would be received to sell an asset or be paid to transfer a liability in an orderly transaction between market participants at the measurement date.  The fair value measurement assumes that the transaction to sell the asset or transfer the liability takes place either:</w:t>
      </w:r>
    </w:p>
    <w:p w14:paraId="5FA83875" w14:textId="77777777" w:rsidR="00C65353" w:rsidRPr="00F242EB" w:rsidRDefault="00C65353" w:rsidP="00C65353">
      <w:pPr>
        <w:pStyle w:val="Normal00"/>
        <w:jc w:val="both"/>
        <w:rPr>
          <w:rFonts w:ascii="Verdana" w:hAnsi="Verdana" w:cs="Arial"/>
          <w:sz w:val="22"/>
          <w:szCs w:val="22"/>
          <w:lang w:val="en-GB"/>
        </w:rPr>
      </w:pPr>
    </w:p>
    <w:p w14:paraId="538ACF2C" w14:textId="77777777" w:rsidR="00C65353" w:rsidRPr="00F242EB" w:rsidRDefault="00C65353" w:rsidP="00C65353">
      <w:pPr>
        <w:pStyle w:val="ListParagraph"/>
        <w:numPr>
          <w:ilvl w:val="0"/>
          <w:numId w:val="2"/>
        </w:numPr>
        <w:ind w:left="357" w:hanging="357"/>
        <w:jc w:val="both"/>
        <w:rPr>
          <w:sz w:val="22"/>
        </w:rPr>
      </w:pPr>
      <w:r w:rsidRPr="00F242EB">
        <w:rPr>
          <w:sz w:val="22"/>
        </w:rPr>
        <w:t>In the principal market for the asset or liability, or</w:t>
      </w:r>
    </w:p>
    <w:p w14:paraId="0F3AAFB1" w14:textId="77777777" w:rsidR="00C65353" w:rsidRPr="00F242EB" w:rsidRDefault="00C65353" w:rsidP="00C65353">
      <w:pPr>
        <w:pStyle w:val="ListParagraph"/>
        <w:numPr>
          <w:ilvl w:val="0"/>
          <w:numId w:val="2"/>
        </w:numPr>
        <w:ind w:left="357" w:hanging="357"/>
        <w:jc w:val="both"/>
        <w:rPr>
          <w:sz w:val="22"/>
        </w:rPr>
      </w:pPr>
      <w:r w:rsidRPr="00F242EB">
        <w:rPr>
          <w:sz w:val="22"/>
        </w:rPr>
        <w:t>In the absence of a principal market, in the most advantageous market for the asset or liability</w:t>
      </w:r>
    </w:p>
    <w:p w14:paraId="5972D192" w14:textId="77777777" w:rsidR="00C65353" w:rsidRPr="00F242EB" w:rsidRDefault="00C65353" w:rsidP="00C65353">
      <w:pPr>
        <w:pStyle w:val="Normal00"/>
        <w:jc w:val="both"/>
        <w:rPr>
          <w:rFonts w:ascii="Verdana" w:hAnsi="Verdana"/>
          <w:sz w:val="22"/>
          <w:szCs w:val="22"/>
          <w:lang w:val="en-GB"/>
        </w:rPr>
      </w:pPr>
    </w:p>
    <w:p w14:paraId="24DEB7B1"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The P</w:t>
      </w:r>
      <w:r>
        <w:rPr>
          <w:rFonts w:ascii="Verdana" w:hAnsi="Verdana" w:cs="Arial"/>
          <w:sz w:val="22"/>
          <w:szCs w:val="22"/>
          <w:lang w:val="en-GB"/>
        </w:rPr>
        <w:t xml:space="preserve">olice and Crime Commissioner </w:t>
      </w:r>
      <w:r w:rsidRPr="00F242EB">
        <w:rPr>
          <w:rFonts w:ascii="Verdana" w:hAnsi="Verdana" w:cs="Arial"/>
          <w:sz w:val="22"/>
          <w:szCs w:val="22"/>
          <w:lang w:val="en-GB"/>
        </w:rPr>
        <w:t>uses External Valuers to measure the fair value of an asset or liability using the assumptions that market participants would use when pricing the asset or liability, assuming that market participants act in their economic best interest.</w:t>
      </w:r>
    </w:p>
    <w:p w14:paraId="0F39B920" w14:textId="77777777" w:rsidR="00C65353" w:rsidRPr="00F242EB" w:rsidRDefault="00C65353" w:rsidP="00C65353">
      <w:pPr>
        <w:pStyle w:val="Normal00"/>
        <w:jc w:val="both"/>
        <w:rPr>
          <w:rFonts w:ascii="Verdana" w:hAnsi="Verdana" w:cs="Arial"/>
          <w:sz w:val="22"/>
          <w:szCs w:val="22"/>
          <w:lang w:val="en-GB"/>
        </w:rPr>
      </w:pPr>
    </w:p>
    <w:p w14:paraId="347FC077"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This fair value measurement takes into account a market participant’s ability to generate economic benefits by using the asset in its highest and best use or by selling it to another market participant that would use the asset in its highest and best use.  The Valuers use valuation techniques that are appropriate to the circumstances and for which sufficient data are available to measure fair value, maximising the use of relevant observable inputs and minimising the use of unobservable inputs.</w:t>
      </w:r>
    </w:p>
    <w:p w14:paraId="240765C8" w14:textId="77777777" w:rsidR="00C65353" w:rsidRPr="00F242EB" w:rsidRDefault="00C65353" w:rsidP="00C65353">
      <w:pPr>
        <w:pStyle w:val="Normal00"/>
        <w:jc w:val="both"/>
        <w:rPr>
          <w:rFonts w:ascii="Verdana" w:hAnsi="Verdana" w:cs="Arial"/>
          <w:sz w:val="22"/>
          <w:szCs w:val="22"/>
          <w:lang w:val="en-GB"/>
        </w:rPr>
      </w:pPr>
    </w:p>
    <w:p w14:paraId="4AD8673F"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The P</w:t>
      </w:r>
      <w:r>
        <w:rPr>
          <w:rFonts w:ascii="Verdana" w:hAnsi="Verdana" w:cs="Arial"/>
          <w:sz w:val="22"/>
          <w:szCs w:val="22"/>
          <w:lang w:val="en-GB"/>
        </w:rPr>
        <w:t xml:space="preserve">olice and Crime Commissioner </w:t>
      </w:r>
      <w:r w:rsidRPr="00F242EB">
        <w:rPr>
          <w:rFonts w:ascii="Verdana" w:hAnsi="Verdana" w:cs="Arial"/>
          <w:sz w:val="22"/>
          <w:szCs w:val="22"/>
          <w:lang w:val="en-GB"/>
        </w:rPr>
        <w:t xml:space="preserve">follows the fair value hierarchy prescribed by IFRS13 to increase consistency and comparability in fair value measurements and related disclosures.  This hierarchy categorises into three levels the inputs to valuation techniques used to measure fair value as follows: </w:t>
      </w:r>
    </w:p>
    <w:p w14:paraId="6AFDC190" w14:textId="77777777" w:rsidR="00C65353" w:rsidRPr="00F52254" w:rsidRDefault="00C65353" w:rsidP="00C65353">
      <w:pPr>
        <w:pStyle w:val="ListParagraph"/>
        <w:numPr>
          <w:ilvl w:val="0"/>
          <w:numId w:val="2"/>
        </w:numPr>
        <w:ind w:left="357" w:hanging="357"/>
        <w:jc w:val="both"/>
        <w:rPr>
          <w:sz w:val="22"/>
        </w:rPr>
      </w:pPr>
      <w:r w:rsidRPr="00F52254">
        <w:rPr>
          <w:sz w:val="22"/>
        </w:rPr>
        <w:t>Level 1 Inputs – quoted prices (unadjusted) in active markets for identical assets or liabilities that the authority can access at the measurement date.</w:t>
      </w:r>
    </w:p>
    <w:p w14:paraId="23F79DD0" w14:textId="77777777" w:rsidR="00C65353" w:rsidRPr="00F52254" w:rsidRDefault="00C65353" w:rsidP="00C65353">
      <w:pPr>
        <w:pStyle w:val="ListParagraph"/>
        <w:numPr>
          <w:ilvl w:val="0"/>
          <w:numId w:val="2"/>
        </w:numPr>
        <w:ind w:left="357" w:hanging="357"/>
        <w:jc w:val="both"/>
        <w:rPr>
          <w:sz w:val="22"/>
        </w:rPr>
      </w:pPr>
      <w:r w:rsidRPr="00F52254">
        <w:rPr>
          <w:sz w:val="22"/>
        </w:rPr>
        <w:t>Level 2 Inputs – inputs other than quoted prices included within Level 1 that are observable for the asset or liability, either directly or indirectly.</w:t>
      </w:r>
    </w:p>
    <w:p w14:paraId="6D6DE8A3" w14:textId="77777777" w:rsidR="00C65353" w:rsidRPr="00F52254" w:rsidRDefault="00C65353" w:rsidP="00C65353">
      <w:pPr>
        <w:pStyle w:val="ListParagraph"/>
        <w:numPr>
          <w:ilvl w:val="0"/>
          <w:numId w:val="2"/>
        </w:numPr>
        <w:ind w:left="357" w:hanging="357"/>
        <w:jc w:val="both"/>
        <w:rPr>
          <w:sz w:val="22"/>
        </w:rPr>
      </w:pPr>
      <w:r w:rsidRPr="00F52254">
        <w:rPr>
          <w:sz w:val="22"/>
        </w:rPr>
        <w:t>Level 3 Inputs – unobservable inputs for the asset or liability.</w:t>
      </w:r>
    </w:p>
    <w:p w14:paraId="2C829846" w14:textId="77777777" w:rsidR="00C65353" w:rsidRPr="00F242EB" w:rsidRDefault="00C65353" w:rsidP="00C65353">
      <w:pPr>
        <w:pStyle w:val="Normal00"/>
        <w:jc w:val="both"/>
        <w:rPr>
          <w:rFonts w:ascii="Verdana" w:hAnsi="Verdana"/>
          <w:b/>
          <w:sz w:val="22"/>
          <w:szCs w:val="22"/>
          <w:lang w:val="en-GB"/>
        </w:rPr>
      </w:pPr>
    </w:p>
    <w:p w14:paraId="29186E01" w14:textId="77777777" w:rsidR="00C65353" w:rsidRPr="00F242EB" w:rsidRDefault="00C65353" w:rsidP="00C65353">
      <w:pPr>
        <w:pStyle w:val="Normal00"/>
        <w:jc w:val="both"/>
        <w:rPr>
          <w:rFonts w:ascii="Verdana" w:hAnsi="Verdana"/>
          <w:b/>
          <w:sz w:val="22"/>
          <w:szCs w:val="22"/>
          <w:lang w:val="en-GB"/>
        </w:rPr>
      </w:pPr>
      <w:r w:rsidRPr="00F242EB">
        <w:rPr>
          <w:rFonts w:ascii="Verdana" w:hAnsi="Verdana"/>
          <w:b/>
          <w:sz w:val="22"/>
          <w:szCs w:val="22"/>
          <w:lang w:val="en-GB"/>
        </w:rPr>
        <w:t>Financial Instruments</w:t>
      </w:r>
    </w:p>
    <w:p w14:paraId="2940D529" w14:textId="77777777" w:rsidR="00C65353" w:rsidRPr="00F242EB" w:rsidRDefault="00C65353" w:rsidP="00C65353">
      <w:pPr>
        <w:pStyle w:val="Normal00"/>
        <w:jc w:val="both"/>
        <w:rPr>
          <w:rFonts w:ascii="Verdana" w:hAnsi="Verdana" w:cs="Arial"/>
          <w:b/>
          <w:sz w:val="22"/>
          <w:szCs w:val="22"/>
          <w:lang w:val="en-GB"/>
        </w:rPr>
      </w:pPr>
    </w:p>
    <w:p w14:paraId="373E5399" w14:textId="77777777" w:rsidR="00C65353" w:rsidRPr="00F242EB" w:rsidRDefault="00C65353" w:rsidP="00C65353">
      <w:pPr>
        <w:pStyle w:val="Normal00"/>
        <w:jc w:val="both"/>
        <w:rPr>
          <w:rFonts w:ascii="Verdana" w:hAnsi="Verdana" w:cs="Arial"/>
          <w:b/>
          <w:sz w:val="22"/>
          <w:szCs w:val="22"/>
          <w:lang w:val="en-GB"/>
        </w:rPr>
      </w:pPr>
      <w:r w:rsidRPr="00F242EB">
        <w:rPr>
          <w:rFonts w:ascii="Verdana" w:hAnsi="Verdana" w:cs="Arial"/>
          <w:b/>
          <w:sz w:val="22"/>
          <w:szCs w:val="22"/>
          <w:lang w:val="en-GB"/>
        </w:rPr>
        <w:t>Financial Liabilities</w:t>
      </w:r>
    </w:p>
    <w:p w14:paraId="6D19D5EB" w14:textId="77777777" w:rsidR="00C65353" w:rsidRPr="00F242EB" w:rsidRDefault="00C65353" w:rsidP="00C65353">
      <w:pPr>
        <w:pStyle w:val="Normal00"/>
        <w:jc w:val="both"/>
        <w:rPr>
          <w:rFonts w:ascii="Verdana" w:hAnsi="Verdana" w:cs="Arial"/>
          <w:sz w:val="22"/>
          <w:szCs w:val="22"/>
          <w:lang w:val="en-GB"/>
        </w:rPr>
      </w:pPr>
    </w:p>
    <w:p w14:paraId="13308133" w14:textId="77777777" w:rsidR="00C65353" w:rsidRPr="00F242EB" w:rsidRDefault="00C65353" w:rsidP="00C65353">
      <w:pPr>
        <w:pStyle w:val="Normal00"/>
        <w:jc w:val="both"/>
        <w:rPr>
          <w:rFonts w:ascii="Verdana" w:hAnsi="Verdana"/>
          <w:sz w:val="22"/>
          <w:szCs w:val="22"/>
          <w:lang w:val="en-GB"/>
        </w:rPr>
      </w:pPr>
      <w:r w:rsidRPr="00F242EB">
        <w:rPr>
          <w:rFonts w:ascii="Verdana" w:hAnsi="Verdana"/>
          <w:sz w:val="22"/>
          <w:szCs w:val="22"/>
          <w:lang w:val="en-GB"/>
        </w:rPr>
        <w:t>Financial liabilities are recognised on the Balance Sheet when the PCC becomes a party to the contractual provisions of a financial instrument and are initially measured at fair value and are carried at their amortised cost. Annual charges to the Financing and Investment Income and Expenditure line in the Comprehensive Income and Expenditure Statement (CIES) for interest payable are based on the carrying amount of the liability, multiplied by the effective rate of interest for the instrument. The effective interest rate is the rate that exactly discounts estimated future cash payments over the life of the instrument to the amount at which it was originally recognised.</w:t>
      </w:r>
    </w:p>
    <w:p w14:paraId="46D93980" w14:textId="77777777" w:rsidR="00C65353" w:rsidRPr="00F242EB" w:rsidRDefault="00C65353" w:rsidP="00C65353">
      <w:pPr>
        <w:pStyle w:val="Normal00"/>
        <w:jc w:val="both"/>
        <w:rPr>
          <w:rFonts w:ascii="Verdana" w:hAnsi="Verdana"/>
          <w:sz w:val="22"/>
          <w:szCs w:val="22"/>
          <w:lang w:val="en-GB"/>
        </w:rPr>
      </w:pPr>
    </w:p>
    <w:p w14:paraId="167FB147" w14:textId="77777777" w:rsidR="00C65353" w:rsidRPr="00F242EB" w:rsidRDefault="00C65353" w:rsidP="00C65353">
      <w:pPr>
        <w:pStyle w:val="Normal00"/>
        <w:rPr>
          <w:rFonts w:ascii="Verdana" w:hAnsi="Verdana"/>
          <w:sz w:val="22"/>
          <w:szCs w:val="22"/>
          <w:lang w:val="en-GB"/>
        </w:rPr>
      </w:pPr>
      <w:r w:rsidRPr="00F242EB">
        <w:rPr>
          <w:rFonts w:ascii="Verdana" w:hAnsi="Verdana"/>
          <w:sz w:val="22"/>
          <w:szCs w:val="22"/>
          <w:lang w:val="en-GB"/>
        </w:rPr>
        <w:t>For the PCC borrowings held, this means that the amount presented in the Balance Sheet is the outstanding principal repayable (plus accrued interest); and interest charged to the CIES is the amount payable for the year according to the loan agreement.</w:t>
      </w:r>
    </w:p>
    <w:p w14:paraId="3BC0B919" w14:textId="77777777" w:rsidR="00C65353" w:rsidRPr="00F242EB" w:rsidRDefault="00C65353" w:rsidP="00C65353">
      <w:pPr>
        <w:pStyle w:val="Normal00"/>
        <w:jc w:val="both"/>
        <w:rPr>
          <w:rFonts w:ascii="Verdana" w:hAnsi="Verdana" w:cs="Arial"/>
          <w:sz w:val="22"/>
          <w:szCs w:val="22"/>
          <w:lang w:val="en-GB"/>
        </w:rPr>
      </w:pPr>
    </w:p>
    <w:p w14:paraId="6B89D8C9" w14:textId="77777777" w:rsidR="00C65353" w:rsidRPr="00F242EB" w:rsidRDefault="00C65353" w:rsidP="00C65353">
      <w:pPr>
        <w:pStyle w:val="Normal00"/>
        <w:jc w:val="both"/>
        <w:rPr>
          <w:rFonts w:ascii="Verdana" w:hAnsi="Verdana" w:cs="Arial"/>
          <w:sz w:val="22"/>
          <w:szCs w:val="22"/>
          <w:lang w:val="en-GB"/>
        </w:rPr>
      </w:pPr>
      <w:r w:rsidRPr="00F242EB">
        <w:rPr>
          <w:rFonts w:ascii="Verdana" w:hAnsi="Verdana" w:cs="Arial"/>
          <w:sz w:val="22"/>
          <w:szCs w:val="22"/>
          <w:lang w:val="en-GB"/>
        </w:rPr>
        <w:t>The Group has adopted CIPFA’s Treasury Management in the Public Services: Code of Practice and has set treasury management indicators to control key financial instrument risks in accordance with CIPFA’s Prudential Code.</w:t>
      </w:r>
    </w:p>
    <w:p w14:paraId="224E75A8" w14:textId="77777777" w:rsidR="00C65353" w:rsidRPr="00F242EB" w:rsidRDefault="00C65353" w:rsidP="00C65353">
      <w:pPr>
        <w:pStyle w:val="Normal00"/>
        <w:jc w:val="both"/>
        <w:rPr>
          <w:rFonts w:ascii="Verdana" w:hAnsi="Verdana" w:cs="Arial"/>
          <w:sz w:val="22"/>
          <w:szCs w:val="22"/>
          <w:lang w:val="en-GB"/>
        </w:rPr>
      </w:pPr>
    </w:p>
    <w:p w14:paraId="37047165" w14:textId="77777777" w:rsidR="00C65353" w:rsidRPr="00F242EB" w:rsidRDefault="00C65353" w:rsidP="00C65353">
      <w:pPr>
        <w:pStyle w:val="Normal00"/>
        <w:jc w:val="both"/>
        <w:rPr>
          <w:rFonts w:ascii="Verdana" w:hAnsi="Verdana" w:cs="Arial"/>
          <w:b/>
          <w:sz w:val="22"/>
          <w:szCs w:val="22"/>
          <w:lang w:val="en-GB"/>
        </w:rPr>
      </w:pPr>
      <w:r w:rsidRPr="00F242EB">
        <w:rPr>
          <w:rFonts w:ascii="Verdana" w:hAnsi="Verdana" w:cs="Arial"/>
          <w:b/>
          <w:sz w:val="22"/>
          <w:szCs w:val="22"/>
          <w:lang w:val="en-GB"/>
        </w:rPr>
        <w:t>Financial Assets</w:t>
      </w:r>
    </w:p>
    <w:p w14:paraId="407EEE7B" w14:textId="77777777" w:rsidR="00C65353" w:rsidRPr="00F242EB" w:rsidRDefault="00C65353" w:rsidP="00C65353">
      <w:pPr>
        <w:pStyle w:val="Pa12"/>
        <w:spacing w:before="120"/>
        <w:jc w:val="both"/>
        <w:rPr>
          <w:rFonts w:ascii="Verdana" w:hAnsi="Verdana" w:cs="FS Lola"/>
          <w:sz w:val="22"/>
          <w:szCs w:val="22"/>
          <w:lang w:val="en-GB"/>
        </w:rPr>
      </w:pPr>
      <w:r w:rsidRPr="00F242EB">
        <w:rPr>
          <w:rFonts w:ascii="Verdana" w:hAnsi="Verdana" w:cs="FS Lola"/>
          <w:sz w:val="22"/>
          <w:szCs w:val="22"/>
          <w:lang w:val="en-GB"/>
        </w:rPr>
        <w:t xml:space="preserve">Financial assets are classified based on a classification and measurement approach that reflects the business model for holding the financial assets and their cashflow characteristics. There are three main classes of financial assets measured at: </w:t>
      </w:r>
    </w:p>
    <w:p w14:paraId="608FC6C3" w14:textId="77777777" w:rsidR="00C65353" w:rsidRPr="00F242EB" w:rsidRDefault="00C65353" w:rsidP="00C65353">
      <w:pPr>
        <w:pStyle w:val="Default"/>
        <w:numPr>
          <w:ilvl w:val="0"/>
          <w:numId w:val="2"/>
        </w:numPr>
        <w:spacing w:after="86"/>
        <w:jc w:val="both"/>
        <w:rPr>
          <w:rFonts w:ascii="Verdana" w:hAnsi="Verdana"/>
          <w:color w:val="auto"/>
          <w:sz w:val="22"/>
          <w:szCs w:val="22"/>
        </w:rPr>
      </w:pPr>
      <w:r w:rsidRPr="00F242EB">
        <w:rPr>
          <w:rFonts w:ascii="Verdana" w:hAnsi="Verdana"/>
          <w:color w:val="auto"/>
          <w:sz w:val="22"/>
          <w:szCs w:val="22"/>
        </w:rPr>
        <w:t xml:space="preserve">amortised cost </w:t>
      </w:r>
    </w:p>
    <w:p w14:paraId="06C91E21" w14:textId="77777777" w:rsidR="00C65353" w:rsidRPr="00F242EB" w:rsidRDefault="00C65353" w:rsidP="00C65353">
      <w:pPr>
        <w:pStyle w:val="Default"/>
        <w:numPr>
          <w:ilvl w:val="0"/>
          <w:numId w:val="2"/>
        </w:numPr>
        <w:spacing w:after="86"/>
        <w:jc w:val="both"/>
        <w:rPr>
          <w:rFonts w:ascii="Verdana" w:hAnsi="Verdana"/>
          <w:color w:val="auto"/>
          <w:sz w:val="22"/>
          <w:szCs w:val="22"/>
        </w:rPr>
      </w:pPr>
      <w:r w:rsidRPr="00F242EB">
        <w:rPr>
          <w:rFonts w:ascii="Verdana" w:hAnsi="Verdana"/>
          <w:color w:val="auto"/>
          <w:sz w:val="22"/>
          <w:szCs w:val="22"/>
        </w:rPr>
        <w:t xml:space="preserve">fair value through profit or loss (FVPL), and </w:t>
      </w:r>
    </w:p>
    <w:p w14:paraId="6C95920E" w14:textId="77777777" w:rsidR="00C65353" w:rsidRPr="00F242EB" w:rsidRDefault="00C65353" w:rsidP="00C65353">
      <w:pPr>
        <w:pStyle w:val="Default"/>
        <w:numPr>
          <w:ilvl w:val="0"/>
          <w:numId w:val="2"/>
        </w:numPr>
        <w:jc w:val="both"/>
        <w:rPr>
          <w:rFonts w:ascii="Verdana" w:hAnsi="Verdana"/>
          <w:color w:val="auto"/>
          <w:sz w:val="22"/>
          <w:szCs w:val="22"/>
        </w:rPr>
      </w:pPr>
      <w:r w:rsidRPr="00F242EB">
        <w:rPr>
          <w:rFonts w:ascii="Verdana" w:hAnsi="Verdana"/>
          <w:color w:val="auto"/>
          <w:sz w:val="22"/>
          <w:szCs w:val="22"/>
        </w:rPr>
        <w:t xml:space="preserve">fair value through other comprehensive income (FVOCI) </w:t>
      </w:r>
      <w:r>
        <w:rPr>
          <w:rFonts w:ascii="Verdana" w:hAnsi="Verdana"/>
          <w:color w:val="auto"/>
          <w:sz w:val="22"/>
          <w:szCs w:val="22"/>
        </w:rPr>
        <w:t xml:space="preserve">if or when any </w:t>
      </w:r>
      <w:r w:rsidRPr="00F242EB">
        <w:rPr>
          <w:rFonts w:ascii="Verdana" w:hAnsi="Verdana"/>
          <w:color w:val="auto"/>
          <w:sz w:val="22"/>
          <w:szCs w:val="22"/>
        </w:rPr>
        <w:t xml:space="preserve">financial instruments </w:t>
      </w:r>
      <w:r>
        <w:rPr>
          <w:rFonts w:ascii="Verdana" w:hAnsi="Verdana"/>
          <w:color w:val="auto"/>
          <w:sz w:val="22"/>
          <w:szCs w:val="22"/>
        </w:rPr>
        <w:t xml:space="preserve">are held </w:t>
      </w:r>
      <w:r w:rsidRPr="00F242EB">
        <w:rPr>
          <w:rFonts w:ascii="Verdana" w:hAnsi="Verdana"/>
          <w:color w:val="auto"/>
          <w:sz w:val="22"/>
          <w:szCs w:val="22"/>
        </w:rPr>
        <w:t>at fair value thr</w:t>
      </w:r>
      <w:r>
        <w:rPr>
          <w:rFonts w:ascii="Verdana" w:hAnsi="Verdana"/>
          <w:color w:val="auto"/>
          <w:sz w:val="22"/>
          <w:szCs w:val="22"/>
        </w:rPr>
        <w:t>ough other comprehensive income or has designated assets as such financial instruments</w:t>
      </w:r>
      <w:r w:rsidRPr="00F242EB">
        <w:rPr>
          <w:rFonts w:ascii="Verdana" w:hAnsi="Verdana"/>
          <w:color w:val="auto"/>
          <w:sz w:val="22"/>
          <w:szCs w:val="22"/>
        </w:rPr>
        <w:t xml:space="preserve">. </w:t>
      </w:r>
      <w:r>
        <w:rPr>
          <w:rFonts w:ascii="Verdana" w:hAnsi="Verdana"/>
          <w:color w:val="auto"/>
          <w:sz w:val="22"/>
          <w:szCs w:val="22"/>
        </w:rPr>
        <w:t>The PCC doesn’t currently hold any FVOCI assets.</w:t>
      </w:r>
    </w:p>
    <w:p w14:paraId="41111A86" w14:textId="77777777" w:rsidR="00C65353" w:rsidRPr="00F242EB" w:rsidRDefault="00C65353" w:rsidP="00C65353">
      <w:pPr>
        <w:pStyle w:val="Default"/>
        <w:jc w:val="both"/>
        <w:rPr>
          <w:rFonts w:ascii="Verdana" w:hAnsi="Verdana"/>
          <w:color w:val="auto"/>
          <w:sz w:val="22"/>
          <w:szCs w:val="22"/>
        </w:rPr>
      </w:pPr>
    </w:p>
    <w:p w14:paraId="48334ED6" w14:textId="77777777" w:rsidR="00C65353" w:rsidRPr="00F242EB" w:rsidRDefault="00C65353" w:rsidP="00C65353">
      <w:pPr>
        <w:pStyle w:val="Normal00"/>
        <w:jc w:val="both"/>
        <w:rPr>
          <w:rFonts w:ascii="Verdana" w:hAnsi="Verdana" w:cs="FS Lola"/>
          <w:sz w:val="22"/>
          <w:szCs w:val="22"/>
          <w:lang w:val="en-GB"/>
        </w:rPr>
      </w:pPr>
      <w:r w:rsidRPr="00F242EB">
        <w:rPr>
          <w:rFonts w:ascii="Verdana" w:hAnsi="Verdana" w:cs="FS Lola"/>
          <w:sz w:val="22"/>
          <w:szCs w:val="22"/>
          <w:lang w:val="en-GB"/>
        </w:rPr>
        <w:t>The authority’s business model is to hold investments to collect contractual cash flows. Financial assets are therefore classified as amortised cost, except for those whose contractual payments are not solely payment of principal and interest (i</w:t>
      </w:r>
      <w:r>
        <w:rPr>
          <w:rFonts w:ascii="Verdana" w:hAnsi="Verdana" w:cs="FS Lola"/>
          <w:sz w:val="22"/>
          <w:szCs w:val="22"/>
          <w:lang w:val="en-GB"/>
        </w:rPr>
        <w:t>.</w:t>
      </w:r>
      <w:r w:rsidRPr="00F242EB">
        <w:rPr>
          <w:rFonts w:ascii="Verdana" w:hAnsi="Verdana" w:cs="FS Lola"/>
          <w:sz w:val="22"/>
          <w:szCs w:val="22"/>
          <w:lang w:val="en-GB"/>
        </w:rPr>
        <w:t>e</w:t>
      </w:r>
      <w:r>
        <w:rPr>
          <w:rFonts w:ascii="Verdana" w:hAnsi="Verdana" w:cs="FS Lola"/>
          <w:sz w:val="22"/>
          <w:szCs w:val="22"/>
          <w:lang w:val="en-GB"/>
        </w:rPr>
        <w:t>.</w:t>
      </w:r>
      <w:r w:rsidRPr="00F242EB">
        <w:rPr>
          <w:rFonts w:ascii="Verdana" w:hAnsi="Verdana" w:cs="FS Lola"/>
          <w:sz w:val="22"/>
          <w:szCs w:val="22"/>
          <w:lang w:val="en-GB"/>
        </w:rPr>
        <w:t xml:space="preserve"> where the cash flows do not take the form of a basic debt instrument).</w:t>
      </w:r>
    </w:p>
    <w:p w14:paraId="73643E82" w14:textId="77777777" w:rsidR="00C65353" w:rsidRPr="00F242EB" w:rsidRDefault="00C65353" w:rsidP="00C65353">
      <w:pPr>
        <w:pStyle w:val="Pa28"/>
        <w:spacing w:before="280"/>
        <w:ind w:right="100"/>
        <w:jc w:val="both"/>
        <w:rPr>
          <w:rFonts w:ascii="Verdana" w:hAnsi="Verdana" w:cs="FS Lola"/>
          <w:sz w:val="22"/>
          <w:szCs w:val="22"/>
          <w:lang w:val="en-GB"/>
        </w:rPr>
      </w:pPr>
      <w:r w:rsidRPr="00F242EB">
        <w:rPr>
          <w:rFonts w:ascii="Verdana" w:hAnsi="Verdana" w:cs="FS Lola"/>
          <w:b/>
          <w:bCs/>
          <w:sz w:val="22"/>
          <w:szCs w:val="22"/>
          <w:lang w:val="en-GB"/>
        </w:rPr>
        <w:t xml:space="preserve">Financial Assets Measured at Amortised Cost </w:t>
      </w:r>
    </w:p>
    <w:p w14:paraId="67BEE81A" w14:textId="77777777" w:rsidR="00C65353" w:rsidRPr="00010AE6" w:rsidRDefault="00C65353" w:rsidP="00C65353">
      <w:pPr>
        <w:pStyle w:val="Pa12"/>
        <w:spacing w:before="120"/>
        <w:jc w:val="both"/>
        <w:rPr>
          <w:rFonts w:ascii="Verdana" w:hAnsi="Verdana" w:cs="FS Lola"/>
          <w:sz w:val="22"/>
          <w:szCs w:val="22"/>
          <w:lang w:val="en-GB"/>
        </w:rPr>
      </w:pPr>
      <w:r w:rsidRPr="00010AE6">
        <w:rPr>
          <w:rFonts w:ascii="Verdana" w:hAnsi="Verdana" w:cs="FS Lola"/>
          <w:sz w:val="22"/>
          <w:szCs w:val="22"/>
          <w:lang w:val="en-GB"/>
        </w:rPr>
        <w:t xml:space="preserve">Financial assets measured at amortised cost are recognised on the Balance Sheet when the PCC becomes a party to the contractual provisions of a financial instrument and are initially measured at fair value. They are subsequently measured at their amortised cost. Annual credits to the Financing and Investment Income and Expenditure line in the CIES for interest receivable are based on the carrying amount of the asset multiplied by the effective rate of interest for the instrument. For most of the financial assets held by the PCC, this means that the amount presented in the Balance Sheet is the outstanding principal receivable (plus accrued interest) and interest credited to the CIES is the amount receivable for the year in the loan agreement. </w:t>
      </w:r>
    </w:p>
    <w:p w14:paraId="21DB166C" w14:textId="77777777" w:rsidR="00C65353" w:rsidRPr="00010AE6" w:rsidRDefault="00C65353" w:rsidP="00C65353">
      <w:pPr>
        <w:pStyle w:val="Pa12"/>
        <w:spacing w:before="120"/>
        <w:jc w:val="both"/>
        <w:rPr>
          <w:rFonts w:ascii="Verdana" w:hAnsi="Verdana" w:cs="FS Lola"/>
          <w:sz w:val="22"/>
          <w:szCs w:val="22"/>
          <w:lang w:val="en-GB"/>
        </w:rPr>
      </w:pPr>
      <w:r w:rsidRPr="00010AE6">
        <w:rPr>
          <w:rFonts w:ascii="Verdana" w:hAnsi="Verdana" w:cs="FS Lola"/>
          <w:sz w:val="22"/>
          <w:szCs w:val="22"/>
          <w:lang w:val="en-GB"/>
        </w:rPr>
        <w:t xml:space="preserve">Soft Loans are offered at less than market rates, where an objective would justify the authority making a concession. The authority does not hold any soft loans. </w:t>
      </w:r>
    </w:p>
    <w:p w14:paraId="6CF7F311" w14:textId="77777777" w:rsidR="00C65353" w:rsidRPr="00010AE6" w:rsidRDefault="00C65353" w:rsidP="00C65353">
      <w:pPr>
        <w:pStyle w:val="Pa28"/>
        <w:spacing w:before="280"/>
        <w:ind w:right="100"/>
        <w:jc w:val="both"/>
        <w:rPr>
          <w:rFonts w:ascii="Verdana" w:hAnsi="Verdana" w:cs="FS Lola"/>
          <w:sz w:val="22"/>
          <w:szCs w:val="22"/>
          <w:lang w:val="en-GB"/>
        </w:rPr>
      </w:pPr>
      <w:r w:rsidRPr="00010AE6">
        <w:rPr>
          <w:rFonts w:ascii="Verdana" w:hAnsi="Verdana" w:cs="FS Lola"/>
          <w:b/>
          <w:bCs/>
          <w:sz w:val="22"/>
          <w:szCs w:val="22"/>
          <w:lang w:val="en-GB"/>
        </w:rPr>
        <w:t>Expected Credit Loss</w:t>
      </w:r>
    </w:p>
    <w:p w14:paraId="7F34B81A" w14:textId="77777777" w:rsidR="00C65353" w:rsidRPr="00F242EB" w:rsidRDefault="00C65353" w:rsidP="00C65353">
      <w:pPr>
        <w:pStyle w:val="Pa12"/>
        <w:spacing w:before="120"/>
        <w:jc w:val="both"/>
        <w:rPr>
          <w:rFonts w:ascii="Verdana" w:hAnsi="Verdana" w:cs="FS Lola"/>
          <w:sz w:val="22"/>
          <w:szCs w:val="22"/>
          <w:lang w:val="en-GB"/>
        </w:rPr>
      </w:pPr>
      <w:r w:rsidRPr="00010AE6">
        <w:rPr>
          <w:rFonts w:ascii="Verdana" w:hAnsi="Verdana" w:cs="FS Lola"/>
          <w:sz w:val="22"/>
          <w:szCs w:val="22"/>
          <w:lang w:val="en-GB"/>
        </w:rPr>
        <w:t>The authority will recognise material expected credit losses on all of its financial assets held at amortised cost [or where relevant FVOCI], either</w:t>
      </w:r>
      <w:r w:rsidRPr="00F242EB">
        <w:rPr>
          <w:rFonts w:ascii="Verdana" w:hAnsi="Verdana" w:cs="FS Lola"/>
          <w:sz w:val="22"/>
          <w:szCs w:val="22"/>
          <w:lang w:val="en-GB"/>
        </w:rPr>
        <w:t xml:space="preserve"> on a 12-month or lifetime basis. </w:t>
      </w:r>
    </w:p>
    <w:p w14:paraId="2487B110" w14:textId="77777777" w:rsidR="00C65353" w:rsidRPr="00F242EB" w:rsidRDefault="00C65353" w:rsidP="00C65353">
      <w:pPr>
        <w:pStyle w:val="Pa12"/>
        <w:spacing w:before="120"/>
        <w:jc w:val="both"/>
        <w:rPr>
          <w:rFonts w:ascii="Verdana" w:hAnsi="Verdana" w:cs="FS Lola"/>
          <w:sz w:val="22"/>
          <w:szCs w:val="22"/>
          <w:lang w:val="en-GB"/>
        </w:rPr>
      </w:pPr>
      <w:r w:rsidRPr="00F242EB">
        <w:rPr>
          <w:rFonts w:ascii="Verdana" w:hAnsi="Verdana" w:cs="FS Lola"/>
          <w:sz w:val="22"/>
          <w:szCs w:val="22"/>
          <w:lang w:val="en-GB"/>
        </w:rPr>
        <w:t xml:space="preserve">Impairment losses are calculated to reflect the expectation that the future cash flows might not take place because the borrower could default on their obligations. Credit risk plays a crucial part in assessing losses. Where risk has increased significantly since an instrument was initially recognised, losses are assessed on a lifetime basis. Where risk has not increased significantly or remains low, losses are assessed on the basis of 12-month expected losses. </w:t>
      </w:r>
    </w:p>
    <w:p w14:paraId="73A46319" w14:textId="77777777" w:rsidR="00E245E6" w:rsidRDefault="00E245E6" w:rsidP="00C65353">
      <w:pPr>
        <w:pStyle w:val="Normal00"/>
        <w:autoSpaceDE w:val="0"/>
        <w:autoSpaceDN w:val="0"/>
        <w:adjustRightInd w:val="0"/>
        <w:spacing w:before="280" w:line="231" w:lineRule="atLeast"/>
        <w:ind w:right="100"/>
        <w:jc w:val="both"/>
        <w:rPr>
          <w:rFonts w:ascii="Verdana" w:hAnsi="Verdana" w:cs="FS Lola"/>
          <w:b/>
          <w:bCs/>
          <w:sz w:val="22"/>
          <w:szCs w:val="22"/>
          <w:lang w:val="en-GB"/>
        </w:rPr>
      </w:pPr>
    </w:p>
    <w:p w14:paraId="047A9A44" w14:textId="77777777" w:rsidR="00E245E6" w:rsidRDefault="00E245E6" w:rsidP="00C65353">
      <w:pPr>
        <w:pStyle w:val="Normal00"/>
        <w:autoSpaceDE w:val="0"/>
        <w:autoSpaceDN w:val="0"/>
        <w:adjustRightInd w:val="0"/>
        <w:spacing w:before="280" w:line="231" w:lineRule="atLeast"/>
        <w:ind w:right="100"/>
        <w:jc w:val="both"/>
        <w:rPr>
          <w:rFonts w:ascii="Verdana" w:hAnsi="Verdana" w:cs="FS Lola"/>
          <w:b/>
          <w:bCs/>
          <w:sz w:val="22"/>
          <w:szCs w:val="22"/>
          <w:lang w:val="en-GB"/>
        </w:rPr>
      </w:pPr>
    </w:p>
    <w:p w14:paraId="04A070C8" w14:textId="77777777" w:rsidR="00C65353" w:rsidRPr="00F242EB" w:rsidRDefault="00C65353" w:rsidP="00C65353">
      <w:pPr>
        <w:pStyle w:val="Normal00"/>
        <w:autoSpaceDE w:val="0"/>
        <w:autoSpaceDN w:val="0"/>
        <w:adjustRightInd w:val="0"/>
        <w:spacing w:before="280" w:line="231" w:lineRule="atLeast"/>
        <w:ind w:right="100"/>
        <w:jc w:val="both"/>
        <w:rPr>
          <w:rFonts w:ascii="Verdana" w:hAnsi="Verdana" w:cs="FS Lola"/>
          <w:sz w:val="22"/>
          <w:szCs w:val="22"/>
          <w:lang w:val="en-GB"/>
        </w:rPr>
      </w:pPr>
      <w:r w:rsidRPr="00F242EB">
        <w:rPr>
          <w:rFonts w:ascii="Verdana" w:hAnsi="Verdana" w:cs="FS Lola"/>
          <w:b/>
          <w:bCs/>
          <w:sz w:val="22"/>
          <w:szCs w:val="22"/>
          <w:lang w:val="en-GB"/>
        </w:rPr>
        <w:t xml:space="preserve">Financial Assets Measured at Fair Value through Profit of Loss </w:t>
      </w:r>
    </w:p>
    <w:p w14:paraId="1A136474" w14:textId="77777777" w:rsidR="00C65353" w:rsidRPr="00F242EB" w:rsidRDefault="00C65353" w:rsidP="00C65353">
      <w:pPr>
        <w:pStyle w:val="Normal00"/>
        <w:autoSpaceDE w:val="0"/>
        <w:autoSpaceDN w:val="0"/>
        <w:adjustRightInd w:val="0"/>
        <w:spacing w:before="120" w:line="231" w:lineRule="atLeast"/>
        <w:jc w:val="both"/>
        <w:rPr>
          <w:rFonts w:ascii="Verdana" w:hAnsi="Verdana" w:cs="FS Lola"/>
          <w:sz w:val="22"/>
          <w:szCs w:val="22"/>
          <w:lang w:val="en-GB"/>
        </w:rPr>
      </w:pPr>
      <w:r w:rsidRPr="00F242EB">
        <w:rPr>
          <w:rFonts w:ascii="Verdana" w:hAnsi="Verdana" w:cs="FS Lola"/>
          <w:sz w:val="22"/>
          <w:szCs w:val="22"/>
          <w:lang w:val="en-GB"/>
        </w:rPr>
        <w:t xml:space="preserve">Financial assets that are measured at FVPL are recognised on the Balance Sheet when the authority becomes a party to the contractual provisions of a financial instrument and are initially measured and carried at fair value. Fair value gains and losses are recognised as they arrive in the Surplus or Deficit on the Provision of Services. </w:t>
      </w:r>
    </w:p>
    <w:p w14:paraId="750167AA" w14:textId="77777777" w:rsidR="00C65353" w:rsidRPr="00F242EB" w:rsidRDefault="00C65353" w:rsidP="00C65353">
      <w:pPr>
        <w:pStyle w:val="Normal00"/>
        <w:autoSpaceDE w:val="0"/>
        <w:autoSpaceDN w:val="0"/>
        <w:adjustRightInd w:val="0"/>
        <w:spacing w:before="120" w:line="231" w:lineRule="atLeast"/>
        <w:jc w:val="both"/>
        <w:rPr>
          <w:rFonts w:ascii="Verdana" w:hAnsi="Verdana" w:cs="FS Lola"/>
          <w:sz w:val="22"/>
          <w:szCs w:val="22"/>
          <w:lang w:val="en-GB"/>
        </w:rPr>
      </w:pPr>
      <w:r w:rsidRPr="00F242EB">
        <w:rPr>
          <w:rFonts w:ascii="Verdana" w:hAnsi="Verdana" w:cs="FS Lola"/>
          <w:sz w:val="22"/>
          <w:szCs w:val="22"/>
          <w:lang w:val="en-GB"/>
        </w:rPr>
        <w:t xml:space="preserve">The fair value measurements of the financial assets are based on the following techniques: </w:t>
      </w:r>
    </w:p>
    <w:p w14:paraId="51F2E76F" w14:textId="77777777" w:rsidR="00C65353" w:rsidRPr="00F242EB" w:rsidRDefault="00C65353" w:rsidP="00C65353">
      <w:pPr>
        <w:pStyle w:val="ListParagraph"/>
        <w:numPr>
          <w:ilvl w:val="0"/>
          <w:numId w:val="4"/>
        </w:numPr>
        <w:autoSpaceDE w:val="0"/>
        <w:autoSpaceDN w:val="0"/>
        <w:adjustRightInd w:val="0"/>
        <w:spacing w:after="86"/>
        <w:jc w:val="both"/>
        <w:rPr>
          <w:rFonts w:eastAsiaTheme="minorHAnsi" w:cs="FS Lola"/>
          <w:sz w:val="22"/>
          <w:lang w:eastAsia="en-US"/>
        </w:rPr>
      </w:pPr>
      <w:r w:rsidRPr="00F242EB">
        <w:rPr>
          <w:rFonts w:eastAsiaTheme="minorHAnsi" w:cs="FS Lola"/>
          <w:sz w:val="22"/>
          <w:lang w:eastAsia="en-US"/>
        </w:rPr>
        <w:t xml:space="preserve">instruments with quoted market prices – the market price </w:t>
      </w:r>
    </w:p>
    <w:p w14:paraId="6EA55EC5" w14:textId="77777777" w:rsidR="00C65353" w:rsidRPr="00F242EB" w:rsidRDefault="00C65353" w:rsidP="00C65353">
      <w:pPr>
        <w:pStyle w:val="ListParagraph"/>
        <w:numPr>
          <w:ilvl w:val="0"/>
          <w:numId w:val="4"/>
        </w:numPr>
        <w:autoSpaceDE w:val="0"/>
        <w:autoSpaceDN w:val="0"/>
        <w:adjustRightInd w:val="0"/>
        <w:jc w:val="both"/>
        <w:rPr>
          <w:rFonts w:eastAsiaTheme="minorHAnsi" w:cs="FS Lola"/>
          <w:sz w:val="22"/>
          <w:lang w:eastAsia="en-US"/>
        </w:rPr>
      </w:pPr>
      <w:r w:rsidRPr="00F242EB">
        <w:rPr>
          <w:rFonts w:eastAsiaTheme="minorHAnsi" w:cs="FS Lola"/>
          <w:sz w:val="22"/>
          <w:lang w:eastAsia="en-US"/>
        </w:rPr>
        <w:t xml:space="preserve">other instruments with fixed and determinable payments – discounted cash flow analysis. </w:t>
      </w:r>
    </w:p>
    <w:p w14:paraId="5931966A" w14:textId="77777777" w:rsidR="00C65353" w:rsidRPr="00F242EB" w:rsidRDefault="00C65353" w:rsidP="00C65353">
      <w:pPr>
        <w:pStyle w:val="Normal00"/>
        <w:autoSpaceDE w:val="0"/>
        <w:autoSpaceDN w:val="0"/>
        <w:adjustRightInd w:val="0"/>
        <w:spacing w:before="120" w:line="231" w:lineRule="atLeast"/>
        <w:jc w:val="both"/>
        <w:rPr>
          <w:rFonts w:ascii="Verdana" w:hAnsi="Verdana" w:cs="FS Lola"/>
          <w:sz w:val="22"/>
          <w:szCs w:val="22"/>
          <w:lang w:val="en-GB"/>
        </w:rPr>
      </w:pPr>
      <w:r w:rsidRPr="00F242EB">
        <w:rPr>
          <w:rFonts w:ascii="Verdana" w:hAnsi="Verdana" w:cs="FS Lola"/>
          <w:sz w:val="22"/>
          <w:szCs w:val="22"/>
          <w:lang w:val="en-GB"/>
        </w:rPr>
        <w:t xml:space="preserve">The inputs to the measurement techniques are categorised in accordance with the following three levels: </w:t>
      </w:r>
    </w:p>
    <w:p w14:paraId="5E643B3F" w14:textId="77777777" w:rsidR="00C65353" w:rsidRPr="00F242EB" w:rsidRDefault="00C65353" w:rsidP="00C65353">
      <w:pPr>
        <w:pStyle w:val="ListParagraph"/>
        <w:numPr>
          <w:ilvl w:val="0"/>
          <w:numId w:val="5"/>
        </w:numPr>
        <w:autoSpaceDE w:val="0"/>
        <w:autoSpaceDN w:val="0"/>
        <w:adjustRightInd w:val="0"/>
        <w:spacing w:after="86"/>
        <w:jc w:val="both"/>
        <w:rPr>
          <w:rFonts w:eastAsiaTheme="minorHAnsi" w:cs="FS Lola"/>
          <w:sz w:val="22"/>
          <w:lang w:eastAsia="en-US"/>
        </w:rPr>
      </w:pPr>
      <w:r w:rsidRPr="00F242EB">
        <w:rPr>
          <w:rFonts w:eastAsiaTheme="minorHAnsi" w:cs="FS Lola"/>
          <w:sz w:val="22"/>
          <w:lang w:eastAsia="en-US"/>
        </w:rPr>
        <w:t xml:space="preserve">Level 1 inputs – quoted prices (unadjusted) in active markets for identical assets at the measurement date. </w:t>
      </w:r>
    </w:p>
    <w:p w14:paraId="4641B874" w14:textId="77777777" w:rsidR="00C65353" w:rsidRPr="00F242EB" w:rsidRDefault="00C65353" w:rsidP="00C65353">
      <w:pPr>
        <w:pStyle w:val="ListParagraph"/>
        <w:numPr>
          <w:ilvl w:val="0"/>
          <w:numId w:val="5"/>
        </w:numPr>
        <w:autoSpaceDE w:val="0"/>
        <w:autoSpaceDN w:val="0"/>
        <w:adjustRightInd w:val="0"/>
        <w:spacing w:after="86"/>
        <w:jc w:val="both"/>
        <w:rPr>
          <w:rFonts w:eastAsiaTheme="minorHAnsi" w:cs="FS Lola"/>
          <w:sz w:val="22"/>
          <w:lang w:eastAsia="en-US"/>
        </w:rPr>
      </w:pPr>
      <w:r w:rsidRPr="00F242EB">
        <w:rPr>
          <w:rFonts w:eastAsiaTheme="minorHAnsi" w:cs="FS Lola"/>
          <w:sz w:val="22"/>
          <w:lang w:eastAsia="en-US"/>
        </w:rPr>
        <w:t xml:space="preserve">Level 2 inputs – inputs other than quoted prices included within Level 1 that are observable for the asset, either directly or indirectly. </w:t>
      </w:r>
    </w:p>
    <w:p w14:paraId="624E0870" w14:textId="77777777" w:rsidR="00C65353" w:rsidRPr="00F242EB" w:rsidRDefault="00C65353" w:rsidP="00C65353">
      <w:pPr>
        <w:pStyle w:val="ListParagraph"/>
        <w:numPr>
          <w:ilvl w:val="0"/>
          <w:numId w:val="5"/>
        </w:numPr>
        <w:autoSpaceDE w:val="0"/>
        <w:autoSpaceDN w:val="0"/>
        <w:adjustRightInd w:val="0"/>
        <w:jc w:val="both"/>
        <w:rPr>
          <w:rFonts w:eastAsiaTheme="minorHAnsi" w:cs="FS Lola"/>
          <w:sz w:val="22"/>
          <w:lang w:eastAsia="en-US"/>
        </w:rPr>
      </w:pPr>
      <w:r w:rsidRPr="00F242EB">
        <w:rPr>
          <w:rFonts w:eastAsiaTheme="minorHAnsi" w:cs="FS Lola"/>
          <w:sz w:val="22"/>
          <w:lang w:eastAsia="en-US"/>
        </w:rPr>
        <w:t xml:space="preserve">Level 3 inputs – unobservable inputs for the asset. </w:t>
      </w:r>
    </w:p>
    <w:p w14:paraId="66A6A9C5" w14:textId="77777777" w:rsidR="00C65353" w:rsidRPr="0064075F" w:rsidRDefault="00C65353" w:rsidP="00C65353">
      <w:pPr>
        <w:pStyle w:val="Normal00"/>
        <w:autoSpaceDE w:val="0"/>
        <w:autoSpaceDN w:val="0"/>
        <w:adjustRightInd w:val="0"/>
        <w:spacing w:before="120" w:line="231" w:lineRule="atLeast"/>
        <w:jc w:val="both"/>
        <w:rPr>
          <w:rFonts w:ascii="Verdana" w:hAnsi="Verdana" w:cs="FS Lola"/>
          <w:sz w:val="22"/>
          <w:szCs w:val="22"/>
          <w:lang w:val="en-GB"/>
        </w:rPr>
      </w:pPr>
      <w:r w:rsidRPr="00F242EB">
        <w:rPr>
          <w:rFonts w:ascii="Verdana" w:hAnsi="Verdana" w:cs="FS Lola"/>
          <w:sz w:val="22"/>
          <w:szCs w:val="22"/>
          <w:lang w:val="en-GB"/>
        </w:rPr>
        <w:t>Any gains and losses that arise on the de</w:t>
      </w:r>
      <w:r>
        <w:rPr>
          <w:rFonts w:ascii="Verdana" w:hAnsi="Verdana" w:cs="FS Lola"/>
          <w:sz w:val="22"/>
          <w:szCs w:val="22"/>
          <w:lang w:val="en-GB"/>
        </w:rPr>
        <w:t>-</w:t>
      </w:r>
      <w:r w:rsidRPr="0064075F">
        <w:rPr>
          <w:rFonts w:ascii="Verdana" w:hAnsi="Verdana" w:cs="FS Lola"/>
          <w:sz w:val="22"/>
          <w:szCs w:val="22"/>
          <w:lang w:val="en-GB"/>
        </w:rPr>
        <w:t xml:space="preserve">recognition of the asset are credited or debited to the Financing and Investment Income and Expenditure line in the Comprehensive Income and Expenditure Statement. </w:t>
      </w:r>
    </w:p>
    <w:p w14:paraId="22CBD8CA" w14:textId="77777777" w:rsidR="00C65353" w:rsidRPr="0064075F" w:rsidRDefault="00C65353" w:rsidP="00C65353">
      <w:pPr>
        <w:pStyle w:val="Normal0"/>
        <w:autoSpaceDE w:val="0"/>
        <w:autoSpaceDN w:val="0"/>
        <w:adjustRightInd w:val="0"/>
        <w:spacing w:before="280" w:line="231" w:lineRule="atLeast"/>
        <w:ind w:right="100"/>
        <w:jc w:val="both"/>
        <w:rPr>
          <w:rFonts w:ascii="Verdana" w:hAnsi="Verdana" w:cs="FS Lola"/>
          <w:sz w:val="22"/>
          <w:szCs w:val="22"/>
          <w:lang w:val="en-GB"/>
        </w:rPr>
      </w:pPr>
      <w:r w:rsidRPr="0064075F">
        <w:rPr>
          <w:rFonts w:ascii="Verdana" w:hAnsi="Verdana" w:cs="FS Lola"/>
          <w:b/>
          <w:bCs/>
          <w:sz w:val="22"/>
          <w:szCs w:val="22"/>
          <w:lang w:val="en-GB"/>
        </w:rPr>
        <w:t>Financial Assets Measured at Fair Value through Other Comprehensive Income</w:t>
      </w:r>
    </w:p>
    <w:p w14:paraId="01487848" w14:textId="77777777" w:rsidR="00C65353" w:rsidRPr="0064075F" w:rsidRDefault="00C65353" w:rsidP="00C65353">
      <w:pPr>
        <w:pStyle w:val="Normal0"/>
        <w:autoSpaceDE w:val="0"/>
        <w:autoSpaceDN w:val="0"/>
        <w:adjustRightInd w:val="0"/>
        <w:spacing w:before="120" w:line="231" w:lineRule="atLeast"/>
        <w:jc w:val="both"/>
        <w:rPr>
          <w:rFonts w:ascii="Verdana" w:hAnsi="Verdana" w:cs="FS Lola"/>
          <w:sz w:val="22"/>
          <w:szCs w:val="22"/>
          <w:lang w:val="en-GB"/>
        </w:rPr>
      </w:pPr>
      <w:r w:rsidRPr="0064075F">
        <w:rPr>
          <w:rFonts w:ascii="Verdana" w:hAnsi="Verdana" w:cs="FS Lola"/>
          <w:sz w:val="22"/>
          <w:szCs w:val="22"/>
          <w:lang w:val="en-GB"/>
        </w:rPr>
        <w:t xml:space="preserve">Financial assets that are measured at FVOCI are recognised on the Balance Sheet when the authority becomes a party to the contractual provisions of a financial instrument and are initially measured and carried at fair value. Movements in amortised cost are recognised in the Surplus or Deficit on the Provision of Services, but movements in the fair value are recognised as Other Comprehensive Income and Expenditure. </w:t>
      </w:r>
    </w:p>
    <w:p w14:paraId="543B0CCA" w14:textId="77777777" w:rsidR="00C65353" w:rsidRPr="0064075F" w:rsidRDefault="00C65353" w:rsidP="00C65353">
      <w:pPr>
        <w:pStyle w:val="Normal0"/>
        <w:jc w:val="both"/>
        <w:rPr>
          <w:rFonts w:ascii="Verdana" w:hAnsi="Verdana"/>
          <w:sz w:val="22"/>
          <w:szCs w:val="22"/>
          <w:lang w:val="en-GB"/>
        </w:rPr>
      </w:pPr>
    </w:p>
    <w:p w14:paraId="786688C8" w14:textId="77777777" w:rsidR="00C65353" w:rsidRPr="0064075F" w:rsidRDefault="00C65353" w:rsidP="00C65353">
      <w:pPr>
        <w:pStyle w:val="Normal0"/>
        <w:jc w:val="both"/>
        <w:rPr>
          <w:rFonts w:ascii="Verdana" w:hAnsi="Verdana"/>
          <w:sz w:val="22"/>
          <w:szCs w:val="22"/>
          <w:lang w:val="en-GB"/>
        </w:rPr>
      </w:pPr>
      <w:r w:rsidRPr="0064075F">
        <w:rPr>
          <w:rFonts w:ascii="Verdana" w:hAnsi="Verdana"/>
          <w:sz w:val="22"/>
          <w:szCs w:val="22"/>
          <w:lang w:val="en-GB"/>
        </w:rPr>
        <w:t xml:space="preserve">Interest is credited to the Surplus or Deficit on the Provision of Services using the effective interest rate method. Movements in impairment loss allowances are recognised in the Surplus or Deficit on the Provision of Services, with a compensating amount to Other Comprehensive Income and Expenditure to offset the movements against gains/losses on fair value (i.e. not against the carrying amount of the asset).  </w:t>
      </w:r>
    </w:p>
    <w:p w14:paraId="41CC2B7E" w14:textId="77777777" w:rsidR="00E245E6" w:rsidRDefault="00E245E6" w:rsidP="00C65353">
      <w:pPr>
        <w:pStyle w:val="Normal00"/>
        <w:jc w:val="both"/>
        <w:rPr>
          <w:rFonts w:ascii="Verdana" w:hAnsi="Verdana"/>
          <w:b/>
          <w:sz w:val="22"/>
          <w:szCs w:val="22"/>
          <w:lang w:val="en-GB"/>
        </w:rPr>
      </w:pPr>
    </w:p>
    <w:p w14:paraId="50AD6AF2" w14:textId="77777777" w:rsidR="00E245E6" w:rsidRDefault="00E245E6" w:rsidP="00C65353">
      <w:pPr>
        <w:pStyle w:val="Normal00"/>
        <w:jc w:val="both"/>
        <w:rPr>
          <w:rFonts w:ascii="Verdana" w:hAnsi="Verdana"/>
          <w:b/>
          <w:sz w:val="22"/>
          <w:szCs w:val="22"/>
          <w:lang w:val="en-GB"/>
        </w:rPr>
      </w:pPr>
    </w:p>
    <w:p w14:paraId="27ECAE84" w14:textId="77777777" w:rsidR="00E245E6" w:rsidRDefault="00E245E6" w:rsidP="00C65353">
      <w:pPr>
        <w:pStyle w:val="Normal00"/>
        <w:jc w:val="both"/>
        <w:rPr>
          <w:rFonts w:ascii="Verdana" w:hAnsi="Verdana"/>
          <w:b/>
          <w:sz w:val="22"/>
          <w:szCs w:val="22"/>
          <w:lang w:val="en-GB"/>
        </w:rPr>
      </w:pPr>
    </w:p>
    <w:p w14:paraId="3DEFC74F" w14:textId="77777777" w:rsidR="00E245E6" w:rsidRDefault="00E245E6" w:rsidP="00C65353">
      <w:pPr>
        <w:pStyle w:val="Normal00"/>
        <w:jc w:val="both"/>
        <w:rPr>
          <w:rFonts w:ascii="Verdana" w:hAnsi="Verdana"/>
          <w:b/>
          <w:sz w:val="22"/>
          <w:szCs w:val="22"/>
          <w:lang w:val="en-GB"/>
        </w:rPr>
      </w:pPr>
    </w:p>
    <w:p w14:paraId="32BDF4DF" w14:textId="77777777" w:rsidR="00E245E6" w:rsidRDefault="00E245E6" w:rsidP="00C65353">
      <w:pPr>
        <w:pStyle w:val="Normal00"/>
        <w:jc w:val="both"/>
        <w:rPr>
          <w:rFonts w:ascii="Verdana" w:hAnsi="Verdana"/>
          <w:b/>
          <w:sz w:val="22"/>
          <w:szCs w:val="22"/>
          <w:lang w:val="en-GB"/>
        </w:rPr>
      </w:pPr>
    </w:p>
    <w:p w14:paraId="0D4C0C0E" w14:textId="77777777" w:rsidR="00C65353" w:rsidRPr="00F242EB" w:rsidRDefault="00C65353" w:rsidP="00C65353">
      <w:pPr>
        <w:pStyle w:val="Normal00"/>
        <w:jc w:val="both"/>
        <w:rPr>
          <w:rFonts w:ascii="Verdana" w:hAnsi="Verdana"/>
          <w:b/>
          <w:sz w:val="22"/>
          <w:szCs w:val="22"/>
          <w:lang w:val="en-GB"/>
        </w:rPr>
      </w:pPr>
      <w:r w:rsidRPr="0064075F">
        <w:rPr>
          <w:rFonts w:ascii="Verdana" w:hAnsi="Verdana"/>
          <w:b/>
          <w:sz w:val="22"/>
          <w:szCs w:val="22"/>
          <w:lang w:val="en-GB"/>
        </w:rPr>
        <w:t>Loans and Receivables</w:t>
      </w:r>
    </w:p>
    <w:p w14:paraId="397729B0" w14:textId="77777777" w:rsidR="00C65353" w:rsidRPr="00F242EB" w:rsidRDefault="00C65353" w:rsidP="00C65353">
      <w:pPr>
        <w:pStyle w:val="Normal00"/>
        <w:jc w:val="both"/>
        <w:rPr>
          <w:rFonts w:ascii="Verdana" w:hAnsi="Verdana"/>
          <w:sz w:val="22"/>
          <w:szCs w:val="22"/>
          <w:lang w:val="en-GB"/>
        </w:rPr>
      </w:pPr>
    </w:p>
    <w:p w14:paraId="2B870C0C" w14:textId="77777777" w:rsidR="00C65353" w:rsidRPr="0064075F" w:rsidRDefault="00C65353" w:rsidP="00C65353">
      <w:pPr>
        <w:pStyle w:val="Normal00"/>
        <w:jc w:val="both"/>
        <w:rPr>
          <w:rFonts w:ascii="Verdana" w:hAnsi="Verdana"/>
          <w:sz w:val="22"/>
          <w:szCs w:val="22"/>
          <w:lang w:val="en-GB"/>
        </w:rPr>
      </w:pPr>
      <w:r w:rsidRPr="00F242EB">
        <w:rPr>
          <w:rFonts w:ascii="Verdana" w:hAnsi="Verdana"/>
          <w:sz w:val="22"/>
          <w:szCs w:val="22"/>
          <w:lang w:val="en-GB"/>
        </w:rPr>
        <w:t xml:space="preserve">Loans and receivables are recognised on the Balance Sheet when the PCC becomes a party to the contractual provisions of a financial instrument and are initially measured at fair value. They are subsequently measured at their amortised cost. The Police and Crime Commissioner does not </w:t>
      </w:r>
      <w:r w:rsidRPr="0064075F">
        <w:rPr>
          <w:rFonts w:ascii="Verdana" w:hAnsi="Verdana"/>
          <w:sz w:val="22"/>
          <w:szCs w:val="22"/>
          <w:lang w:val="en-GB"/>
        </w:rPr>
        <w:t xml:space="preserve">currently make any soft loans. </w:t>
      </w:r>
    </w:p>
    <w:p w14:paraId="76E5EA4B" w14:textId="77777777" w:rsidR="00C65353" w:rsidRPr="0064075F" w:rsidRDefault="00C65353" w:rsidP="00C65353">
      <w:pPr>
        <w:pStyle w:val="Normal00"/>
        <w:jc w:val="both"/>
        <w:rPr>
          <w:rFonts w:ascii="Verdana" w:hAnsi="Verdana"/>
          <w:sz w:val="22"/>
          <w:szCs w:val="22"/>
          <w:lang w:val="en-GB"/>
        </w:rPr>
      </w:pPr>
    </w:p>
    <w:p w14:paraId="6D5A3974" w14:textId="77777777" w:rsidR="00C65353" w:rsidRPr="0064075F" w:rsidRDefault="00C65353" w:rsidP="00C65353">
      <w:pPr>
        <w:pStyle w:val="Normal00"/>
        <w:jc w:val="both"/>
        <w:rPr>
          <w:rFonts w:ascii="Verdana" w:hAnsi="Verdana"/>
          <w:b/>
          <w:sz w:val="22"/>
          <w:szCs w:val="22"/>
          <w:lang w:val="en-GB"/>
        </w:rPr>
      </w:pPr>
      <w:r w:rsidRPr="0064075F">
        <w:rPr>
          <w:rFonts w:ascii="Verdana" w:hAnsi="Verdana"/>
          <w:b/>
          <w:sz w:val="22"/>
          <w:szCs w:val="22"/>
          <w:lang w:val="en-GB"/>
        </w:rPr>
        <w:t>Foreign currency translation</w:t>
      </w:r>
    </w:p>
    <w:p w14:paraId="395AFADF" w14:textId="77777777" w:rsidR="00C65353" w:rsidRPr="0064075F" w:rsidRDefault="00C65353" w:rsidP="00C65353">
      <w:pPr>
        <w:pStyle w:val="Normal00"/>
        <w:jc w:val="both"/>
        <w:rPr>
          <w:rFonts w:ascii="Verdana" w:hAnsi="Verdana" w:cs="Arial"/>
          <w:b/>
          <w:bCs/>
          <w:sz w:val="22"/>
          <w:szCs w:val="22"/>
          <w:lang w:val="en-GB"/>
        </w:rPr>
      </w:pPr>
    </w:p>
    <w:p w14:paraId="72570DDB" w14:textId="77777777" w:rsidR="00C65353" w:rsidRPr="0064075F" w:rsidRDefault="00C65353" w:rsidP="00C65353">
      <w:pPr>
        <w:pStyle w:val="Normal00"/>
        <w:jc w:val="both"/>
        <w:rPr>
          <w:rFonts w:ascii="Verdana" w:hAnsi="Verdana"/>
          <w:sz w:val="22"/>
          <w:szCs w:val="22"/>
          <w:lang w:val="en-GB"/>
        </w:rPr>
      </w:pPr>
      <w:r w:rsidRPr="0064075F">
        <w:rPr>
          <w:rFonts w:ascii="Verdana" w:hAnsi="Verdana"/>
          <w:sz w:val="22"/>
          <w:szCs w:val="22"/>
          <w:lang w:val="en-GB"/>
        </w:rPr>
        <w:t xml:space="preserve">Where transactions are entered into that are denominated in a foreign currency, the transactions is converted into sterling at the exchange rate applicable on the date the transaction was effective. Where amounts in foreign currency are outstanding at the year-end, they are reconverted at the spot exchange rate at 31 March. Resulting gains or losses are recognised in the financing and investment income and expenditure line in the </w:t>
      </w:r>
      <w:r w:rsidRPr="0064075F">
        <w:rPr>
          <w:rFonts w:ascii="Verdana" w:hAnsi="Verdana" w:cs="Arial"/>
          <w:sz w:val="22"/>
          <w:szCs w:val="22"/>
          <w:lang w:val="en-GB"/>
        </w:rPr>
        <w:t>Comprehensive Income and Expenditure Statement</w:t>
      </w:r>
      <w:r w:rsidRPr="0064075F">
        <w:rPr>
          <w:rFonts w:ascii="Verdana" w:hAnsi="Verdana"/>
          <w:sz w:val="22"/>
          <w:szCs w:val="22"/>
          <w:lang w:val="en-GB"/>
        </w:rPr>
        <w:t>.</w:t>
      </w:r>
    </w:p>
    <w:p w14:paraId="10BB8A64" w14:textId="77777777" w:rsidR="00C65353" w:rsidRPr="0064075F" w:rsidRDefault="00C65353" w:rsidP="00C65353">
      <w:pPr>
        <w:pStyle w:val="Normal00"/>
        <w:jc w:val="both"/>
        <w:rPr>
          <w:rFonts w:ascii="Verdana" w:hAnsi="Verdana"/>
          <w:b/>
          <w:sz w:val="22"/>
          <w:szCs w:val="22"/>
          <w:lang w:val="en-GB"/>
        </w:rPr>
      </w:pPr>
    </w:p>
    <w:p w14:paraId="05B8CD50" w14:textId="77777777" w:rsidR="00C65353" w:rsidRPr="0064075F" w:rsidRDefault="00C65353" w:rsidP="00C65353">
      <w:pPr>
        <w:pStyle w:val="Normal00"/>
        <w:jc w:val="both"/>
        <w:rPr>
          <w:rFonts w:ascii="Verdana" w:hAnsi="Verdana"/>
          <w:b/>
          <w:sz w:val="22"/>
          <w:szCs w:val="22"/>
          <w:lang w:val="en-GB"/>
        </w:rPr>
      </w:pPr>
      <w:r w:rsidRPr="0064075F">
        <w:rPr>
          <w:rFonts w:ascii="Verdana" w:hAnsi="Verdana"/>
          <w:b/>
          <w:sz w:val="22"/>
          <w:szCs w:val="22"/>
          <w:lang w:val="en-GB"/>
        </w:rPr>
        <w:t>Interests in Companies and Other Entities</w:t>
      </w:r>
    </w:p>
    <w:p w14:paraId="1DA92545" w14:textId="77777777" w:rsidR="00C65353" w:rsidRPr="0064075F" w:rsidRDefault="00C65353" w:rsidP="00C65353">
      <w:pPr>
        <w:pStyle w:val="Normal00"/>
        <w:jc w:val="both"/>
        <w:rPr>
          <w:rFonts w:ascii="Verdana" w:hAnsi="Verdana" w:cs="Arial"/>
          <w:b/>
          <w:bCs/>
          <w:sz w:val="22"/>
          <w:szCs w:val="22"/>
          <w:lang w:val="en-GB"/>
        </w:rPr>
      </w:pPr>
    </w:p>
    <w:p w14:paraId="7D078C2C" w14:textId="77777777" w:rsidR="00C65353" w:rsidRPr="0064075F" w:rsidRDefault="00C65353" w:rsidP="00C65353">
      <w:pPr>
        <w:pStyle w:val="Normal00"/>
        <w:jc w:val="both"/>
        <w:rPr>
          <w:rFonts w:ascii="Verdana" w:hAnsi="Verdana"/>
          <w:sz w:val="22"/>
          <w:szCs w:val="22"/>
          <w:lang w:val="en-GB"/>
        </w:rPr>
      </w:pPr>
      <w:r w:rsidRPr="0064075F">
        <w:rPr>
          <w:rFonts w:ascii="Verdana" w:hAnsi="Verdana"/>
          <w:sz w:val="22"/>
          <w:szCs w:val="22"/>
          <w:lang w:val="en-GB"/>
        </w:rPr>
        <w:t>All the financial transactions incurred during the year for policing Surrey have been recognised and recorded within the Statement of Accounts of the PCC for Surrey, which sets out the overall financial position of the PCC and Chief Constable Group for the year ended 31 March.</w:t>
      </w:r>
    </w:p>
    <w:p w14:paraId="25997876" w14:textId="77777777" w:rsidR="00C65353" w:rsidRPr="0064075F" w:rsidRDefault="00C65353" w:rsidP="00C65353">
      <w:pPr>
        <w:pStyle w:val="Normal00"/>
        <w:jc w:val="both"/>
        <w:rPr>
          <w:rFonts w:ascii="Verdana" w:hAnsi="Verdana"/>
          <w:sz w:val="22"/>
          <w:szCs w:val="22"/>
          <w:lang w:val="en-GB"/>
        </w:rPr>
      </w:pPr>
    </w:p>
    <w:p w14:paraId="0BAEFFBE" w14:textId="77777777" w:rsidR="00C65353" w:rsidRPr="0064075F" w:rsidRDefault="00C65353" w:rsidP="00C65353">
      <w:pPr>
        <w:pStyle w:val="Normal00"/>
        <w:jc w:val="both"/>
        <w:rPr>
          <w:rFonts w:ascii="Verdana" w:hAnsi="Verdana"/>
          <w:sz w:val="22"/>
          <w:szCs w:val="22"/>
          <w:lang w:val="en-GB"/>
        </w:rPr>
      </w:pPr>
      <w:r w:rsidRPr="0064075F">
        <w:rPr>
          <w:rFonts w:ascii="Verdana" w:hAnsi="Verdana"/>
          <w:sz w:val="22"/>
          <w:szCs w:val="22"/>
          <w:lang w:val="en-GB"/>
        </w:rPr>
        <w:t>The Group position therefore reflects the consolidated accounts of the PCC and its 100% subsidiary the Chief Constable.  Where the Group position differs from the PCC position this is made clear within the statements and notes.  Separate statutory accounts are prepared for the Chief Constable.</w:t>
      </w:r>
    </w:p>
    <w:p w14:paraId="5395CA54" w14:textId="77777777" w:rsidR="00C65353" w:rsidRPr="0064075F" w:rsidRDefault="00C65353" w:rsidP="00C65353">
      <w:pPr>
        <w:pStyle w:val="Normal00"/>
        <w:jc w:val="both"/>
        <w:rPr>
          <w:rFonts w:ascii="Verdana" w:hAnsi="Verdana"/>
          <w:sz w:val="22"/>
          <w:szCs w:val="22"/>
          <w:lang w:val="en-GB"/>
        </w:rPr>
      </w:pPr>
    </w:p>
    <w:p w14:paraId="347FDC19" w14:textId="77777777" w:rsidR="00C65353" w:rsidRDefault="00C65353" w:rsidP="00C65353">
      <w:pPr>
        <w:pStyle w:val="Normal00"/>
        <w:jc w:val="both"/>
        <w:rPr>
          <w:rFonts w:ascii="Verdana" w:hAnsi="Verdana"/>
          <w:sz w:val="22"/>
          <w:szCs w:val="22"/>
          <w:lang w:val="en-GB"/>
        </w:rPr>
      </w:pPr>
      <w:r w:rsidRPr="0064075F">
        <w:rPr>
          <w:rFonts w:ascii="Verdana" w:hAnsi="Verdana"/>
          <w:sz w:val="22"/>
          <w:szCs w:val="22"/>
          <w:lang w:val="en-GB"/>
        </w:rPr>
        <w:t>The Group has no other subsidiaries, associates or joint ventures.</w:t>
      </w:r>
    </w:p>
    <w:p w14:paraId="282B6DEB" w14:textId="77777777" w:rsidR="00C65353" w:rsidRDefault="00C65353" w:rsidP="00C65353">
      <w:pPr>
        <w:pStyle w:val="Normal00"/>
        <w:jc w:val="both"/>
        <w:rPr>
          <w:rFonts w:ascii="Verdana" w:hAnsi="Verdana"/>
          <w:sz w:val="22"/>
          <w:szCs w:val="22"/>
          <w:lang w:val="en-GB"/>
        </w:rPr>
      </w:pPr>
    </w:p>
    <w:p w14:paraId="2524AB1C" w14:textId="77777777" w:rsidR="00CA6653" w:rsidRPr="003516A4" w:rsidRDefault="00CA6653" w:rsidP="00CA6653">
      <w:pPr>
        <w:pStyle w:val="Normal00"/>
        <w:jc w:val="both"/>
        <w:rPr>
          <w:rFonts w:ascii="Verdana" w:hAnsi="Verdana"/>
          <w:sz w:val="22"/>
          <w:szCs w:val="22"/>
          <w:highlight w:val="yellow"/>
          <w:lang w:val="en-GB"/>
        </w:rPr>
      </w:pPr>
    </w:p>
    <w:p w14:paraId="772F1DF4" w14:textId="77777777" w:rsidR="00E245E6" w:rsidRDefault="00E245E6">
      <w:pPr>
        <w:rPr>
          <w:rFonts w:asciiTheme="majorHAnsi" w:eastAsiaTheme="majorEastAsia" w:hAnsiTheme="majorHAnsi" w:cstheme="majorBidi"/>
          <w:color w:val="2E74B5" w:themeColor="accent1" w:themeShade="BF"/>
          <w:sz w:val="32"/>
          <w:szCs w:val="32"/>
          <w:lang w:val="pt-BR"/>
        </w:rPr>
      </w:pPr>
      <w:r>
        <w:br w:type="page"/>
      </w:r>
    </w:p>
    <w:p w14:paraId="0AC529BE" w14:textId="3C67DA51" w:rsidR="00CA6653" w:rsidRPr="0084167E" w:rsidRDefault="00434141" w:rsidP="00A31A9E">
      <w:pPr>
        <w:pStyle w:val="Heading1"/>
      </w:pPr>
      <w:bookmarkStart w:id="55" w:name="_Toc75122808"/>
      <w:r w:rsidRPr="0084167E">
        <w:t>Note 4</w:t>
      </w:r>
      <w:r w:rsidR="004A190F" w:rsidRPr="0084167E">
        <w:t>0</w:t>
      </w:r>
      <w:r w:rsidRPr="0084167E">
        <w:t xml:space="preserve"> - </w:t>
      </w:r>
      <w:r w:rsidR="00CA6653" w:rsidRPr="0084167E">
        <w:t>Accounting Standards issued but not yet adopted</w:t>
      </w:r>
      <w:bookmarkEnd w:id="55"/>
    </w:p>
    <w:p w14:paraId="48DF05F6" w14:textId="77777777" w:rsidR="0084167E" w:rsidRPr="00DF3DA2" w:rsidRDefault="0084167E" w:rsidP="0084167E">
      <w:pPr>
        <w:jc w:val="both"/>
        <w:rPr>
          <w:rFonts w:cs="Arial"/>
        </w:rPr>
      </w:pPr>
      <w:r w:rsidRPr="00DF3DA2">
        <w:rPr>
          <w:rFonts w:cs="Arial"/>
        </w:rPr>
        <w:t>A number of future accounting policy changes will need to be reported with effect from 1 April 2021.</w:t>
      </w:r>
    </w:p>
    <w:p w14:paraId="2EF48117" w14:textId="77777777" w:rsidR="00C65353" w:rsidRDefault="00C65353" w:rsidP="0084167E">
      <w:pPr>
        <w:jc w:val="both"/>
        <w:rPr>
          <w:rFonts w:cs="Arial"/>
        </w:rPr>
      </w:pPr>
    </w:p>
    <w:p w14:paraId="75091735" w14:textId="77777777" w:rsidR="0084167E" w:rsidRDefault="0084167E" w:rsidP="0084167E">
      <w:pPr>
        <w:jc w:val="both"/>
        <w:rPr>
          <w:rFonts w:cs="Arial"/>
        </w:rPr>
      </w:pPr>
      <w:r w:rsidRPr="00DF3DA2">
        <w:rPr>
          <w:rFonts w:cs="Arial"/>
        </w:rPr>
        <w:t xml:space="preserve">Paragraph 3.3.2.13 of the 2020/2021 code requires changes in accounting policy to be applied retrospectively unless alternative transitional arrangements are specified in the Code. </w:t>
      </w:r>
    </w:p>
    <w:p w14:paraId="78CC53DF" w14:textId="77777777" w:rsidR="0084167E" w:rsidRPr="00DF3DA2" w:rsidRDefault="0084167E" w:rsidP="0084167E">
      <w:pPr>
        <w:jc w:val="both"/>
        <w:rPr>
          <w:rFonts w:cs="Arial"/>
        </w:rPr>
      </w:pPr>
    </w:p>
    <w:p w14:paraId="51BA8986" w14:textId="77777777" w:rsidR="0084167E" w:rsidRPr="00DF3DA2" w:rsidRDefault="0084167E" w:rsidP="0084167E">
      <w:pPr>
        <w:autoSpaceDE w:val="0"/>
        <w:autoSpaceDN w:val="0"/>
        <w:adjustRightInd w:val="0"/>
        <w:jc w:val="both"/>
        <w:rPr>
          <w:rFonts w:cs="Arial"/>
          <w:color w:val="000000"/>
        </w:rPr>
      </w:pPr>
      <w:r w:rsidRPr="00DF3DA2">
        <w:rPr>
          <w:rFonts w:cs="Arial"/>
        </w:rPr>
        <w:t xml:space="preserve">Paragraph 3.3.4.3 requires an authority (including police bodies) to disclose information relating to the impact of an accounting change that will be required by a new standard that has been issued but not yet adopted by the Code for the relevant financial year. Disclosure requirements are expected to be included in a subsequent edition of the Code. </w:t>
      </w:r>
    </w:p>
    <w:p w14:paraId="7C3AA8BA" w14:textId="77777777" w:rsidR="0084167E" w:rsidRPr="00DF3DA2" w:rsidRDefault="0084167E" w:rsidP="0084167E">
      <w:pPr>
        <w:autoSpaceDE w:val="0"/>
        <w:autoSpaceDN w:val="0"/>
        <w:adjustRightInd w:val="0"/>
        <w:jc w:val="both"/>
        <w:rPr>
          <w:rFonts w:cs="Arial"/>
          <w:color w:val="000000"/>
        </w:rPr>
      </w:pPr>
    </w:p>
    <w:p w14:paraId="7167D99C" w14:textId="77777777" w:rsidR="0084167E" w:rsidRPr="00DF3DA2" w:rsidRDefault="0084167E" w:rsidP="0084167E">
      <w:pPr>
        <w:autoSpaceDE w:val="0"/>
        <w:autoSpaceDN w:val="0"/>
        <w:adjustRightInd w:val="0"/>
        <w:jc w:val="both"/>
        <w:rPr>
          <w:rFonts w:cs="Arial"/>
          <w:color w:val="000000"/>
        </w:rPr>
      </w:pPr>
      <w:r w:rsidRPr="00DF3DA2">
        <w:rPr>
          <w:rFonts w:cs="Arial"/>
          <w:color w:val="000000"/>
        </w:rPr>
        <w:t xml:space="preserve">Paragraph 3.3.4.3 and Appendix C of the Code adapt IAS 8 </w:t>
      </w:r>
      <w:r w:rsidRPr="00DF3DA2">
        <w:rPr>
          <w:rFonts w:cs="Arial"/>
          <w:i/>
          <w:iCs/>
          <w:color w:val="000000"/>
        </w:rPr>
        <w:t xml:space="preserve">Accounting Policies, Changes in Accounting Estimates and Errors </w:t>
      </w:r>
      <w:r w:rsidRPr="00DF3DA2">
        <w:rPr>
          <w:rFonts w:cs="Arial"/>
          <w:color w:val="000000"/>
        </w:rPr>
        <w:t xml:space="preserve">on an annual basis to limit the impact of standards that have been issued but not yet adopted to those listed in Appendix C of the Code in the relevant year of account (in this case the 2021/22 Code). This adaptation has been in place since the inception of the IFRS based Code in 2010/11. Additional clarification confirming this adaptation has been included in the 2021/22 Code. This clarification has not changed the Code’s requirements in this area. </w:t>
      </w:r>
    </w:p>
    <w:p w14:paraId="38142132" w14:textId="77777777" w:rsidR="0084167E" w:rsidRPr="00DF3DA2" w:rsidRDefault="0084167E" w:rsidP="0084167E">
      <w:pPr>
        <w:autoSpaceDE w:val="0"/>
        <w:autoSpaceDN w:val="0"/>
        <w:adjustRightInd w:val="0"/>
        <w:jc w:val="both"/>
        <w:rPr>
          <w:rFonts w:cs="Arial"/>
          <w:color w:val="000000"/>
        </w:rPr>
      </w:pPr>
    </w:p>
    <w:p w14:paraId="774A47D0" w14:textId="77777777" w:rsidR="0084167E" w:rsidRPr="00DF3DA2" w:rsidRDefault="0084167E" w:rsidP="0084167E">
      <w:pPr>
        <w:autoSpaceDE w:val="0"/>
        <w:autoSpaceDN w:val="0"/>
        <w:adjustRightInd w:val="0"/>
        <w:jc w:val="both"/>
        <w:rPr>
          <w:rFonts w:cs="Arial"/>
          <w:color w:val="000000"/>
        </w:rPr>
      </w:pPr>
      <w:r w:rsidRPr="00DF3DA2">
        <w:rPr>
          <w:rFonts w:cs="Arial"/>
        </w:rPr>
        <w:t xml:space="preserve">This means the requirements for IAS 8 for standards that have been issued but not yet adopted exclude IFRS 16 </w:t>
      </w:r>
      <w:r w:rsidRPr="00DF3DA2">
        <w:rPr>
          <w:rFonts w:cs="Arial"/>
          <w:i/>
        </w:rPr>
        <w:t>Leases</w:t>
      </w:r>
      <w:r w:rsidRPr="00DF3DA2">
        <w:rPr>
          <w:rFonts w:cs="Arial"/>
        </w:rPr>
        <w:t xml:space="preserve"> and IFRS 17 </w:t>
      </w:r>
      <w:r w:rsidRPr="00DF3DA2">
        <w:rPr>
          <w:rFonts w:cs="Arial"/>
          <w:i/>
        </w:rPr>
        <w:t>Insurance Contracts</w:t>
      </w:r>
      <w:r w:rsidRPr="00DF3DA2">
        <w:rPr>
          <w:rFonts w:cs="Arial"/>
        </w:rPr>
        <w:t xml:space="preserve"> from being necessary in these reporting requirements.</w:t>
      </w:r>
    </w:p>
    <w:p w14:paraId="77B1EFCB" w14:textId="77777777" w:rsidR="0084167E" w:rsidRPr="00DF3DA2" w:rsidRDefault="0084167E" w:rsidP="0084167E">
      <w:pPr>
        <w:autoSpaceDE w:val="0"/>
        <w:autoSpaceDN w:val="0"/>
        <w:adjustRightInd w:val="0"/>
        <w:jc w:val="both"/>
        <w:rPr>
          <w:rFonts w:cs="Arial"/>
          <w:color w:val="000000"/>
        </w:rPr>
      </w:pPr>
    </w:p>
    <w:p w14:paraId="00493B0E" w14:textId="77777777" w:rsidR="0084167E" w:rsidRDefault="0084167E" w:rsidP="0084167E">
      <w:pPr>
        <w:jc w:val="both"/>
        <w:rPr>
          <w:rFonts w:cs="Arial"/>
        </w:rPr>
      </w:pPr>
      <w:r w:rsidRPr="00DF3DA2">
        <w:rPr>
          <w:rFonts w:cs="Arial"/>
        </w:rPr>
        <w:t>The standards introduced by the 2021/22 Code and relevant for additional disclosures that will be required in the 2020/21 Financial Statements in accordance with the requirements of paragraph 3.3.4.3 of the Code are:</w:t>
      </w:r>
    </w:p>
    <w:p w14:paraId="146B48C1" w14:textId="77777777" w:rsidR="0084167E" w:rsidRPr="00DF3DA2" w:rsidRDefault="0084167E" w:rsidP="0084167E">
      <w:pPr>
        <w:jc w:val="both"/>
        <w:rPr>
          <w:rFonts w:cs="Arial"/>
        </w:rPr>
      </w:pPr>
    </w:p>
    <w:p w14:paraId="72D2BE39" w14:textId="77777777" w:rsidR="0084167E" w:rsidRPr="00DF3DA2" w:rsidRDefault="0084167E" w:rsidP="00EF7B6D">
      <w:pPr>
        <w:pStyle w:val="ListParagraph"/>
        <w:numPr>
          <w:ilvl w:val="0"/>
          <w:numId w:val="11"/>
        </w:numPr>
        <w:spacing w:after="160" w:line="259" w:lineRule="auto"/>
        <w:jc w:val="both"/>
        <w:rPr>
          <w:sz w:val="22"/>
        </w:rPr>
      </w:pPr>
      <w:r w:rsidRPr="00DF3DA2">
        <w:rPr>
          <w:sz w:val="22"/>
        </w:rPr>
        <w:t>Definition of a Business: Amendments to IFRS 3 Business Combinations</w:t>
      </w:r>
    </w:p>
    <w:p w14:paraId="19D87C10" w14:textId="77777777" w:rsidR="0084167E" w:rsidRPr="00DF3DA2" w:rsidRDefault="0084167E" w:rsidP="00EF7B6D">
      <w:pPr>
        <w:pStyle w:val="ListParagraph"/>
        <w:numPr>
          <w:ilvl w:val="0"/>
          <w:numId w:val="11"/>
        </w:numPr>
        <w:spacing w:after="160" w:line="259" w:lineRule="auto"/>
        <w:jc w:val="both"/>
        <w:rPr>
          <w:sz w:val="22"/>
        </w:rPr>
      </w:pPr>
      <w:r w:rsidRPr="00DF3DA2">
        <w:rPr>
          <w:sz w:val="22"/>
        </w:rPr>
        <w:t>Interest Rates Benchmark Reform: Amendments to IFRA9, IAS 39, and IFRS 7</w:t>
      </w:r>
    </w:p>
    <w:p w14:paraId="211C3852" w14:textId="77777777" w:rsidR="0084167E" w:rsidRPr="00DF3DA2" w:rsidRDefault="0084167E" w:rsidP="00EF7B6D">
      <w:pPr>
        <w:pStyle w:val="ListParagraph"/>
        <w:numPr>
          <w:ilvl w:val="0"/>
          <w:numId w:val="11"/>
        </w:numPr>
        <w:spacing w:after="160" w:line="259" w:lineRule="auto"/>
        <w:jc w:val="both"/>
        <w:rPr>
          <w:sz w:val="22"/>
        </w:rPr>
      </w:pPr>
      <w:r w:rsidRPr="00DF3DA2">
        <w:rPr>
          <w:sz w:val="22"/>
        </w:rPr>
        <w:t xml:space="preserve">Interest Rates Benchmark Reform – Phase 2: Amendments to IFRS 9, IAS 39, IFRS7, IFRS 4 and IFRS 16. </w:t>
      </w:r>
    </w:p>
    <w:p w14:paraId="52A978B4" w14:textId="77777777" w:rsidR="0084167E" w:rsidRDefault="0084167E" w:rsidP="0084167E">
      <w:pPr>
        <w:jc w:val="both"/>
        <w:rPr>
          <w:rFonts w:cs="Arial"/>
        </w:rPr>
      </w:pPr>
      <w:r w:rsidRPr="00DF3DA2">
        <w:rPr>
          <w:rFonts w:cs="Arial"/>
        </w:rPr>
        <w:t xml:space="preserve">The CIPFA LASAAC Local Authority Accounting Code Board has agreed to defer the implementation of IFRS 16 </w:t>
      </w:r>
      <w:r w:rsidRPr="00DF3DA2">
        <w:rPr>
          <w:rFonts w:cs="Arial"/>
          <w:i/>
        </w:rPr>
        <w:t>Leases</w:t>
      </w:r>
      <w:r w:rsidRPr="00DF3DA2">
        <w:rPr>
          <w:rFonts w:cs="Arial"/>
        </w:rPr>
        <w:t xml:space="preserve"> in the Code until the 2022/23 financial year. This aligns with the decision at the Government’s Financial Reporting Advisory Board to establish a new effective date of 1 April 2022 for implementation of IFRS 16.</w:t>
      </w:r>
    </w:p>
    <w:p w14:paraId="4A888634" w14:textId="77777777" w:rsidR="0084167E" w:rsidRPr="00DF3DA2" w:rsidRDefault="0084167E" w:rsidP="0084167E">
      <w:pPr>
        <w:jc w:val="both"/>
        <w:rPr>
          <w:rFonts w:cs="Arial"/>
        </w:rPr>
      </w:pPr>
    </w:p>
    <w:p w14:paraId="7291598C" w14:textId="77777777" w:rsidR="0084167E" w:rsidRPr="00DF3DA2" w:rsidRDefault="0084167E" w:rsidP="0084167E">
      <w:pPr>
        <w:pStyle w:val="Style2"/>
        <w:jc w:val="both"/>
        <w:rPr>
          <w:rFonts w:ascii="Verdana" w:hAnsi="Verdana" w:cs="Times New Roman"/>
          <w:b w:val="0"/>
          <w:sz w:val="22"/>
          <w:szCs w:val="22"/>
        </w:rPr>
      </w:pPr>
      <w:r w:rsidRPr="00DF3DA2">
        <w:rPr>
          <w:rFonts w:ascii="Verdana" w:hAnsi="Verdana"/>
          <w:b w:val="0"/>
          <w:sz w:val="22"/>
          <w:szCs w:val="22"/>
        </w:rPr>
        <w:t xml:space="preserve">It is not expected that any of these amendments other than IFRS 16 will have a material impact on the information provided in the financial statements for any of the </w:t>
      </w:r>
      <w:r w:rsidRPr="00DF3DA2">
        <w:rPr>
          <w:rFonts w:ascii="Verdana" w:hAnsi="Verdana"/>
          <w:b w:val="0"/>
          <w:color w:val="211D1E"/>
          <w:sz w:val="22"/>
          <w:szCs w:val="22"/>
        </w:rPr>
        <w:t xml:space="preserve">Surrey </w:t>
      </w:r>
      <w:r w:rsidRPr="00DF3DA2">
        <w:rPr>
          <w:rFonts w:ascii="Verdana" w:hAnsi="Verdana"/>
          <w:b w:val="0"/>
          <w:sz w:val="22"/>
          <w:szCs w:val="22"/>
        </w:rPr>
        <w:t>Police group accounts.</w:t>
      </w:r>
    </w:p>
    <w:bookmarkStart w:id="56" w:name="_Toc75122809" w:displacedByCustomXml="next"/>
    <w:sdt>
      <w:sdtPr>
        <w:rPr>
          <w:rFonts w:ascii="Verdana" w:eastAsiaTheme="minorHAnsi" w:hAnsi="Verdana" w:cstheme="minorBidi"/>
          <w:color w:val="auto"/>
          <w:sz w:val="22"/>
          <w:szCs w:val="22"/>
          <w:highlight w:val="yellow"/>
          <w:lang w:val="en-US"/>
        </w:rPr>
        <w:id w:val="2057758427"/>
        <w:docPartObj>
          <w:docPartGallery w:val="Page Numbers (Bottom of Page)"/>
          <w:docPartUnique/>
        </w:docPartObj>
      </w:sdtPr>
      <w:sdtEndPr/>
      <w:sdtContent>
        <w:p w14:paraId="3BEA5393" w14:textId="3238C8F6" w:rsidR="000D6EF8" w:rsidRPr="00AF0DB4" w:rsidRDefault="00434141" w:rsidP="00A31A9E">
          <w:pPr>
            <w:pStyle w:val="Heading1"/>
          </w:pPr>
          <w:r w:rsidRPr="00AF0DB4">
            <w:t>P</w:t>
          </w:r>
          <w:r w:rsidR="000D6EF8" w:rsidRPr="00AF0DB4">
            <w:t>olice P</w:t>
          </w:r>
          <w:r w:rsidRPr="00AF0DB4">
            <w:t>ension</w:t>
          </w:r>
          <w:r w:rsidR="000D6EF8" w:rsidRPr="00AF0DB4">
            <w:t>s Fund Account Statements as at 31 March 202</w:t>
          </w:r>
          <w:r w:rsidR="00A95292" w:rsidRPr="00AF0DB4">
            <w:t>1</w:t>
          </w:r>
          <w:bookmarkEnd w:id="56"/>
        </w:p>
        <w:p w14:paraId="5FDC66A7" w14:textId="41BC0AA7" w:rsidR="000D6EF8" w:rsidRPr="00AF0DB4" w:rsidRDefault="000D6EF8" w:rsidP="00AF0DB4">
          <w:pPr>
            <w:jc w:val="both"/>
            <w:rPr>
              <w:rFonts w:eastAsia="Times New Roman"/>
              <w:lang w:val="en-GB" w:eastAsia="en-GB"/>
            </w:rPr>
          </w:pPr>
          <w:r w:rsidRPr="00AF0DB4">
            <w:rPr>
              <w:lang w:val="en-GB" w:eastAsia="en-GB"/>
            </w:rPr>
            <w:t>These statements show the contributions and benefits payable for the year</w:t>
          </w:r>
          <w:r w:rsidR="00AF0DB4">
            <w:rPr>
              <w:lang w:val="en-GB" w:eastAsia="en-GB"/>
            </w:rPr>
            <w:t xml:space="preserve">. </w:t>
          </w:r>
          <w:r w:rsidRPr="00AF0DB4">
            <w:rPr>
              <w:rFonts w:eastAsia="Times New Roman"/>
              <w:lang w:val="en-GB" w:eastAsia="en-GB"/>
            </w:rPr>
            <w:t>The Chief Constable is responsible for administering the Police Pension Fund in accordance with the Police Reform and Social responsibility Act 2011.  During the year all payments and receipts are made to and from the PCC Police Fund.  This standalone statement shows income and expenditure for the police pension schemes and does not form part of the Chief Constable or the PCC Group’s statement of accounts.</w:t>
          </w:r>
        </w:p>
        <w:p w14:paraId="255B03CA" w14:textId="77777777" w:rsidR="000D6EF8" w:rsidRPr="00AF0DB4" w:rsidRDefault="000D6EF8" w:rsidP="000D6EF8">
          <w:pPr>
            <w:rPr>
              <w:lang w:val="en-GB" w:eastAsia="en-GB"/>
            </w:rPr>
          </w:pPr>
        </w:p>
        <w:p w14:paraId="2FAD1E2C" w14:textId="77777777" w:rsidR="000D6EF8" w:rsidRPr="00AF0DB4" w:rsidRDefault="000D6EF8" w:rsidP="00E245E6">
          <w:pPr>
            <w:jc w:val="center"/>
            <w:rPr>
              <w:b/>
              <w:lang w:val="en-GB" w:eastAsia="en-GB"/>
            </w:rPr>
          </w:pPr>
          <w:r w:rsidRPr="00AF0DB4">
            <w:rPr>
              <w:b/>
              <w:lang w:val="en-GB" w:eastAsia="en-GB"/>
            </w:rPr>
            <w:t>Surrey Police Pension Fund Account Statement</w:t>
          </w:r>
        </w:p>
        <w:p w14:paraId="1F6B43E5" w14:textId="77777777" w:rsidR="000D6EF8" w:rsidRPr="00AF0DB4" w:rsidRDefault="000D6EF8" w:rsidP="000D6EF8">
          <w:pPr>
            <w:rPr>
              <w:lang w:val="en-GB" w:eastAsia="en-GB"/>
            </w:rPr>
          </w:pPr>
        </w:p>
        <w:tbl>
          <w:tblPr>
            <w:tblW w:w="8642" w:type="dxa"/>
            <w:jc w:val="center"/>
            <w:tblLayout w:type="fixed"/>
            <w:tblLook w:val="01E0" w:firstRow="1" w:lastRow="1" w:firstColumn="1" w:lastColumn="1" w:noHBand="0" w:noVBand="0"/>
          </w:tblPr>
          <w:tblGrid>
            <w:gridCol w:w="1139"/>
            <w:gridCol w:w="1129"/>
            <w:gridCol w:w="4177"/>
            <w:gridCol w:w="1017"/>
            <w:gridCol w:w="1180"/>
          </w:tblGrid>
          <w:tr w:rsidR="000D6EF8" w:rsidRPr="00AF0DB4" w14:paraId="400FFEAD" w14:textId="77777777" w:rsidTr="00D91109">
            <w:trPr>
              <w:trHeight w:val="203"/>
              <w:jc w:val="center"/>
            </w:trPr>
            <w:tc>
              <w:tcPr>
                <w:tcW w:w="2268" w:type="dxa"/>
                <w:gridSpan w:val="2"/>
                <w:tcBorders>
                  <w:top w:val="single" w:sz="4" w:space="0" w:color="auto"/>
                  <w:left w:val="single" w:sz="4" w:space="0" w:color="auto"/>
                  <w:bottom w:val="single" w:sz="4" w:space="0" w:color="auto"/>
                  <w:right w:val="single" w:sz="4" w:space="0" w:color="auto"/>
                </w:tcBorders>
              </w:tcPr>
              <w:p w14:paraId="71186DB9" w14:textId="77777777" w:rsidR="000D6EF8" w:rsidRPr="00AF0DB4" w:rsidRDefault="000D6EF8" w:rsidP="00A73F43">
                <w:pPr>
                  <w:pStyle w:val="Normal0"/>
                  <w:jc w:val="center"/>
                  <w:rPr>
                    <w:rFonts w:ascii="Verdana" w:eastAsia="Times New Roman" w:hAnsi="Verdana"/>
                    <w:b/>
                    <w:sz w:val="16"/>
                    <w:szCs w:val="16"/>
                    <w:lang w:val="en-GB" w:eastAsia="en-GB"/>
                  </w:rPr>
                </w:pPr>
                <w:r w:rsidRPr="00AF0DB4">
                  <w:rPr>
                    <w:rFonts w:ascii="Verdana" w:hAnsi="Verdana"/>
                    <w:b/>
                    <w:bCs/>
                    <w:sz w:val="16"/>
                    <w:szCs w:val="16"/>
                  </w:rPr>
                  <w:t>As at March 20</w:t>
                </w:r>
                <w:r w:rsidR="00A73F43" w:rsidRPr="00AF0DB4">
                  <w:rPr>
                    <w:rFonts w:ascii="Verdana" w:hAnsi="Verdana"/>
                    <w:b/>
                    <w:bCs/>
                    <w:sz w:val="16"/>
                    <w:szCs w:val="16"/>
                  </w:rPr>
                  <w:t>20</w:t>
                </w:r>
              </w:p>
            </w:tc>
            <w:tc>
              <w:tcPr>
                <w:tcW w:w="4177" w:type="dxa"/>
                <w:tcBorders>
                  <w:top w:val="single" w:sz="4" w:space="0" w:color="auto"/>
                  <w:left w:val="single" w:sz="4" w:space="0" w:color="auto"/>
                  <w:bottom w:val="nil"/>
                  <w:right w:val="single" w:sz="4" w:space="0" w:color="auto"/>
                </w:tcBorders>
                <w:shd w:val="clear" w:color="auto" w:fill="auto"/>
                <w:vAlign w:val="center"/>
              </w:tcPr>
              <w:p w14:paraId="513641A0" w14:textId="77777777" w:rsidR="000D6EF8" w:rsidRPr="00AF0DB4" w:rsidRDefault="000D6EF8" w:rsidP="000D6EF8">
                <w:pPr>
                  <w:pStyle w:val="Normal0"/>
                  <w:rPr>
                    <w:rFonts w:ascii="Verdana" w:eastAsia="Times New Roman" w:hAnsi="Verdana"/>
                    <w:b/>
                    <w:sz w:val="16"/>
                    <w:szCs w:val="16"/>
                    <w:lang w:val="en-GB" w:eastAsia="en-GB"/>
                  </w:rPr>
                </w:pPr>
              </w:p>
            </w:tc>
            <w:tc>
              <w:tcPr>
                <w:tcW w:w="2197" w:type="dxa"/>
                <w:gridSpan w:val="2"/>
                <w:tcBorders>
                  <w:top w:val="single" w:sz="4" w:space="0" w:color="auto"/>
                  <w:left w:val="single" w:sz="4" w:space="0" w:color="auto"/>
                  <w:bottom w:val="single" w:sz="4" w:space="0" w:color="auto"/>
                  <w:right w:val="single" w:sz="4" w:space="0" w:color="auto"/>
                </w:tcBorders>
              </w:tcPr>
              <w:p w14:paraId="298074DD" w14:textId="77777777" w:rsidR="000D6EF8" w:rsidRPr="00AF0DB4" w:rsidRDefault="000D6EF8" w:rsidP="00A73F43">
                <w:pPr>
                  <w:pStyle w:val="Normal0"/>
                  <w:jc w:val="center"/>
                  <w:rPr>
                    <w:rFonts w:ascii="Verdana" w:hAnsi="Verdana"/>
                    <w:b/>
                    <w:bCs/>
                    <w:sz w:val="16"/>
                    <w:szCs w:val="16"/>
                  </w:rPr>
                </w:pPr>
                <w:r w:rsidRPr="00AF0DB4">
                  <w:rPr>
                    <w:rFonts w:ascii="Verdana" w:hAnsi="Verdana"/>
                    <w:b/>
                    <w:bCs/>
                    <w:sz w:val="16"/>
                    <w:szCs w:val="16"/>
                  </w:rPr>
                  <w:t>As at March 20</w:t>
                </w:r>
                <w:r w:rsidR="009962A0" w:rsidRPr="00AF0DB4">
                  <w:rPr>
                    <w:rFonts w:ascii="Verdana" w:hAnsi="Verdana"/>
                    <w:b/>
                    <w:bCs/>
                    <w:sz w:val="16"/>
                    <w:szCs w:val="16"/>
                  </w:rPr>
                  <w:t>2</w:t>
                </w:r>
                <w:r w:rsidR="00A73F43" w:rsidRPr="00AF0DB4">
                  <w:rPr>
                    <w:rFonts w:ascii="Verdana" w:hAnsi="Verdana"/>
                    <w:b/>
                    <w:bCs/>
                    <w:sz w:val="16"/>
                    <w:szCs w:val="16"/>
                  </w:rPr>
                  <w:t>1</w:t>
                </w:r>
              </w:p>
            </w:tc>
          </w:tr>
          <w:tr w:rsidR="000D6EF8" w:rsidRPr="00AF0DB4" w14:paraId="2E04CAAC" w14:textId="77777777" w:rsidTr="00D91109">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14:paraId="40AA1C1F" w14:textId="77777777" w:rsidR="000D6EF8" w:rsidRPr="00AF0DB4" w:rsidRDefault="000D6EF8" w:rsidP="000D6EF8">
                <w:pPr>
                  <w:pStyle w:val="Normal0"/>
                  <w:jc w:val="right"/>
                  <w:rPr>
                    <w:rFonts w:ascii="Verdana" w:eastAsia="Times New Roman" w:hAnsi="Verdana"/>
                    <w:b/>
                    <w:sz w:val="16"/>
                    <w:szCs w:val="16"/>
                    <w:lang w:val="en-GB" w:eastAsia="en-GB"/>
                  </w:rPr>
                </w:pPr>
                <w:r w:rsidRPr="00AF0DB4">
                  <w:rPr>
                    <w:rFonts w:ascii="Verdana" w:eastAsia="Times New Roman" w:hAnsi="Verdana"/>
                    <w:b/>
                    <w:sz w:val="16"/>
                    <w:szCs w:val="16"/>
                    <w:lang w:val="en-GB" w:eastAsia="en-GB"/>
                  </w:rPr>
                  <w:t>£000</w:t>
                </w:r>
              </w:p>
            </w:tc>
            <w:tc>
              <w:tcPr>
                <w:tcW w:w="1129" w:type="dxa"/>
                <w:tcBorders>
                  <w:top w:val="single" w:sz="4" w:space="0" w:color="auto"/>
                  <w:left w:val="single" w:sz="4" w:space="0" w:color="auto"/>
                  <w:bottom w:val="single" w:sz="4" w:space="0" w:color="auto"/>
                  <w:right w:val="single" w:sz="4" w:space="0" w:color="auto"/>
                </w:tcBorders>
                <w:vAlign w:val="center"/>
              </w:tcPr>
              <w:p w14:paraId="5905B2F8" w14:textId="77777777" w:rsidR="000D6EF8" w:rsidRPr="00AF0DB4" w:rsidRDefault="000D6EF8" w:rsidP="000D6EF8">
                <w:pPr>
                  <w:pStyle w:val="Normal0"/>
                  <w:jc w:val="right"/>
                  <w:rPr>
                    <w:rFonts w:ascii="Verdana" w:eastAsia="Times New Roman" w:hAnsi="Verdana"/>
                    <w:b/>
                    <w:sz w:val="16"/>
                    <w:szCs w:val="16"/>
                    <w:lang w:val="en-GB" w:eastAsia="en-GB"/>
                  </w:rPr>
                </w:pPr>
                <w:r w:rsidRPr="00AF0DB4">
                  <w:rPr>
                    <w:rFonts w:ascii="Verdana" w:eastAsia="Times New Roman" w:hAnsi="Verdana"/>
                    <w:b/>
                    <w:sz w:val="16"/>
                    <w:szCs w:val="16"/>
                    <w:lang w:val="en-GB" w:eastAsia="en-GB"/>
                  </w:rPr>
                  <w:t>£000</w:t>
                </w:r>
              </w:p>
            </w:tc>
            <w:tc>
              <w:tcPr>
                <w:tcW w:w="4177" w:type="dxa"/>
                <w:tcBorders>
                  <w:top w:val="nil"/>
                  <w:left w:val="single" w:sz="4" w:space="0" w:color="auto"/>
                  <w:bottom w:val="single" w:sz="4" w:space="0" w:color="auto"/>
                  <w:right w:val="single" w:sz="4" w:space="0" w:color="auto"/>
                </w:tcBorders>
                <w:shd w:val="clear" w:color="auto" w:fill="auto"/>
                <w:vAlign w:val="center"/>
              </w:tcPr>
              <w:p w14:paraId="4AAFA88A" w14:textId="77777777" w:rsidR="000D6EF8" w:rsidRPr="00AF0DB4" w:rsidRDefault="000D6EF8" w:rsidP="000D6EF8">
                <w:pPr>
                  <w:pStyle w:val="Normal0"/>
                  <w:rPr>
                    <w:rFonts w:ascii="Verdana" w:eastAsia="Times New Roman" w:hAnsi="Verdana"/>
                    <w:i/>
                    <w:sz w:val="16"/>
                    <w:szCs w:val="16"/>
                    <w:lang w:val="en-GB" w:eastAsia="en-GB"/>
                  </w:rPr>
                </w:pPr>
              </w:p>
            </w:tc>
            <w:tc>
              <w:tcPr>
                <w:tcW w:w="1017" w:type="dxa"/>
                <w:tcBorders>
                  <w:top w:val="single" w:sz="4" w:space="0" w:color="auto"/>
                  <w:left w:val="single" w:sz="4" w:space="0" w:color="auto"/>
                  <w:bottom w:val="single" w:sz="4" w:space="0" w:color="auto"/>
                  <w:right w:val="single" w:sz="4" w:space="0" w:color="auto"/>
                </w:tcBorders>
                <w:vAlign w:val="center"/>
              </w:tcPr>
              <w:p w14:paraId="4FE184CF" w14:textId="77777777" w:rsidR="000D6EF8" w:rsidRPr="00AF0DB4" w:rsidRDefault="000D6EF8" w:rsidP="000D6EF8">
                <w:pPr>
                  <w:pStyle w:val="Normal0"/>
                  <w:jc w:val="right"/>
                  <w:rPr>
                    <w:rFonts w:ascii="Verdana" w:eastAsia="Times New Roman" w:hAnsi="Verdana"/>
                    <w:b/>
                    <w:sz w:val="16"/>
                    <w:szCs w:val="16"/>
                    <w:lang w:val="en-GB" w:eastAsia="en-GB"/>
                  </w:rPr>
                </w:pPr>
                <w:r w:rsidRPr="00AF0DB4">
                  <w:rPr>
                    <w:rFonts w:ascii="Verdana" w:eastAsia="Times New Roman" w:hAnsi="Verdana"/>
                    <w:b/>
                    <w:sz w:val="16"/>
                    <w:szCs w:val="16"/>
                    <w:lang w:val="en-GB" w:eastAsia="en-GB"/>
                  </w:rPr>
                  <w:t>£000</w:t>
                </w:r>
              </w:p>
            </w:tc>
            <w:tc>
              <w:tcPr>
                <w:tcW w:w="1180" w:type="dxa"/>
                <w:tcBorders>
                  <w:top w:val="single" w:sz="4" w:space="0" w:color="auto"/>
                  <w:left w:val="single" w:sz="4" w:space="0" w:color="auto"/>
                  <w:bottom w:val="single" w:sz="4" w:space="0" w:color="auto"/>
                  <w:right w:val="single" w:sz="4" w:space="0" w:color="auto"/>
                </w:tcBorders>
                <w:vAlign w:val="center"/>
              </w:tcPr>
              <w:p w14:paraId="19B0C867" w14:textId="77777777" w:rsidR="000D6EF8" w:rsidRPr="00AF0DB4" w:rsidRDefault="000D6EF8" w:rsidP="000D6EF8">
                <w:pPr>
                  <w:pStyle w:val="Normal0"/>
                  <w:jc w:val="right"/>
                  <w:rPr>
                    <w:rFonts w:ascii="Verdana" w:eastAsia="Times New Roman" w:hAnsi="Verdana"/>
                    <w:b/>
                    <w:sz w:val="16"/>
                    <w:szCs w:val="16"/>
                    <w:lang w:val="en-GB" w:eastAsia="en-GB"/>
                  </w:rPr>
                </w:pPr>
                <w:r w:rsidRPr="00AF0DB4">
                  <w:rPr>
                    <w:rFonts w:ascii="Verdana" w:eastAsia="Times New Roman" w:hAnsi="Verdana"/>
                    <w:b/>
                    <w:sz w:val="16"/>
                    <w:szCs w:val="16"/>
                    <w:lang w:val="en-GB" w:eastAsia="en-GB"/>
                  </w:rPr>
                  <w:t>£000</w:t>
                </w:r>
              </w:p>
            </w:tc>
          </w:tr>
          <w:tr w:rsidR="000D6EF8" w:rsidRPr="00AF0DB4" w14:paraId="02DFA826" w14:textId="77777777" w:rsidTr="00D91109">
            <w:trPr>
              <w:trHeight w:val="203"/>
              <w:jc w:val="center"/>
            </w:trPr>
            <w:tc>
              <w:tcPr>
                <w:tcW w:w="1139" w:type="dxa"/>
                <w:tcBorders>
                  <w:left w:val="single" w:sz="4" w:space="0" w:color="auto"/>
                  <w:bottom w:val="nil"/>
                  <w:right w:val="single" w:sz="4" w:space="0" w:color="auto"/>
                </w:tcBorders>
                <w:vAlign w:val="bottom"/>
              </w:tcPr>
              <w:p w14:paraId="08DFE541" w14:textId="77777777" w:rsidR="000D6EF8" w:rsidRPr="00AF0DB4" w:rsidRDefault="000D6EF8" w:rsidP="000D6EF8">
                <w:pPr>
                  <w:pStyle w:val="Normal0"/>
                  <w:jc w:val="right"/>
                  <w:rPr>
                    <w:rFonts w:ascii="Verdana" w:eastAsia="Times New Roman" w:hAnsi="Verdana"/>
                    <w:b/>
                    <w:sz w:val="16"/>
                    <w:szCs w:val="16"/>
                    <w:lang w:val="en-GB" w:eastAsia="en-GB"/>
                  </w:rPr>
                </w:pPr>
              </w:p>
            </w:tc>
            <w:tc>
              <w:tcPr>
                <w:tcW w:w="1129" w:type="dxa"/>
                <w:tcBorders>
                  <w:top w:val="single" w:sz="4" w:space="0" w:color="auto"/>
                  <w:left w:val="single" w:sz="4" w:space="0" w:color="auto"/>
                  <w:bottom w:val="nil"/>
                  <w:right w:val="single" w:sz="4" w:space="0" w:color="auto"/>
                </w:tcBorders>
                <w:vAlign w:val="bottom"/>
              </w:tcPr>
              <w:p w14:paraId="106AAE01" w14:textId="77777777" w:rsidR="000D6EF8" w:rsidRPr="00AF0DB4" w:rsidRDefault="000D6EF8" w:rsidP="000D6EF8">
                <w:pPr>
                  <w:pStyle w:val="Normal0"/>
                  <w:jc w:val="right"/>
                  <w:rPr>
                    <w:rFonts w:ascii="Verdana" w:eastAsia="Times New Roman" w:hAnsi="Verdana"/>
                    <w:b/>
                    <w:sz w:val="16"/>
                    <w:szCs w:val="16"/>
                    <w:lang w:val="en-GB" w:eastAsia="en-GB"/>
                  </w:rPr>
                </w:pPr>
              </w:p>
            </w:tc>
            <w:tc>
              <w:tcPr>
                <w:tcW w:w="4177" w:type="dxa"/>
                <w:tcBorders>
                  <w:left w:val="single" w:sz="4" w:space="0" w:color="auto"/>
                  <w:bottom w:val="nil"/>
                  <w:right w:val="single" w:sz="4" w:space="0" w:color="auto"/>
                </w:tcBorders>
                <w:shd w:val="clear" w:color="auto" w:fill="auto"/>
                <w:vAlign w:val="center"/>
              </w:tcPr>
              <w:p w14:paraId="67A22976" w14:textId="77777777" w:rsidR="000D6EF8" w:rsidRPr="00AF0DB4" w:rsidRDefault="000D6EF8" w:rsidP="000D6EF8">
                <w:pPr>
                  <w:pStyle w:val="Normal0"/>
                  <w:rPr>
                    <w:rFonts w:ascii="Verdana" w:eastAsia="Times New Roman" w:hAnsi="Verdana"/>
                    <w:b/>
                    <w:sz w:val="16"/>
                    <w:szCs w:val="16"/>
                    <w:lang w:val="en-GB" w:eastAsia="en-GB"/>
                  </w:rPr>
                </w:pPr>
                <w:r w:rsidRPr="00AF0DB4">
                  <w:rPr>
                    <w:rFonts w:ascii="Verdana" w:eastAsia="Times New Roman" w:hAnsi="Verdana"/>
                    <w:b/>
                    <w:sz w:val="16"/>
                    <w:szCs w:val="16"/>
                    <w:lang w:val="en-GB" w:eastAsia="en-GB"/>
                  </w:rPr>
                  <w:t>Contributions Receivable</w:t>
                </w:r>
              </w:p>
            </w:tc>
            <w:tc>
              <w:tcPr>
                <w:tcW w:w="1017" w:type="dxa"/>
                <w:tcBorders>
                  <w:top w:val="single" w:sz="4" w:space="0" w:color="auto"/>
                  <w:left w:val="single" w:sz="4" w:space="0" w:color="auto"/>
                  <w:right w:val="single" w:sz="4" w:space="0" w:color="auto"/>
                </w:tcBorders>
                <w:vAlign w:val="bottom"/>
              </w:tcPr>
              <w:p w14:paraId="531D908C" w14:textId="77777777" w:rsidR="000D6EF8" w:rsidRPr="00AF0DB4" w:rsidRDefault="000D6EF8" w:rsidP="000D6EF8">
                <w:pPr>
                  <w:pStyle w:val="Normal0"/>
                  <w:jc w:val="right"/>
                  <w:rPr>
                    <w:rFonts w:ascii="Verdana" w:eastAsia="Times New Roman" w:hAnsi="Verdana"/>
                    <w:b/>
                    <w:sz w:val="16"/>
                    <w:szCs w:val="16"/>
                    <w:lang w:val="en-GB" w:eastAsia="en-GB"/>
                  </w:rPr>
                </w:pPr>
              </w:p>
            </w:tc>
            <w:tc>
              <w:tcPr>
                <w:tcW w:w="1180" w:type="dxa"/>
                <w:tcBorders>
                  <w:top w:val="single" w:sz="4" w:space="0" w:color="auto"/>
                  <w:left w:val="single" w:sz="4" w:space="0" w:color="auto"/>
                  <w:right w:val="single" w:sz="4" w:space="0" w:color="auto"/>
                </w:tcBorders>
                <w:vAlign w:val="bottom"/>
              </w:tcPr>
              <w:p w14:paraId="303F2E4A" w14:textId="77777777" w:rsidR="000D6EF8" w:rsidRPr="00AF0DB4" w:rsidRDefault="000D6EF8" w:rsidP="000D6EF8">
                <w:pPr>
                  <w:pStyle w:val="Normal0"/>
                  <w:jc w:val="right"/>
                  <w:rPr>
                    <w:rFonts w:ascii="Verdana" w:eastAsia="Times New Roman" w:hAnsi="Verdana"/>
                    <w:b/>
                    <w:sz w:val="16"/>
                    <w:szCs w:val="16"/>
                    <w:lang w:val="en-GB" w:eastAsia="en-GB"/>
                  </w:rPr>
                </w:pPr>
              </w:p>
            </w:tc>
          </w:tr>
          <w:tr w:rsidR="000D6EF8" w:rsidRPr="00AF0DB4" w14:paraId="4C4EF15E" w14:textId="77777777" w:rsidTr="00D91109">
            <w:trPr>
              <w:trHeight w:val="203"/>
              <w:jc w:val="center"/>
            </w:trPr>
            <w:tc>
              <w:tcPr>
                <w:tcW w:w="1139" w:type="dxa"/>
                <w:tcBorders>
                  <w:top w:val="nil"/>
                  <w:left w:val="single" w:sz="4" w:space="0" w:color="auto"/>
                  <w:bottom w:val="nil"/>
                  <w:right w:val="single" w:sz="4" w:space="0" w:color="auto"/>
                </w:tcBorders>
                <w:vAlign w:val="bottom"/>
              </w:tcPr>
              <w:p w14:paraId="5942766C" w14:textId="77777777" w:rsidR="000D6EF8" w:rsidRPr="00AF0DB4" w:rsidRDefault="000D6EF8" w:rsidP="000D6EF8">
                <w:pPr>
                  <w:pStyle w:val="Normal0"/>
                  <w:jc w:val="right"/>
                  <w:rPr>
                    <w:rFonts w:ascii="Verdana" w:eastAsia="Times New Roman" w:hAnsi="Verdana"/>
                    <w:b/>
                    <w:sz w:val="16"/>
                    <w:szCs w:val="16"/>
                    <w:lang w:val="en-GB" w:eastAsia="en-GB"/>
                  </w:rPr>
                </w:pPr>
              </w:p>
            </w:tc>
            <w:tc>
              <w:tcPr>
                <w:tcW w:w="1129" w:type="dxa"/>
                <w:tcBorders>
                  <w:top w:val="nil"/>
                  <w:left w:val="single" w:sz="4" w:space="0" w:color="auto"/>
                  <w:bottom w:val="nil"/>
                  <w:right w:val="single" w:sz="4" w:space="0" w:color="auto"/>
                </w:tcBorders>
                <w:vAlign w:val="bottom"/>
              </w:tcPr>
              <w:p w14:paraId="65C5E50D" w14:textId="77777777" w:rsidR="000D6EF8" w:rsidRPr="00AF0DB4" w:rsidRDefault="000D6EF8" w:rsidP="000D6EF8">
                <w:pPr>
                  <w:pStyle w:val="Normal0"/>
                  <w:jc w:val="right"/>
                  <w:rPr>
                    <w:rFonts w:ascii="Verdana" w:eastAsia="Times New Roman" w:hAnsi="Verdana"/>
                    <w:b/>
                    <w:sz w:val="16"/>
                    <w:szCs w:val="16"/>
                    <w:lang w:val="en-GB" w:eastAsia="en-GB"/>
                  </w:rPr>
                </w:pPr>
              </w:p>
            </w:tc>
            <w:tc>
              <w:tcPr>
                <w:tcW w:w="4177" w:type="dxa"/>
                <w:tcBorders>
                  <w:top w:val="nil"/>
                  <w:left w:val="single" w:sz="4" w:space="0" w:color="auto"/>
                  <w:bottom w:val="nil"/>
                  <w:right w:val="single" w:sz="4" w:space="0" w:color="auto"/>
                </w:tcBorders>
                <w:shd w:val="clear" w:color="auto" w:fill="auto"/>
                <w:vAlign w:val="center"/>
              </w:tcPr>
              <w:p w14:paraId="73F11011" w14:textId="77777777" w:rsidR="000D6EF8" w:rsidRPr="00AF0DB4" w:rsidRDefault="000D6EF8" w:rsidP="000D6EF8">
                <w:pPr>
                  <w:pStyle w:val="Normal0"/>
                  <w:rPr>
                    <w:rFonts w:ascii="Verdana" w:eastAsia="Times New Roman" w:hAnsi="Verdana"/>
                    <w:sz w:val="16"/>
                    <w:szCs w:val="16"/>
                    <w:lang w:val="en-GB" w:eastAsia="en-GB"/>
                  </w:rPr>
                </w:pPr>
                <w:r w:rsidRPr="00AF0DB4">
                  <w:rPr>
                    <w:rFonts w:ascii="Verdana" w:eastAsia="Times New Roman" w:hAnsi="Verdana"/>
                    <w:sz w:val="16"/>
                    <w:szCs w:val="16"/>
                    <w:lang w:val="en-GB" w:eastAsia="en-GB"/>
                  </w:rPr>
                  <w:t>From Employer:</w:t>
                </w:r>
              </w:p>
            </w:tc>
            <w:tc>
              <w:tcPr>
                <w:tcW w:w="1017" w:type="dxa"/>
                <w:tcBorders>
                  <w:left w:val="single" w:sz="4" w:space="0" w:color="auto"/>
                  <w:right w:val="single" w:sz="4" w:space="0" w:color="auto"/>
                </w:tcBorders>
                <w:vAlign w:val="bottom"/>
              </w:tcPr>
              <w:p w14:paraId="02024F0C" w14:textId="77777777" w:rsidR="000D6EF8" w:rsidRPr="00AF0DB4" w:rsidRDefault="000D6EF8" w:rsidP="000D6EF8">
                <w:pPr>
                  <w:pStyle w:val="Normal0"/>
                  <w:jc w:val="right"/>
                  <w:rPr>
                    <w:rFonts w:ascii="Verdana" w:eastAsia="Times New Roman" w:hAnsi="Verdana"/>
                    <w:b/>
                    <w:sz w:val="16"/>
                    <w:szCs w:val="16"/>
                    <w:lang w:val="en-GB" w:eastAsia="en-GB"/>
                  </w:rPr>
                </w:pPr>
              </w:p>
            </w:tc>
            <w:tc>
              <w:tcPr>
                <w:tcW w:w="1180" w:type="dxa"/>
                <w:tcBorders>
                  <w:left w:val="single" w:sz="4" w:space="0" w:color="auto"/>
                  <w:right w:val="single" w:sz="4" w:space="0" w:color="auto"/>
                </w:tcBorders>
                <w:vAlign w:val="bottom"/>
              </w:tcPr>
              <w:p w14:paraId="2D9F1E02" w14:textId="77777777" w:rsidR="000D6EF8" w:rsidRPr="00AF0DB4" w:rsidRDefault="000D6EF8" w:rsidP="000D6EF8">
                <w:pPr>
                  <w:pStyle w:val="Normal0"/>
                  <w:jc w:val="right"/>
                  <w:rPr>
                    <w:rFonts w:ascii="Verdana" w:eastAsia="Times New Roman" w:hAnsi="Verdana"/>
                    <w:b/>
                    <w:sz w:val="16"/>
                    <w:szCs w:val="16"/>
                    <w:lang w:val="en-GB" w:eastAsia="en-GB"/>
                  </w:rPr>
                </w:pPr>
              </w:p>
            </w:tc>
          </w:tr>
          <w:tr w:rsidR="00A73F43" w:rsidRPr="00AF0DB4" w14:paraId="394BD69E" w14:textId="77777777" w:rsidTr="00D91109">
            <w:trPr>
              <w:trHeight w:val="203"/>
              <w:jc w:val="center"/>
            </w:trPr>
            <w:tc>
              <w:tcPr>
                <w:tcW w:w="1139" w:type="dxa"/>
                <w:tcBorders>
                  <w:top w:val="nil"/>
                  <w:left w:val="single" w:sz="4" w:space="0" w:color="auto"/>
                  <w:bottom w:val="nil"/>
                  <w:right w:val="single" w:sz="4" w:space="0" w:color="auto"/>
                </w:tcBorders>
                <w:vAlign w:val="center"/>
              </w:tcPr>
              <w:p w14:paraId="0B8E8E4D" w14:textId="77777777" w:rsidR="00A73F43" w:rsidRPr="00AF0DB4" w:rsidRDefault="00A73F43" w:rsidP="00A73F43">
                <w:pPr>
                  <w:pStyle w:val="Normal0"/>
                  <w:jc w:val="right"/>
                  <w:rPr>
                    <w:rFonts w:ascii="Verdana" w:hAnsi="Verdana"/>
                    <w:sz w:val="16"/>
                    <w:szCs w:val="16"/>
                  </w:rPr>
                </w:pPr>
                <w:r w:rsidRPr="00AF0DB4">
                  <w:rPr>
                    <w:rFonts w:ascii="Verdana" w:hAnsi="Verdana"/>
                    <w:sz w:val="16"/>
                    <w:szCs w:val="16"/>
                  </w:rPr>
                  <w:t>(21,078)</w:t>
                </w:r>
              </w:p>
            </w:tc>
            <w:tc>
              <w:tcPr>
                <w:tcW w:w="1129" w:type="dxa"/>
                <w:tcBorders>
                  <w:top w:val="nil"/>
                  <w:left w:val="single" w:sz="4" w:space="0" w:color="auto"/>
                  <w:bottom w:val="nil"/>
                  <w:right w:val="single" w:sz="4" w:space="0" w:color="auto"/>
                </w:tcBorders>
                <w:vAlign w:val="center"/>
              </w:tcPr>
              <w:p w14:paraId="76F5C9B4" w14:textId="77777777" w:rsidR="00A73F43" w:rsidRPr="00AF0DB4" w:rsidRDefault="00A73F43" w:rsidP="00A73F43">
                <w:pPr>
                  <w:pStyle w:val="Normal0"/>
                  <w:jc w:val="right"/>
                  <w:rPr>
                    <w:rFonts w:ascii="Verdana" w:hAnsi="Verdana"/>
                    <w:sz w:val="16"/>
                    <w:szCs w:val="16"/>
                  </w:rPr>
                </w:pPr>
              </w:p>
            </w:tc>
            <w:tc>
              <w:tcPr>
                <w:tcW w:w="4177" w:type="dxa"/>
                <w:tcBorders>
                  <w:top w:val="nil"/>
                  <w:left w:val="single" w:sz="4" w:space="0" w:color="auto"/>
                  <w:bottom w:val="nil"/>
                  <w:right w:val="single" w:sz="4" w:space="0" w:color="auto"/>
                </w:tcBorders>
                <w:shd w:val="clear" w:color="auto" w:fill="auto"/>
                <w:vAlign w:val="center"/>
              </w:tcPr>
              <w:p w14:paraId="4E480543" w14:textId="77777777" w:rsidR="00A73F43" w:rsidRPr="00AF0DB4" w:rsidRDefault="00A73F43" w:rsidP="00A73F43">
                <w:pPr>
                  <w:pStyle w:val="Normal0"/>
                  <w:rPr>
                    <w:rFonts w:ascii="Verdana" w:eastAsia="Times New Roman" w:hAnsi="Verdana"/>
                    <w:sz w:val="16"/>
                    <w:szCs w:val="16"/>
                    <w:lang w:val="en-GB" w:eastAsia="en-GB"/>
                  </w:rPr>
                </w:pPr>
                <w:r w:rsidRPr="00AF0DB4">
                  <w:rPr>
                    <w:rFonts w:ascii="Verdana" w:eastAsia="Times New Roman" w:hAnsi="Verdana"/>
                    <w:sz w:val="16"/>
                    <w:szCs w:val="16"/>
                    <w:lang w:val="en-GB" w:eastAsia="en-GB"/>
                  </w:rPr>
                  <w:t xml:space="preserve"> - Normal</w:t>
                </w:r>
              </w:p>
            </w:tc>
            <w:tc>
              <w:tcPr>
                <w:tcW w:w="1017" w:type="dxa"/>
                <w:tcBorders>
                  <w:left w:val="single" w:sz="4" w:space="0" w:color="auto"/>
                  <w:right w:val="single" w:sz="4" w:space="0" w:color="auto"/>
                </w:tcBorders>
                <w:vAlign w:val="center"/>
              </w:tcPr>
              <w:p w14:paraId="3BFEB362" w14:textId="5299FFF7" w:rsidR="00A73F43" w:rsidRPr="00AF0DB4" w:rsidRDefault="00AF0DB4" w:rsidP="0077299A">
                <w:pPr>
                  <w:pStyle w:val="Normal0"/>
                  <w:jc w:val="right"/>
                  <w:rPr>
                    <w:rFonts w:ascii="Verdana" w:hAnsi="Verdana"/>
                    <w:sz w:val="16"/>
                    <w:szCs w:val="16"/>
                  </w:rPr>
                </w:pPr>
                <w:r>
                  <w:rPr>
                    <w:rFonts w:ascii="Verdana" w:hAnsi="Verdana"/>
                    <w:sz w:val="16"/>
                    <w:szCs w:val="16"/>
                  </w:rPr>
                  <w:t>(2</w:t>
                </w:r>
                <w:r w:rsidR="0077299A">
                  <w:rPr>
                    <w:rFonts w:ascii="Verdana" w:hAnsi="Verdana"/>
                    <w:sz w:val="16"/>
                    <w:szCs w:val="16"/>
                  </w:rPr>
                  <w:t>2,794</w:t>
                </w:r>
                <w:r>
                  <w:rPr>
                    <w:rFonts w:ascii="Verdana" w:hAnsi="Verdana"/>
                    <w:sz w:val="16"/>
                    <w:szCs w:val="16"/>
                  </w:rPr>
                  <w:t>)</w:t>
                </w:r>
              </w:p>
            </w:tc>
            <w:tc>
              <w:tcPr>
                <w:tcW w:w="1180" w:type="dxa"/>
                <w:tcBorders>
                  <w:left w:val="single" w:sz="4" w:space="0" w:color="auto"/>
                  <w:right w:val="single" w:sz="4" w:space="0" w:color="auto"/>
                </w:tcBorders>
                <w:vAlign w:val="center"/>
              </w:tcPr>
              <w:p w14:paraId="35347A7D" w14:textId="77777777" w:rsidR="00A73F43" w:rsidRPr="00AF0DB4" w:rsidRDefault="00A73F43" w:rsidP="00A73F43">
                <w:pPr>
                  <w:pStyle w:val="Normal0"/>
                  <w:jc w:val="right"/>
                  <w:rPr>
                    <w:rFonts w:ascii="Verdana" w:hAnsi="Verdana"/>
                    <w:sz w:val="16"/>
                    <w:szCs w:val="16"/>
                  </w:rPr>
                </w:pPr>
              </w:p>
            </w:tc>
          </w:tr>
          <w:tr w:rsidR="00A73F43" w:rsidRPr="00AF0DB4" w14:paraId="5864DB13" w14:textId="77777777" w:rsidTr="00D91109">
            <w:trPr>
              <w:trHeight w:val="203"/>
              <w:jc w:val="center"/>
            </w:trPr>
            <w:tc>
              <w:tcPr>
                <w:tcW w:w="1139" w:type="dxa"/>
                <w:tcBorders>
                  <w:top w:val="nil"/>
                  <w:left w:val="single" w:sz="4" w:space="0" w:color="auto"/>
                  <w:bottom w:val="nil"/>
                  <w:right w:val="single" w:sz="4" w:space="0" w:color="auto"/>
                </w:tcBorders>
                <w:vAlign w:val="center"/>
              </w:tcPr>
              <w:p w14:paraId="2D7530A2" w14:textId="77777777" w:rsidR="00A73F43" w:rsidRPr="00AF0DB4" w:rsidRDefault="00A73F43" w:rsidP="00A73F43">
                <w:pPr>
                  <w:pStyle w:val="Normal0"/>
                  <w:jc w:val="right"/>
                  <w:rPr>
                    <w:rFonts w:ascii="Verdana" w:hAnsi="Verdana"/>
                    <w:sz w:val="16"/>
                    <w:szCs w:val="16"/>
                  </w:rPr>
                </w:pPr>
                <w:r w:rsidRPr="00AF0DB4">
                  <w:rPr>
                    <w:rFonts w:ascii="Verdana" w:hAnsi="Verdana"/>
                    <w:sz w:val="16"/>
                    <w:szCs w:val="16"/>
                  </w:rPr>
                  <w:t>(80)</w:t>
                </w:r>
              </w:p>
            </w:tc>
            <w:tc>
              <w:tcPr>
                <w:tcW w:w="1129" w:type="dxa"/>
                <w:tcBorders>
                  <w:top w:val="nil"/>
                  <w:left w:val="single" w:sz="4" w:space="0" w:color="auto"/>
                  <w:bottom w:val="nil"/>
                  <w:right w:val="single" w:sz="4" w:space="0" w:color="auto"/>
                </w:tcBorders>
                <w:vAlign w:val="center"/>
              </w:tcPr>
              <w:p w14:paraId="03D78A67" w14:textId="77777777" w:rsidR="00A73F43" w:rsidRPr="00AF0DB4" w:rsidRDefault="00A73F43" w:rsidP="00A73F43">
                <w:pPr>
                  <w:pStyle w:val="Normal0"/>
                  <w:jc w:val="right"/>
                  <w:rPr>
                    <w:rFonts w:ascii="Verdana" w:hAnsi="Verdana"/>
                    <w:sz w:val="16"/>
                    <w:szCs w:val="16"/>
                  </w:rPr>
                </w:pPr>
              </w:p>
            </w:tc>
            <w:tc>
              <w:tcPr>
                <w:tcW w:w="4177" w:type="dxa"/>
                <w:tcBorders>
                  <w:top w:val="nil"/>
                  <w:left w:val="single" w:sz="4" w:space="0" w:color="auto"/>
                  <w:bottom w:val="nil"/>
                  <w:right w:val="single" w:sz="4" w:space="0" w:color="auto"/>
                </w:tcBorders>
                <w:shd w:val="clear" w:color="auto" w:fill="auto"/>
                <w:vAlign w:val="center"/>
              </w:tcPr>
              <w:p w14:paraId="7EE532D5" w14:textId="77777777" w:rsidR="00A73F43" w:rsidRPr="00AF0DB4" w:rsidRDefault="00A73F43" w:rsidP="00A73F43">
                <w:pPr>
                  <w:pStyle w:val="Normal0"/>
                  <w:rPr>
                    <w:rFonts w:ascii="Verdana" w:eastAsia="Times New Roman" w:hAnsi="Verdana"/>
                    <w:sz w:val="16"/>
                    <w:szCs w:val="16"/>
                    <w:lang w:val="en-GB" w:eastAsia="en-GB"/>
                  </w:rPr>
                </w:pPr>
                <w:r w:rsidRPr="00AF0DB4">
                  <w:rPr>
                    <w:rFonts w:ascii="Verdana" w:eastAsia="Times New Roman" w:hAnsi="Verdana"/>
                    <w:sz w:val="16"/>
                    <w:szCs w:val="16"/>
                    <w:lang w:val="en-GB" w:eastAsia="en-GB"/>
                  </w:rPr>
                  <w:t xml:space="preserve"> - Early Retirements</w:t>
                </w:r>
              </w:p>
            </w:tc>
            <w:tc>
              <w:tcPr>
                <w:tcW w:w="1017" w:type="dxa"/>
                <w:tcBorders>
                  <w:left w:val="single" w:sz="4" w:space="0" w:color="auto"/>
                  <w:right w:val="single" w:sz="4" w:space="0" w:color="auto"/>
                </w:tcBorders>
                <w:vAlign w:val="center"/>
              </w:tcPr>
              <w:p w14:paraId="39DC1608" w14:textId="7D9F65DE" w:rsidR="00A73F43" w:rsidRPr="00AF0DB4" w:rsidRDefault="00AF0DB4" w:rsidP="00A73F43">
                <w:pPr>
                  <w:pStyle w:val="Normal0"/>
                  <w:jc w:val="right"/>
                  <w:rPr>
                    <w:rFonts w:ascii="Verdana" w:hAnsi="Verdana"/>
                    <w:sz w:val="16"/>
                    <w:szCs w:val="16"/>
                  </w:rPr>
                </w:pPr>
                <w:r>
                  <w:rPr>
                    <w:rFonts w:ascii="Verdana" w:hAnsi="Verdana"/>
                    <w:sz w:val="16"/>
                    <w:szCs w:val="16"/>
                  </w:rPr>
                  <w:t>(576)</w:t>
                </w:r>
              </w:p>
            </w:tc>
            <w:tc>
              <w:tcPr>
                <w:tcW w:w="1180" w:type="dxa"/>
                <w:tcBorders>
                  <w:left w:val="single" w:sz="4" w:space="0" w:color="auto"/>
                  <w:right w:val="single" w:sz="4" w:space="0" w:color="auto"/>
                </w:tcBorders>
                <w:vAlign w:val="center"/>
              </w:tcPr>
              <w:p w14:paraId="4B460619" w14:textId="77777777" w:rsidR="00A73F43" w:rsidRPr="00AF0DB4" w:rsidRDefault="00A73F43" w:rsidP="00A73F43">
                <w:pPr>
                  <w:pStyle w:val="Normal0"/>
                  <w:jc w:val="right"/>
                  <w:rPr>
                    <w:rFonts w:ascii="Verdana" w:hAnsi="Verdana"/>
                    <w:sz w:val="16"/>
                    <w:szCs w:val="16"/>
                  </w:rPr>
                </w:pPr>
              </w:p>
            </w:tc>
          </w:tr>
          <w:tr w:rsidR="00A73F43" w:rsidRPr="00AF0DB4" w14:paraId="6CB41ED7" w14:textId="77777777" w:rsidTr="00D91109">
            <w:trPr>
              <w:trHeight w:val="203"/>
              <w:jc w:val="center"/>
            </w:trPr>
            <w:tc>
              <w:tcPr>
                <w:tcW w:w="1139" w:type="dxa"/>
                <w:tcBorders>
                  <w:top w:val="nil"/>
                  <w:left w:val="single" w:sz="4" w:space="0" w:color="auto"/>
                  <w:bottom w:val="single" w:sz="4" w:space="0" w:color="auto"/>
                  <w:right w:val="single" w:sz="4" w:space="0" w:color="auto"/>
                </w:tcBorders>
                <w:vAlign w:val="center"/>
              </w:tcPr>
              <w:p w14:paraId="30355A9E" w14:textId="77777777" w:rsidR="00A73F43" w:rsidRPr="00AF0DB4" w:rsidRDefault="00A73F43" w:rsidP="00A73F43">
                <w:pPr>
                  <w:pStyle w:val="Normal0"/>
                  <w:jc w:val="right"/>
                  <w:rPr>
                    <w:rFonts w:ascii="Verdana" w:hAnsi="Verdana"/>
                    <w:sz w:val="16"/>
                    <w:szCs w:val="16"/>
                  </w:rPr>
                </w:pPr>
                <w:r w:rsidRPr="00AF0DB4">
                  <w:rPr>
                    <w:rFonts w:ascii="Verdana" w:hAnsi="Verdana"/>
                    <w:sz w:val="16"/>
                    <w:szCs w:val="16"/>
                  </w:rPr>
                  <w:t>(9,048)</w:t>
                </w:r>
              </w:p>
            </w:tc>
            <w:tc>
              <w:tcPr>
                <w:tcW w:w="1129" w:type="dxa"/>
                <w:tcBorders>
                  <w:top w:val="nil"/>
                  <w:left w:val="single" w:sz="4" w:space="0" w:color="auto"/>
                  <w:bottom w:val="single" w:sz="4" w:space="0" w:color="auto"/>
                  <w:right w:val="single" w:sz="4" w:space="0" w:color="auto"/>
                </w:tcBorders>
                <w:vAlign w:val="center"/>
              </w:tcPr>
              <w:p w14:paraId="09E23CC3" w14:textId="77777777" w:rsidR="00A73F43" w:rsidRPr="00AF0DB4" w:rsidRDefault="00A73F43" w:rsidP="00A73F43">
                <w:pPr>
                  <w:pStyle w:val="Normal0"/>
                  <w:jc w:val="right"/>
                  <w:rPr>
                    <w:rFonts w:ascii="Verdana" w:hAnsi="Verdana"/>
                    <w:sz w:val="16"/>
                    <w:szCs w:val="16"/>
                  </w:rPr>
                </w:pPr>
              </w:p>
            </w:tc>
            <w:tc>
              <w:tcPr>
                <w:tcW w:w="4177" w:type="dxa"/>
                <w:tcBorders>
                  <w:top w:val="nil"/>
                  <w:left w:val="single" w:sz="4" w:space="0" w:color="auto"/>
                  <w:bottom w:val="nil"/>
                  <w:right w:val="single" w:sz="4" w:space="0" w:color="auto"/>
                </w:tcBorders>
                <w:shd w:val="clear" w:color="auto" w:fill="auto"/>
                <w:vAlign w:val="center"/>
              </w:tcPr>
              <w:p w14:paraId="4741C4C1" w14:textId="77777777" w:rsidR="00A73F43" w:rsidRPr="00AF0DB4" w:rsidRDefault="00A73F43" w:rsidP="00A73F43">
                <w:pPr>
                  <w:pStyle w:val="Normal0"/>
                  <w:rPr>
                    <w:rFonts w:ascii="Verdana" w:eastAsia="Times New Roman" w:hAnsi="Verdana"/>
                    <w:sz w:val="16"/>
                    <w:szCs w:val="16"/>
                    <w:lang w:val="en-GB" w:eastAsia="en-GB"/>
                  </w:rPr>
                </w:pPr>
                <w:r w:rsidRPr="00AF0DB4">
                  <w:rPr>
                    <w:rFonts w:ascii="Verdana" w:eastAsia="Times New Roman" w:hAnsi="Verdana"/>
                    <w:sz w:val="16"/>
                    <w:szCs w:val="16"/>
                    <w:lang w:val="en-GB" w:eastAsia="en-GB"/>
                  </w:rPr>
                  <w:t>From Members</w:t>
                </w:r>
              </w:p>
            </w:tc>
            <w:tc>
              <w:tcPr>
                <w:tcW w:w="1017" w:type="dxa"/>
                <w:tcBorders>
                  <w:left w:val="single" w:sz="4" w:space="0" w:color="auto"/>
                  <w:bottom w:val="single" w:sz="4" w:space="0" w:color="auto"/>
                  <w:right w:val="single" w:sz="4" w:space="0" w:color="auto"/>
                </w:tcBorders>
                <w:vAlign w:val="center"/>
              </w:tcPr>
              <w:p w14:paraId="4125F7A1" w14:textId="6713FB78" w:rsidR="00A73F43" w:rsidRPr="00AF0DB4" w:rsidRDefault="00AF0DB4" w:rsidP="00A73F43">
                <w:pPr>
                  <w:pStyle w:val="Normal0"/>
                  <w:jc w:val="right"/>
                  <w:rPr>
                    <w:rFonts w:ascii="Verdana" w:hAnsi="Verdana"/>
                    <w:sz w:val="16"/>
                    <w:szCs w:val="16"/>
                  </w:rPr>
                </w:pPr>
                <w:r>
                  <w:rPr>
                    <w:rFonts w:ascii="Verdana" w:hAnsi="Verdana"/>
                    <w:sz w:val="16"/>
                    <w:szCs w:val="16"/>
                  </w:rPr>
                  <w:t>(9,761)</w:t>
                </w:r>
              </w:p>
            </w:tc>
            <w:tc>
              <w:tcPr>
                <w:tcW w:w="1180" w:type="dxa"/>
                <w:tcBorders>
                  <w:left w:val="single" w:sz="4" w:space="0" w:color="auto"/>
                  <w:bottom w:val="single" w:sz="4" w:space="0" w:color="auto"/>
                  <w:right w:val="single" w:sz="4" w:space="0" w:color="auto"/>
                </w:tcBorders>
                <w:vAlign w:val="center"/>
              </w:tcPr>
              <w:p w14:paraId="6899BB52" w14:textId="77777777" w:rsidR="00A73F43" w:rsidRPr="00AF0DB4" w:rsidRDefault="00A73F43" w:rsidP="00A73F43">
                <w:pPr>
                  <w:pStyle w:val="Normal0"/>
                  <w:jc w:val="right"/>
                  <w:rPr>
                    <w:rFonts w:ascii="Verdana" w:hAnsi="Verdana"/>
                    <w:sz w:val="16"/>
                    <w:szCs w:val="16"/>
                  </w:rPr>
                </w:pPr>
              </w:p>
            </w:tc>
          </w:tr>
          <w:tr w:rsidR="00A73F43" w:rsidRPr="00AF0DB4" w14:paraId="7707DA83" w14:textId="77777777" w:rsidTr="00D91109">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14:paraId="55100714" w14:textId="77777777" w:rsidR="00A73F43" w:rsidRPr="00AF0DB4" w:rsidRDefault="00A73F43" w:rsidP="00A73F43">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vAlign w:val="center"/>
              </w:tcPr>
              <w:p w14:paraId="62EC7689" w14:textId="77777777" w:rsidR="00A73F43" w:rsidRPr="00AF0DB4" w:rsidRDefault="00A73F43" w:rsidP="00A73F43">
                <w:pPr>
                  <w:pStyle w:val="Normal0"/>
                  <w:jc w:val="right"/>
                  <w:rPr>
                    <w:rFonts w:ascii="Verdana" w:hAnsi="Verdana"/>
                    <w:b/>
                    <w:bCs/>
                    <w:sz w:val="16"/>
                    <w:szCs w:val="16"/>
                  </w:rPr>
                </w:pPr>
                <w:r w:rsidRPr="00AF0DB4">
                  <w:rPr>
                    <w:rFonts w:ascii="Verdana" w:hAnsi="Verdana"/>
                    <w:b/>
                    <w:bCs/>
                    <w:sz w:val="16"/>
                    <w:szCs w:val="16"/>
                  </w:rPr>
                  <w:t>(30,206)</w:t>
                </w:r>
              </w:p>
            </w:tc>
            <w:tc>
              <w:tcPr>
                <w:tcW w:w="4177" w:type="dxa"/>
                <w:tcBorders>
                  <w:top w:val="nil"/>
                  <w:left w:val="single" w:sz="4" w:space="0" w:color="auto"/>
                  <w:bottom w:val="single" w:sz="4" w:space="0" w:color="auto"/>
                  <w:right w:val="single" w:sz="4" w:space="0" w:color="auto"/>
                </w:tcBorders>
                <w:shd w:val="clear" w:color="auto" w:fill="auto"/>
                <w:vAlign w:val="center"/>
              </w:tcPr>
              <w:p w14:paraId="248C51AB" w14:textId="77777777" w:rsidR="00A73F43" w:rsidRPr="00AF0DB4" w:rsidRDefault="00A73F43" w:rsidP="00A73F43">
                <w:pPr>
                  <w:pStyle w:val="Normal0"/>
                  <w:rPr>
                    <w:rFonts w:ascii="Verdana" w:eastAsia="Times New Roman" w:hAnsi="Verdana"/>
                    <w:b/>
                    <w:sz w:val="16"/>
                    <w:szCs w:val="16"/>
                    <w:lang w:val="en-GB" w:eastAsia="en-GB"/>
                  </w:rPr>
                </w:pPr>
              </w:p>
            </w:tc>
            <w:tc>
              <w:tcPr>
                <w:tcW w:w="1017" w:type="dxa"/>
                <w:tcBorders>
                  <w:top w:val="single" w:sz="4" w:space="0" w:color="auto"/>
                  <w:left w:val="single" w:sz="4" w:space="0" w:color="auto"/>
                  <w:bottom w:val="single" w:sz="4" w:space="0" w:color="auto"/>
                  <w:right w:val="single" w:sz="4" w:space="0" w:color="auto"/>
                </w:tcBorders>
                <w:vAlign w:val="center"/>
              </w:tcPr>
              <w:p w14:paraId="3625D62D" w14:textId="77777777" w:rsidR="00A73F43" w:rsidRPr="00AF0DB4" w:rsidRDefault="00A73F43" w:rsidP="00A73F43">
                <w:pPr>
                  <w:pStyle w:val="Normal0"/>
                  <w:jc w:val="right"/>
                  <w:rPr>
                    <w:rFonts w:ascii="Verdana" w:hAnsi="Verdana"/>
                    <w:b/>
                    <w:bCs/>
                    <w:sz w:val="16"/>
                    <w:szCs w:val="16"/>
                  </w:rPr>
                </w:pPr>
              </w:p>
            </w:tc>
            <w:tc>
              <w:tcPr>
                <w:tcW w:w="1180" w:type="dxa"/>
                <w:tcBorders>
                  <w:top w:val="single" w:sz="4" w:space="0" w:color="auto"/>
                  <w:left w:val="single" w:sz="4" w:space="0" w:color="auto"/>
                  <w:bottom w:val="single" w:sz="4" w:space="0" w:color="auto"/>
                  <w:right w:val="single" w:sz="4" w:space="0" w:color="auto"/>
                </w:tcBorders>
                <w:vAlign w:val="center"/>
              </w:tcPr>
              <w:p w14:paraId="64965A02" w14:textId="04A31452" w:rsidR="00A73F43" w:rsidRPr="00AF0DB4" w:rsidRDefault="00AF0DB4" w:rsidP="00A73F43">
                <w:pPr>
                  <w:pStyle w:val="Normal0"/>
                  <w:jc w:val="right"/>
                  <w:rPr>
                    <w:rFonts w:ascii="Verdana" w:hAnsi="Verdana"/>
                    <w:b/>
                    <w:bCs/>
                    <w:sz w:val="16"/>
                    <w:szCs w:val="16"/>
                  </w:rPr>
                </w:pPr>
                <w:r>
                  <w:rPr>
                    <w:rFonts w:ascii="Verdana" w:hAnsi="Verdana"/>
                    <w:b/>
                    <w:bCs/>
                    <w:sz w:val="16"/>
                    <w:szCs w:val="16"/>
                  </w:rPr>
                  <w:t>(33,131)</w:t>
                </w:r>
              </w:p>
            </w:tc>
          </w:tr>
          <w:tr w:rsidR="00A73F43" w:rsidRPr="00AF0DB4" w14:paraId="3B00624B" w14:textId="77777777" w:rsidTr="00D91109">
            <w:trPr>
              <w:trHeight w:val="203"/>
              <w:jc w:val="center"/>
            </w:trPr>
            <w:tc>
              <w:tcPr>
                <w:tcW w:w="1139" w:type="dxa"/>
                <w:tcBorders>
                  <w:top w:val="single" w:sz="4" w:space="0" w:color="auto"/>
                  <w:left w:val="single" w:sz="4" w:space="0" w:color="auto"/>
                  <w:bottom w:val="nil"/>
                  <w:right w:val="single" w:sz="4" w:space="0" w:color="auto"/>
                </w:tcBorders>
                <w:vAlign w:val="center"/>
              </w:tcPr>
              <w:p w14:paraId="0356C0FD" w14:textId="77777777" w:rsidR="00A73F43" w:rsidRPr="00AF0DB4" w:rsidRDefault="00A73F43" w:rsidP="00A73F43">
                <w:pPr>
                  <w:pStyle w:val="Normal0"/>
                  <w:jc w:val="right"/>
                  <w:rPr>
                    <w:rFonts w:ascii="Verdana" w:hAnsi="Verdana"/>
                    <w:b/>
                    <w:bCs/>
                    <w:sz w:val="16"/>
                    <w:szCs w:val="16"/>
                  </w:rPr>
                </w:pPr>
              </w:p>
            </w:tc>
            <w:tc>
              <w:tcPr>
                <w:tcW w:w="1129" w:type="dxa"/>
                <w:tcBorders>
                  <w:top w:val="single" w:sz="4" w:space="0" w:color="auto"/>
                  <w:left w:val="single" w:sz="4" w:space="0" w:color="auto"/>
                  <w:bottom w:val="nil"/>
                  <w:right w:val="single" w:sz="4" w:space="0" w:color="auto"/>
                </w:tcBorders>
                <w:vAlign w:val="center"/>
              </w:tcPr>
              <w:p w14:paraId="323664E1" w14:textId="77777777" w:rsidR="00A73F43" w:rsidRPr="00AF0DB4" w:rsidRDefault="00A73F43" w:rsidP="00A73F43">
                <w:pPr>
                  <w:pStyle w:val="Normal0"/>
                  <w:jc w:val="right"/>
                  <w:rPr>
                    <w:rFonts w:ascii="Verdana" w:hAnsi="Verdana"/>
                    <w:b/>
                    <w:bCs/>
                    <w:sz w:val="16"/>
                    <w:szCs w:val="16"/>
                  </w:rPr>
                </w:pPr>
              </w:p>
            </w:tc>
            <w:tc>
              <w:tcPr>
                <w:tcW w:w="4177" w:type="dxa"/>
                <w:tcBorders>
                  <w:top w:val="single" w:sz="4" w:space="0" w:color="auto"/>
                  <w:left w:val="single" w:sz="4" w:space="0" w:color="auto"/>
                  <w:bottom w:val="nil"/>
                  <w:right w:val="single" w:sz="4" w:space="0" w:color="auto"/>
                </w:tcBorders>
                <w:shd w:val="clear" w:color="auto" w:fill="auto"/>
                <w:vAlign w:val="center"/>
              </w:tcPr>
              <w:p w14:paraId="6BC8E3B4" w14:textId="77777777" w:rsidR="00A73F43" w:rsidRPr="00AF0DB4" w:rsidRDefault="00A73F43" w:rsidP="00A73F43">
                <w:pPr>
                  <w:pStyle w:val="Normal0"/>
                  <w:rPr>
                    <w:rFonts w:ascii="Verdana" w:eastAsia="Times New Roman" w:hAnsi="Verdana"/>
                    <w:b/>
                    <w:sz w:val="16"/>
                    <w:szCs w:val="16"/>
                    <w:lang w:val="en-GB" w:eastAsia="en-GB"/>
                  </w:rPr>
                </w:pPr>
                <w:r w:rsidRPr="00AF0DB4">
                  <w:rPr>
                    <w:rFonts w:ascii="Verdana" w:eastAsia="Times New Roman" w:hAnsi="Verdana"/>
                    <w:b/>
                    <w:sz w:val="16"/>
                    <w:szCs w:val="16"/>
                    <w:lang w:val="en-GB" w:eastAsia="en-GB"/>
                  </w:rPr>
                  <w:t>Transfers In</w:t>
                </w:r>
              </w:p>
            </w:tc>
            <w:tc>
              <w:tcPr>
                <w:tcW w:w="1017" w:type="dxa"/>
                <w:tcBorders>
                  <w:top w:val="single" w:sz="4" w:space="0" w:color="auto"/>
                  <w:left w:val="single" w:sz="4" w:space="0" w:color="auto"/>
                  <w:right w:val="single" w:sz="4" w:space="0" w:color="auto"/>
                </w:tcBorders>
                <w:vAlign w:val="center"/>
              </w:tcPr>
              <w:p w14:paraId="14D453AC" w14:textId="77777777" w:rsidR="00A73F43" w:rsidRPr="00AF0DB4" w:rsidRDefault="00A73F43" w:rsidP="00A73F43">
                <w:pPr>
                  <w:pStyle w:val="Normal0"/>
                  <w:jc w:val="right"/>
                  <w:rPr>
                    <w:rFonts w:ascii="Verdana" w:hAnsi="Verdana"/>
                    <w:b/>
                    <w:bCs/>
                    <w:sz w:val="16"/>
                    <w:szCs w:val="16"/>
                  </w:rPr>
                </w:pPr>
              </w:p>
            </w:tc>
            <w:tc>
              <w:tcPr>
                <w:tcW w:w="1180" w:type="dxa"/>
                <w:tcBorders>
                  <w:top w:val="single" w:sz="4" w:space="0" w:color="auto"/>
                  <w:left w:val="single" w:sz="4" w:space="0" w:color="auto"/>
                  <w:right w:val="single" w:sz="4" w:space="0" w:color="auto"/>
                </w:tcBorders>
                <w:vAlign w:val="center"/>
              </w:tcPr>
              <w:p w14:paraId="309ABAE3" w14:textId="77777777" w:rsidR="00A73F43" w:rsidRPr="00AF0DB4" w:rsidRDefault="00A73F43" w:rsidP="00A73F43">
                <w:pPr>
                  <w:pStyle w:val="Normal0"/>
                  <w:jc w:val="right"/>
                  <w:rPr>
                    <w:rFonts w:ascii="Verdana" w:hAnsi="Verdana"/>
                    <w:b/>
                    <w:bCs/>
                    <w:sz w:val="16"/>
                    <w:szCs w:val="16"/>
                  </w:rPr>
                </w:pPr>
              </w:p>
            </w:tc>
          </w:tr>
          <w:tr w:rsidR="00A73F43" w:rsidRPr="00AF0DB4" w14:paraId="627B02FA" w14:textId="77777777" w:rsidTr="00D91109">
            <w:trPr>
              <w:trHeight w:val="203"/>
              <w:jc w:val="center"/>
            </w:trPr>
            <w:tc>
              <w:tcPr>
                <w:tcW w:w="1139" w:type="dxa"/>
                <w:tcBorders>
                  <w:top w:val="nil"/>
                  <w:left w:val="single" w:sz="4" w:space="0" w:color="auto"/>
                  <w:bottom w:val="single" w:sz="4" w:space="0" w:color="auto"/>
                  <w:right w:val="single" w:sz="4" w:space="0" w:color="auto"/>
                </w:tcBorders>
                <w:vAlign w:val="center"/>
              </w:tcPr>
              <w:p w14:paraId="18C7AA32" w14:textId="77777777" w:rsidR="00A73F43" w:rsidRPr="00AF0DB4" w:rsidRDefault="00A73F43" w:rsidP="00A73F43">
                <w:pPr>
                  <w:pStyle w:val="Normal0"/>
                  <w:jc w:val="right"/>
                  <w:rPr>
                    <w:rFonts w:ascii="Verdana" w:hAnsi="Verdana"/>
                    <w:b/>
                    <w:bCs/>
                    <w:sz w:val="16"/>
                    <w:szCs w:val="16"/>
                  </w:rPr>
                </w:pPr>
              </w:p>
            </w:tc>
            <w:tc>
              <w:tcPr>
                <w:tcW w:w="1129" w:type="dxa"/>
                <w:tcBorders>
                  <w:top w:val="nil"/>
                  <w:left w:val="single" w:sz="4" w:space="0" w:color="auto"/>
                  <w:bottom w:val="single" w:sz="4" w:space="0" w:color="auto"/>
                  <w:right w:val="single" w:sz="4" w:space="0" w:color="auto"/>
                </w:tcBorders>
                <w:vAlign w:val="center"/>
              </w:tcPr>
              <w:p w14:paraId="3ED8F690" w14:textId="77777777" w:rsidR="00A73F43" w:rsidRPr="00AF0DB4" w:rsidRDefault="00A73F43" w:rsidP="00A73F43">
                <w:pPr>
                  <w:pStyle w:val="Normal0"/>
                  <w:jc w:val="right"/>
                  <w:rPr>
                    <w:rFonts w:ascii="Verdana" w:hAnsi="Verdana"/>
                    <w:b/>
                    <w:bCs/>
                    <w:sz w:val="16"/>
                    <w:szCs w:val="16"/>
                  </w:rPr>
                </w:pPr>
                <w:r w:rsidRPr="00AF0DB4">
                  <w:rPr>
                    <w:rFonts w:ascii="Verdana" w:hAnsi="Verdana"/>
                    <w:b/>
                    <w:bCs/>
                    <w:sz w:val="16"/>
                    <w:szCs w:val="16"/>
                  </w:rPr>
                  <w:t>(460)</w:t>
                </w:r>
              </w:p>
            </w:tc>
            <w:tc>
              <w:tcPr>
                <w:tcW w:w="4177" w:type="dxa"/>
                <w:tcBorders>
                  <w:top w:val="nil"/>
                  <w:left w:val="single" w:sz="4" w:space="0" w:color="auto"/>
                  <w:bottom w:val="single" w:sz="4" w:space="0" w:color="auto"/>
                  <w:right w:val="single" w:sz="4" w:space="0" w:color="auto"/>
                </w:tcBorders>
                <w:shd w:val="clear" w:color="auto" w:fill="auto"/>
                <w:vAlign w:val="center"/>
              </w:tcPr>
              <w:p w14:paraId="2477C735" w14:textId="77777777" w:rsidR="00A73F43" w:rsidRPr="00AF0DB4" w:rsidRDefault="00A73F43" w:rsidP="00A73F43">
                <w:pPr>
                  <w:pStyle w:val="Normal0"/>
                  <w:rPr>
                    <w:rFonts w:ascii="Verdana" w:eastAsia="Times New Roman" w:hAnsi="Verdana"/>
                    <w:sz w:val="16"/>
                    <w:szCs w:val="16"/>
                    <w:lang w:val="en-GB" w:eastAsia="en-GB"/>
                  </w:rPr>
                </w:pPr>
                <w:r w:rsidRPr="00AF0DB4">
                  <w:rPr>
                    <w:rFonts w:ascii="Verdana" w:eastAsia="Times New Roman" w:hAnsi="Verdana"/>
                    <w:sz w:val="16"/>
                    <w:szCs w:val="16"/>
                    <w:lang w:val="en-GB" w:eastAsia="en-GB"/>
                  </w:rPr>
                  <w:t>Individual Transfers in From Other Schemes</w:t>
                </w:r>
              </w:p>
            </w:tc>
            <w:tc>
              <w:tcPr>
                <w:tcW w:w="1017" w:type="dxa"/>
                <w:tcBorders>
                  <w:left w:val="single" w:sz="4" w:space="0" w:color="auto"/>
                  <w:bottom w:val="single" w:sz="4" w:space="0" w:color="auto"/>
                  <w:right w:val="single" w:sz="4" w:space="0" w:color="auto"/>
                </w:tcBorders>
                <w:vAlign w:val="center"/>
              </w:tcPr>
              <w:p w14:paraId="22220E61" w14:textId="77777777" w:rsidR="00A73F43" w:rsidRPr="00AF0DB4" w:rsidRDefault="00A73F43" w:rsidP="00A73F43">
                <w:pPr>
                  <w:pStyle w:val="Normal0"/>
                  <w:jc w:val="right"/>
                  <w:rPr>
                    <w:rFonts w:ascii="Verdana" w:hAnsi="Verdana"/>
                    <w:b/>
                    <w:bCs/>
                    <w:sz w:val="16"/>
                    <w:szCs w:val="16"/>
                  </w:rPr>
                </w:pPr>
              </w:p>
            </w:tc>
            <w:tc>
              <w:tcPr>
                <w:tcW w:w="1180" w:type="dxa"/>
                <w:tcBorders>
                  <w:left w:val="single" w:sz="4" w:space="0" w:color="auto"/>
                  <w:bottom w:val="single" w:sz="4" w:space="0" w:color="auto"/>
                  <w:right w:val="single" w:sz="4" w:space="0" w:color="auto"/>
                </w:tcBorders>
                <w:vAlign w:val="center"/>
              </w:tcPr>
              <w:p w14:paraId="0F8E55B7" w14:textId="7F4F4C93" w:rsidR="00A73F43" w:rsidRPr="00AF0DB4" w:rsidRDefault="00AF0DB4" w:rsidP="00A73F43">
                <w:pPr>
                  <w:pStyle w:val="Normal0"/>
                  <w:jc w:val="right"/>
                  <w:rPr>
                    <w:rFonts w:ascii="Verdana" w:hAnsi="Verdana"/>
                    <w:b/>
                    <w:bCs/>
                    <w:sz w:val="16"/>
                    <w:szCs w:val="16"/>
                  </w:rPr>
                </w:pPr>
                <w:r>
                  <w:rPr>
                    <w:rFonts w:ascii="Verdana" w:hAnsi="Verdana"/>
                    <w:b/>
                    <w:bCs/>
                    <w:sz w:val="16"/>
                    <w:szCs w:val="16"/>
                  </w:rPr>
                  <w:t>(287)</w:t>
                </w:r>
              </w:p>
            </w:tc>
          </w:tr>
          <w:tr w:rsidR="00A73F43" w:rsidRPr="00AF0DB4" w14:paraId="711C3415" w14:textId="77777777" w:rsidTr="00D91109">
            <w:trPr>
              <w:trHeight w:val="203"/>
              <w:jc w:val="center"/>
            </w:trPr>
            <w:tc>
              <w:tcPr>
                <w:tcW w:w="1139" w:type="dxa"/>
                <w:tcBorders>
                  <w:top w:val="single" w:sz="4" w:space="0" w:color="auto"/>
                  <w:left w:val="single" w:sz="4" w:space="0" w:color="auto"/>
                  <w:bottom w:val="single" w:sz="4" w:space="0" w:color="auto"/>
                  <w:right w:val="single" w:sz="4" w:space="0" w:color="auto"/>
                </w:tcBorders>
                <w:shd w:val="clear" w:color="auto" w:fill="FFFFCC"/>
                <w:vAlign w:val="center"/>
              </w:tcPr>
              <w:p w14:paraId="242E2530" w14:textId="77777777" w:rsidR="00A73F43" w:rsidRPr="00AF0DB4" w:rsidRDefault="00A73F43" w:rsidP="00A73F43">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FFFFCC"/>
                <w:vAlign w:val="center"/>
              </w:tcPr>
              <w:p w14:paraId="1955594A" w14:textId="77777777" w:rsidR="00A73F43" w:rsidRPr="00AF0DB4" w:rsidRDefault="00A73F43" w:rsidP="00A73F43">
                <w:pPr>
                  <w:pStyle w:val="Normal0"/>
                  <w:jc w:val="right"/>
                  <w:rPr>
                    <w:rFonts w:ascii="Verdana" w:hAnsi="Verdana"/>
                    <w:b/>
                    <w:bCs/>
                    <w:sz w:val="16"/>
                    <w:szCs w:val="16"/>
                  </w:rPr>
                </w:pPr>
                <w:r w:rsidRPr="00AF0DB4">
                  <w:rPr>
                    <w:rFonts w:ascii="Verdana" w:hAnsi="Verdana"/>
                    <w:b/>
                    <w:bCs/>
                    <w:sz w:val="16"/>
                    <w:szCs w:val="16"/>
                  </w:rPr>
                  <w:t>(30,666)</w:t>
                </w:r>
              </w:p>
            </w:tc>
            <w:tc>
              <w:tcPr>
                <w:tcW w:w="4177" w:type="dxa"/>
                <w:tcBorders>
                  <w:top w:val="single" w:sz="4" w:space="0" w:color="auto"/>
                  <w:left w:val="single" w:sz="4" w:space="0" w:color="auto"/>
                  <w:bottom w:val="single" w:sz="4" w:space="0" w:color="auto"/>
                  <w:right w:val="single" w:sz="4" w:space="0" w:color="auto"/>
                </w:tcBorders>
                <w:shd w:val="clear" w:color="auto" w:fill="FFFFCC"/>
                <w:vAlign w:val="center"/>
              </w:tcPr>
              <w:p w14:paraId="7A4F1DDB" w14:textId="77777777" w:rsidR="00A73F43" w:rsidRPr="00AF0DB4" w:rsidRDefault="00A73F43" w:rsidP="00A73F43">
                <w:pPr>
                  <w:pStyle w:val="Normal0"/>
                  <w:rPr>
                    <w:rFonts w:ascii="Verdana" w:eastAsia="Times New Roman" w:hAnsi="Verdana"/>
                    <w:b/>
                    <w:sz w:val="16"/>
                    <w:szCs w:val="16"/>
                    <w:lang w:val="en-GB" w:eastAsia="en-GB"/>
                  </w:rPr>
                </w:pPr>
                <w:r w:rsidRPr="00AF0DB4">
                  <w:rPr>
                    <w:rFonts w:ascii="Verdana" w:eastAsia="Times New Roman" w:hAnsi="Verdana"/>
                    <w:b/>
                    <w:sz w:val="16"/>
                    <w:szCs w:val="16"/>
                    <w:lang w:val="en-GB" w:eastAsia="en-GB"/>
                  </w:rPr>
                  <w:t>Total Inflows</w:t>
                </w:r>
              </w:p>
            </w:tc>
            <w:tc>
              <w:tcPr>
                <w:tcW w:w="1017" w:type="dxa"/>
                <w:tcBorders>
                  <w:top w:val="single" w:sz="4" w:space="0" w:color="auto"/>
                  <w:left w:val="single" w:sz="4" w:space="0" w:color="auto"/>
                  <w:bottom w:val="single" w:sz="4" w:space="0" w:color="auto"/>
                  <w:right w:val="single" w:sz="4" w:space="0" w:color="auto"/>
                </w:tcBorders>
                <w:shd w:val="clear" w:color="auto" w:fill="FFFFCC"/>
                <w:vAlign w:val="center"/>
              </w:tcPr>
              <w:p w14:paraId="483960AE" w14:textId="77777777" w:rsidR="00A73F43" w:rsidRPr="00AF0DB4" w:rsidRDefault="00A73F43" w:rsidP="00A73F43">
                <w:pPr>
                  <w:pStyle w:val="Normal0"/>
                  <w:jc w:val="right"/>
                  <w:rPr>
                    <w:rFonts w:ascii="Verdana" w:hAnsi="Verdana"/>
                    <w:b/>
                    <w:bCs/>
                    <w:sz w:val="16"/>
                    <w:szCs w:val="16"/>
                  </w:rPr>
                </w:pPr>
              </w:p>
            </w:tc>
            <w:tc>
              <w:tcPr>
                <w:tcW w:w="1180" w:type="dxa"/>
                <w:tcBorders>
                  <w:top w:val="single" w:sz="4" w:space="0" w:color="auto"/>
                  <w:left w:val="single" w:sz="4" w:space="0" w:color="auto"/>
                  <w:bottom w:val="single" w:sz="4" w:space="0" w:color="auto"/>
                  <w:right w:val="single" w:sz="4" w:space="0" w:color="auto"/>
                </w:tcBorders>
                <w:shd w:val="clear" w:color="auto" w:fill="FFFFCC"/>
                <w:vAlign w:val="center"/>
              </w:tcPr>
              <w:p w14:paraId="5C3ED272" w14:textId="2039ABD9" w:rsidR="00A73F43" w:rsidRPr="00AF0DB4" w:rsidRDefault="00AF0DB4" w:rsidP="00A73F43">
                <w:pPr>
                  <w:pStyle w:val="Normal0"/>
                  <w:jc w:val="right"/>
                  <w:rPr>
                    <w:rFonts w:ascii="Verdana" w:hAnsi="Verdana"/>
                    <w:b/>
                    <w:bCs/>
                    <w:sz w:val="16"/>
                    <w:szCs w:val="16"/>
                  </w:rPr>
                </w:pPr>
                <w:r>
                  <w:rPr>
                    <w:rFonts w:ascii="Verdana" w:hAnsi="Verdana"/>
                    <w:b/>
                    <w:bCs/>
                    <w:sz w:val="16"/>
                    <w:szCs w:val="16"/>
                  </w:rPr>
                  <w:t>(33,418)</w:t>
                </w:r>
              </w:p>
            </w:tc>
          </w:tr>
          <w:tr w:rsidR="00A73F43" w:rsidRPr="00AF0DB4" w14:paraId="0AEA5C2E" w14:textId="77777777" w:rsidTr="00D91109">
            <w:trPr>
              <w:trHeight w:val="295"/>
              <w:jc w:val="center"/>
            </w:trPr>
            <w:tc>
              <w:tcPr>
                <w:tcW w:w="1139" w:type="dxa"/>
                <w:tcBorders>
                  <w:left w:val="single" w:sz="4" w:space="0" w:color="auto"/>
                  <w:bottom w:val="nil"/>
                  <w:right w:val="single" w:sz="4" w:space="0" w:color="auto"/>
                </w:tcBorders>
                <w:vAlign w:val="center"/>
              </w:tcPr>
              <w:p w14:paraId="6206ED35" w14:textId="77777777" w:rsidR="00A73F43" w:rsidRPr="00AF0DB4" w:rsidRDefault="00A73F43" w:rsidP="00A73F43">
                <w:pPr>
                  <w:pStyle w:val="Normal0"/>
                  <w:jc w:val="right"/>
                  <w:rPr>
                    <w:rFonts w:ascii="Verdana" w:hAnsi="Verdana"/>
                    <w:b/>
                    <w:bCs/>
                    <w:sz w:val="16"/>
                    <w:szCs w:val="16"/>
                  </w:rPr>
                </w:pPr>
              </w:p>
            </w:tc>
            <w:tc>
              <w:tcPr>
                <w:tcW w:w="1129" w:type="dxa"/>
                <w:tcBorders>
                  <w:left w:val="single" w:sz="4" w:space="0" w:color="auto"/>
                  <w:bottom w:val="nil"/>
                  <w:right w:val="single" w:sz="4" w:space="0" w:color="auto"/>
                </w:tcBorders>
                <w:vAlign w:val="center"/>
              </w:tcPr>
              <w:p w14:paraId="3EC6F387" w14:textId="77777777" w:rsidR="00A73F43" w:rsidRPr="00AF0DB4" w:rsidRDefault="00A73F43" w:rsidP="00A73F43">
                <w:pPr>
                  <w:pStyle w:val="Normal0"/>
                  <w:jc w:val="right"/>
                  <w:rPr>
                    <w:rFonts w:ascii="Verdana" w:hAnsi="Verdana"/>
                    <w:b/>
                    <w:bCs/>
                    <w:sz w:val="16"/>
                    <w:szCs w:val="16"/>
                  </w:rPr>
                </w:pPr>
              </w:p>
            </w:tc>
            <w:tc>
              <w:tcPr>
                <w:tcW w:w="4177" w:type="dxa"/>
                <w:tcBorders>
                  <w:left w:val="single" w:sz="4" w:space="0" w:color="auto"/>
                  <w:bottom w:val="nil"/>
                  <w:right w:val="single" w:sz="4" w:space="0" w:color="auto"/>
                </w:tcBorders>
                <w:shd w:val="clear" w:color="auto" w:fill="auto"/>
                <w:vAlign w:val="center"/>
              </w:tcPr>
              <w:p w14:paraId="717963BF" w14:textId="77777777" w:rsidR="00A73F43" w:rsidRPr="00AF0DB4" w:rsidRDefault="00A73F43" w:rsidP="00A73F43">
                <w:pPr>
                  <w:pStyle w:val="Normal0"/>
                  <w:rPr>
                    <w:rFonts w:ascii="Verdana" w:eastAsia="Times New Roman" w:hAnsi="Verdana"/>
                    <w:b/>
                    <w:sz w:val="16"/>
                    <w:szCs w:val="16"/>
                    <w:lang w:val="en-GB" w:eastAsia="en-GB"/>
                  </w:rPr>
                </w:pPr>
                <w:r w:rsidRPr="00AF0DB4">
                  <w:rPr>
                    <w:rFonts w:ascii="Verdana" w:eastAsia="Times New Roman" w:hAnsi="Verdana"/>
                    <w:b/>
                    <w:sz w:val="16"/>
                    <w:szCs w:val="16"/>
                    <w:lang w:val="en-GB" w:eastAsia="en-GB"/>
                  </w:rPr>
                  <w:t>Benefits Payable</w:t>
                </w:r>
              </w:p>
            </w:tc>
            <w:tc>
              <w:tcPr>
                <w:tcW w:w="1017" w:type="dxa"/>
                <w:tcBorders>
                  <w:top w:val="single" w:sz="4" w:space="0" w:color="auto"/>
                  <w:left w:val="single" w:sz="4" w:space="0" w:color="auto"/>
                  <w:right w:val="single" w:sz="4" w:space="0" w:color="auto"/>
                </w:tcBorders>
                <w:vAlign w:val="center"/>
              </w:tcPr>
              <w:p w14:paraId="58F49131" w14:textId="77777777" w:rsidR="00A73F43" w:rsidRPr="00AF0DB4" w:rsidRDefault="00A73F43" w:rsidP="00A73F43">
                <w:pPr>
                  <w:pStyle w:val="Normal0"/>
                  <w:jc w:val="right"/>
                  <w:rPr>
                    <w:rFonts w:ascii="Verdana" w:hAnsi="Verdana"/>
                    <w:b/>
                    <w:bCs/>
                    <w:sz w:val="16"/>
                    <w:szCs w:val="16"/>
                  </w:rPr>
                </w:pPr>
              </w:p>
            </w:tc>
            <w:tc>
              <w:tcPr>
                <w:tcW w:w="1180" w:type="dxa"/>
                <w:tcBorders>
                  <w:top w:val="single" w:sz="4" w:space="0" w:color="auto"/>
                  <w:left w:val="single" w:sz="4" w:space="0" w:color="auto"/>
                  <w:right w:val="single" w:sz="4" w:space="0" w:color="auto"/>
                </w:tcBorders>
                <w:vAlign w:val="center"/>
              </w:tcPr>
              <w:p w14:paraId="3972F9EA" w14:textId="77777777" w:rsidR="00A73F43" w:rsidRPr="00AF0DB4" w:rsidRDefault="00A73F43" w:rsidP="00A73F43">
                <w:pPr>
                  <w:pStyle w:val="Normal0"/>
                  <w:jc w:val="right"/>
                  <w:rPr>
                    <w:rFonts w:ascii="Verdana" w:hAnsi="Verdana"/>
                    <w:b/>
                    <w:bCs/>
                    <w:sz w:val="16"/>
                    <w:szCs w:val="16"/>
                  </w:rPr>
                </w:pPr>
              </w:p>
            </w:tc>
          </w:tr>
          <w:tr w:rsidR="00A73F43" w:rsidRPr="00AF0DB4" w14:paraId="535AECDE" w14:textId="77777777" w:rsidTr="00D91109">
            <w:trPr>
              <w:trHeight w:val="203"/>
              <w:jc w:val="center"/>
            </w:trPr>
            <w:tc>
              <w:tcPr>
                <w:tcW w:w="1139" w:type="dxa"/>
                <w:tcBorders>
                  <w:top w:val="nil"/>
                  <w:left w:val="single" w:sz="4" w:space="0" w:color="auto"/>
                  <w:bottom w:val="nil"/>
                  <w:right w:val="single" w:sz="4" w:space="0" w:color="auto"/>
                </w:tcBorders>
                <w:vAlign w:val="center"/>
              </w:tcPr>
              <w:p w14:paraId="5BDEFFD7" w14:textId="77777777" w:rsidR="00A73F43" w:rsidRPr="00AF0DB4" w:rsidRDefault="00A73F43" w:rsidP="00A73F43">
                <w:pPr>
                  <w:pStyle w:val="Normal0"/>
                  <w:jc w:val="right"/>
                  <w:rPr>
                    <w:rFonts w:ascii="Verdana" w:hAnsi="Verdana"/>
                    <w:sz w:val="16"/>
                    <w:szCs w:val="16"/>
                  </w:rPr>
                </w:pPr>
                <w:r w:rsidRPr="00AF0DB4">
                  <w:rPr>
                    <w:rFonts w:ascii="Verdana" w:hAnsi="Verdana"/>
                    <w:sz w:val="16"/>
                    <w:szCs w:val="16"/>
                  </w:rPr>
                  <w:t>38,889</w:t>
                </w:r>
              </w:p>
            </w:tc>
            <w:tc>
              <w:tcPr>
                <w:tcW w:w="1129" w:type="dxa"/>
                <w:tcBorders>
                  <w:top w:val="nil"/>
                  <w:left w:val="single" w:sz="4" w:space="0" w:color="auto"/>
                  <w:bottom w:val="nil"/>
                  <w:right w:val="single" w:sz="4" w:space="0" w:color="auto"/>
                </w:tcBorders>
                <w:vAlign w:val="center"/>
              </w:tcPr>
              <w:p w14:paraId="1509BE9D" w14:textId="77777777" w:rsidR="00A73F43" w:rsidRPr="00AF0DB4" w:rsidRDefault="00A73F43" w:rsidP="00A73F43">
                <w:pPr>
                  <w:pStyle w:val="Normal0"/>
                  <w:jc w:val="right"/>
                  <w:rPr>
                    <w:rFonts w:ascii="Verdana" w:hAnsi="Verdana"/>
                    <w:sz w:val="16"/>
                    <w:szCs w:val="16"/>
                  </w:rPr>
                </w:pPr>
              </w:p>
            </w:tc>
            <w:tc>
              <w:tcPr>
                <w:tcW w:w="4177" w:type="dxa"/>
                <w:tcBorders>
                  <w:top w:val="nil"/>
                  <w:left w:val="single" w:sz="4" w:space="0" w:color="auto"/>
                  <w:bottom w:val="nil"/>
                  <w:right w:val="single" w:sz="4" w:space="0" w:color="auto"/>
                </w:tcBorders>
                <w:shd w:val="clear" w:color="auto" w:fill="auto"/>
                <w:vAlign w:val="center"/>
              </w:tcPr>
              <w:p w14:paraId="31E248E7" w14:textId="77777777" w:rsidR="00A73F43" w:rsidRPr="00AF0DB4" w:rsidRDefault="00A73F43" w:rsidP="00A73F43">
                <w:pPr>
                  <w:pStyle w:val="Normal0"/>
                  <w:rPr>
                    <w:rFonts w:ascii="Verdana" w:eastAsia="Times New Roman" w:hAnsi="Verdana"/>
                    <w:sz w:val="16"/>
                    <w:szCs w:val="16"/>
                    <w:lang w:val="en-GB" w:eastAsia="en-GB"/>
                  </w:rPr>
                </w:pPr>
                <w:r w:rsidRPr="00AF0DB4">
                  <w:rPr>
                    <w:rFonts w:ascii="Verdana" w:eastAsia="Times New Roman" w:hAnsi="Verdana"/>
                    <w:sz w:val="16"/>
                    <w:szCs w:val="16"/>
                    <w:lang w:val="en-GB" w:eastAsia="en-GB"/>
                  </w:rPr>
                  <w:t>Pensions</w:t>
                </w:r>
              </w:p>
            </w:tc>
            <w:tc>
              <w:tcPr>
                <w:tcW w:w="1017" w:type="dxa"/>
                <w:tcBorders>
                  <w:left w:val="single" w:sz="4" w:space="0" w:color="auto"/>
                  <w:right w:val="single" w:sz="4" w:space="0" w:color="auto"/>
                </w:tcBorders>
                <w:vAlign w:val="center"/>
              </w:tcPr>
              <w:p w14:paraId="5113A4C7" w14:textId="5F8274D4" w:rsidR="00A73F43" w:rsidRPr="00AF0DB4" w:rsidRDefault="00AF0DB4" w:rsidP="00A73F43">
                <w:pPr>
                  <w:pStyle w:val="Normal0"/>
                  <w:jc w:val="right"/>
                  <w:rPr>
                    <w:rFonts w:ascii="Verdana" w:hAnsi="Verdana"/>
                    <w:sz w:val="16"/>
                    <w:szCs w:val="16"/>
                  </w:rPr>
                </w:pPr>
                <w:r>
                  <w:rPr>
                    <w:rFonts w:ascii="Verdana" w:hAnsi="Verdana"/>
                    <w:sz w:val="16"/>
                    <w:szCs w:val="16"/>
                  </w:rPr>
                  <w:t>40,335</w:t>
                </w:r>
              </w:p>
            </w:tc>
            <w:tc>
              <w:tcPr>
                <w:tcW w:w="1180" w:type="dxa"/>
                <w:tcBorders>
                  <w:left w:val="single" w:sz="4" w:space="0" w:color="auto"/>
                  <w:right w:val="single" w:sz="4" w:space="0" w:color="auto"/>
                </w:tcBorders>
                <w:vAlign w:val="center"/>
              </w:tcPr>
              <w:p w14:paraId="79A53E7B" w14:textId="77777777" w:rsidR="00A73F43" w:rsidRPr="00AF0DB4" w:rsidRDefault="00A73F43" w:rsidP="00A73F43">
                <w:pPr>
                  <w:pStyle w:val="Normal0"/>
                  <w:jc w:val="right"/>
                  <w:rPr>
                    <w:rFonts w:ascii="Verdana" w:hAnsi="Verdana"/>
                    <w:sz w:val="16"/>
                    <w:szCs w:val="16"/>
                  </w:rPr>
                </w:pPr>
              </w:p>
            </w:tc>
          </w:tr>
          <w:tr w:rsidR="00A73F43" w:rsidRPr="00AF0DB4" w14:paraId="51367BC7" w14:textId="77777777" w:rsidTr="00D91109">
            <w:trPr>
              <w:trHeight w:val="203"/>
              <w:jc w:val="center"/>
            </w:trPr>
            <w:tc>
              <w:tcPr>
                <w:tcW w:w="1139" w:type="dxa"/>
                <w:tcBorders>
                  <w:top w:val="nil"/>
                  <w:left w:val="single" w:sz="4" w:space="0" w:color="auto"/>
                  <w:bottom w:val="nil"/>
                  <w:right w:val="single" w:sz="4" w:space="0" w:color="auto"/>
                </w:tcBorders>
                <w:vAlign w:val="center"/>
              </w:tcPr>
              <w:p w14:paraId="623DE7F9" w14:textId="77777777" w:rsidR="00A73F43" w:rsidRPr="00AF0DB4" w:rsidRDefault="00A73F43" w:rsidP="00A73F43">
                <w:pPr>
                  <w:pStyle w:val="Normal0"/>
                  <w:jc w:val="right"/>
                  <w:rPr>
                    <w:rFonts w:ascii="Verdana" w:hAnsi="Verdana"/>
                    <w:sz w:val="16"/>
                    <w:szCs w:val="16"/>
                  </w:rPr>
                </w:pPr>
                <w:r w:rsidRPr="00AF0DB4">
                  <w:rPr>
                    <w:rFonts w:ascii="Verdana" w:hAnsi="Verdana"/>
                    <w:sz w:val="16"/>
                    <w:szCs w:val="16"/>
                  </w:rPr>
                  <w:t>8,846</w:t>
                </w:r>
              </w:p>
            </w:tc>
            <w:tc>
              <w:tcPr>
                <w:tcW w:w="1129" w:type="dxa"/>
                <w:tcBorders>
                  <w:top w:val="nil"/>
                  <w:left w:val="single" w:sz="4" w:space="0" w:color="auto"/>
                  <w:bottom w:val="nil"/>
                  <w:right w:val="single" w:sz="4" w:space="0" w:color="auto"/>
                </w:tcBorders>
                <w:vAlign w:val="center"/>
              </w:tcPr>
              <w:p w14:paraId="7BF927CD" w14:textId="77777777" w:rsidR="00A73F43" w:rsidRPr="00AF0DB4" w:rsidRDefault="00A73F43" w:rsidP="00A73F43">
                <w:pPr>
                  <w:pStyle w:val="Normal0"/>
                  <w:jc w:val="right"/>
                  <w:rPr>
                    <w:rFonts w:ascii="Verdana" w:hAnsi="Verdana"/>
                    <w:sz w:val="16"/>
                    <w:szCs w:val="16"/>
                  </w:rPr>
                </w:pPr>
              </w:p>
            </w:tc>
            <w:tc>
              <w:tcPr>
                <w:tcW w:w="4177" w:type="dxa"/>
                <w:tcBorders>
                  <w:top w:val="nil"/>
                  <w:left w:val="single" w:sz="4" w:space="0" w:color="auto"/>
                  <w:bottom w:val="nil"/>
                  <w:right w:val="single" w:sz="4" w:space="0" w:color="auto"/>
                </w:tcBorders>
                <w:shd w:val="clear" w:color="auto" w:fill="auto"/>
                <w:vAlign w:val="center"/>
              </w:tcPr>
              <w:p w14:paraId="2078D657" w14:textId="77777777" w:rsidR="00A73F43" w:rsidRPr="00AF0DB4" w:rsidRDefault="00A73F43" w:rsidP="00A73F43">
                <w:pPr>
                  <w:pStyle w:val="Normal0"/>
                  <w:rPr>
                    <w:rFonts w:ascii="Verdana" w:eastAsia="Times New Roman" w:hAnsi="Verdana"/>
                    <w:sz w:val="16"/>
                    <w:szCs w:val="16"/>
                    <w:lang w:val="en-GB" w:eastAsia="en-GB"/>
                  </w:rPr>
                </w:pPr>
                <w:r w:rsidRPr="00AF0DB4">
                  <w:rPr>
                    <w:rFonts w:ascii="Verdana" w:eastAsia="Times New Roman" w:hAnsi="Verdana"/>
                    <w:sz w:val="16"/>
                    <w:szCs w:val="16"/>
                    <w:lang w:val="en-GB" w:eastAsia="en-GB"/>
                  </w:rPr>
                  <w:t>Commutations and Lump Sums</w:t>
                </w:r>
              </w:p>
            </w:tc>
            <w:tc>
              <w:tcPr>
                <w:tcW w:w="1017" w:type="dxa"/>
                <w:tcBorders>
                  <w:left w:val="single" w:sz="4" w:space="0" w:color="auto"/>
                  <w:right w:val="single" w:sz="4" w:space="0" w:color="auto"/>
                </w:tcBorders>
                <w:vAlign w:val="center"/>
              </w:tcPr>
              <w:p w14:paraId="56C38C9D" w14:textId="2AC8D06B" w:rsidR="00A73F43" w:rsidRPr="00AF0DB4" w:rsidRDefault="00AF0DB4" w:rsidP="00A73F43">
                <w:pPr>
                  <w:pStyle w:val="Normal0"/>
                  <w:jc w:val="right"/>
                  <w:rPr>
                    <w:rFonts w:ascii="Verdana" w:hAnsi="Verdana"/>
                    <w:sz w:val="16"/>
                    <w:szCs w:val="16"/>
                  </w:rPr>
                </w:pPr>
                <w:r>
                  <w:rPr>
                    <w:rFonts w:ascii="Verdana" w:hAnsi="Verdana"/>
                    <w:sz w:val="16"/>
                    <w:szCs w:val="16"/>
                  </w:rPr>
                  <w:t>5,629</w:t>
                </w:r>
              </w:p>
            </w:tc>
            <w:tc>
              <w:tcPr>
                <w:tcW w:w="1180" w:type="dxa"/>
                <w:tcBorders>
                  <w:left w:val="single" w:sz="4" w:space="0" w:color="auto"/>
                  <w:right w:val="single" w:sz="4" w:space="0" w:color="auto"/>
                </w:tcBorders>
                <w:vAlign w:val="center"/>
              </w:tcPr>
              <w:p w14:paraId="26F6480A" w14:textId="77777777" w:rsidR="00A73F43" w:rsidRPr="00AF0DB4" w:rsidRDefault="00A73F43" w:rsidP="00A73F43">
                <w:pPr>
                  <w:pStyle w:val="Normal0"/>
                  <w:jc w:val="right"/>
                  <w:rPr>
                    <w:rFonts w:ascii="Verdana" w:hAnsi="Verdana"/>
                    <w:sz w:val="16"/>
                    <w:szCs w:val="16"/>
                  </w:rPr>
                </w:pPr>
              </w:p>
            </w:tc>
          </w:tr>
          <w:tr w:rsidR="00A73F43" w:rsidRPr="00AF0DB4" w14:paraId="090BF154" w14:textId="77777777" w:rsidTr="00D91109">
            <w:trPr>
              <w:trHeight w:val="203"/>
              <w:jc w:val="center"/>
            </w:trPr>
            <w:tc>
              <w:tcPr>
                <w:tcW w:w="1139" w:type="dxa"/>
                <w:tcBorders>
                  <w:top w:val="nil"/>
                  <w:left w:val="single" w:sz="4" w:space="0" w:color="auto"/>
                  <w:bottom w:val="nil"/>
                  <w:right w:val="single" w:sz="4" w:space="0" w:color="auto"/>
                </w:tcBorders>
                <w:vAlign w:val="center"/>
              </w:tcPr>
              <w:p w14:paraId="32375A75" w14:textId="77777777" w:rsidR="00A73F43" w:rsidRPr="00AF0DB4" w:rsidRDefault="00A73F43" w:rsidP="00A73F43">
                <w:pPr>
                  <w:pStyle w:val="Normal0"/>
                  <w:jc w:val="right"/>
                  <w:rPr>
                    <w:rFonts w:ascii="Verdana" w:hAnsi="Verdana"/>
                    <w:sz w:val="16"/>
                    <w:szCs w:val="16"/>
                  </w:rPr>
                </w:pPr>
                <w:r w:rsidRPr="00AF0DB4">
                  <w:rPr>
                    <w:rFonts w:ascii="Verdana" w:hAnsi="Verdana"/>
                    <w:sz w:val="16"/>
                    <w:szCs w:val="16"/>
                  </w:rPr>
                  <w:t>113</w:t>
                </w:r>
              </w:p>
            </w:tc>
            <w:tc>
              <w:tcPr>
                <w:tcW w:w="1129" w:type="dxa"/>
                <w:tcBorders>
                  <w:top w:val="nil"/>
                  <w:left w:val="single" w:sz="4" w:space="0" w:color="auto"/>
                  <w:bottom w:val="nil"/>
                  <w:right w:val="single" w:sz="4" w:space="0" w:color="auto"/>
                </w:tcBorders>
                <w:vAlign w:val="center"/>
              </w:tcPr>
              <w:p w14:paraId="10961A31" w14:textId="77777777" w:rsidR="00A73F43" w:rsidRPr="00AF0DB4" w:rsidRDefault="00A73F43" w:rsidP="00A73F43">
                <w:pPr>
                  <w:pStyle w:val="Normal0"/>
                  <w:jc w:val="right"/>
                  <w:rPr>
                    <w:rFonts w:ascii="Verdana" w:hAnsi="Verdana"/>
                    <w:sz w:val="16"/>
                    <w:szCs w:val="16"/>
                  </w:rPr>
                </w:pPr>
              </w:p>
            </w:tc>
            <w:tc>
              <w:tcPr>
                <w:tcW w:w="4177" w:type="dxa"/>
                <w:tcBorders>
                  <w:top w:val="nil"/>
                  <w:left w:val="single" w:sz="4" w:space="0" w:color="auto"/>
                  <w:bottom w:val="nil"/>
                  <w:right w:val="single" w:sz="4" w:space="0" w:color="auto"/>
                </w:tcBorders>
                <w:shd w:val="clear" w:color="auto" w:fill="auto"/>
                <w:vAlign w:val="center"/>
              </w:tcPr>
              <w:p w14:paraId="69777B8D" w14:textId="77777777" w:rsidR="00A73F43" w:rsidRPr="00AF0DB4" w:rsidRDefault="00A73F43" w:rsidP="00A73F43">
                <w:pPr>
                  <w:pStyle w:val="Normal0"/>
                  <w:rPr>
                    <w:rFonts w:ascii="Verdana" w:eastAsia="Times New Roman" w:hAnsi="Verdana"/>
                    <w:sz w:val="16"/>
                    <w:szCs w:val="16"/>
                    <w:lang w:val="en-GB" w:eastAsia="en-GB"/>
                  </w:rPr>
                </w:pPr>
                <w:r w:rsidRPr="00AF0DB4">
                  <w:rPr>
                    <w:rFonts w:ascii="Verdana" w:eastAsia="Times New Roman" w:hAnsi="Verdana"/>
                    <w:sz w:val="16"/>
                    <w:szCs w:val="16"/>
                    <w:lang w:val="en-GB" w:eastAsia="en-GB"/>
                  </w:rPr>
                  <w:t>Lump Sum Death Benefits</w:t>
                </w:r>
              </w:p>
            </w:tc>
            <w:tc>
              <w:tcPr>
                <w:tcW w:w="1017" w:type="dxa"/>
                <w:tcBorders>
                  <w:left w:val="single" w:sz="4" w:space="0" w:color="auto"/>
                  <w:right w:val="single" w:sz="4" w:space="0" w:color="auto"/>
                </w:tcBorders>
                <w:vAlign w:val="center"/>
              </w:tcPr>
              <w:p w14:paraId="27CBC171" w14:textId="74F065D2" w:rsidR="00A73F43" w:rsidRPr="00AF0DB4" w:rsidRDefault="00AF0DB4" w:rsidP="00A73F43">
                <w:pPr>
                  <w:pStyle w:val="Normal0"/>
                  <w:jc w:val="right"/>
                  <w:rPr>
                    <w:rFonts w:ascii="Verdana" w:hAnsi="Verdana"/>
                    <w:sz w:val="16"/>
                    <w:szCs w:val="16"/>
                  </w:rPr>
                </w:pPr>
                <w:r>
                  <w:rPr>
                    <w:rFonts w:ascii="Verdana" w:hAnsi="Verdana"/>
                    <w:sz w:val="16"/>
                    <w:szCs w:val="16"/>
                  </w:rPr>
                  <w:t>0</w:t>
                </w:r>
              </w:p>
            </w:tc>
            <w:tc>
              <w:tcPr>
                <w:tcW w:w="1180" w:type="dxa"/>
                <w:tcBorders>
                  <w:left w:val="single" w:sz="4" w:space="0" w:color="auto"/>
                  <w:right w:val="single" w:sz="4" w:space="0" w:color="auto"/>
                </w:tcBorders>
                <w:vAlign w:val="center"/>
              </w:tcPr>
              <w:p w14:paraId="4EC8D122" w14:textId="77777777" w:rsidR="00A73F43" w:rsidRPr="00AF0DB4" w:rsidRDefault="00A73F43" w:rsidP="00A73F43">
                <w:pPr>
                  <w:pStyle w:val="Normal0"/>
                  <w:jc w:val="right"/>
                  <w:rPr>
                    <w:rFonts w:ascii="Verdana" w:hAnsi="Verdana"/>
                    <w:sz w:val="16"/>
                    <w:szCs w:val="16"/>
                  </w:rPr>
                </w:pPr>
              </w:p>
            </w:tc>
          </w:tr>
          <w:tr w:rsidR="00A73F43" w:rsidRPr="00AF0DB4" w14:paraId="69F31D30" w14:textId="77777777" w:rsidTr="00D91109">
            <w:trPr>
              <w:trHeight w:val="203"/>
              <w:jc w:val="center"/>
            </w:trPr>
            <w:tc>
              <w:tcPr>
                <w:tcW w:w="1139" w:type="dxa"/>
                <w:tcBorders>
                  <w:top w:val="nil"/>
                  <w:left w:val="single" w:sz="4" w:space="0" w:color="auto"/>
                  <w:bottom w:val="single" w:sz="4" w:space="0" w:color="auto"/>
                  <w:right w:val="single" w:sz="4" w:space="0" w:color="auto"/>
                </w:tcBorders>
                <w:vAlign w:val="center"/>
              </w:tcPr>
              <w:p w14:paraId="2A35CD2D" w14:textId="77777777" w:rsidR="00A73F43" w:rsidRPr="00AF0DB4" w:rsidRDefault="00A73F43" w:rsidP="00A73F43">
                <w:pPr>
                  <w:pStyle w:val="Normal0"/>
                  <w:jc w:val="right"/>
                  <w:rPr>
                    <w:rFonts w:ascii="Verdana" w:hAnsi="Verdana"/>
                    <w:sz w:val="16"/>
                    <w:szCs w:val="16"/>
                  </w:rPr>
                </w:pPr>
                <w:r w:rsidRPr="00AF0DB4">
                  <w:rPr>
                    <w:rFonts w:ascii="Verdana" w:hAnsi="Verdana"/>
                    <w:sz w:val="16"/>
                    <w:szCs w:val="16"/>
                  </w:rPr>
                  <w:t>117</w:t>
                </w:r>
              </w:p>
            </w:tc>
            <w:tc>
              <w:tcPr>
                <w:tcW w:w="1129" w:type="dxa"/>
                <w:tcBorders>
                  <w:top w:val="nil"/>
                  <w:left w:val="single" w:sz="4" w:space="0" w:color="auto"/>
                  <w:bottom w:val="single" w:sz="4" w:space="0" w:color="auto"/>
                  <w:right w:val="single" w:sz="4" w:space="0" w:color="auto"/>
                </w:tcBorders>
                <w:vAlign w:val="center"/>
              </w:tcPr>
              <w:p w14:paraId="6D0D10E2" w14:textId="77777777" w:rsidR="00A73F43" w:rsidRPr="00AF0DB4" w:rsidRDefault="00A73F43" w:rsidP="00A73F43">
                <w:pPr>
                  <w:pStyle w:val="Normal0"/>
                  <w:jc w:val="right"/>
                  <w:rPr>
                    <w:rFonts w:ascii="Verdana" w:hAnsi="Verdana"/>
                    <w:sz w:val="16"/>
                    <w:szCs w:val="16"/>
                  </w:rPr>
                </w:pPr>
              </w:p>
            </w:tc>
            <w:tc>
              <w:tcPr>
                <w:tcW w:w="4177" w:type="dxa"/>
                <w:tcBorders>
                  <w:top w:val="nil"/>
                  <w:left w:val="single" w:sz="4" w:space="0" w:color="auto"/>
                  <w:bottom w:val="nil"/>
                  <w:right w:val="single" w:sz="4" w:space="0" w:color="auto"/>
                </w:tcBorders>
                <w:shd w:val="clear" w:color="auto" w:fill="auto"/>
                <w:vAlign w:val="center"/>
              </w:tcPr>
              <w:p w14:paraId="294DB0A1" w14:textId="77777777" w:rsidR="00A73F43" w:rsidRPr="00AF0DB4" w:rsidRDefault="00A73F43" w:rsidP="00A73F43">
                <w:pPr>
                  <w:pStyle w:val="Normal0"/>
                  <w:rPr>
                    <w:rFonts w:ascii="Verdana" w:eastAsia="Times New Roman" w:hAnsi="Verdana"/>
                    <w:sz w:val="16"/>
                    <w:szCs w:val="16"/>
                    <w:lang w:val="en-GB" w:eastAsia="en-GB"/>
                  </w:rPr>
                </w:pPr>
                <w:r w:rsidRPr="00AF0DB4">
                  <w:rPr>
                    <w:rFonts w:ascii="Verdana" w:eastAsia="Times New Roman" w:hAnsi="Verdana"/>
                    <w:sz w:val="16"/>
                    <w:szCs w:val="16"/>
                    <w:lang w:val="en-GB" w:eastAsia="en-GB"/>
                  </w:rPr>
                  <w:t>Lump Sum Ill-health Benefits</w:t>
                </w:r>
              </w:p>
            </w:tc>
            <w:tc>
              <w:tcPr>
                <w:tcW w:w="1017" w:type="dxa"/>
                <w:tcBorders>
                  <w:left w:val="single" w:sz="4" w:space="0" w:color="auto"/>
                  <w:bottom w:val="single" w:sz="4" w:space="0" w:color="auto"/>
                  <w:right w:val="single" w:sz="4" w:space="0" w:color="auto"/>
                </w:tcBorders>
                <w:vAlign w:val="center"/>
              </w:tcPr>
              <w:p w14:paraId="247DD427" w14:textId="457F1808" w:rsidR="00A73F43" w:rsidRPr="00AF0DB4" w:rsidRDefault="00AF0DB4" w:rsidP="00A73F43">
                <w:pPr>
                  <w:pStyle w:val="Normal0"/>
                  <w:jc w:val="right"/>
                  <w:rPr>
                    <w:rFonts w:ascii="Verdana" w:hAnsi="Verdana"/>
                    <w:sz w:val="16"/>
                    <w:szCs w:val="16"/>
                  </w:rPr>
                </w:pPr>
                <w:r>
                  <w:rPr>
                    <w:rFonts w:ascii="Verdana" w:hAnsi="Verdana"/>
                    <w:sz w:val="16"/>
                    <w:szCs w:val="16"/>
                  </w:rPr>
                  <w:t>595</w:t>
                </w:r>
              </w:p>
            </w:tc>
            <w:tc>
              <w:tcPr>
                <w:tcW w:w="1180" w:type="dxa"/>
                <w:tcBorders>
                  <w:left w:val="single" w:sz="4" w:space="0" w:color="auto"/>
                  <w:bottom w:val="single" w:sz="4" w:space="0" w:color="auto"/>
                  <w:right w:val="single" w:sz="4" w:space="0" w:color="auto"/>
                </w:tcBorders>
                <w:vAlign w:val="center"/>
              </w:tcPr>
              <w:p w14:paraId="0A409079" w14:textId="77777777" w:rsidR="00A73F43" w:rsidRPr="00AF0DB4" w:rsidRDefault="00A73F43" w:rsidP="00A73F43">
                <w:pPr>
                  <w:pStyle w:val="Normal0"/>
                  <w:jc w:val="right"/>
                  <w:rPr>
                    <w:rFonts w:ascii="Verdana" w:hAnsi="Verdana"/>
                    <w:sz w:val="16"/>
                    <w:szCs w:val="16"/>
                  </w:rPr>
                </w:pPr>
              </w:p>
            </w:tc>
          </w:tr>
          <w:tr w:rsidR="00A73F43" w:rsidRPr="00AF0DB4" w14:paraId="16BC5A90" w14:textId="77777777" w:rsidTr="00D91109">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14:paraId="2EB3B339" w14:textId="77777777" w:rsidR="00A73F43" w:rsidRPr="00AF0DB4" w:rsidRDefault="00A73F43" w:rsidP="00A73F43">
                <w:pPr>
                  <w:pStyle w:val="Normal0"/>
                  <w:jc w:val="right"/>
                  <w:rPr>
                    <w:rFonts w:ascii="Verdana" w:hAnsi="Verdana"/>
                    <w:sz w:val="16"/>
                    <w:szCs w:val="16"/>
                  </w:rPr>
                </w:pPr>
              </w:p>
            </w:tc>
            <w:tc>
              <w:tcPr>
                <w:tcW w:w="1129" w:type="dxa"/>
                <w:tcBorders>
                  <w:top w:val="single" w:sz="4" w:space="0" w:color="auto"/>
                  <w:left w:val="single" w:sz="4" w:space="0" w:color="auto"/>
                  <w:bottom w:val="single" w:sz="4" w:space="0" w:color="auto"/>
                  <w:right w:val="single" w:sz="4" w:space="0" w:color="auto"/>
                </w:tcBorders>
                <w:vAlign w:val="center"/>
              </w:tcPr>
              <w:p w14:paraId="3EEF640E" w14:textId="77777777" w:rsidR="00A73F43" w:rsidRPr="00AF0DB4" w:rsidRDefault="00A73F43" w:rsidP="00A73F43">
                <w:pPr>
                  <w:pStyle w:val="Normal0"/>
                  <w:jc w:val="right"/>
                  <w:rPr>
                    <w:rFonts w:ascii="Verdana" w:hAnsi="Verdana"/>
                    <w:b/>
                    <w:bCs/>
                    <w:sz w:val="16"/>
                    <w:szCs w:val="16"/>
                  </w:rPr>
                </w:pPr>
                <w:r w:rsidRPr="00AF0DB4">
                  <w:rPr>
                    <w:rFonts w:ascii="Verdana" w:hAnsi="Verdana"/>
                    <w:b/>
                    <w:bCs/>
                    <w:sz w:val="16"/>
                    <w:szCs w:val="16"/>
                  </w:rPr>
                  <w:t>47,995</w:t>
                </w:r>
              </w:p>
            </w:tc>
            <w:tc>
              <w:tcPr>
                <w:tcW w:w="4177" w:type="dxa"/>
                <w:tcBorders>
                  <w:top w:val="nil"/>
                  <w:left w:val="single" w:sz="4" w:space="0" w:color="auto"/>
                  <w:bottom w:val="single" w:sz="4" w:space="0" w:color="auto"/>
                  <w:right w:val="single" w:sz="4" w:space="0" w:color="auto"/>
                </w:tcBorders>
                <w:shd w:val="clear" w:color="auto" w:fill="auto"/>
                <w:vAlign w:val="center"/>
              </w:tcPr>
              <w:p w14:paraId="00DE3878" w14:textId="77777777" w:rsidR="00A73F43" w:rsidRPr="00AF0DB4" w:rsidRDefault="00A73F43" w:rsidP="00A73F43">
                <w:pPr>
                  <w:pStyle w:val="Normal0"/>
                  <w:rPr>
                    <w:rFonts w:ascii="Verdana" w:eastAsia="Times New Roman" w:hAnsi="Verdana"/>
                    <w:sz w:val="16"/>
                    <w:szCs w:val="16"/>
                    <w:lang w:val="en-GB" w:eastAsia="en-GB"/>
                  </w:rPr>
                </w:pPr>
              </w:p>
            </w:tc>
            <w:tc>
              <w:tcPr>
                <w:tcW w:w="1017" w:type="dxa"/>
                <w:tcBorders>
                  <w:top w:val="single" w:sz="4" w:space="0" w:color="auto"/>
                  <w:left w:val="single" w:sz="4" w:space="0" w:color="auto"/>
                  <w:bottom w:val="single" w:sz="4" w:space="0" w:color="auto"/>
                  <w:right w:val="single" w:sz="4" w:space="0" w:color="auto"/>
                </w:tcBorders>
                <w:vAlign w:val="center"/>
              </w:tcPr>
              <w:p w14:paraId="6828FCBA" w14:textId="77777777" w:rsidR="00A73F43" w:rsidRPr="00AF0DB4" w:rsidRDefault="00A73F43" w:rsidP="00A73F43">
                <w:pPr>
                  <w:pStyle w:val="Normal0"/>
                  <w:jc w:val="right"/>
                  <w:rPr>
                    <w:rFonts w:ascii="Verdana" w:hAnsi="Verdana"/>
                    <w:sz w:val="16"/>
                    <w:szCs w:val="16"/>
                  </w:rPr>
                </w:pPr>
              </w:p>
            </w:tc>
            <w:tc>
              <w:tcPr>
                <w:tcW w:w="1180" w:type="dxa"/>
                <w:tcBorders>
                  <w:top w:val="single" w:sz="4" w:space="0" w:color="auto"/>
                  <w:left w:val="single" w:sz="4" w:space="0" w:color="auto"/>
                  <w:bottom w:val="single" w:sz="4" w:space="0" w:color="auto"/>
                  <w:right w:val="single" w:sz="4" w:space="0" w:color="auto"/>
                </w:tcBorders>
                <w:vAlign w:val="center"/>
              </w:tcPr>
              <w:p w14:paraId="07746110" w14:textId="37C9D6BB" w:rsidR="00A73F43" w:rsidRPr="00AF0DB4" w:rsidRDefault="00AF0DB4" w:rsidP="00A73F43">
                <w:pPr>
                  <w:pStyle w:val="Normal0"/>
                  <w:jc w:val="right"/>
                  <w:rPr>
                    <w:rFonts w:ascii="Verdana" w:hAnsi="Verdana"/>
                    <w:b/>
                    <w:bCs/>
                    <w:sz w:val="16"/>
                    <w:szCs w:val="16"/>
                  </w:rPr>
                </w:pPr>
                <w:r>
                  <w:rPr>
                    <w:rFonts w:ascii="Verdana" w:hAnsi="Verdana"/>
                    <w:b/>
                    <w:bCs/>
                    <w:sz w:val="16"/>
                    <w:szCs w:val="16"/>
                  </w:rPr>
                  <w:t>46,559</w:t>
                </w:r>
              </w:p>
            </w:tc>
          </w:tr>
          <w:tr w:rsidR="00A73F43" w:rsidRPr="00AF0DB4" w14:paraId="1E645E47" w14:textId="77777777" w:rsidTr="00D91109">
            <w:trPr>
              <w:trHeight w:val="326"/>
              <w:jc w:val="center"/>
            </w:trPr>
            <w:tc>
              <w:tcPr>
                <w:tcW w:w="1139" w:type="dxa"/>
                <w:tcBorders>
                  <w:left w:val="single" w:sz="4" w:space="0" w:color="auto"/>
                  <w:bottom w:val="nil"/>
                  <w:right w:val="single" w:sz="4" w:space="0" w:color="auto"/>
                </w:tcBorders>
                <w:vAlign w:val="center"/>
              </w:tcPr>
              <w:p w14:paraId="52EAFF2F" w14:textId="77777777" w:rsidR="00A73F43" w:rsidRPr="00AF0DB4" w:rsidRDefault="00A73F43" w:rsidP="00A73F43">
                <w:pPr>
                  <w:pStyle w:val="Normal0"/>
                  <w:jc w:val="right"/>
                  <w:rPr>
                    <w:rFonts w:ascii="Verdana" w:hAnsi="Verdana"/>
                    <w:b/>
                    <w:bCs/>
                    <w:sz w:val="16"/>
                    <w:szCs w:val="16"/>
                  </w:rPr>
                </w:pPr>
              </w:p>
            </w:tc>
            <w:tc>
              <w:tcPr>
                <w:tcW w:w="1129" w:type="dxa"/>
                <w:tcBorders>
                  <w:left w:val="single" w:sz="4" w:space="0" w:color="auto"/>
                  <w:bottom w:val="nil"/>
                  <w:right w:val="single" w:sz="4" w:space="0" w:color="auto"/>
                </w:tcBorders>
                <w:vAlign w:val="center"/>
              </w:tcPr>
              <w:p w14:paraId="1C4C82BF" w14:textId="77777777" w:rsidR="00A73F43" w:rsidRPr="00AF0DB4" w:rsidRDefault="00A73F43" w:rsidP="00A73F43">
                <w:pPr>
                  <w:pStyle w:val="Normal0"/>
                  <w:jc w:val="right"/>
                  <w:rPr>
                    <w:rFonts w:ascii="Verdana" w:hAnsi="Verdana"/>
                    <w:b/>
                    <w:bCs/>
                    <w:sz w:val="16"/>
                    <w:szCs w:val="16"/>
                  </w:rPr>
                </w:pPr>
              </w:p>
            </w:tc>
            <w:tc>
              <w:tcPr>
                <w:tcW w:w="4177" w:type="dxa"/>
                <w:tcBorders>
                  <w:left w:val="single" w:sz="4" w:space="0" w:color="auto"/>
                  <w:bottom w:val="nil"/>
                  <w:right w:val="single" w:sz="4" w:space="0" w:color="auto"/>
                </w:tcBorders>
                <w:shd w:val="clear" w:color="auto" w:fill="auto"/>
                <w:vAlign w:val="center"/>
              </w:tcPr>
              <w:p w14:paraId="3E40969B" w14:textId="77777777" w:rsidR="00A73F43" w:rsidRPr="00AF0DB4" w:rsidRDefault="00A73F43" w:rsidP="00A73F43">
                <w:pPr>
                  <w:pStyle w:val="Normal0"/>
                  <w:rPr>
                    <w:rFonts w:ascii="Verdana" w:eastAsia="Times New Roman" w:hAnsi="Verdana"/>
                    <w:b/>
                    <w:sz w:val="16"/>
                    <w:szCs w:val="16"/>
                    <w:lang w:val="en-GB" w:eastAsia="en-GB"/>
                  </w:rPr>
                </w:pPr>
                <w:r w:rsidRPr="00AF0DB4">
                  <w:rPr>
                    <w:rFonts w:ascii="Verdana" w:eastAsia="Times New Roman" w:hAnsi="Verdana"/>
                    <w:b/>
                    <w:sz w:val="16"/>
                    <w:szCs w:val="16"/>
                    <w:lang w:val="en-GB" w:eastAsia="en-GB"/>
                  </w:rPr>
                  <w:t>Payments To and On Account of Leavers</w:t>
                </w:r>
              </w:p>
            </w:tc>
            <w:tc>
              <w:tcPr>
                <w:tcW w:w="1017" w:type="dxa"/>
                <w:tcBorders>
                  <w:top w:val="single" w:sz="4" w:space="0" w:color="auto"/>
                  <w:left w:val="single" w:sz="4" w:space="0" w:color="auto"/>
                  <w:right w:val="single" w:sz="4" w:space="0" w:color="auto"/>
                </w:tcBorders>
                <w:vAlign w:val="center"/>
              </w:tcPr>
              <w:p w14:paraId="4EDE7B25" w14:textId="77777777" w:rsidR="00A73F43" w:rsidRPr="00AF0DB4" w:rsidRDefault="00A73F43" w:rsidP="00A73F43">
                <w:pPr>
                  <w:pStyle w:val="Normal0"/>
                  <w:jc w:val="right"/>
                  <w:rPr>
                    <w:rFonts w:ascii="Verdana" w:hAnsi="Verdana"/>
                    <w:b/>
                    <w:bCs/>
                    <w:sz w:val="16"/>
                    <w:szCs w:val="16"/>
                  </w:rPr>
                </w:pPr>
              </w:p>
            </w:tc>
            <w:tc>
              <w:tcPr>
                <w:tcW w:w="1180" w:type="dxa"/>
                <w:tcBorders>
                  <w:top w:val="single" w:sz="4" w:space="0" w:color="auto"/>
                  <w:left w:val="single" w:sz="4" w:space="0" w:color="auto"/>
                  <w:right w:val="single" w:sz="4" w:space="0" w:color="auto"/>
                </w:tcBorders>
                <w:vAlign w:val="center"/>
              </w:tcPr>
              <w:p w14:paraId="4827152E" w14:textId="77777777" w:rsidR="00A73F43" w:rsidRPr="00AF0DB4" w:rsidRDefault="00A73F43" w:rsidP="00A73F43">
                <w:pPr>
                  <w:pStyle w:val="Normal0"/>
                  <w:jc w:val="right"/>
                  <w:rPr>
                    <w:rFonts w:ascii="Verdana" w:hAnsi="Verdana"/>
                    <w:b/>
                    <w:bCs/>
                    <w:sz w:val="16"/>
                    <w:szCs w:val="16"/>
                  </w:rPr>
                </w:pPr>
              </w:p>
            </w:tc>
          </w:tr>
          <w:tr w:rsidR="00A73F43" w:rsidRPr="00AF0DB4" w14:paraId="0528EA22" w14:textId="77777777" w:rsidTr="00D91109">
            <w:trPr>
              <w:trHeight w:val="203"/>
              <w:jc w:val="center"/>
            </w:trPr>
            <w:tc>
              <w:tcPr>
                <w:tcW w:w="1139" w:type="dxa"/>
                <w:tcBorders>
                  <w:top w:val="nil"/>
                  <w:left w:val="single" w:sz="4" w:space="0" w:color="auto"/>
                  <w:bottom w:val="nil"/>
                  <w:right w:val="single" w:sz="4" w:space="0" w:color="auto"/>
                </w:tcBorders>
                <w:vAlign w:val="center"/>
              </w:tcPr>
              <w:p w14:paraId="0B819819" w14:textId="77777777" w:rsidR="00A73F43" w:rsidRPr="00AF0DB4" w:rsidRDefault="00A73F43" w:rsidP="00A73F43">
                <w:pPr>
                  <w:pStyle w:val="Normal0"/>
                  <w:jc w:val="right"/>
                  <w:rPr>
                    <w:rFonts w:ascii="Verdana" w:hAnsi="Verdana"/>
                    <w:sz w:val="16"/>
                    <w:szCs w:val="16"/>
                  </w:rPr>
                </w:pPr>
                <w:r w:rsidRPr="00AF0DB4">
                  <w:rPr>
                    <w:rFonts w:ascii="Verdana" w:hAnsi="Verdana"/>
                    <w:sz w:val="16"/>
                    <w:szCs w:val="16"/>
                  </w:rPr>
                  <w:t>49</w:t>
                </w:r>
              </w:p>
            </w:tc>
            <w:tc>
              <w:tcPr>
                <w:tcW w:w="1129" w:type="dxa"/>
                <w:tcBorders>
                  <w:top w:val="nil"/>
                  <w:left w:val="single" w:sz="4" w:space="0" w:color="auto"/>
                  <w:bottom w:val="nil"/>
                  <w:right w:val="single" w:sz="4" w:space="0" w:color="auto"/>
                </w:tcBorders>
                <w:vAlign w:val="center"/>
              </w:tcPr>
              <w:p w14:paraId="05B4A372" w14:textId="77777777" w:rsidR="00A73F43" w:rsidRPr="00AF0DB4" w:rsidRDefault="00A73F43" w:rsidP="00A73F43">
                <w:pPr>
                  <w:pStyle w:val="Normal0"/>
                  <w:jc w:val="right"/>
                  <w:rPr>
                    <w:rFonts w:ascii="Verdana" w:hAnsi="Verdana"/>
                    <w:sz w:val="16"/>
                    <w:szCs w:val="16"/>
                  </w:rPr>
                </w:pPr>
              </w:p>
            </w:tc>
            <w:tc>
              <w:tcPr>
                <w:tcW w:w="4177" w:type="dxa"/>
                <w:tcBorders>
                  <w:top w:val="nil"/>
                  <w:left w:val="single" w:sz="4" w:space="0" w:color="auto"/>
                  <w:bottom w:val="nil"/>
                  <w:right w:val="single" w:sz="4" w:space="0" w:color="auto"/>
                </w:tcBorders>
                <w:shd w:val="clear" w:color="auto" w:fill="auto"/>
                <w:vAlign w:val="center"/>
              </w:tcPr>
              <w:p w14:paraId="7DEEEDE7" w14:textId="77777777" w:rsidR="00A73F43" w:rsidRPr="00AF0DB4" w:rsidRDefault="00A73F43" w:rsidP="00A73F43">
                <w:pPr>
                  <w:pStyle w:val="Normal0"/>
                  <w:rPr>
                    <w:rFonts w:ascii="Verdana" w:eastAsia="Times New Roman" w:hAnsi="Verdana"/>
                    <w:sz w:val="16"/>
                    <w:szCs w:val="16"/>
                    <w:lang w:val="en-GB" w:eastAsia="en-GB"/>
                  </w:rPr>
                </w:pPr>
                <w:r w:rsidRPr="00AF0DB4">
                  <w:rPr>
                    <w:rFonts w:ascii="Verdana" w:eastAsia="Times New Roman" w:hAnsi="Verdana"/>
                    <w:sz w:val="16"/>
                    <w:szCs w:val="16"/>
                    <w:lang w:val="en-GB" w:eastAsia="en-GB"/>
                  </w:rPr>
                  <w:t>Refund of Contributions</w:t>
                </w:r>
              </w:p>
            </w:tc>
            <w:tc>
              <w:tcPr>
                <w:tcW w:w="1017" w:type="dxa"/>
                <w:tcBorders>
                  <w:left w:val="single" w:sz="4" w:space="0" w:color="auto"/>
                  <w:right w:val="single" w:sz="4" w:space="0" w:color="auto"/>
                </w:tcBorders>
                <w:vAlign w:val="center"/>
              </w:tcPr>
              <w:p w14:paraId="5229BE8A" w14:textId="553F8605" w:rsidR="00A73F43" w:rsidRPr="00AF0DB4" w:rsidRDefault="00AF0DB4" w:rsidP="00A73F43">
                <w:pPr>
                  <w:pStyle w:val="Normal0"/>
                  <w:jc w:val="right"/>
                  <w:rPr>
                    <w:rFonts w:ascii="Verdana" w:hAnsi="Verdana"/>
                    <w:sz w:val="16"/>
                    <w:szCs w:val="16"/>
                  </w:rPr>
                </w:pPr>
                <w:r>
                  <w:rPr>
                    <w:rFonts w:ascii="Verdana" w:hAnsi="Verdana"/>
                    <w:sz w:val="16"/>
                    <w:szCs w:val="16"/>
                  </w:rPr>
                  <w:t>42</w:t>
                </w:r>
              </w:p>
            </w:tc>
            <w:tc>
              <w:tcPr>
                <w:tcW w:w="1180" w:type="dxa"/>
                <w:tcBorders>
                  <w:left w:val="single" w:sz="4" w:space="0" w:color="auto"/>
                  <w:right w:val="single" w:sz="4" w:space="0" w:color="auto"/>
                </w:tcBorders>
                <w:vAlign w:val="center"/>
              </w:tcPr>
              <w:p w14:paraId="267F8548" w14:textId="77777777" w:rsidR="00A73F43" w:rsidRPr="00AF0DB4" w:rsidRDefault="00A73F43" w:rsidP="00A73F43">
                <w:pPr>
                  <w:pStyle w:val="Normal0"/>
                  <w:jc w:val="right"/>
                  <w:rPr>
                    <w:rFonts w:ascii="Verdana" w:hAnsi="Verdana"/>
                    <w:sz w:val="16"/>
                    <w:szCs w:val="16"/>
                  </w:rPr>
                </w:pPr>
              </w:p>
            </w:tc>
          </w:tr>
          <w:tr w:rsidR="00A73F43" w:rsidRPr="00AF0DB4" w14:paraId="27E59884" w14:textId="77777777" w:rsidTr="00D91109">
            <w:trPr>
              <w:trHeight w:val="203"/>
              <w:jc w:val="center"/>
            </w:trPr>
            <w:tc>
              <w:tcPr>
                <w:tcW w:w="1139" w:type="dxa"/>
                <w:tcBorders>
                  <w:top w:val="nil"/>
                  <w:left w:val="single" w:sz="4" w:space="0" w:color="auto"/>
                  <w:bottom w:val="single" w:sz="4" w:space="0" w:color="auto"/>
                  <w:right w:val="single" w:sz="4" w:space="0" w:color="auto"/>
                </w:tcBorders>
                <w:vAlign w:val="center"/>
              </w:tcPr>
              <w:p w14:paraId="0DAADF10" w14:textId="77777777" w:rsidR="00A73F43" w:rsidRPr="00AF0DB4" w:rsidRDefault="00A73F43" w:rsidP="00A73F43">
                <w:pPr>
                  <w:pStyle w:val="Normal0"/>
                  <w:jc w:val="right"/>
                  <w:rPr>
                    <w:rFonts w:ascii="Verdana" w:hAnsi="Verdana"/>
                    <w:sz w:val="16"/>
                    <w:szCs w:val="16"/>
                  </w:rPr>
                </w:pPr>
                <w:r w:rsidRPr="00AF0DB4">
                  <w:rPr>
                    <w:rFonts w:ascii="Verdana" w:hAnsi="Verdana"/>
                    <w:sz w:val="16"/>
                    <w:szCs w:val="16"/>
                  </w:rPr>
                  <w:t>0</w:t>
                </w:r>
              </w:p>
            </w:tc>
            <w:tc>
              <w:tcPr>
                <w:tcW w:w="1129" w:type="dxa"/>
                <w:tcBorders>
                  <w:top w:val="nil"/>
                  <w:left w:val="single" w:sz="4" w:space="0" w:color="auto"/>
                  <w:bottom w:val="single" w:sz="4" w:space="0" w:color="auto"/>
                  <w:right w:val="single" w:sz="4" w:space="0" w:color="auto"/>
                </w:tcBorders>
                <w:vAlign w:val="center"/>
              </w:tcPr>
              <w:p w14:paraId="6F3C31F1" w14:textId="77777777" w:rsidR="00A73F43" w:rsidRPr="00AF0DB4" w:rsidRDefault="00A73F43" w:rsidP="00A73F43">
                <w:pPr>
                  <w:pStyle w:val="Normal0"/>
                  <w:jc w:val="right"/>
                  <w:rPr>
                    <w:rFonts w:ascii="Verdana" w:hAnsi="Verdana"/>
                    <w:sz w:val="16"/>
                    <w:szCs w:val="16"/>
                  </w:rPr>
                </w:pPr>
              </w:p>
            </w:tc>
            <w:tc>
              <w:tcPr>
                <w:tcW w:w="4177" w:type="dxa"/>
                <w:tcBorders>
                  <w:top w:val="nil"/>
                  <w:left w:val="single" w:sz="4" w:space="0" w:color="auto"/>
                  <w:bottom w:val="nil"/>
                  <w:right w:val="single" w:sz="4" w:space="0" w:color="auto"/>
                </w:tcBorders>
                <w:shd w:val="clear" w:color="auto" w:fill="auto"/>
                <w:vAlign w:val="center"/>
              </w:tcPr>
              <w:p w14:paraId="7354CF2D" w14:textId="77777777" w:rsidR="00A73F43" w:rsidRPr="00AF0DB4" w:rsidRDefault="00A73F43" w:rsidP="00A73F43">
                <w:pPr>
                  <w:pStyle w:val="Normal0"/>
                  <w:rPr>
                    <w:rFonts w:ascii="Verdana" w:eastAsia="Times New Roman" w:hAnsi="Verdana"/>
                    <w:sz w:val="16"/>
                    <w:szCs w:val="16"/>
                    <w:lang w:val="en-GB" w:eastAsia="en-GB"/>
                  </w:rPr>
                </w:pPr>
                <w:r w:rsidRPr="00AF0DB4">
                  <w:rPr>
                    <w:rFonts w:ascii="Verdana" w:eastAsia="Times New Roman" w:hAnsi="Verdana"/>
                    <w:sz w:val="16"/>
                    <w:szCs w:val="16"/>
                    <w:lang w:val="en-GB" w:eastAsia="en-GB"/>
                  </w:rPr>
                  <w:t>Individual Transfers Out To Other Schemes</w:t>
                </w:r>
              </w:p>
            </w:tc>
            <w:tc>
              <w:tcPr>
                <w:tcW w:w="1017" w:type="dxa"/>
                <w:tcBorders>
                  <w:left w:val="single" w:sz="4" w:space="0" w:color="auto"/>
                  <w:bottom w:val="single" w:sz="4" w:space="0" w:color="auto"/>
                  <w:right w:val="single" w:sz="4" w:space="0" w:color="auto"/>
                </w:tcBorders>
                <w:vAlign w:val="center"/>
              </w:tcPr>
              <w:p w14:paraId="179CEF74" w14:textId="01054F9A" w:rsidR="00A73F43" w:rsidRPr="00AF0DB4" w:rsidRDefault="00AF0DB4" w:rsidP="00A73F43">
                <w:pPr>
                  <w:pStyle w:val="Normal0"/>
                  <w:jc w:val="right"/>
                  <w:rPr>
                    <w:rFonts w:ascii="Verdana" w:hAnsi="Verdana"/>
                    <w:sz w:val="16"/>
                    <w:szCs w:val="16"/>
                  </w:rPr>
                </w:pPr>
                <w:r>
                  <w:rPr>
                    <w:rFonts w:ascii="Verdana" w:hAnsi="Verdana"/>
                    <w:sz w:val="16"/>
                    <w:szCs w:val="16"/>
                  </w:rPr>
                  <w:t>150</w:t>
                </w:r>
              </w:p>
            </w:tc>
            <w:tc>
              <w:tcPr>
                <w:tcW w:w="1180" w:type="dxa"/>
                <w:tcBorders>
                  <w:left w:val="single" w:sz="4" w:space="0" w:color="auto"/>
                  <w:bottom w:val="single" w:sz="4" w:space="0" w:color="auto"/>
                  <w:right w:val="single" w:sz="4" w:space="0" w:color="auto"/>
                </w:tcBorders>
                <w:vAlign w:val="center"/>
              </w:tcPr>
              <w:p w14:paraId="7A9B0396" w14:textId="77777777" w:rsidR="00A73F43" w:rsidRPr="00AF0DB4" w:rsidRDefault="00A73F43" w:rsidP="00A73F43">
                <w:pPr>
                  <w:pStyle w:val="Normal0"/>
                  <w:jc w:val="right"/>
                  <w:rPr>
                    <w:rFonts w:ascii="Verdana" w:hAnsi="Verdana"/>
                    <w:sz w:val="16"/>
                    <w:szCs w:val="16"/>
                  </w:rPr>
                </w:pPr>
              </w:p>
            </w:tc>
          </w:tr>
          <w:tr w:rsidR="00A73F43" w:rsidRPr="00AF0DB4" w14:paraId="7245B67E" w14:textId="77777777" w:rsidTr="00D91109">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14:paraId="2E18BFB8" w14:textId="77777777" w:rsidR="00A73F43" w:rsidRPr="00AF0DB4" w:rsidRDefault="00A73F43" w:rsidP="00A73F43">
                <w:pPr>
                  <w:pStyle w:val="Normal0"/>
                  <w:jc w:val="right"/>
                  <w:rPr>
                    <w:rFonts w:ascii="Verdana" w:hAnsi="Verdana"/>
                    <w:sz w:val="16"/>
                    <w:szCs w:val="16"/>
                  </w:rPr>
                </w:pPr>
              </w:p>
            </w:tc>
            <w:tc>
              <w:tcPr>
                <w:tcW w:w="1129" w:type="dxa"/>
                <w:tcBorders>
                  <w:top w:val="single" w:sz="4" w:space="0" w:color="auto"/>
                  <w:left w:val="single" w:sz="4" w:space="0" w:color="auto"/>
                  <w:bottom w:val="single" w:sz="4" w:space="0" w:color="auto"/>
                  <w:right w:val="single" w:sz="4" w:space="0" w:color="auto"/>
                </w:tcBorders>
                <w:vAlign w:val="center"/>
              </w:tcPr>
              <w:p w14:paraId="067FBF6D" w14:textId="77777777" w:rsidR="00A73F43" w:rsidRPr="00AF0DB4" w:rsidRDefault="00A73F43" w:rsidP="00A73F43">
                <w:pPr>
                  <w:pStyle w:val="Normal0"/>
                  <w:jc w:val="right"/>
                  <w:rPr>
                    <w:rFonts w:ascii="Verdana" w:hAnsi="Verdana"/>
                    <w:b/>
                    <w:bCs/>
                    <w:sz w:val="16"/>
                    <w:szCs w:val="16"/>
                  </w:rPr>
                </w:pPr>
                <w:r w:rsidRPr="00AF0DB4">
                  <w:rPr>
                    <w:rFonts w:ascii="Verdana" w:hAnsi="Verdana"/>
                    <w:b/>
                    <w:bCs/>
                    <w:sz w:val="16"/>
                    <w:szCs w:val="16"/>
                  </w:rPr>
                  <w:t>49</w:t>
                </w:r>
              </w:p>
            </w:tc>
            <w:tc>
              <w:tcPr>
                <w:tcW w:w="4177" w:type="dxa"/>
                <w:tcBorders>
                  <w:top w:val="nil"/>
                  <w:left w:val="single" w:sz="4" w:space="0" w:color="auto"/>
                  <w:bottom w:val="single" w:sz="4" w:space="0" w:color="auto"/>
                  <w:right w:val="single" w:sz="4" w:space="0" w:color="auto"/>
                </w:tcBorders>
                <w:shd w:val="clear" w:color="auto" w:fill="auto"/>
                <w:vAlign w:val="center"/>
              </w:tcPr>
              <w:p w14:paraId="6DDF7A4F" w14:textId="77777777" w:rsidR="00A73F43" w:rsidRPr="00AF0DB4" w:rsidRDefault="00A73F43" w:rsidP="00A73F43">
                <w:pPr>
                  <w:pStyle w:val="Normal0"/>
                  <w:rPr>
                    <w:rFonts w:ascii="Verdana" w:eastAsia="Times New Roman" w:hAnsi="Verdana"/>
                    <w:sz w:val="16"/>
                    <w:szCs w:val="16"/>
                    <w:lang w:val="en-GB" w:eastAsia="en-GB"/>
                  </w:rPr>
                </w:pPr>
              </w:p>
            </w:tc>
            <w:tc>
              <w:tcPr>
                <w:tcW w:w="1017" w:type="dxa"/>
                <w:tcBorders>
                  <w:top w:val="single" w:sz="4" w:space="0" w:color="auto"/>
                  <w:left w:val="single" w:sz="4" w:space="0" w:color="auto"/>
                  <w:bottom w:val="single" w:sz="4" w:space="0" w:color="auto"/>
                  <w:right w:val="single" w:sz="4" w:space="0" w:color="auto"/>
                </w:tcBorders>
                <w:vAlign w:val="center"/>
              </w:tcPr>
              <w:p w14:paraId="31640E01" w14:textId="77777777" w:rsidR="00A73F43" w:rsidRPr="00AF0DB4" w:rsidRDefault="00A73F43" w:rsidP="00A73F43">
                <w:pPr>
                  <w:pStyle w:val="Normal0"/>
                  <w:jc w:val="right"/>
                  <w:rPr>
                    <w:rFonts w:ascii="Verdana" w:hAnsi="Verdana"/>
                    <w:sz w:val="16"/>
                    <w:szCs w:val="16"/>
                  </w:rPr>
                </w:pPr>
              </w:p>
            </w:tc>
            <w:tc>
              <w:tcPr>
                <w:tcW w:w="1180" w:type="dxa"/>
                <w:tcBorders>
                  <w:top w:val="single" w:sz="4" w:space="0" w:color="auto"/>
                  <w:left w:val="single" w:sz="4" w:space="0" w:color="auto"/>
                  <w:bottom w:val="single" w:sz="4" w:space="0" w:color="auto"/>
                  <w:right w:val="single" w:sz="4" w:space="0" w:color="auto"/>
                </w:tcBorders>
                <w:vAlign w:val="center"/>
              </w:tcPr>
              <w:p w14:paraId="667A0604" w14:textId="43CB7BFF" w:rsidR="00A73F43" w:rsidRPr="00AF0DB4" w:rsidRDefault="00AF0DB4" w:rsidP="00A73F43">
                <w:pPr>
                  <w:pStyle w:val="Normal0"/>
                  <w:jc w:val="right"/>
                  <w:rPr>
                    <w:rFonts w:ascii="Verdana" w:hAnsi="Verdana"/>
                    <w:b/>
                    <w:bCs/>
                    <w:sz w:val="16"/>
                    <w:szCs w:val="16"/>
                  </w:rPr>
                </w:pPr>
                <w:r>
                  <w:rPr>
                    <w:rFonts w:ascii="Verdana" w:hAnsi="Verdana"/>
                    <w:b/>
                    <w:bCs/>
                    <w:sz w:val="16"/>
                    <w:szCs w:val="16"/>
                  </w:rPr>
                  <w:t>192</w:t>
                </w:r>
              </w:p>
            </w:tc>
          </w:tr>
          <w:tr w:rsidR="00A73F43" w:rsidRPr="00AF0DB4" w14:paraId="11814BDB" w14:textId="77777777" w:rsidTr="00D91109">
            <w:trPr>
              <w:trHeight w:val="203"/>
              <w:jc w:val="center"/>
            </w:trPr>
            <w:tc>
              <w:tcPr>
                <w:tcW w:w="1139" w:type="dxa"/>
                <w:tcBorders>
                  <w:top w:val="single" w:sz="4" w:space="0" w:color="auto"/>
                  <w:left w:val="single" w:sz="4" w:space="0" w:color="auto"/>
                  <w:bottom w:val="single" w:sz="4" w:space="0" w:color="auto"/>
                  <w:right w:val="single" w:sz="4" w:space="0" w:color="auto"/>
                </w:tcBorders>
                <w:shd w:val="clear" w:color="auto" w:fill="FFFFCC"/>
                <w:vAlign w:val="center"/>
              </w:tcPr>
              <w:p w14:paraId="77770751" w14:textId="77777777" w:rsidR="00A73F43" w:rsidRPr="00AF0DB4" w:rsidRDefault="00A73F43" w:rsidP="00A73F43">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FFFFCC"/>
                <w:vAlign w:val="center"/>
              </w:tcPr>
              <w:p w14:paraId="2C609EE5" w14:textId="77777777" w:rsidR="00A73F43" w:rsidRPr="00AF0DB4" w:rsidRDefault="00A73F43" w:rsidP="00A73F43">
                <w:pPr>
                  <w:pStyle w:val="Normal0"/>
                  <w:jc w:val="right"/>
                  <w:rPr>
                    <w:rFonts w:ascii="Verdana" w:hAnsi="Verdana"/>
                    <w:b/>
                    <w:bCs/>
                    <w:sz w:val="16"/>
                    <w:szCs w:val="16"/>
                  </w:rPr>
                </w:pPr>
                <w:r w:rsidRPr="00AF0DB4">
                  <w:rPr>
                    <w:rFonts w:ascii="Verdana" w:hAnsi="Verdana"/>
                    <w:b/>
                    <w:bCs/>
                    <w:sz w:val="16"/>
                    <w:szCs w:val="16"/>
                  </w:rPr>
                  <w:t>48,044</w:t>
                </w:r>
              </w:p>
            </w:tc>
            <w:tc>
              <w:tcPr>
                <w:tcW w:w="4177" w:type="dxa"/>
                <w:tcBorders>
                  <w:top w:val="single" w:sz="4" w:space="0" w:color="auto"/>
                  <w:left w:val="single" w:sz="4" w:space="0" w:color="auto"/>
                  <w:bottom w:val="single" w:sz="4" w:space="0" w:color="auto"/>
                  <w:right w:val="single" w:sz="4" w:space="0" w:color="auto"/>
                </w:tcBorders>
                <w:shd w:val="clear" w:color="auto" w:fill="FFFFCC"/>
                <w:vAlign w:val="center"/>
              </w:tcPr>
              <w:p w14:paraId="11BC8366" w14:textId="77777777" w:rsidR="00A73F43" w:rsidRPr="00AF0DB4" w:rsidRDefault="00A73F43" w:rsidP="00A73F43">
                <w:pPr>
                  <w:pStyle w:val="Normal0"/>
                  <w:rPr>
                    <w:rFonts w:ascii="Verdana" w:eastAsia="Times New Roman" w:hAnsi="Verdana"/>
                    <w:b/>
                    <w:sz w:val="16"/>
                    <w:szCs w:val="16"/>
                    <w:lang w:val="en-GB" w:eastAsia="en-GB"/>
                  </w:rPr>
                </w:pPr>
                <w:r w:rsidRPr="00AF0DB4">
                  <w:rPr>
                    <w:rFonts w:ascii="Verdana" w:eastAsia="Times New Roman" w:hAnsi="Verdana"/>
                    <w:b/>
                    <w:sz w:val="16"/>
                    <w:szCs w:val="16"/>
                    <w:lang w:val="en-GB" w:eastAsia="en-GB"/>
                  </w:rPr>
                  <w:t>Total Outflows</w:t>
                </w:r>
              </w:p>
            </w:tc>
            <w:tc>
              <w:tcPr>
                <w:tcW w:w="1017" w:type="dxa"/>
                <w:tcBorders>
                  <w:top w:val="single" w:sz="4" w:space="0" w:color="auto"/>
                  <w:left w:val="single" w:sz="4" w:space="0" w:color="auto"/>
                  <w:bottom w:val="single" w:sz="4" w:space="0" w:color="auto"/>
                  <w:right w:val="single" w:sz="4" w:space="0" w:color="auto"/>
                </w:tcBorders>
                <w:shd w:val="clear" w:color="auto" w:fill="FFFFCC"/>
                <w:vAlign w:val="center"/>
              </w:tcPr>
              <w:p w14:paraId="0809891E" w14:textId="77777777" w:rsidR="00A73F43" w:rsidRPr="00AF0DB4" w:rsidRDefault="00A73F43" w:rsidP="00A73F43">
                <w:pPr>
                  <w:pStyle w:val="Normal0"/>
                  <w:jc w:val="right"/>
                  <w:rPr>
                    <w:rFonts w:ascii="Verdana" w:hAnsi="Verdana"/>
                    <w:b/>
                    <w:bCs/>
                    <w:sz w:val="16"/>
                    <w:szCs w:val="16"/>
                  </w:rPr>
                </w:pPr>
              </w:p>
            </w:tc>
            <w:tc>
              <w:tcPr>
                <w:tcW w:w="1180" w:type="dxa"/>
                <w:tcBorders>
                  <w:top w:val="single" w:sz="4" w:space="0" w:color="auto"/>
                  <w:left w:val="single" w:sz="4" w:space="0" w:color="auto"/>
                  <w:bottom w:val="single" w:sz="4" w:space="0" w:color="auto"/>
                  <w:right w:val="single" w:sz="4" w:space="0" w:color="auto"/>
                </w:tcBorders>
                <w:shd w:val="clear" w:color="auto" w:fill="FFFFCC"/>
                <w:vAlign w:val="center"/>
              </w:tcPr>
              <w:p w14:paraId="70DE0C0D" w14:textId="7060B030" w:rsidR="00A73F43" w:rsidRPr="00AF0DB4" w:rsidRDefault="00AF0DB4" w:rsidP="00A73F43">
                <w:pPr>
                  <w:pStyle w:val="Normal0"/>
                  <w:jc w:val="right"/>
                  <w:rPr>
                    <w:rFonts w:ascii="Verdana" w:hAnsi="Verdana"/>
                    <w:b/>
                    <w:bCs/>
                    <w:sz w:val="16"/>
                    <w:szCs w:val="16"/>
                  </w:rPr>
                </w:pPr>
                <w:r>
                  <w:rPr>
                    <w:rFonts w:ascii="Verdana" w:hAnsi="Verdana"/>
                    <w:b/>
                    <w:bCs/>
                    <w:sz w:val="16"/>
                    <w:szCs w:val="16"/>
                  </w:rPr>
                  <w:t>46,751</w:t>
                </w:r>
              </w:p>
            </w:tc>
          </w:tr>
          <w:tr w:rsidR="00A73F43" w:rsidRPr="00AF0DB4" w14:paraId="292F0CF2" w14:textId="77777777" w:rsidTr="00D91109">
            <w:trPr>
              <w:trHeight w:val="97"/>
              <w:jc w:val="center"/>
            </w:trPr>
            <w:tc>
              <w:tcPr>
                <w:tcW w:w="1139" w:type="dxa"/>
                <w:tcBorders>
                  <w:top w:val="single" w:sz="4" w:space="0" w:color="auto"/>
                  <w:left w:val="single" w:sz="4" w:space="0" w:color="auto"/>
                  <w:bottom w:val="single" w:sz="4" w:space="0" w:color="auto"/>
                  <w:right w:val="single" w:sz="4" w:space="0" w:color="auto"/>
                </w:tcBorders>
                <w:vAlign w:val="center"/>
              </w:tcPr>
              <w:p w14:paraId="2847D139" w14:textId="77777777" w:rsidR="00A73F43" w:rsidRPr="00AF0DB4" w:rsidRDefault="00A73F43" w:rsidP="00A73F43">
                <w:pPr>
                  <w:pStyle w:val="Normal0"/>
                  <w:jc w:val="right"/>
                  <w:rPr>
                    <w:rFonts w:ascii="Verdana" w:hAnsi="Verdana"/>
                    <w:sz w:val="4"/>
                    <w:szCs w:val="4"/>
                  </w:rPr>
                </w:pPr>
              </w:p>
            </w:tc>
            <w:tc>
              <w:tcPr>
                <w:tcW w:w="1129" w:type="dxa"/>
                <w:tcBorders>
                  <w:top w:val="single" w:sz="4" w:space="0" w:color="auto"/>
                  <w:left w:val="single" w:sz="4" w:space="0" w:color="auto"/>
                  <w:bottom w:val="single" w:sz="4" w:space="0" w:color="auto"/>
                  <w:right w:val="single" w:sz="4" w:space="0" w:color="auto"/>
                </w:tcBorders>
                <w:vAlign w:val="center"/>
              </w:tcPr>
              <w:p w14:paraId="6632482E" w14:textId="77777777" w:rsidR="00A73F43" w:rsidRPr="00AF0DB4" w:rsidRDefault="00A73F43" w:rsidP="00A73F43">
                <w:pPr>
                  <w:pStyle w:val="Normal0"/>
                  <w:jc w:val="right"/>
                  <w:rPr>
                    <w:rFonts w:ascii="Verdana" w:hAnsi="Verdana"/>
                    <w:sz w:val="4"/>
                    <w:szCs w:val="4"/>
                  </w:rPr>
                </w:pP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3207E9B3" w14:textId="77777777" w:rsidR="00A73F43" w:rsidRPr="00AF0DB4" w:rsidRDefault="00A73F43" w:rsidP="00A73F43">
                <w:pPr>
                  <w:pStyle w:val="Normal0"/>
                  <w:rPr>
                    <w:rFonts w:ascii="Verdana" w:eastAsia="Times New Roman" w:hAnsi="Verdana"/>
                    <w:sz w:val="4"/>
                    <w:szCs w:val="4"/>
                    <w:lang w:val="en-GB" w:eastAsia="en-GB"/>
                  </w:rPr>
                </w:pPr>
              </w:p>
            </w:tc>
            <w:tc>
              <w:tcPr>
                <w:tcW w:w="1017" w:type="dxa"/>
                <w:tcBorders>
                  <w:top w:val="single" w:sz="4" w:space="0" w:color="auto"/>
                  <w:left w:val="single" w:sz="4" w:space="0" w:color="auto"/>
                  <w:bottom w:val="single" w:sz="4" w:space="0" w:color="auto"/>
                  <w:right w:val="single" w:sz="4" w:space="0" w:color="auto"/>
                </w:tcBorders>
                <w:vAlign w:val="center"/>
              </w:tcPr>
              <w:p w14:paraId="749D3B76" w14:textId="77777777" w:rsidR="00A73F43" w:rsidRPr="00AF0DB4" w:rsidRDefault="00A73F43" w:rsidP="00A73F43">
                <w:pPr>
                  <w:pStyle w:val="Normal0"/>
                  <w:jc w:val="right"/>
                  <w:rPr>
                    <w:rFonts w:ascii="Verdana" w:hAnsi="Verdana"/>
                    <w:sz w:val="4"/>
                    <w:szCs w:val="4"/>
                  </w:rPr>
                </w:pPr>
              </w:p>
            </w:tc>
            <w:tc>
              <w:tcPr>
                <w:tcW w:w="1180" w:type="dxa"/>
                <w:tcBorders>
                  <w:top w:val="single" w:sz="4" w:space="0" w:color="auto"/>
                  <w:left w:val="single" w:sz="4" w:space="0" w:color="auto"/>
                  <w:bottom w:val="single" w:sz="4" w:space="0" w:color="auto"/>
                  <w:right w:val="single" w:sz="4" w:space="0" w:color="auto"/>
                </w:tcBorders>
                <w:vAlign w:val="center"/>
              </w:tcPr>
              <w:p w14:paraId="4EFF09FD" w14:textId="77777777" w:rsidR="00A73F43" w:rsidRPr="00AF0DB4" w:rsidRDefault="00A73F43" w:rsidP="00A73F43">
                <w:pPr>
                  <w:pStyle w:val="Normal0"/>
                  <w:jc w:val="right"/>
                  <w:rPr>
                    <w:rFonts w:ascii="Verdana" w:hAnsi="Verdana"/>
                    <w:sz w:val="4"/>
                    <w:szCs w:val="4"/>
                  </w:rPr>
                </w:pPr>
              </w:p>
            </w:tc>
          </w:tr>
          <w:tr w:rsidR="00A73F43" w:rsidRPr="00AF0DB4" w14:paraId="60D0EBA5" w14:textId="77777777" w:rsidTr="00D91109">
            <w:trPr>
              <w:trHeight w:val="203"/>
              <w:jc w:val="center"/>
            </w:trPr>
            <w:tc>
              <w:tcPr>
                <w:tcW w:w="1139" w:type="dxa"/>
                <w:tcBorders>
                  <w:top w:val="single" w:sz="4" w:space="0" w:color="auto"/>
                  <w:left w:val="single" w:sz="4" w:space="0" w:color="auto"/>
                  <w:bottom w:val="single" w:sz="4" w:space="0" w:color="auto"/>
                  <w:right w:val="single" w:sz="4" w:space="0" w:color="auto"/>
                </w:tcBorders>
                <w:shd w:val="clear" w:color="auto" w:fill="FFFFCC"/>
                <w:vAlign w:val="center"/>
              </w:tcPr>
              <w:p w14:paraId="0D10782F" w14:textId="77777777" w:rsidR="00A73F43" w:rsidRPr="00AF0DB4" w:rsidRDefault="00A73F43" w:rsidP="00A73F43">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FFFFCC"/>
                <w:vAlign w:val="center"/>
              </w:tcPr>
              <w:p w14:paraId="4BDF5580" w14:textId="77777777" w:rsidR="00A73F43" w:rsidRPr="00AF0DB4" w:rsidRDefault="00A73F43" w:rsidP="00A73F43">
                <w:pPr>
                  <w:pStyle w:val="Normal0"/>
                  <w:jc w:val="right"/>
                  <w:rPr>
                    <w:rFonts w:ascii="Verdana" w:hAnsi="Verdana"/>
                    <w:b/>
                    <w:bCs/>
                    <w:sz w:val="16"/>
                    <w:szCs w:val="16"/>
                  </w:rPr>
                </w:pPr>
                <w:r w:rsidRPr="00AF0DB4">
                  <w:rPr>
                    <w:rFonts w:ascii="Verdana" w:hAnsi="Verdana"/>
                    <w:b/>
                    <w:bCs/>
                    <w:sz w:val="16"/>
                    <w:szCs w:val="16"/>
                  </w:rPr>
                  <w:t>17,378</w:t>
                </w:r>
              </w:p>
            </w:tc>
            <w:tc>
              <w:tcPr>
                <w:tcW w:w="4177" w:type="dxa"/>
                <w:tcBorders>
                  <w:top w:val="single" w:sz="4" w:space="0" w:color="auto"/>
                  <w:left w:val="single" w:sz="4" w:space="0" w:color="auto"/>
                  <w:bottom w:val="single" w:sz="4" w:space="0" w:color="auto"/>
                  <w:right w:val="single" w:sz="4" w:space="0" w:color="auto"/>
                </w:tcBorders>
                <w:shd w:val="clear" w:color="auto" w:fill="FFFFCC"/>
                <w:vAlign w:val="center"/>
              </w:tcPr>
              <w:p w14:paraId="51DFF2B4" w14:textId="77777777" w:rsidR="00A73F43" w:rsidRPr="00AF0DB4" w:rsidRDefault="00A73F43" w:rsidP="00A73F43">
                <w:pPr>
                  <w:pStyle w:val="Normal0"/>
                  <w:rPr>
                    <w:rFonts w:ascii="Verdana" w:eastAsia="Times New Roman" w:hAnsi="Verdana"/>
                    <w:b/>
                    <w:sz w:val="16"/>
                    <w:szCs w:val="16"/>
                    <w:lang w:val="en-GB" w:eastAsia="en-GB"/>
                  </w:rPr>
                </w:pPr>
                <w:r w:rsidRPr="00AF0DB4">
                  <w:rPr>
                    <w:rFonts w:ascii="Verdana" w:eastAsia="Times New Roman" w:hAnsi="Verdana"/>
                    <w:b/>
                    <w:sz w:val="16"/>
                    <w:szCs w:val="16"/>
                    <w:lang w:val="en-GB" w:eastAsia="en-GB"/>
                  </w:rPr>
                  <w:t xml:space="preserve">Net amount payable for the year from the Group (equal to deficit amount) </w:t>
                </w:r>
              </w:p>
            </w:tc>
            <w:tc>
              <w:tcPr>
                <w:tcW w:w="1017" w:type="dxa"/>
                <w:tcBorders>
                  <w:top w:val="single" w:sz="4" w:space="0" w:color="auto"/>
                  <w:left w:val="single" w:sz="4" w:space="0" w:color="auto"/>
                  <w:bottom w:val="single" w:sz="4" w:space="0" w:color="auto"/>
                  <w:right w:val="single" w:sz="4" w:space="0" w:color="auto"/>
                </w:tcBorders>
                <w:shd w:val="clear" w:color="auto" w:fill="FFFFCC"/>
                <w:vAlign w:val="center"/>
              </w:tcPr>
              <w:p w14:paraId="176ED01D" w14:textId="77777777" w:rsidR="00A73F43" w:rsidRPr="00AF0DB4" w:rsidRDefault="00A73F43" w:rsidP="00A73F43">
                <w:pPr>
                  <w:pStyle w:val="Normal0"/>
                  <w:jc w:val="right"/>
                  <w:rPr>
                    <w:rFonts w:ascii="Verdana" w:hAnsi="Verdana"/>
                    <w:b/>
                    <w:bCs/>
                    <w:sz w:val="16"/>
                    <w:szCs w:val="16"/>
                  </w:rPr>
                </w:pPr>
              </w:p>
            </w:tc>
            <w:tc>
              <w:tcPr>
                <w:tcW w:w="1180" w:type="dxa"/>
                <w:tcBorders>
                  <w:top w:val="single" w:sz="4" w:space="0" w:color="auto"/>
                  <w:left w:val="single" w:sz="4" w:space="0" w:color="auto"/>
                  <w:bottom w:val="single" w:sz="4" w:space="0" w:color="auto"/>
                  <w:right w:val="single" w:sz="4" w:space="0" w:color="auto"/>
                </w:tcBorders>
                <w:shd w:val="clear" w:color="auto" w:fill="FFFFCC"/>
                <w:vAlign w:val="center"/>
              </w:tcPr>
              <w:p w14:paraId="1132B185" w14:textId="485422D7" w:rsidR="00A73F43" w:rsidRPr="00AF0DB4" w:rsidRDefault="00AF0DB4" w:rsidP="00A73F43">
                <w:pPr>
                  <w:pStyle w:val="Normal0"/>
                  <w:jc w:val="right"/>
                  <w:rPr>
                    <w:rFonts w:ascii="Verdana" w:hAnsi="Verdana"/>
                    <w:b/>
                    <w:bCs/>
                    <w:sz w:val="16"/>
                    <w:szCs w:val="16"/>
                  </w:rPr>
                </w:pPr>
                <w:r>
                  <w:rPr>
                    <w:rFonts w:ascii="Verdana" w:hAnsi="Verdana"/>
                    <w:b/>
                    <w:bCs/>
                    <w:sz w:val="16"/>
                    <w:szCs w:val="16"/>
                  </w:rPr>
                  <w:t>13,333</w:t>
                </w:r>
              </w:p>
            </w:tc>
          </w:tr>
          <w:tr w:rsidR="00A73F43" w:rsidRPr="00AF0DB4" w14:paraId="044EC396" w14:textId="77777777" w:rsidTr="00D91109">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14:paraId="49ECF8D9" w14:textId="77777777" w:rsidR="00A73F43" w:rsidRPr="00AF0DB4" w:rsidRDefault="00A73F43" w:rsidP="00A73F43">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vAlign w:val="center"/>
              </w:tcPr>
              <w:p w14:paraId="231389DB" w14:textId="77777777" w:rsidR="00A73F43" w:rsidRPr="00AF0DB4" w:rsidRDefault="00A73F43" w:rsidP="00A73F43">
                <w:pPr>
                  <w:pStyle w:val="Normal0"/>
                  <w:jc w:val="right"/>
                  <w:rPr>
                    <w:rFonts w:ascii="Verdana" w:hAnsi="Verdana"/>
                    <w:b/>
                    <w:bCs/>
                    <w:sz w:val="16"/>
                    <w:szCs w:val="16"/>
                  </w:rPr>
                </w:pPr>
                <w:r w:rsidRPr="00AF0DB4">
                  <w:rPr>
                    <w:rFonts w:ascii="Verdana" w:hAnsi="Verdana"/>
                    <w:b/>
                    <w:bCs/>
                    <w:sz w:val="16"/>
                    <w:szCs w:val="16"/>
                  </w:rPr>
                  <w:t>(17,</w:t>
                </w:r>
                <w:r w:rsidRPr="00AF0DB4" w:rsidDel="00D90E0C">
                  <w:rPr>
                    <w:rFonts w:ascii="Verdana" w:hAnsi="Verdana"/>
                    <w:b/>
                    <w:bCs/>
                    <w:sz w:val="16"/>
                    <w:szCs w:val="16"/>
                  </w:rPr>
                  <w:t xml:space="preserve"> </w:t>
                </w:r>
                <w:r w:rsidRPr="00AF0DB4">
                  <w:rPr>
                    <w:rFonts w:ascii="Verdana" w:hAnsi="Verdana"/>
                    <w:b/>
                    <w:bCs/>
                    <w:sz w:val="16"/>
                    <w:szCs w:val="16"/>
                  </w:rPr>
                  <w:t>378)</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3F9C550D" w14:textId="77777777" w:rsidR="00A73F43" w:rsidRPr="00AF0DB4" w:rsidRDefault="00A73F43" w:rsidP="00A73F43">
                <w:pPr>
                  <w:pStyle w:val="Normal0"/>
                  <w:rPr>
                    <w:rFonts w:ascii="Verdana" w:eastAsia="Times New Roman" w:hAnsi="Verdana"/>
                    <w:sz w:val="16"/>
                    <w:szCs w:val="16"/>
                    <w:lang w:val="en-GB" w:eastAsia="en-GB"/>
                  </w:rPr>
                </w:pPr>
                <w:r w:rsidRPr="00AF0DB4">
                  <w:rPr>
                    <w:rFonts w:ascii="Verdana" w:eastAsia="Times New Roman" w:hAnsi="Verdana"/>
                    <w:sz w:val="16"/>
                    <w:szCs w:val="16"/>
                    <w:lang w:val="en-GB" w:eastAsia="en-GB"/>
                  </w:rPr>
                  <w:t>Additional contribution from the Group to fund the deficit for the year *</w:t>
                </w:r>
              </w:p>
            </w:tc>
            <w:tc>
              <w:tcPr>
                <w:tcW w:w="1017" w:type="dxa"/>
                <w:tcBorders>
                  <w:top w:val="single" w:sz="4" w:space="0" w:color="auto"/>
                  <w:left w:val="single" w:sz="4" w:space="0" w:color="auto"/>
                  <w:bottom w:val="single" w:sz="4" w:space="0" w:color="auto"/>
                  <w:right w:val="single" w:sz="4" w:space="0" w:color="auto"/>
                </w:tcBorders>
                <w:vAlign w:val="center"/>
              </w:tcPr>
              <w:p w14:paraId="6B7799EE" w14:textId="77777777" w:rsidR="00A73F43" w:rsidRPr="00AF0DB4" w:rsidRDefault="00A73F43" w:rsidP="00A73F43">
                <w:pPr>
                  <w:pStyle w:val="Normal0"/>
                  <w:jc w:val="right"/>
                  <w:rPr>
                    <w:rFonts w:ascii="Verdana" w:hAnsi="Verdana"/>
                    <w:b/>
                    <w:bCs/>
                    <w:sz w:val="16"/>
                    <w:szCs w:val="16"/>
                  </w:rPr>
                </w:pPr>
              </w:p>
            </w:tc>
            <w:tc>
              <w:tcPr>
                <w:tcW w:w="1180" w:type="dxa"/>
                <w:tcBorders>
                  <w:top w:val="single" w:sz="4" w:space="0" w:color="auto"/>
                  <w:left w:val="single" w:sz="4" w:space="0" w:color="auto"/>
                  <w:bottom w:val="single" w:sz="4" w:space="0" w:color="auto"/>
                  <w:right w:val="single" w:sz="4" w:space="0" w:color="auto"/>
                </w:tcBorders>
                <w:vAlign w:val="center"/>
              </w:tcPr>
              <w:p w14:paraId="665920DE" w14:textId="5EC96041" w:rsidR="00A73F43" w:rsidRPr="00AF0DB4" w:rsidRDefault="00AF0DB4" w:rsidP="00A73F43">
                <w:pPr>
                  <w:pStyle w:val="Normal0"/>
                  <w:jc w:val="right"/>
                  <w:rPr>
                    <w:rFonts w:ascii="Verdana" w:hAnsi="Verdana"/>
                    <w:b/>
                    <w:bCs/>
                    <w:sz w:val="16"/>
                    <w:szCs w:val="16"/>
                  </w:rPr>
                </w:pPr>
                <w:r>
                  <w:rPr>
                    <w:rFonts w:ascii="Verdana" w:hAnsi="Verdana"/>
                    <w:b/>
                    <w:bCs/>
                    <w:sz w:val="16"/>
                    <w:szCs w:val="16"/>
                  </w:rPr>
                  <w:t>(13,333)</w:t>
                </w:r>
              </w:p>
            </w:tc>
          </w:tr>
          <w:tr w:rsidR="00A73F43" w:rsidRPr="00AF0DB4" w14:paraId="5B5FA795" w14:textId="77777777" w:rsidTr="00D91109">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14:paraId="696C134A" w14:textId="77777777" w:rsidR="00A73F43" w:rsidRPr="00AF0DB4" w:rsidRDefault="00A73F43" w:rsidP="00A73F43">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vAlign w:val="center"/>
              </w:tcPr>
              <w:p w14:paraId="722CE009" w14:textId="77777777" w:rsidR="00A73F43" w:rsidRPr="00AF0DB4" w:rsidRDefault="00A73F43" w:rsidP="00A73F43">
                <w:pPr>
                  <w:pStyle w:val="Normal0"/>
                  <w:jc w:val="right"/>
                  <w:rPr>
                    <w:rFonts w:ascii="Verdana" w:hAnsi="Verdana"/>
                    <w:b/>
                    <w:bCs/>
                    <w:sz w:val="16"/>
                    <w:szCs w:val="16"/>
                  </w:rPr>
                </w:pPr>
                <w:r w:rsidRPr="00AF0DB4">
                  <w:rPr>
                    <w:rFonts w:ascii="Verdana" w:hAnsi="Verdana"/>
                    <w:b/>
                    <w:bCs/>
                    <w:sz w:val="16"/>
                    <w:szCs w:val="16"/>
                  </w:rPr>
                  <w:t>0</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3E9BB786" w14:textId="77777777" w:rsidR="00A73F43" w:rsidRPr="00AF0DB4" w:rsidRDefault="00A73F43" w:rsidP="00A73F43">
                <w:pPr>
                  <w:pStyle w:val="Normal0"/>
                  <w:rPr>
                    <w:rFonts w:ascii="Verdana" w:eastAsia="Times New Roman" w:hAnsi="Verdana"/>
                    <w:b/>
                    <w:sz w:val="16"/>
                    <w:szCs w:val="16"/>
                    <w:lang w:val="en-GB" w:eastAsia="en-GB"/>
                  </w:rPr>
                </w:pPr>
                <w:r w:rsidRPr="00AF0DB4">
                  <w:rPr>
                    <w:rFonts w:ascii="Verdana" w:eastAsia="Times New Roman" w:hAnsi="Verdana"/>
                    <w:b/>
                    <w:sz w:val="16"/>
                    <w:szCs w:val="16"/>
                    <w:lang w:val="en-GB" w:eastAsia="en-GB"/>
                  </w:rPr>
                  <w:t>Net Amount Payable for the Year</w:t>
                </w:r>
              </w:p>
            </w:tc>
            <w:tc>
              <w:tcPr>
                <w:tcW w:w="1017" w:type="dxa"/>
                <w:tcBorders>
                  <w:top w:val="single" w:sz="4" w:space="0" w:color="auto"/>
                  <w:left w:val="single" w:sz="4" w:space="0" w:color="auto"/>
                  <w:bottom w:val="single" w:sz="4" w:space="0" w:color="auto"/>
                  <w:right w:val="single" w:sz="4" w:space="0" w:color="auto"/>
                </w:tcBorders>
                <w:vAlign w:val="center"/>
              </w:tcPr>
              <w:p w14:paraId="76DC6C10" w14:textId="77777777" w:rsidR="00A73F43" w:rsidRPr="00AF0DB4" w:rsidRDefault="00A73F43" w:rsidP="00A73F43">
                <w:pPr>
                  <w:pStyle w:val="Normal0"/>
                  <w:jc w:val="right"/>
                  <w:rPr>
                    <w:rFonts w:ascii="Verdana" w:hAnsi="Verdana"/>
                    <w:b/>
                    <w:bCs/>
                    <w:sz w:val="16"/>
                    <w:szCs w:val="16"/>
                  </w:rPr>
                </w:pPr>
              </w:p>
            </w:tc>
            <w:tc>
              <w:tcPr>
                <w:tcW w:w="1180" w:type="dxa"/>
                <w:tcBorders>
                  <w:top w:val="single" w:sz="4" w:space="0" w:color="auto"/>
                  <w:left w:val="single" w:sz="4" w:space="0" w:color="auto"/>
                  <w:bottom w:val="single" w:sz="4" w:space="0" w:color="auto"/>
                  <w:right w:val="single" w:sz="4" w:space="0" w:color="auto"/>
                </w:tcBorders>
                <w:vAlign w:val="center"/>
              </w:tcPr>
              <w:p w14:paraId="012AA098" w14:textId="77777777" w:rsidR="00A73F43" w:rsidRPr="00AF0DB4" w:rsidRDefault="00A73F43" w:rsidP="00A73F43">
                <w:pPr>
                  <w:pStyle w:val="Normal0"/>
                  <w:jc w:val="right"/>
                  <w:rPr>
                    <w:rFonts w:ascii="Verdana" w:hAnsi="Verdana"/>
                    <w:b/>
                    <w:bCs/>
                    <w:sz w:val="16"/>
                    <w:szCs w:val="16"/>
                  </w:rPr>
                </w:pPr>
                <w:r w:rsidRPr="00AF0DB4">
                  <w:rPr>
                    <w:rFonts w:ascii="Verdana" w:hAnsi="Verdana"/>
                    <w:b/>
                    <w:bCs/>
                    <w:sz w:val="16"/>
                    <w:szCs w:val="16"/>
                  </w:rPr>
                  <w:t>0</w:t>
                </w:r>
              </w:p>
            </w:tc>
          </w:tr>
        </w:tbl>
        <w:p w14:paraId="7FACDA17" w14:textId="77777777" w:rsidR="000D6EF8" w:rsidRPr="00AF0DB4" w:rsidRDefault="000D6EF8" w:rsidP="000D6EF8">
          <w:pPr>
            <w:rPr>
              <w:sz w:val="8"/>
              <w:szCs w:val="8"/>
              <w:lang w:val="en-GB" w:eastAsia="en-GB"/>
            </w:rPr>
          </w:pPr>
        </w:p>
        <w:p w14:paraId="25379D4B" w14:textId="77777777" w:rsidR="000D6EF8" w:rsidRPr="00AF0DB4" w:rsidRDefault="000D6EF8" w:rsidP="000D6EF8">
          <w:pPr>
            <w:pStyle w:val="Normal0"/>
            <w:rPr>
              <w:rFonts w:eastAsia="Times New Roman"/>
              <w:sz w:val="22"/>
              <w:szCs w:val="22"/>
              <w:lang w:val="en-GB" w:eastAsia="en-GB"/>
            </w:rPr>
          </w:pPr>
          <w:r w:rsidRPr="00AF0DB4">
            <w:rPr>
              <w:rFonts w:eastAsia="Times New Roman"/>
              <w:sz w:val="22"/>
              <w:szCs w:val="22"/>
              <w:lang w:val="en-GB" w:eastAsia="en-GB"/>
            </w:rPr>
            <w:t>* The annual deficit on the Police Pensions Account is funded by the Home Office Pension’s Top-up grant.  This income is shown in the PCC and Group Income and Expenditure account.</w:t>
          </w:r>
        </w:p>
        <w:p w14:paraId="619A0050" w14:textId="77777777" w:rsidR="000D6EF8" w:rsidRPr="00AF0DB4" w:rsidRDefault="000D6EF8" w:rsidP="000D6EF8">
          <w:pPr>
            <w:pStyle w:val="Normal0"/>
            <w:rPr>
              <w:rFonts w:eastAsia="Times New Roman"/>
              <w:sz w:val="8"/>
              <w:szCs w:val="8"/>
              <w:lang w:val="en-GB" w:eastAsia="en-GB"/>
            </w:rPr>
          </w:pPr>
        </w:p>
        <w:p w14:paraId="7B529A81" w14:textId="77777777" w:rsidR="000D6EF8" w:rsidRPr="00AF0DB4" w:rsidRDefault="000D6EF8" w:rsidP="000D6EF8">
          <w:pPr>
            <w:rPr>
              <w:lang w:val="en-GB" w:eastAsia="en-GB"/>
            </w:rPr>
          </w:pPr>
        </w:p>
        <w:p w14:paraId="2AFE3622" w14:textId="77777777" w:rsidR="000D6EF8" w:rsidRPr="00AF0DB4" w:rsidRDefault="000D6EF8" w:rsidP="009962A0">
          <w:pPr>
            <w:jc w:val="center"/>
            <w:rPr>
              <w:rFonts w:eastAsia="Times New Roman" w:cs="Arial"/>
              <w:b/>
              <w:lang w:val="en-GB" w:eastAsia="en-GB"/>
            </w:rPr>
          </w:pPr>
          <w:r w:rsidRPr="00AF0DB4">
            <w:rPr>
              <w:rFonts w:eastAsia="Times New Roman" w:cs="Arial"/>
              <w:b/>
              <w:lang w:val="en-GB" w:eastAsia="en-GB"/>
            </w:rPr>
            <w:t>Police Pension Fund Net Assets Statement</w:t>
          </w:r>
        </w:p>
        <w:p w14:paraId="756F8626" w14:textId="77777777" w:rsidR="009962A0" w:rsidRPr="00AF0DB4" w:rsidRDefault="009962A0" w:rsidP="009962A0">
          <w:pPr>
            <w:jc w:val="center"/>
            <w:rPr>
              <w:rFonts w:eastAsia="Times New Roman" w:cs="Arial"/>
              <w:b/>
              <w:sz w:val="4"/>
              <w:szCs w:val="4"/>
              <w:lang w:val="en-GB" w:eastAsia="en-GB"/>
            </w:rPr>
          </w:pPr>
        </w:p>
        <w:tbl>
          <w:tblPr>
            <w:tblW w:w="0" w:type="auto"/>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380"/>
            <w:gridCol w:w="3780"/>
            <w:gridCol w:w="1440"/>
          </w:tblGrid>
          <w:tr w:rsidR="009962A0" w:rsidRPr="00AF0DB4" w14:paraId="21DC0242" w14:textId="77777777" w:rsidTr="004E63C1">
            <w:trPr>
              <w:trHeight w:val="284"/>
              <w:jc w:val="center"/>
            </w:trPr>
            <w:tc>
              <w:tcPr>
                <w:tcW w:w="1380" w:type="dxa"/>
                <w:tcBorders>
                  <w:top w:val="single" w:sz="4" w:space="0" w:color="auto"/>
                  <w:left w:val="single" w:sz="4" w:space="0" w:color="auto"/>
                  <w:bottom w:val="single" w:sz="4" w:space="0" w:color="auto"/>
                  <w:right w:val="single" w:sz="4" w:space="0" w:color="auto"/>
                </w:tcBorders>
                <w:vAlign w:val="center"/>
                <w:hideMark/>
              </w:tcPr>
              <w:p w14:paraId="527A4ACD" w14:textId="77777777" w:rsidR="009962A0" w:rsidRPr="00AF0DB4" w:rsidRDefault="009962A0" w:rsidP="003E287C">
                <w:pPr>
                  <w:jc w:val="center"/>
                  <w:rPr>
                    <w:rFonts w:eastAsia="Calibri" w:cs="Arial"/>
                    <w:b/>
                    <w:bCs/>
                    <w:sz w:val="16"/>
                    <w:szCs w:val="16"/>
                    <w:lang w:val="en-GB"/>
                  </w:rPr>
                </w:pPr>
                <w:r w:rsidRPr="00AF0DB4">
                  <w:rPr>
                    <w:rFonts w:eastAsia="Calibri" w:cs="Arial"/>
                    <w:b/>
                    <w:bCs/>
                    <w:sz w:val="16"/>
                    <w:szCs w:val="16"/>
                  </w:rPr>
                  <w:t>201</w:t>
                </w:r>
                <w:r w:rsidR="003E287C" w:rsidRPr="00AF0DB4">
                  <w:rPr>
                    <w:rFonts w:eastAsia="Calibri" w:cs="Arial"/>
                    <w:b/>
                    <w:bCs/>
                    <w:sz w:val="16"/>
                    <w:szCs w:val="16"/>
                  </w:rPr>
                  <w:t>9</w:t>
                </w:r>
                <w:r w:rsidRPr="00AF0DB4">
                  <w:rPr>
                    <w:rFonts w:eastAsia="Calibri" w:cs="Arial"/>
                    <w:b/>
                    <w:bCs/>
                    <w:sz w:val="16"/>
                    <w:szCs w:val="16"/>
                  </w:rPr>
                  <w:t>/</w:t>
                </w:r>
                <w:r w:rsidR="003E287C" w:rsidRPr="00AF0DB4">
                  <w:rPr>
                    <w:rFonts w:eastAsia="Calibri" w:cs="Arial"/>
                    <w:b/>
                    <w:bCs/>
                    <w:sz w:val="16"/>
                    <w:szCs w:val="16"/>
                  </w:rPr>
                  <w:t>20</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8948300" w14:textId="77777777" w:rsidR="009962A0" w:rsidRPr="00AF0DB4" w:rsidRDefault="009962A0" w:rsidP="009962A0">
                <w:pPr>
                  <w:jc w:val="both"/>
                  <w:rPr>
                    <w:rFonts w:eastAsia="Times New Roman" w:cs="Arial"/>
                    <w:b/>
                    <w:sz w:val="16"/>
                    <w:szCs w:val="16"/>
                    <w:lang w:val="en-GB" w:eastAsia="en-GB"/>
                  </w:rPr>
                </w:pPr>
                <w:r w:rsidRPr="00AF0DB4">
                  <w:rPr>
                    <w:rFonts w:eastAsia="Times New Roman" w:cs="Arial"/>
                    <w:b/>
                    <w:sz w:val="16"/>
                    <w:szCs w:val="16"/>
                    <w:lang w:val="en-GB" w:eastAsia="en-GB"/>
                  </w:rPr>
                  <w:t>Net Current Assets And Liabilities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725963" w14:textId="77777777" w:rsidR="009962A0" w:rsidRPr="00AF0DB4" w:rsidRDefault="009962A0" w:rsidP="003E287C">
                <w:pPr>
                  <w:jc w:val="center"/>
                  <w:rPr>
                    <w:rFonts w:eastAsia="Calibri" w:cs="Arial"/>
                    <w:b/>
                    <w:bCs/>
                    <w:sz w:val="16"/>
                    <w:szCs w:val="16"/>
                  </w:rPr>
                </w:pPr>
                <w:r w:rsidRPr="00AF0DB4">
                  <w:rPr>
                    <w:rFonts w:eastAsia="Calibri" w:cs="Arial"/>
                    <w:b/>
                    <w:bCs/>
                    <w:sz w:val="16"/>
                    <w:szCs w:val="16"/>
                  </w:rPr>
                  <w:t>20</w:t>
                </w:r>
                <w:r w:rsidR="003E287C" w:rsidRPr="00AF0DB4">
                  <w:rPr>
                    <w:rFonts w:eastAsia="Calibri" w:cs="Arial"/>
                    <w:b/>
                    <w:bCs/>
                    <w:sz w:val="16"/>
                    <w:szCs w:val="16"/>
                  </w:rPr>
                  <w:t>20</w:t>
                </w:r>
                <w:r w:rsidRPr="00AF0DB4">
                  <w:rPr>
                    <w:rFonts w:eastAsia="Calibri" w:cs="Arial"/>
                    <w:b/>
                    <w:bCs/>
                    <w:sz w:val="16"/>
                    <w:szCs w:val="16"/>
                  </w:rPr>
                  <w:t>/2</w:t>
                </w:r>
                <w:r w:rsidR="003E287C" w:rsidRPr="00AF0DB4">
                  <w:rPr>
                    <w:rFonts w:eastAsia="Calibri" w:cs="Arial"/>
                    <w:b/>
                    <w:bCs/>
                    <w:sz w:val="16"/>
                    <w:szCs w:val="16"/>
                  </w:rPr>
                  <w:t>1</w:t>
                </w:r>
              </w:p>
            </w:tc>
          </w:tr>
          <w:tr w:rsidR="009962A0" w:rsidRPr="00AF0DB4" w14:paraId="3A468255" w14:textId="77777777" w:rsidTr="004E63C1">
            <w:trPr>
              <w:trHeight w:val="158"/>
              <w:jc w:val="center"/>
            </w:trPr>
            <w:tc>
              <w:tcPr>
                <w:tcW w:w="1380" w:type="dxa"/>
                <w:tcBorders>
                  <w:top w:val="single" w:sz="4" w:space="0" w:color="auto"/>
                  <w:left w:val="single" w:sz="4" w:space="0" w:color="auto"/>
                  <w:bottom w:val="nil"/>
                  <w:right w:val="single" w:sz="4" w:space="0" w:color="auto"/>
                </w:tcBorders>
                <w:vAlign w:val="center"/>
                <w:hideMark/>
              </w:tcPr>
              <w:p w14:paraId="104F68E8" w14:textId="77777777" w:rsidR="009962A0" w:rsidRPr="00AF0DB4" w:rsidRDefault="009962A0" w:rsidP="009962A0">
                <w:pPr>
                  <w:jc w:val="center"/>
                  <w:rPr>
                    <w:rFonts w:eastAsia="Times New Roman" w:cs="Arial"/>
                    <w:sz w:val="16"/>
                    <w:szCs w:val="16"/>
                    <w:lang w:val="en-GB" w:eastAsia="en-GB"/>
                  </w:rPr>
                </w:pPr>
                <w:r w:rsidRPr="00AF0DB4">
                  <w:rPr>
                    <w:rFonts w:eastAsia="Times New Roman" w:cs="Arial"/>
                    <w:sz w:val="16"/>
                    <w:szCs w:val="16"/>
                    <w:lang w:val="en-GB" w:eastAsia="en-GB"/>
                  </w:rPr>
                  <w:t>£000</w:t>
                </w:r>
              </w:p>
            </w:tc>
            <w:tc>
              <w:tcPr>
                <w:tcW w:w="3780" w:type="dxa"/>
                <w:tcBorders>
                  <w:top w:val="single" w:sz="4" w:space="0" w:color="auto"/>
                  <w:left w:val="single" w:sz="4" w:space="0" w:color="auto"/>
                  <w:bottom w:val="nil"/>
                  <w:right w:val="single" w:sz="4" w:space="0" w:color="auto"/>
                </w:tcBorders>
                <w:vAlign w:val="center"/>
              </w:tcPr>
              <w:p w14:paraId="51785855" w14:textId="77777777" w:rsidR="009962A0" w:rsidRPr="00AF0DB4" w:rsidRDefault="009962A0" w:rsidP="009962A0">
                <w:pPr>
                  <w:jc w:val="both"/>
                  <w:rPr>
                    <w:rFonts w:eastAsia="Times New Roman" w:cs="Arial"/>
                    <w:sz w:val="16"/>
                    <w:szCs w:val="16"/>
                    <w:lang w:val="en-GB" w:eastAsia="en-GB"/>
                  </w:rPr>
                </w:pPr>
              </w:p>
            </w:tc>
            <w:tc>
              <w:tcPr>
                <w:tcW w:w="1440" w:type="dxa"/>
                <w:tcBorders>
                  <w:top w:val="single" w:sz="4" w:space="0" w:color="auto"/>
                  <w:left w:val="single" w:sz="4" w:space="0" w:color="auto"/>
                  <w:bottom w:val="nil"/>
                  <w:right w:val="single" w:sz="4" w:space="0" w:color="auto"/>
                </w:tcBorders>
                <w:vAlign w:val="center"/>
                <w:hideMark/>
              </w:tcPr>
              <w:p w14:paraId="10E19CBC" w14:textId="77777777" w:rsidR="009962A0" w:rsidRPr="00AF0DB4" w:rsidRDefault="009962A0" w:rsidP="009962A0">
                <w:pPr>
                  <w:jc w:val="center"/>
                  <w:rPr>
                    <w:rFonts w:eastAsia="Times New Roman" w:cs="Arial"/>
                    <w:sz w:val="16"/>
                    <w:szCs w:val="16"/>
                    <w:lang w:val="en-GB" w:eastAsia="en-GB"/>
                  </w:rPr>
                </w:pPr>
                <w:r w:rsidRPr="00AF0DB4">
                  <w:rPr>
                    <w:rFonts w:eastAsia="Times New Roman" w:cs="Arial"/>
                    <w:sz w:val="16"/>
                    <w:szCs w:val="16"/>
                    <w:lang w:val="en-GB" w:eastAsia="en-GB"/>
                  </w:rPr>
                  <w:t>£000</w:t>
                </w:r>
              </w:p>
            </w:tc>
          </w:tr>
          <w:tr w:rsidR="009962A0" w:rsidRPr="00AF0DB4" w14:paraId="3EBF14DA" w14:textId="77777777" w:rsidTr="009962A0">
            <w:trPr>
              <w:trHeight w:val="285"/>
              <w:jc w:val="center"/>
            </w:trPr>
            <w:tc>
              <w:tcPr>
                <w:tcW w:w="1380" w:type="dxa"/>
                <w:tcBorders>
                  <w:top w:val="nil"/>
                  <w:left w:val="single" w:sz="4" w:space="0" w:color="auto"/>
                  <w:bottom w:val="nil"/>
                  <w:right w:val="single" w:sz="4" w:space="0" w:color="auto"/>
                </w:tcBorders>
                <w:vAlign w:val="center"/>
              </w:tcPr>
              <w:p w14:paraId="3E02CCE6" w14:textId="77777777" w:rsidR="009962A0" w:rsidRPr="00AF0DB4" w:rsidRDefault="009962A0" w:rsidP="009962A0">
                <w:pPr>
                  <w:jc w:val="center"/>
                  <w:rPr>
                    <w:rFonts w:eastAsia="Times New Roman" w:cs="Arial"/>
                    <w:sz w:val="16"/>
                    <w:szCs w:val="16"/>
                    <w:lang w:val="en-GB" w:eastAsia="en-GB"/>
                  </w:rPr>
                </w:pPr>
              </w:p>
            </w:tc>
            <w:tc>
              <w:tcPr>
                <w:tcW w:w="3780" w:type="dxa"/>
                <w:tcBorders>
                  <w:top w:val="nil"/>
                  <w:left w:val="single" w:sz="4" w:space="0" w:color="auto"/>
                  <w:bottom w:val="nil"/>
                  <w:right w:val="single" w:sz="4" w:space="0" w:color="auto"/>
                </w:tcBorders>
                <w:vAlign w:val="center"/>
                <w:hideMark/>
              </w:tcPr>
              <w:p w14:paraId="0C7B5B1D" w14:textId="77777777" w:rsidR="009962A0" w:rsidRPr="00AF0DB4" w:rsidRDefault="009962A0" w:rsidP="009962A0">
                <w:pPr>
                  <w:jc w:val="both"/>
                  <w:rPr>
                    <w:rFonts w:eastAsia="Times New Roman" w:cs="Arial"/>
                    <w:b/>
                    <w:sz w:val="16"/>
                    <w:szCs w:val="16"/>
                    <w:lang w:val="en-GB" w:eastAsia="en-GB"/>
                  </w:rPr>
                </w:pPr>
                <w:r w:rsidRPr="00AF0DB4">
                  <w:rPr>
                    <w:rFonts w:eastAsia="Times New Roman" w:cs="Arial"/>
                    <w:b/>
                    <w:sz w:val="16"/>
                    <w:szCs w:val="16"/>
                    <w:lang w:val="en-GB" w:eastAsia="en-GB"/>
                  </w:rPr>
                  <w:t>Current Assets:</w:t>
                </w:r>
              </w:p>
            </w:tc>
            <w:tc>
              <w:tcPr>
                <w:tcW w:w="1440" w:type="dxa"/>
                <w:tcBorders>
                  <w:top w:val="nil"/>
                  <w:left w:val="single" w:sz="4" w:space="0" w:color="auto"/>
                  <w:bottom w:val="nil"/>
                  <w:right w:val="single" w:sz="4" w:space="0" w:color="auto"/>
                </w:tcBorders>
                <w:vAlign w:val="center"/>
              </w:tcPr>
              <w:p w14:paraId="73632CEA" w14:textId="77777777" w:rsidR="009962A0" w:rsidRPr="00AF0DB4" w:rsidRDefault="009962A0" w:rsidP="009962A0">
                <w:pPr>
                  <w:jc w:val="center"/>
                  <w:rPr>
                    <w:rFonts w:eastAsia="Times New Roman" w:cs="Arial"/>
                    <w:sz w:val="16"/>
                    <w:szCs w:val="16"/>
                    <w:lang w:val="en-GB" w:eastAsia="en-GB"/>
                  </w:rPr>
                </w:pPr>
              </w:p>
            </w:tc>
          </w:tr>
          <w:tr w:rsidR="009962A0" w:rsidRPr="00AF0DB4" w14:paraId="31C0F1B3" w14:textId="77777777" w:rsidTr="009962A0">
            <w:trPr>
              <w:trHeight w:val="285"/>
              <w:jc w:val="center"/>
            </w:trPr>
            <w:tc>
              <w:tcPr>
                <w:tcW w:w="1380" w:type="dxa"/>
                <w:tcBorders>
                  <w:top w:val="nil"/>
                  <w:left w:val="single" w:sz="4" w:space="0" w:color="auto"/>
                  <w:bottom w:val="nil"/>
                  <w:right w:val="single" w:sz="4" w:space="0" w:color="auto"/>
                </w:tcBorders>
                <w:vAlign w:val="center"/>
                <w:hideMark/>
              </w:tcPr>
              <w:p w14:paraId="438FD52C" w14:textId="77777777" w:rsidR="009962A0" w:rsidRPr="00AF0DB4" w:rsidRDefault="009962A0" w:rsidP="009962A0">
                <w:pPr>
                  <w:jc w:val="center"/>
                  <w:rPr>
                    <w:rFonts w:eastAsia="Times New Roman" w:cs="Arial"/>
                    <w:sz w:val="16"/>
                    <w:szCs w:val="16"/>
                    <w:lang w:val="en-GB" w:eastAsia="en-GB"/>
                  </w:rPr>
                </w:pPr>
                <w:r w:rsidRPr="00AF0DB4">
                  <w:rPr>
                    <w:rFonts w:eastAsia="Times New Roman" w:cs="Arial"/>
                    <w:sz w:val="16"/>
                    <w:szCs w:val="16"/>
                    <w:lang w:val="en-GB" w:eastAsia="en-GB"/>
                  </w:rPr>
                  <w:t>0</w:t>
                </w:r>
              </w:p>
            </w:tc>
            <w:tc>
              <w:tcPr>
                <w:tcW w:w="3780" w:type="dxa"/>
                <w:tcBorders>
                  <w:top w:val="nil"/>
                  <w:left w:val="single" w:sz="4" w:space="0" w:color="auto"/>
                  <w:bottom w:val="nil"/>
                  <w:right w:val="single" w:sz="4" w:space="0" w:color="auto"/>
                </w:tcBorders>
                <w:vAlign w:val="center"/>
                <w:hideMark/>
              </w:tcPr>
              <w:p w14:paraId="7FF1DAFD" w14:textId="77777777" w:rsidR="009962A0" w:rsidRPr="00AF0DB4" w:rsidRDefault="009962A0" w:rsidP="009962A0">
                <w:pPr>
                  <w:jc w:val="both"/>
                  <w:rPr>
                    <w:rFonts w:eastAsia="Times New Roman" w:cs="Arial"/>
                    <w:sz w:val="16"/>
                    <w:szCs w:val="16"/>
                    <w:lang w:val="en-GB" w:eastAsia="en-GB"/>
                  </w:rPr>
                </w:pPr>
                <w:r w:rsidRPr="00AF0DB4">
                  <w:rPr>
                    <w:rFonts w:eastAsia="Times New Roman" w:cs="Arial"/>
                    <w:sz w:val="16"/>
                    <w:szCs w:val="16"/>
                    <w:lang w:val="en-GB" w:eastAsia="en-GB"/>
                  </w:rPr>
                  <w:t xml:space="preserve">Contributions due from the </w:t>
                </w:r>
                <w:smartTag w:uri="urn:schemas-microsoft-com:office:smarttags" w:element="stockticker">
                  <w:r w:rsidRPr="00AF0DB4">
                    <w:rPr>
                      <w:rFonts w:eastAsia="Times New Roman" w:cs="Arial"/>
                      <w:sz w:val="16"/>
                      <w:szCs w:val="16"/>
                      <w:lang w:val="en-GB" w:eastAsia="en-GB"/>
                    </w:rPr>
                    <w:t>PCC</w:t>
                  </w:r>
                </w:smartTag>
              </w:p>
            </w:tc>
            <w:tc>
              <w:tcPr>
                <w:tcW w:w="1440" w:type="dxa"/>
                <w:tcBorders>
                  <w:top w:val="nil"/>
                  <w:left w:val="single" w:sz="4" w:space="0" w:color="auto"/>
                  <w:bottom w:val="nil"/>
                  <w:right w:val="single" w:sz="4" w:space="0" w:color="auto"/>
                </w:tcBorders>
                <w:vAlign w:val="center"/>
                <w:hideMark/>
              </w:tcPr>
              <w:p w14:paraId="7C6B0C39" w14:textId="77777777" w:rsidR="009962A0" w:rsidRPr="00AF0DB4" w:rsidRDefault="009962A0" w:rsidP="009962A0">
                <w:pPr>
                  <w:jc w:val="center"/>
                  <w:rPr>
                    <w:rFonts w:eastAsia="Times New Roman" w:cs="Arial"/>
                    <w:sz w:val="16"/>
                    <w:szCs w:val="16"/>
                    <w:lang w:val="en-GB" w:eastAsia="en-GB"/>
                  </w:rPr>
                </w:pPr>
                <w:r w:rsidRPr="00AF0DB4">
                  <w:rPr>
                    <w:rFonts w:eastAsia="Times New Roman" w:cs="Arial"/>
                    <w:sz w:val="16"/>
                    <w:szCs w:val="16"/>
                    <w:lang w:val="en-GB" w:eastAsia="en-GB"/>
                  </w:rPr>
                  <w:t>0</w:t>
                </w:r>
              </w:p>
            </w:tc>
          </w:tr>
          <w:tr w:rsidR="009962A0" w:rsidRPr="00AF0DB4" w14:paraId="431E0742" w14:textId="77777777" w:rsidTr="009962A0">
            <w:trPr>
              <w:trHeight w:val="285"/>
              <w:jc w:val="center"/>
            </w:trPr>
            <w:tc>
              <w:tcPr>
                <w:tcW w:w="1380" w:type="dxa"/>
                <w:tcBorders>
                  <w:top w:val="nil"/>
                  <w:left w:val="single" w:sz="4" w:space="0" w:color="auto"/>
                  <w:bottom w:val="nil"/>
                  <w:right w:val="single" w:sz="4" w:space="0" w:color="auto"/>
                </w:tcBorders>
                <w:vAlign w:val="center"/>
                <w:hideMark/>
              </w:tcPr>
              <w:p w14:paraId="520537C5" w14:textId="77777777" w:rsidR="009962A0" w:rsidRPr="00AF0DB4" w:rsidRDefault="009962A0" w:rsidP="009962A0">
                <w:pPr>
                  <w:jc w:val="center"/>
                  <w:rPr>
                    <w:rFonts w:eastAsia="Times New Roman" w:cs="Arial"/>
                    <w:sz w:val="16"/>
                    <w:szCs w:val="16"/>
                    <w:lang w:val="en-GB" w:eastAsia="en-GB"/>
                  </w:rPr>
                </w:pPr>
                <w:r w:rsidRPr="00AF0DB4">
                  <w:rPr>
                    <w:rFonts w:eastAsia="Times New Roman" w:cs="Arial"/>
                    <w:sz w:val="16"/>
                    <w:szCs w:val="16"/>
                    <w:lang w:val="en-GB" w:eastAsia="en-GB"/>
                  </w:rPr>
                  <w:t>0</w:t>
                </w:r>
              </w:p>
            </w:tc>
            <w:tc>
              <w:tcPr>
                <w:tcW w:w="3780" w:type="dxa"/>
                <w:tcBorders>
                  <w:top w:val="nil"/>
                  <w:left w:val="single" w:sz="4" w:space="0" w:color="auto"/>
                  <w:bottom w:val="nil"/>
                  <w:right w:val="single" w:sz="4" w:space="0" w:color="auto"/>
                </w:tcBorders>
                <w:vAlign w:val="center"/>
                <w:hideMark/>
              </w:tcPr>
              <w:p w14:paraId="2D394EF1" w14:textId="77777777" w:rsidR="009962A0" w:rsidRPr="00AF0DB4" w:rsidRDefault="009962A0" w:rsidP="009962A0">
                <w:pPr>
                  <w:jc w:val="both"/>
                  <w:rPr>
                    <w:rFonts w:eastAsia="Times New Roman" w:cs="Arial"/>
                    <w:sz w:val="16"/>
                    <w:szCs w:val="16"/>
                    <w:lang w:val="en-GB" w:eastAsia="en-GB"/>
                  </w:rPr>
                </w:pPr>
                <w:r w:rsidRPr="00AF0DB4">
                  <w:rPr>
                    <w:rFonts w:eastAsia="Times New Roman" w:cs="Arial"/>
                    <w:sz w:val="16"/>
                    <w:szCs w:val="16"/>
                    <w:lang w:val="en-GB" w:eastAsia="en-GB"/>
                  </w:rPr>
                  <w:t>Recoverable overpayments of pensions</w:t>
                </w:r>
              </w:p>
            </w:tc>
            <w:tc>
              <w:tcPr>
                <w:tcW w:w="1440" w:type="dxa"/>
                <w:tcBorders>
                  <w:top w:val="nil"/>
                  <w:left w:val="single" w:sz="4" w:space="0" w:color="auto"/>
                  <w:bottom w:val="nil"/>
                  <w:right w:val="single" w:sz="4" w:space="0" w:color="auto"/>
                </w:tcBorders>
                <w:vAlign w:val="center"/>
                <w:hideMark/>
              </w:tcPr>
              <w:p w14:paraId="0A964D3E" w14:textId="77777777" w:rsidR="009962A0" w:rsidRPr="00AF0DB4" w:rsidRDefault="009962A0" w:rsidP="009962A0">
                <w:pPr>
                  <w:jc w:val="center"/>
                  <w:rPr>
                    <w:rFonts w:eastAsia="Times New Roman" w:cs="Arial"/>
                    <w:sz w:val="16"/>
                    <w:szCs w:val="16"/>
                    <w:lang w:val="en-GB" w:eastAsia="en-GB"/>
                  </w:rPr>
                </w:pPr>
                <w:r w:rsidRPr="00AF0DB4">
                  <w:rPr>
                    <w:rFonts w:eastAsia="Times New Roman" w:cs="Arial"/>
                    <w:sz w:val="16"/>
                    <w:szCs w:val="16"/>
                    <w:lang w:val="en-GB" w:eastAsia="en-GB"/>
                  </w:rPr>
                  <w:t>0</w:t>
                </w:r>
              </w:p>
            </w:tc>
          </w:tr>
          <w:tr w:rsidR="009962A0" w:rsidRPr="00AF0DB4" w14:paraId="78884482" w14:textId="77777777" w:rsidTr="009962A0">
            <w:trPr>
              <w:trHeight w:val="285"/>
              <w:jc w:val="center"/>
            </w:trPr>
            <w:tc>
              <w:tcPr>
                <w:tcW w:w="1380" w:type="dxa"/>
                <w:tcBorders>
                  <w:top w:val="nil"/>
                  <w:left w:val="single" w:sz="4" w:space="0" w:color="auto"/>
                  <w:bottom w:val="nil"/>
                  <w:right w:val="single" w:sz="4" w:space="0" w:color="auto"/>
                </w:tcBorders>
                <w:vAlign w:val="center"/>
              </w:tcPr>
              <w:p w14:paraId="7209509B" w14:textId="77777777" w:rsidR="009962A0" w:rsidRPr="00AF0DB4" w:rsidRDefault="009962A0" w:rsidP="009962A0">
                <w:pPr>
                  <w:jc w:val="center"/>
                  <w:rPr>
                    <w:rFonts w:eastAsia="Times New Roman" w:cs="Arial"/>
                    <w:sz w:val="16"/>
                    <w:szCs w:val="16"/>
                    <w:lang w:val="en-GB" w:eastAsia="en-GB"/>
                  </w:rPr>
                </w:pPr>
              </w:p>
            </w:tc>
            <w:tc>
              <w:tcPr>
                <w:tcW w:w="3780" w:type="dxa"/>
                <w:tcBorders>
                  <w:top w:val="nil"/>
                  <w:left w:val="single" w:sz="4" w:space="0" w:color="auto"/>
                  <w:bottom w:val="nil"/>
                  <w:right w:val="single" w:sz="4" w:space="0" w:color="auto"/>
                </w:tcBorders>
                <w:vAlign w:val="center"/>
                <w:hideMark/>
              </w:tcPr>
              <w:p w14:paraId="6A663E25" w14:textId="77777777" w:rsidR="009962A0" w:rsidRPr="00AF0DB4" w:rsidRDefault="009962A0" w:rsidP="009962A0">
                <w:pPr>
                  <w:jc w:val="both"/>
                  <w:rPr>
                    <w:rFonts w:eastAsia="Times New Roman" w:cs="Arial"/>
                    <w:b/>
                    <w:sz w:val="16"/>
                    <w:szCs w:val="16"/>
                    <w:lang w:val="en-GB" w:eastAsia="en-GB"/>
                  </w:rPr>
                </w:pPr>
                <w:r w:rsidRPr="00AF0DB4">
                  <w:rPr>
                    <w:rFonts w:eastAsia="Times New Roman" w:cs="Arial"/>
                    <w:b/>
                    <w:sz w:val="16"/>
                    <w:szCs w:val="16"/>
                    <w:lang w:val="en-GB" w:eastAsia="en-GB"/>
                  </w:rPr>
                  <w:t>Current Liabilities:</w:t>
                </w:r>
              </w:p>
            </w:tc>
            <w:tc>
              <w:tcPr>
                <w:tcW w:w="1440" w:type="dxa"/>
                <w:tcBorders>
                  <w:top w:val="nil"/>
                  <w:left w:val="single" w:sz="4" w:space="0" w:color="auto"/>
                  <w:bottom w:val="nil"/>
                  <w:right w:val="single" w:sz="4" w:space="0" w:color="auto"/>
                </w:tcBorders>
                <w:vAlign w:val="center"/>
              </w:tcPr>
              <w:p w14:paraId="6F6B0ABF" w14:textId="77777777" w:rsidR="009962A0" w:rsidRPr="00AF0DB4" w:rsidRDefault="009962A0" w:rsidP="009962A0">
                <w:pPr>
                  <w:jc w:val="center"/>
                  <w:rPr>
                    <w:rFonts w:eastAsia="Times New Roman" w:cs="Arial"/>
                    <w:sz w:val="16"/>
                    <w:szCs w:val="16"/>
                    <w:lang w:val="en-GB" w:eastAsia="en-GB"/>
                  </w:rPr>
                </w:pPr>
              </w:p>
            </w:tc>
          </w:tr>
          <w:tr w:rsidR="009962A0" w:rsidRPr="00AF0DB4" w14:paraId="77B575A9" w14:textId="77777777" w:rsidTr="009962A0">
            <w:trPr>
              <w:trHeight w:val="285"/>
              <w:jc w:val="center"/>
            </w:trPr>
            <w:tc>
              <w:tcPr>
                <w:tcW w:w="1380" w:type="dxa"/>
                <w:tcBorders>
                  <w:top w:val="nil"/>
                  <w:left w:val="single" w:sz="4" w:space="0" w:color="auto"/>
                  <w:bottom w:val="nil"/>
                  <w:right w:val="single" w:sz="4" w:space="0" w:color="auto"/>
                </w:tcBorders>
                <w:vAlign w:val="center"/>
                <w:hideMark/>
              </w:tcPr>
              <w:p w14:paraId="1EB92AA3" w14:textId="77777777" w:rsidR="009962A0" w:rsidRPr="00AF0DB4" w:rsidRDefault="009962A0" w:rsidP="009962A0">
                <w:pPr>
                  <w:jc w:val="center"/>
                  <w:rPr>
                    <w:rFonts w:eastAsia="Times New Roman" w:cs="Arial"/>
                    <w:sz w:val="16"/>
                    <w:szCs w:val="16"/>
                    <w:lang w:val="en-GB" w:eastAsia="en-GB"/>
                  </w:rPr>
                </w:pPr>
                <w:r w:rsidRPr="00AF0DB4">
                  <w:rPr>
                    <w:rFonts w:eastAsia="Times New Roman" w:cs="Arial"/>
                    <w:sz w:val="16"/>
                    <w:szCs w:val="16"/>
                    <w:lang w:val="en-GB" w:eastAsia="en-GB"/>
                  </w:rPr>
                  <w:t>0</w:t>
                </w:r>
              </w:p>
            </w:tc>
            <w:tc>
              <w:tcPr>
                <w:tcW w:w="3780" w:type="dxa"/>
                <w:tcBorders>
                  <w:top w:val="nil"/>
                  <w:left w:val="single" w:sz="4" w:space="0" w:color="auto"/>
                  <w:bottom w:val="nil"/>
                  <w:right w:val="single" w:sz="4" w:space="0" w:color="auto"/>
                </w:tcBorders>
                <w:vAlign w:val="center"/>
                <w:hideMark/>
              </w:tcPr>
              <w:p w14:paraId="40A568FC" w14:textId="77777777" w:rsidR="009962A0" w:rsidRPr="00AF0DB4" w:rsidRDefault="009962A0" w:rsidP="009962A0">
                <w:pPr>
                  <w:jc w:val="both"/>
                  <w:rPr>
                    <w:rFonts w:eastAsia="Times New Roman" w:cs="Arial"/>
                    <w:sz w:val="16"/>
                    <w:szCs w:val="16"/>
                    <w:lang w:val="en-GB" w:eastAsia="en-GB"/>
                  </w:rPr>
                </w:pPr>
                <w:r w:rsidRPr="00AF0DB4">
                  <w:rPr>
                    <w:rFonts w:eastAsia="Times New Roman" w:cs="Arial"/>
                    <w:sz w:val="16"/>
                    <w:szCs w:val="16"/>
                    <w:lang w:val="en-GB" w:eastAsia="en-GB"/>
                  </w:rPr>
                  <w:t>Unpaid pensions benefits</w:t>
                </w:r>
              </w:p>
            </w:tc>
            <w:tc>
              <w:tcPr>
                <w:tcW w:w="1440" w:type="dxa"/>
                <w:tcBorders>
                  <w:top w:val="nil"/>
                  <w:left w:val="single" w:sz="4" w:space="0" w:color="auto"/>
                  <w:bottom w:val="nil"/>
                  <w:right w:val="single" w:sz="4" w:space="0" w:color="auto"/>
                </w:tcBorders>
                <w:vAlign w:val="center"/>
                <w:hideMark/>
              </w:tcPr>
              <w:p w14:paraId="24B9671C" w14:textId="77777777" w:rsidR="009962A0" w:rsidRPr="00AF0DB4" w:rsidRDefault="009962A0" w:rsidP="009962A0">
                <w:pPr>
                  <w:jc w:val="center"/>
                  <w:rPr>
                    <w:rFonts w:eastAsia="Times New Roman" w:cs="Arial"/>
                    <w:sz w:val="16"/>
                    <w:szCs w:val="16"/>
                    <w:lang w:val="en-GB" w:eastAsia="en-GB"/>
                  </w:rPr>
                </w:pPr>
                <w:r w:rsidRPr="00AF0DB4">
                  <w:rPr>
                    <w:rFonts w:eastAsia="Times New Roman" w:cs="Arial"/>
                    <w:sz w:val="16"/>
                    <w:szCs w:val="16"/>
                    <w:lang w:val="en-GB" w:eastAsia="en-GB"/>
                  </w:rPr>
                  <w:t>0</w:t>
                </w:r>
              </w:p>
            </w:tc>
          </w:tr>
          <w:tr w:rsidR="009962A0" w:rsidRPr="00AF0DB4" w14:paraId="10ED8882" w14:textId="77777777" w:rsidTr="009962A0">
            <w:trPr>
              <w:trHeight w:val="285"/>
              <w:jc w:val="center"/>
            </w:trPr>
            <w:tc>
              <w:tcPr>
                <w:tcW w:w="1380" w:type="dxa"/>
                <w:tcBorders>
                  <w:top w:val="nil"/>
                  <w:left w:val="single" w:sz="4" w:space="0" w:color="auto"/>
                  <w:bottom w:val="single" w:sz="4" w:space="0" w:color="auto"/>
                  <w:right w:val="single" w:sz="4" w:space="0" w:color="auto"/>
                </w:tcBorders>
                <w:vAlign w:val="center"/>
                <w:hideMark/>
              </w:tcPr>
              <w:p w14:paraId="076FC218" w14:textId="77777777" w:rsidR="009962A0" w:rsidRPr="00AF0DB4" w:rsidRDefault="009962A0" w:rsidP="009962A0">
                <w:pPr>
                  <w:jc w:val="center"/>
                  <w:rPr>
                    <w:rFonts w:eastAsia="Times New Roman" w:cs="Arial"/>
                    <w:sz w:val="16"/>
                    <w:szCs w:val="16"/>
                    <w:lang w:val="en-GB" w:eastAsia="en-GB"/>
                  </w:rPr>
                </w:pPr>
                <w:r w:rsidRPr="00AF0DB4">
                  <w:rPr>
                    <w:rFonts w:eastAsia="Times New Roman" w:cs="Arial"/>
                    <w:sz w:val="16"/>
                    <w:szCs w:val="16"/>
                    <w:lang w:val="en-GB" w:eastAsia="en-GB"/>
                  </w:rPr>
                  <w:t>0</w:t>
                </w:r>
              </w:p>
            </w:tc>
            <w:tc>
              <w:tcPr>
                <w:tcW w:w="3780" w:type="dxa"/>
                <w:tcBorders>
                  <w:top w:val="nil"/>
                  <w:left w:val="single" w:sz="4" w:space="0" w:color="auto"/>
                  <w:bottom w:val="single" w:sz="4" w:space="0" w:color="auto"/>
                  <w:right w:val="single" w:sz="4" w:space="0" w:color="auto"/>
                </w:tcBorders>
                <w:vAlign w:val="center"/>
                <w:hideMark/>
              </w:tcPr>
              <w:p w14:paraId="6575C332" w14:textId="77777777" w:rsidR="009962A0" w:rsidRPr="00AF0DB4" w:rsidRDefault="009962A0" w:rsidP="009962A0">
                <w:pPr>
                  <w:jc w:val="both"/>
                  <w:rPr>
                    <w:rFonts w:eastAsia="Times New Roman" w:cs="Arial"/>
                    <w:sz w:val="16"/>
                    <w:szCs w:val="16"/>
                    <w:lang w:val="en-GB" w:eastAsia="en-GB"/>
                  </w:rPr>
                </w:pPr>
                <w:r w:rsidRPr="00AF0DB4">
                  <w:rPr>
                    <w:rFonts w:eastAsia="Times New Roman" w:cs="Arial"/>
                    <w:sz w:val="16"/>
                    <w:szCs w:val="16"/>
                    <w:lang w:val="en-GB" w:eastAsia="en-GB"/>
                  </w:rPr>
                  <w:t xml:space="preserve">Surplus for the year owing to the </w:t>
                </w:r>
                <w:smartTag w:uri="urn:schemas-microsoft-com:office:smarttags" w:element="stockticker">
                  <w:r w:rsidRPr="00AF0DB4">
                    <w:rPr>
                      <w:rFonts w:eastAsia="Times New Roman" w:cs="Arial"/>
                      <w:sz w:val="16"/>
                      <w:szCs w:val="16"/>
                      <w:lang w:val="en-GB" w:eastAsia="en-GB"/>
                    </w:rPr>
                    <w:t>PCC</w:t>
                  </w:r>
                </w:smartTag>
              </w:p>
            </w:tc>
            <w:tc>
              <w:tcPr>
                <w:tcW w:w="1440" w:type="dxa"/>
                <w:tcBorders>
                  <w:top w:val="nil"/>
                  <w:left w:val="single" w:sz="4" w:space="0" w:color="auto"/>
                  <w:bottom w:val="single" w:sz="4" w:space="0" w:color="auto"/>
                  <w:right w:val="single" w:sz="4" w:space="0" w:color="auto"/>
                </w:tcBorders>
                <w:vAlign w:val="center"/>
                <w:hideMark/>
              </w:tcPr>
              <w:p w14:paraId="71CE4302" w14:textId="77777777" w:rsidR="009962A0" w:rsidRPr="00AF0DB4" w:rsidRDefault="009962A0" w:rsidP="009962A0">
                <w:pPr>
                  <w:jc w:val="center"/>
                  <w:rPr>
                    <w:rFonts w:eastAsia="Times New Roman" w:cs="Arial"/>
                    <w:sz w:val="16"/>
                    <w:szCs w:val="16"/>
                    <w:lang w:val="en-GB" w:eastAsia="en-GB"/>
                  </w:rPr>
                </w:pPr>
                <w:r w:rsidRPr="00AF0DB4">
                  <w:rPr>
                    <w:rFonts w:eastAsia="Times New Roman" w:cs="Arial"/>
                    <w:sz w:val="16"/>
                    <w:szCs w:val="16"/>
                    <w:lang w:val="en-GB" w:eastAsia="en-GB"/>
                  </w:rPr>
                  <w:t>0</w:t>
                </w:r>
              </w:p>
            </w:tc>
          </w:tr>
          <w:tr w:rsidR="009962A0" w:rsidRPr="00AF0DB4" w14:paraId="5D644D27" w14:textId="77777777" w:rsidTr="009962A0">
            <w:trPr>
              <w:trHeight w:val="285"/>
              <w:jc w:val="center"/>
            </w:trPr>
            <w:tc>
              <w:tcPr>
                <w:tcW w:w="1380" w:type="dxa"/>
                <w:tcBorders>
                  <w:top w:val="single" w:sz="4" w:space="0" w:color="auto"/>
                  <w:left w:val="single" w:sz="4" w:space="0" w:color="auto"/>
                  <w:bottom w:val="single" w:sz="4" w:space="0" w:color="auto"/>
                  <w:right w:val="single" w:sz="4" w:space="0" w:color="auto"/>
                </w:tcBorders>
                <w:vAlign w:val="center"/>
                <w:hideMark/>
              </w:tcPr>
              <w:p w14:paraId="039AA28C" w14:textId="77777777" w:rsidR="009962A0" w:rsidRPr="00AF0DB4" w:rsidRDefault="009962A0" w:rsidP="009962A0">
                <w:pPr>
                  <w:jc w:val="center"/>
                  <w:rPr>
                    <w:rFonts w:eastAsia="Times New Roman" w:cs="Arial"/>
                    <w:b/>
                    <w:sz w:val="16"/>
                    <w:szCs w:val="16"/>
                    <w:lang w:val="en-GB" w:eastAsia="en-GB"/>
                  </w:rPr>
                </w:pPr>
                <w:r w:rsidRPr="00AF0DB4">
                  <w:rPr>
                    <w:rFonts w:eastAsia="Times New Roman" w:cs="Arial"/>
                    <w:b/>
                    <w:sz w:val="16"/>
                    <w:szCs w:val="16"/>
                    <w:lang w:val="en-GB" w:eastAsia="en-GB"/>
                  </w:rPr>
                  <w:t>0</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E5A74A1" w14:textId="77777777" w:rsidR="009962A0" w:rsidRPr="00AF0DB4" w:rsidRDefault="009962A0" w:rsidP="009962A0">
                <w:pPr>
                  <w:jc w:val="both"/>
                  <w:rPr>
                    <w:rFonts w:eastAsia="Times New Roman" w:cs="Arial"/>
                    <w:b/>
                    <w:sz w:val="16"/>
                    <w:szCs w:val="16"/>
                    <w:lang w:val="en-GB" w:eastAsia="en-GB"/>
                  </w:rPr>
                </w:pPr>
                <w:r w:rsidRPr="00AF0DB4">
                  <w:rPr>
                    <w:rFonts w:eastAsia="Times New Roman" w:cs="Arial"/>
                    <w:b/>
                    <w:sz w:val="16"/>
                    <w:szCs w:val="16"/>
                    <w:lang w:val="en-GB" w:eastAsia="en-GB"/>
                  </w:rPr>
                  <w:t>Net Assets / (Liabilities)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F391EED" w14:textId="77777777" w:rsidR="009962A0" w:rsidRPr="00AF0DB4" w:rsidRDefault="009962A0" w:rsidP="009962A0">
                <w:pPr>
                  <w:jc w:val="center"/>
                  <w:rPr>
                    <w:rFonts w:eastAsia="Times New Roman" w:cs="Arial"/>
                    <w:b/>
                    <w:sz w:val="16"/>
                    <w:szCs w:val="16"/>
                    <w:lang w:val="en-GB" w:eastAsia="en-GB"/>
                  </w:rPr>
                </w:pPr>
                <w:r w:rsidRPr="00AF0DB4">
                  <w:rPr>
                    <w:rFonts w:eastAsia="Times New Roman" w:cs="Arial"/>
                    <w:b/>
                    <w:sz w:val="16"/>
                    <w:szCs w:val="16"/>
                    <w:lang w:val="en-GB" w:eastAsia="en-GB"/>
                  </w:rPr>
                  <w:t>0</w:t>
                </w:r>
              </w:p>
            </w:tc>
          </w:tr>
        </w:tbl>
        <w:p w14:paraId="6BF0AFF3" w14:textId="77777777" w:rsidR="000D6EF8" w:rsidRPr="009A3982" w:rsidRDefault="000D6EF8" w:rsidP="00A31A9E">
          <w:pPr>
            <w:pStyle w:val="Heading1"/>
            <w:rPr>
              <w:lang w:eastAsia="en-GB"/>
            </w:rPr>
          </w:pPr>
          <w:bookmarkStart w:id="57" w:name="_Toc15152187"/>
          <w:bookmarkStart w:id="58" w:name="_Toc75122810"/>
          <w:r w:rsidRPr="00AF0DB4">
            <w:rPr>
              <w:lang w:eastAsia="en-GB"/>
            </w:rPr>
            <w:t xml:space="preserve">Police Pension </w:t>
          </w:r>
          <w:r w:rsidRPr="009A3982">
            <w:rPr>
              <w:lang w:eastAsia="en-GB"/>
            </w:rPr>
            <w:t>Funds - Notes</w:t>
          </w:r>
          <w:bookmarkEnd w:id="57"/>
          <w:bookmarkEnd w:id="58"/>
        </w:p>
        <w:p w14:paraId="52B0983A" w14:textId="77777777" w:rsidR="000D6EF8" w:rsidRPr="009A3982" w:rsidRDefault="000D6EF8" w:rsidP="000D6EF8">
          <w:pPr>
            <w:pStyle w:val="Normal0"/>
            <w:rPr>
              <w:rFonts w:ascii="Verdana" w:hAnsi="Verdana"/>
              <w:b/>
              <w:sz w:val="22"/>
              <w:szCs w:val="22"/>
              <w:lang w:val="en-GB" w:eastAsia="en-GB"/>
            </w:rPr>
          </w:pPr>
          <w:r w:rsidRPr="009A3982">
            <w:rPr>
              <w:rFonts w:ascii="Verdana" w:hAnsi="Verdana"/>
              <w:b/>
              <w:sz w:val="22"/>
              <w:szCs w:val="22"/>
              <w:lang w:val="en-GB" w:eastAsia="en-GB"/>
            </w:rPr>
            <w:t>Accounting Policies</w:t>
          </w:r>
        </w:p>
        <w:p w14:paraId="5BCCD005" w14:textId="77777777" w:rsidR="000D6EF8" w:rsidRPr="009A3982" w:rsidRDefault="000D6EF8" w:rsidP="000D6EF8">
          <w:pPr>
            <w:pStyle w:val="Normal0"/>
            <w:rPr>
              <w:rFonts w:ascii="Verdana" w:hAnsi="Verdana"/>
              <w:sz w:val="22"/>
              <w:szCs w:val="22"/>
              <w:lang w:val="en-GB" w:eastAsia="en-GB"/>
            </w:rPr>
          </w:pPr>
        </w:p>
        <w:p w14:paraId="5B553FAF" w14:textId="77777777" w:rsidR="000D6EF8" w:rsidRPr="009A3982" w:rsidRDefault="000D6EF8" w:rsidP="000D6EF8">
          <w:pPr>
            <w:pStyle w:val="Normal0"/>
            <w:jc w:val="both"/>
            <w:rPr>
              <w:rFonts w:ascii="Verdana" w:hAnsi="Verdana"/>
              <w:sz w:val="22"/>
              <w:szCs w:val="22"/>
              <w:lang w:val="en-GB" w:eastAsia="en-GB"/>
            </w:rPr>
          </w:pPr>
          <w:r w:rsidRPr="009A3982">
            <w:rPr>
              <w:rFonts w:ascii="Verdana" w:hAnsi="Verdana"/>
              <w:sz w:val="22"/>
              <w:szCs w:val="22"/>
              <w:lang w:val="en-GB" w:eastAsia="en-GB"/>
            </w:rPr>
            <w:t>The Police Pension Account Statements have been prepared to meet the requirements of Regulation 7(1) (d) of the Accounts and Audit Regulations 2003, which states that Chief Constables are obliged to include the police pensions account in their statement of accounts.  They also meet the requirements of the Code of Practice on Local Authority Accounting in the United Kingdom 2018/19 based on International Financial Reporting Standards IAS19, as last amended on 16 June 2011.  The Accounts have been prepared on an accruals basis.  The statements do not take account of liabilities to pay pensions and other benefits in the future.  This is reported upon separately in the Actuary’s statement.</w:t>
          </w:r>
        </w:p>
        <w:p w14:paraId="7078FDAE" w14:textId="77777777" w:rsidR="000D6EF8" w:rsidRPr="009A3982" w:rsidRDefault="000D6EF8" w:rsidP="000D6EF8">
          <w:pPr>
            <w:pStyle w:val="Normal0"/>
            <w:jc w:val="both"/>
            <w:rPr>
              <w:rFonts w:ascii="Verdana" w:hAnsi="Verdana"/>
              <w:sz w:val="22"/>
              <w:szCs w:val="22"/>
              <w:lang w:val="en-GB" w:eastAsia="en-GB"/>
            </w:rPr>
          </w:pPr>
        </w:p>
        <w:p w14:paraId="6CA8E5A2" w14:textId="77777777" w:rsidR="000D6EF8" w:rsidRPr="009A3982" w:rsidRDefault="000D6EF8" w:rsidP="000D6EF8">
          <w:pPr>
            <w:jc w:val="both"/>
            <w:rPr>
              <w:rFonts w:cs="Arial"/>
              <w:b/>
              <w:lang w:val="en-GB" w:eastAsia="en-GB"/>
            </w:rPr>
          </w:pPr>
          <w:r w:rsidRPr="009A3982">
            <w:rPr>
              <w:rFonts w:cs="Arial"/>
              <w:b/>
              <w:lang w:val="en-GB" w:eastAsia="en-GB"/>
            </w:rPr>
            <w:t>Explanatory Notes to the Police Pension Fund Account Statements</w:t>
          </w:r>
        </w:p>
        <w:p w14:paraId="267E6792" w14:textId="77777777" w:rsidR="000D6EF8" w:rsidRPr="009A3982" w:rsidRDefault="000D6EF8" w:rsidP="000D6EF8">
          <w:pPr>
            <w:pStyle w:val="Normal0"/>
            <w:jc w:val="both"/>
            <w:rPr>
              <w:rFonts w:ascii="Verdana" w:hAnsi="Verdana"/>
              <w:sz w:val="22"/>
              <w:szCs w:val="22"/>
              <w:lang w:val="en-GB" w:eastAsia="en-GB"/>
            </w:rPr>
          </w:pPr>
        </w:p>
        <w:p w14:paraId="5A581F48" w14:textId="77777777" w:rsidR="000D6EF8" w:rsidRPr="009A3982" w:rsidRDefault="000D6EF8" w:rsidP="000D6EF8">
          <w:pPr>
            <w:pStyle w:val="Normal0"/>
            <w:jc w:val="both"/>
            <w:rPr>
              <w:rFonts w:ascii="Verdana" w:hAnsi="Verdana"/>
              <w:sz w:val="22"/>
              <w:szCs w:val="22"/>
              <w:lang w:val="en-GB" w:eastAsia="en-GB"/>
            </w:rPr>
          </w:pPr>
          <w:r w:rsidRPr="009A3982">
            <w:rPr>
              <w:rFonts w:ascii="Verdana" w:hAnsi="Verdana"/>
              <w:sz w:val="22"/>
              <w:szCs w:val="22"/>
              <w:lang w:val="en-GB" w:eastAsia="en-GB"/>
            </w:rPr>
            <w:t>The Chief Constable is required to include a separate police pension account in their Statement of Accounts and is responsible for paying the pension of its former police officers.  The Pension Fund is administered by the Chief Constable in accordance with the Police Pension Fund Regulations 2007 (SI 2007 No 1932).</w:t>
          </w:r>
        </w:p>
        <w:p w14:paraId="01B505CC" w14:textId="77777777" w:rsidR="000D6EF8" w:rsidRPr="009A3982" w:rsidRDefault="000D6EF8" w:rsidP="000D6EF8">
          <w:pPr>
            <w:pStyle w:val="Normal0"/>
            <w:jc w:val="both"/>
            <w:rPr>
              <w:rFonts w:ascii="Verdana" w:hAnsi="Verdana"/>
              <w:sz w:val="22"/>
              <w:szCs w:val="22"/>
              <w:lang w:val="en-GB" w:eastAsia="en-GB"/>
            </w:rPr>
          </w:pPr>
        </w:p>
        <w:p w14:paraId="18AC0129" w14:textId="77777777" w:rsidR="000D6EF8" w:rsidRPr="009A3982" w:rsidRDefault="000D6EF8" w:rsidP="000D6EF8">
          <w:pPr>
            <w:pStyle w:val="Normal0"/>
            <w:jc w:val="both"/>
            <w:rPr>
              <w:rFonts w:ascii="Verdana" w:hAnsi="Verdana"/>
              <w:sz w:val="22"/>
              <w:szCs w:val="22"/>
              <w:lang w:val="en-GB" w:eastAsia="en-GB"/>
            </w:rPr>
          </w:pPr>
          <w:r w:rsidRPr="009A3982">
            <w:rPr>
              <w:rFonts w:ascii="Verdana" w:hAnsi="Verdana"/>
              <w:sz w:val="22"/>
              <w:szCs w:val="22"/>
              <w:lang w:val="en-GB" w:eastAsia="en-GB"/>
            </w:rPr>
            <w:t>On 1 April 2006 new arrangements came into being for funding and accounting for the Police Pension Schemes.  Before 1 April 2006 these pensions were paid from the Revenue Account and the Authority (preceding the Police Reform and Social Responsibility Act 2011 creating the two corporation sole bodies; the Police and Crime Commissioner for Surrey and the Chief Constable of Surrey) received funding from central government as part of the general funding formula to support payments of pensions.  Prior to 1 April 2006, there were no employer contributions based on pensionable pay and no top-up grants.</w:t>
          </w:r>
        </w:p>
        <w:p w14:paraId="19B52F28" w14:textId="77777777" w:rsidR="000D6EF8" w:rsidRPr="009A3982" w:rsidRDefault="000D6EF8" w:rsidP="000D6EF8">
          <w:pPr>
            <w:pStyle w:val="Normal0"/>
            <w:jc w:val="both"/>
            <w:rPr>
              <w:rFonts w:ascii="Verdana" w:hAnsi="Verdana"/>
              <w:sz w:val="22"/>
              <w:szCs w:val="22"/>
              <w:lang w:val="en-GB" w:eastAsia="en-GB"/>
            </w:rPr>
          </w:pPr>
        </w:p>
        <w:p w14:paraId="56DED0EB" w14:textId="77777777" w:rsidR="000D6EF8" w:rsidRPr="009A3982" w:rsidRDefault="000D6EF8" w:rsidP="000D6EF8">
          <w:pPr>
            <w:pStyle w:val="Normal0"/>
            <w:jc w:val="both"/>
            <w:rPr>
              <w:rFonts w:ascii="Verdana" w:hAnsi="Verdana"/>
              <w:sz w:val="22"/>
              <w:szCs w:val="22"/>
              <w:lang w:val="en-GB" w:eastAsia="en-GB"/>
            </w:rPr>
          </w:pPr>
          <w:r w:rsidRPr="009A3982">
            <w:rPr>
              <w:rFonts w:ascii="Verdana" w:hAnsi="Verdana"/>
              <w:sz w:val="22"/>
              <w:szCs w:val="22"/>
              <w:lang w:val="en-GB" w:eastAsia="en-GB"/>
            </w:rPr>
            <w:t>From 1 April 2006 pensions are paid from a separate local police pensions account, rather than direct from the Income and Expenditure Account.  Overall the change to the financial arrangements for police officer pensions is intended to be ‘cost neutral’ with no impact on either the national or local council tax payer.</w:t>
          </w:r>
        </w:p>
        <w:p w14:paraId="3D01BAD6" w14:textId="77777777" w:rsidR="000D6EF8" w:rsidRPr="009A3982" w:rsidRDefault="000D6EF8" w:rsidP="000D6EF8">
          <w:pPr>
            <w:pStyle w:val="Normal0"/>
            <w:jc w:val="both"/>
            <w:rPr>
              <w:rFonts w:ascii="Verdana" w:hAnsi="Verdana"/>
              <w:sz w:val="22"/>
              <w:szCs w:val="22"/>
              <w:lang w:val="en-GB" w:eastAsia="en-GB"/>
            </w:rPr>
          </w:pPr>
        </w:p>
        <w:p w14:paraId="06697A10" w14:textId="77777777" w:rsidR="000D6EF8" w:rsidRPr="009A3982" w:rsidRDefault="000D6EF8" w:rsidP="000D6EF8">
          <w:pPr>
            <w:pStyle w:val="Normal0"/>
            <w:jc w:val="both"/>
            <w:rPr>
              <w:rFonts w:ascii="Verdana" w:hAnsi="Verdana"/>
              <w:sz w:val="22"/>
              <w:lang w:val="en-GB" w:eastAsia="en-GB"/>
            </w:rPr>
          </w:pPr>
          <w:r w:rsidRPr="009A3982">
            <w:rPr>
              <w:rFonts w:ascii="Verdana" w:hAnsi="Verdana"/>
              <w:sz w:val="22"/>
              <w:lang w:val="en-GB" w:eastAsia="en-GB"/>
            </w:rPr>
            <w:t>There are currently three Police Officer pension schemes. Officers in the ‘old scheme’ currently contribute between 14.25% and 15.05% depending upon level of basic annual salary (prior to 1 April 2012 officers in the ‘old scheme’ contributed 11% of pensionable pay).  Officers in the ‘new scheme’ currently contribute between 11.0% and 12.75% depending upon level of basic annual salary (prior to 1 April 2012 officers in the ‘new scheme’ contributed 9.5% of earnings or 6% if ineligible for ill-health benefits).  From 1 April 2015 the Police Pensions Scheme 2015 came into effect and all current active members were transferred to this scheme – with the exception of those qualifying for protections allowing them to remain in their current scheme.  Officers contribute between 12.44% and 13.78% depending on their basic salary.  The Chief Constable makes an</w:t>
          </w:r>
          <w:r w:rsidR="009055CC" w:rsidRPr="009A3982">
            <w:rPr>
              <w:rFonts w:ascii="Verdana" w:hAnsi="Verdana"/>
              <w:sz w:val="22"/>
              <w:lang w:val="en-GB" w:eastAsia="en-GB"/>
            </w:rPr>
            <w:t xml:space="preserve"> employer’s contribution of 31</w:t>
          </w:r>
          <w:r w:rsidRPr="009A3982">
            <w:rPr>
              <w:rFonts w:ascii="Verdana" w:hAnsi="Verdana"/>
              <w:sz w:val="22"/>
              <w:lang w:val="en-GB" w:eastAsia="en-GB"/>
            </w:rPr>
            <w:t>% of pensionable pay.  Employee’s and Employer’s contribution levels are based on percentages of pensionable pay set nationally by the Home Office and are subject to triennial revaluation by the Government Actuary’s Department.  The Police Pension scheme has no assets to cover it liabilities, therefore the total payments to pensioners in any year must be paid for by current officer and employer contributions.</w:t>
          </w:r>
        </w:p>
        <w:p w14:paraId="177C74E2" w14:textId="77777777" w:rsidR="000D6EF8" w:rsidRPr="009A3982" w:rsidRDefault="000D6EF8" w:rsidP="000D6EF8">
          <w:pPr>
            <w:pStyle w:val="Normal0"/>
            <w:jc w:val="both"/>
            <w:rPr>
              <w:rFonts w:ascii="Verdana" w:eastAsia="Times New Roman" w:hAnsi="Verdana"/>
              <w:sz w:val="22"/>
              <w:lang w:val="en-GB" w:eastAsia="en-GB"/>
            </w:rPr>
          </w:pPr>
        </w:p>
        <w:p w14:paraId="1C9CB701" w14:textId="77777777" w:rsidR="000D6EF8" w:rsidRPr="009A3982" w:rsidRDefault="000D6EF8" w:rsidP="000D6EF8">
          <w:pPr>
            <w:pStyle w:val="Normal0"/>
            <w:jc w:val="both"/>
            <w:rPr>
              <w:rFonts w:ascii="Verdana" w:eastAsia="Times New Roman" w:hAnsi="Verdana"/>
              <w:sz w:val="22"/>
              <w:lang w:val="en-GB" w:eastAsia="en-GB"/>
            </w:rPr>
          </w:pPr>
          <w:r w:rsidRPr="009A3982">
            <w:rPr>
              <w:rFonts w:ascii="Verdana" w:eastAsia="Times New Roman" w:hAnsi="Verdana"/>
              <w:sz w:val="22"/>
              <w:lang w:val="en-GB" w:eastAsia="en-GB"/>
            </w:rPr>
            <w:t xml:space="preserve">Under the current financing arrangements the Pension Account is balanced to nil at the end of the year.  In the event that the Pension Account is in deficit, the Home Office partially reimburse the Police and Crime Commissioner and the remaining amount required to balance it to nil is met from the Police Operating Account.  </w:t>
          </w:r>
        </w:p>
        <w:p w14:paraId="43255DFB" w14:textId="77777777" w:rsidR="000D6EF8" w:rsidRPr="009A3982" w:rsidRDefault="000D6EF8" w:rsidP="000D6EF8">
          <w:pPr>
            <w:pStyle w:val="Normal0"/>
            <w:jc w:val="both"/>
            <w:rPr>
              <w:rFonts w:ascii="Verdana" w:eastAsia="Times New Roman" w:hAnsi="Verdana"/>
              <w:sz w:val="22"/>
              <w:lang w:val="en-GB" w:eastAsia="en-GB"/>
            </w:rPr>
          </w:pPr>
        </w:p>
        <w:p w14:paraId="0B933E01" w14:textId="77777777" w:rsidR="000D6EF8" w:rsidRPr="009A3982" w:rsidRDefault="000D6EF8" w:rsidP="000D6EF8">
          <w:pPr>
            <w:pStyle w:val="Normal0"/>
            <w:jc w:val="both"/>
            <w:rPr>
              <w:rFonts w:ascii="Verdana" w:eastAsia="Times New Roman" w:hAnsi="Verdana"/>
              <w:sz w:val="22"/>
              <w:lang w:val="en-GB" w:eastAsia="en-GB"/>
            </w:rPr>
          </w:pPr>
          <w:r w:rsidRPr="009A3982">
            <w:rPr>
              <w:rFonts w:ascii="Verdana" w:eastAsia="Times New Roman" w:hAnsi="Verdana"/>
              <w:sz w:val="22"/>
              <w:lang w:val="en-GB" w:eastAsia="en-GB"/>
            </w:rPr>
            <w:t xml:space="preserve">The Net Asset Statement does not include liabilities to pay pensions and other benefits after the balance sheet date.  </w:t>
          </w:r>
        </w:p>
        <w:p w14:paraId="2ABE5B58" w14:textId="77777777" w:rsidR="000D6EF8" w:rsidRPr="009A3982" w:rsidRDefault="000D6EF8" w:rsidP="000D6EF8">
          <w:pPr>
            <w:pStyle w:val="Normal0"/>
            <w:jc w:val="both"/>
            <w:rPr>
              <w:rFonts w:ascii="Verdana" w:eastAsia="Times New Roman" w:hAnsi="Verdana"/>
              <w:sz w:val="22"/>
              <w:lang w:val="en-GB" w:eastAsia="en-GB"/>
            </w:rPr>
          </w:pPr>
        </w:p>
        <w:p w14:paraId="63C31489" w14:textId="77777777" w:rsidR="000D6EF8" w:rsidRPr="009A3982" w:rsidRDefault="000D6EF8" w:rsidP="000D6EF8">
          <w:pPr>
            <w:pStyle w:val="Normal0"/>
            <w:jc w:val="both"/>
            <w:rPr>
              <w:rFonts w:ascii="Verdana" w:eastAsia="Times New Roman" w:hAnsi="Verdana"/>
              <w:sz w:val="22"/>
              <w:lang w:val="en-GB" w:eastAsia="en-GB"/>
            </w:rPr>
          </w:pPr>
          <w:r w:rsidRPr="009A3982">
            <w:rPr>
              <w:rFonts w:ascii="Verdana" w:eastAsia="Times New Roman" w:hAnsi="Verdana"/>
              <w:sz w:val="22"/>
              <w:lang w:val="en-GB" w:eastAsia="en-GB"/>
            </w:rPr>
            <w:t>Liabilities to pay future pension benefits have been disclosed separately at Note 1</w:t>
          </w:r>
          <w:r w:rsidR="00297720" w:rsidRPr="009A3982">
            <w:rPr>
              <w:rFonts w:ascii="Verdana" w:eastAsia="Times New Roman" w:hAnsi="Verdana"/>
              <w:sz w:val="22"/>
              <w:lang w:val="en-GB" w:eastAsia="en-GB"/>
            </w:rPr>
            <w:t>7</w:t>
          </w:r>
          <w:r w:rsidRPr="009A3982">
            <w:rPr>
              <w:rFonts w:ascii="Verdana" w:eastAsia="Times New Roman" w:hAnsi="Verdana"/>
              <w:sz w:val="22"/>
              <w:lang w:val="en-GB" w:eastAsia="en-GB"/>
            </w:rPr>
            <w:t xml:space="preserve"> in accordance with IAS 19 ‘Employee Benefits’.</w:t>
          </w:r>
        </w:p>
        <w:p w14:paraId="4DF7B63E" w14:textId="77777777" w:rsidR="000D6EF8" w:rsidRPr="009A3982" w:rsidRDefault="000D6EF8" w:rsidP="000D6EF8">
          <w:pPr>
            <w:pStyle w:val="Normal0"/>
            <w:jc w:val="both"/>
            <w:rPr>
              <w:rFonts w:ascii="Verdana" w:eastAsia="Times New Roman" w:hAnsi="Verdana"/>
              <w:sz w:val="22"/>
              <w:lang w:val="en-GB" w:eastAsia="en-GB"/>
            </w:rPr>
          </w:pPr>
        </w:p>
        <w:p w14:paraId="331746A2" w14:textId="77777777" w:rsidR="000D6EF8" w:rsidRPr="009A3982" w:rsidRDefault="000D6EF8" w:rsidP="000D6EF8">
          <w:pPr>
            <w:pStyle w:val="Normal0"/>
            <w:jc w:val="both"/>
            <w:rPr>
              <w:rFonts w:ascii="Verdana" w:eastAsia="Times New Roman" w:hAnsi="Verdana"/>
              <w:sz w:val="22"/>
              <w:lang w:val="en-GB" w:eastAsia="en-GB"/>
            </w:rPr>
          </w:pPr>
          <w:r w:rsidRPr="009A3982">
            <w:rPr>
              <w:rFonts w:ascii="Verdana" w:eastAsia="Times New Roman" w:hAnsi="Verdana"/>
              <w:sz w:val="22"/>
              <w:lang w:val="en-GB" w:eastAsia="en-GB"/>
            </w:rPr>
            <w:t>The New Police Pension Scheme (NPPS) applies to police entrants who joined the service on or after 6 April 2006 up to 31 March 2015, or who chose to transfer from the previous Police Pension Scheme (</w:t>
          </w:r>
          <w:smartTag w:uri="urn:schemas-microsoft-com:office:smarttags" w:element="stockticker">
            <w:r w:rsidRPr="009A3982">
              <w:rPr>
                <w:rFonts w:ascii="Verdana" w:eastAsia="Times New Roman" w:hAnsi="Verdana"/>
                <w:sz w:val="22"/>
                <w:lang w:val="en-GB" w:eastAsia="en-GB"/>
              </w:rPr>
              <w:t>PPS</w:t>
            </w:r>
          </w:smartTag>
          <w:r w:rsidRPr="009A3982">
            <w:rPr>
              <w:rFonts w:ascii="Verdana" w:eastAsia="Times New Roman" w:hAnsi="Verdana"/>
              <w:sz w:val="22"/>
              <w:lang w:val="en-GB" w:eastAsia="en-GB"/>
            </w:rPr>
            <w:t>) to the NPPS.  The Police Pensions Scheme 2015 applies to all current active members who do not qualify for any protections allowing them to remain in their original scheme.  Benefits payable under all three schemes are shown in tabular form below:</w:t>
          </w:r>
        </w:p>
        <w:p w14:paraId="1EFD9416" w14:textId="77777777" w:rsidR="000D6EF8" w:rsidRPr="009A3982" w:rsidRDefault="000D6EF8" w:rsidP="000D6EF8">
          <w:pPr>
            <w:pStyle w:val="Normal00"/>
            <w:ind w:left="500"/>
            <w:rPr>
              <w:rFonts w:eastAsia="Times New Roman" w:cs="Arial"/>
              <w:sz w:val="22"/>
              <w:lang w:val="en-GB" w:eastAsia="en-GB"/>
            </w:rPr>
          </w:pP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3013"/>
            <w:gridCol w:w="2697"/>
            <w:gridCol w:w="2983"/>
          </w:tblGrid>
          <w:tr w:rsidR="000D6EF8" w:rsidRPr="009A3982" w14:paraId="0EABA859" w14:textId="77777777" w:rsidTr="000D6EF8">
            <w:trPr>
              <w:trHeight w:val="392"/>
              <w:jc w:val="center"/>
            </w:trPr>
            <w:tc>
              <w:tcPr>
                <w:tcW w:w="1935" w:type="dxa"/>
                <w:shd w:val="clear" w:color="auto" w:fill="auto"/>
              </w:tcPr>
              <w:p w14:paraId="0126E4AA" w14:textId="77777777" w:rsidR="000D6EF8" w:rsidRPr="009A3982" w:rsidRDefault="000D6EF8" w:rsidP="000D6EF8">
                <w:pPr>
                  <w:pStyle w:val="Normal00"/>
                  <w:tabs>
                    <w:tab w:val="center" w:pos="4153"/>
                    <w:tab w:val="right" w:pos="8306"/>
                  </w:tabs>
                  <w:rPr>
                    <w:rFonts w:ascii="Verdana" w:eastAsia="Times New Roman" w:hAnsi="Verdana" w:cs="Arial"/>
                    <w:b/>
                    <w:sz w:val="16"/>
                    <w:szCs w:val="16"/>
                    <w:lang w:val="en-GB" w:eastAsia="en-GB"/>
                  </w:rPr>
                </w:pPr>
              </w:p>
            </w:tc>
            <w:tc>
              <w:tcPr>
                <w:tcW w:w="3013" w:type="dxa"/>
                <w:shd w:val="clear" w:color="auto" w:fill="auto"/>
                <w:vAlign w:val="center"/>
              </w:tcPr>
              <w:p w14:paraId="4C1F0AF9" w14:textId="77777777" w:rsidR="000D6EF8" w:rsidRPr="009A3982" w:rsidRDefault="000D6EF8" w:rsidP="000D6EF8">
                <w:pPr>
                  <w:pStyle w:val="Normal00"/>
                  <w:tabs>
                    <w:tab w:val="center" w:pos="4153"/>
                    <w:tab w:val="right" w:pos="8306"/>
                  </w:tabs>
                  <w:rPr>
                    <w:rFonts w:ascii="Verdana" w:eastAsia="Times New Roman" w:hAnsi="Verdana" w:cs="Arial"/>
                    <w:b/>
                    <w:sz w:val="16"/>
                    <w:szCs w:val="16"/>
                    <w:lang w:val="en-GB" w:eastAsia="en-GB"/>
                  </w:rPr>
                </w:pPr>
                <w:r w:rsidRPr="009A3982">
                  <w:rPr>
                    <w:rFonts w:ascii="Verdana" w:eastAsia="Times New Roman" w:hAnsi="Verdana" w:cs="Arial"/>
                    <w:b/>
                    <w:sz w:val="16"/>
                    <w:szCs w:val="16"/>
                    <w:lang w:val="en-GB" w:eastAsia="en-GB"/>
                  </w:rPr>
                  <w:t>Police Pension Scheme (</w:t>
                </w:r>
                <w:smartTag w:uri="urn:schemas-microsoft-com:office:smarttags" w:element="stockticker">
                  <w:r w:rsidRPr="009A3982">
                    <w:rPr>
                      <w:rFonts w:ascii="Verdana" w:eastAsia="Times New Roman" w:hAnsi="Verdana" w:cs="Arial"/>
                      <w:b/>
                      <w:sz w:val="16"/>
                      <w:szCs w:val="16"/>
                      <w:lang w:val="en-GB" w:eastAsia="en-GB"/>
                    </w:rPr>
                    <w:t>PPS</w:t>
                  </w:r>
                </w:smartTag>
                <w:r w:rsidRPr="009A3982">
                  <w:rPr>
                    <w:rFonts w:ascii="Verdana" w:eastAsia="Times New Roman" w:hAnsi="Verdana" w:cs="Arial"/>
                    <w:b/>
                    <w:sz w:val="16"/>
                    <w:szCs w:val="16"/>
                    <w:lang w:val="en-GB" w:eastAsia="en-GB"/>
                  </w:rPr>
                  <w:t>) (1987)</w:t>
                </w:r>
              </w:p>
            </w:tc>
            <w:tc>
              <w:tcPr>
                <w:tcW w:w="2697" w:type="dxa"/>
                <w:shd w:val="clear" w:color="auto" w:fill="auto"/>
                <w:vAlign w:val="center"/>
              </w:tcPr>
              <w:p w14:paraId="5DF4DBA8" w14:textId="77777777" w:rsidR="000D6EF8" w:rsidRPr="009A3982" w:rsidRDefault="000D6EF8" w:rsidP="000D6EF8">
                <w:pPr>
                  <w:pStyle w:val="Normal00"/>
                  <w:tabs>
                    <w:tab w:val="left" w:pos="1667"/>
                    <w:tab w:val="center" w:pos="4153"/>
                    <w:tab w:val="right" w:pos="8306"/>
                  </w:tabs>
                  <w:jc w:val="center"/>
                  <w:rPr>
                    <w:rFonts w:ascii="Verdana" w:eastAsia="Times New Roman" w:hAnsi="Verdana" w:cs="Arial"/>
                    <w:b/>
                    <w:sz w:val="16"/>
                    <w:szCs w:val="16"/>
                    <w:lang w:val="en-GB" w:eastAsia="en-GB"/>
                  </w:rPr>
                </w:pPr>
                <w:r w:rsidRPr="009A3982">
                  <w:rPr>
                    <w:rFonts w:ascii="Verdana" w:eastAsia="Times New Roman" w:hAnsi="Verdana" w:cs="Arial"/>
                    <w:b/>
                    <w:sz w:val="16"/>
                    <w:szCs w:val="16"/>
                    <w:lang w:val="en-GB" w:eastAsia="en-GB"/>
                  </w:rPr>
                  <w:t>New Police Pension Scheme (NPP) (2006)</w:t>
                </w:r>
              </w:p>
            </w:tc>
            <w:tc>
              <w:tcPr>
                <w:tcW w:w="2983" w:type="dxa"/>
                <w:shd w:val="clear" w:color="auto" w:fill="auto"/>
              </w:tcPr>
              <w:p w14:paraId="159BA23D" w14:textId="77777777" w:rsidR="000D6EF8" w:rsidRPr="009A3982" w:rsidRDefault="000D6EF8" w:rsidP="000D6EF8">
                <w:pPr>
                  <w:pStyle w:val="Normal00"/>
                  <w:tabs>
                    <w:tab w:val="left" w:pos="1667"/>
                    <w:tab w:val="center" w:pos="4153"/>
                    <w:tab w:val="right" w:pos="8306"/>
                  </w:tabs>
                  <w:jc w:val="center"/>
                  <w:rPr>
                    <w:rFonts w:ascii="Verdana" w:eastAsia="Times New Roman" w:hAnsi="Verdana" w:cs="Arial"/>
                    <w:b/>
                    <w:sz w:val="16"/>
                    <w:szCs w:val="16"/>
                    <w:lang w:val="en-GB" w:eastAsia="en-GB"/>
                  </w:rPr>
                </w:pPr>
                <w:r w:rsidRPr="009A3982">
                  <w:rPr>
                    <w:rFonts w:ascii="Verdana" w:eastAsia="Times New Roman" w:hAnsi="Verdana" w:cs="Arial"/>
                    <w:b/>
                    <w:sz w:val="16"/>
                    <w:szCs w:val="16"/>
                    <w:lang w:val="en-GB" w:eastAsia="en-GB"/>
                  </w:rPr>
                  <w:t>Police Pensions Scheme 2015</w:t>
                </w:r>
              </w:p>
            </w:tc>
          </w:tr>
          <w:tr w:rsidR="000D6EF8" w:rsidRPr="009A3982" w14:paraId="1704B483" w14:textId="77777777" w:rsidTr="000D6EF8">
            <w:trPr>
              <w:trHeight w:val="799"/>
              <w:jc w:val="center"/>
            </w:trPr>
            <w:tc>
              <w:tcPr>
                <w:tcW w:w="1935" w:type="dxa"/>
                <w:shd w:val="clear" w:color="auto" w:fill="auto"/>
              </w:tcPr>
              <w:p w14:paraId="6A661BEC"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What is maximum pension</w:t>
                </w:r>
              </w:p>
            </w:tc>
            <w:tc>
              <w:tcPr>
                <w:tcW w:w="3013" w:type="dxa"/>
                <w:shd w:val="clear" w:color="auto" w:fill="auto"/>
              </w:tcPr>
              <w:p w14:paraId="6A4A1269"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2/3 final salary, with option to exchange part of the pension for a lump sum</w:t>
                </w:r>
              </w:p>
            </w:tc>
            <w:tc>
              <w:tcPr>
                <w:tcW w:w="2697" w:type="dxa"/>
                <w:shd w:val="clear" w:color="auto" w:fill="auto"/>
              </w:tcPr>
              <w:p w14:paraId="36B132A4"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½ final salary plus fixed lump sum of 4 times the pension, with option to exchange part or all of lump sum for extra pension</w:t>
                </w:r>
              </w:p>
            </w:tc>
            <w:tc>
              <w:tcPr>
                <w:tcW w:w="2983" w:type="dxa"/>
                <w:shd w:val="clear" w:color="auto" w:fill="auto"/>
              </w:tcPr>
              <w:p w14:paraId="46F09804"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Pension at retirement is the sum of each of the accrued pension pots, subject to revaluation at a rate of CPI +1.25% per year</w:t>
                </w:r>
              </w:p>
            </w:tc>
          </w:tr>
          <w:tr w:rsidR="000D6EF8" w:rsidRPr="009A3982" w14:paraId="5B95C2EE" w14:textId="77777777" w:rsidTr="000D6EF8">
            <w:trPr>
              <w:trHeight w:val="467"/>
              <w:jc w:val="center"/>
            </w:trPr>
            <w:tc>
              <w:tcPr>
                <w:tcW w:w="1935" w:type="dxa"/>
                <w:shd w:val="clear" w:color="auto" w:fill="auto"/>
              </w:tcPr>
              <w:p w14:paraId="2A8DBE03"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Final salary basis</w:t>
                </w:r>
              </w:p>
            </w:tc>
            <w:tc>
              <w:tcPr>
                <w:tcW w:w="3013" w:type="dxa"/>
                <w:shd w:val="clear" w:color="auto" w:fill="auto"/>
              </w:tcPr>
              <w:p w14:paraId="1ABF4A51"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Pensionable remuneration is normally the average remuneration in the employee’s final year</w:t>
                </w:r>
              </w:p>
            </w:tc>
            <w:tc>
              <w:tcPr>
                <w:tcW w:w="2697" w:type="dxa"/>
                <w:shd w:val="clear" w:color="auto" w:fill="auto"/>
                <w:vAlign w:val="center"/>
              </w:tcPr>
              <w:p w14:paraId="3792B502"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Earnings over the last ten years are taken into account via best average over 3 consecutive years</w:t>
                </w:r>
              </w:p>
            </w:tc>
            <w:tc>
              <w:tcPr>
                <w:tcW w:w="2983" w:type="dxa"/>
                <w:shd w:val="clear" w:color="auto" w:fill="auto"/>
              </w:tcPr>
              <w:p w14:paraId="1236CE51"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Scheme is a Career Average Revalued Earnings scheme</w:t>
                </w:r>
              </w:p>
            </w:tc>
          </w:tr>
          <w:tr w:rsidR="000D6EF8" w:rsidRPr="009A3982" w14:paraId="6359815A" w14:textId="77777777" w:rsidTr="000D6EF8">
            <w:trPr>
              <w:trHeight w:val="464"/>
              <w:jc w:val="center"/>
            </w:trPr>
            <w:tc>
              <w:tcPr>
                <w:tcW w:w="1935" w:type="dxa"/>
                <w:shd w:val="clear" w:color="auto" w:fill="auto"/>
              </w:tcPr>
              <w:p w14:paraId="1B640592"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Length of service for maximum pension</w:t>
                </w:r>
              </w:p>
            </w:tc>
            <w:tc>
              <w:tcPr>
                <w:tcW w:w="3013" w:type="dxa"/>
                <w:shd w:val="clear" w:color="auto" w:fill="auto"/>
                <w:vAlign w:val="center"/>
              </w:tcPr>
              <w:p w14:paraId="67367519"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30 years</w:t>
                </w:r>
              </w:p>
            </w:tc>
            <w:tc>
              <w:tcPr>
                <w:tcW w:w="2697" w:type="dxa"/>
                <w:shd w:val="clear" w:color="auto" w:fill="auto"/>
                <w:vAlign w:val="center"/>
              </w:tcPr>
              <w:p w14:paraId="2F372FBA"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35 years</w:t>
                </w:r>
              </w:p>
            </w:tc>
            <w:tc>
              <w:tcPr>
                <w:tcW w:w="2983" w:type="dxa"/>
                <w:shd w:val="clear" w:color="auto" w:fill="auto"/>
                <w:vAlign w:val="center"/>
              </w:tcPr>
              <w:p w14:paraId="732EBEC5"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No maximum length of membership</w:t>
                </w:r>
              </w:p>
            </w:tc>
          </w:tr>
          <w:tr w:rsidR="000D6EF8" w:rsidRPr="009A3982" w14:paraId="7C5FE5D2" w14:textId="77777777" w:rsidTr="000D6EF8">
            <w:trPr>
              <w:trHeight w:val="630"/>
              <w:jc w:val="center"/>
            </w:trPr>
            <w:tc>
              <w:tcPr>
                <w:tcW w:w="1935" w:type="dxa"/>
                <w:shd w:val="clear" w:color="auto" w:fill="auto"/>
              </w:tcPr>
              <w:p w14:paraId="7BC44836"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Earliest age to receive pension</w:t>
                </w:r>
              </w:p>
            </w:tc>
            <w:tc>
              <w:tcPr>
                <w:tcW w:w="3013" w:type="dxa"/>
                <w:shd w:val="clear" w:color="auto" w:fill="auto"/>
              </w:tcPr>
              <w:p w14:paraId="34133CC0"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Age 50 after 25 years of service</w:t>
                </w:r>
              </w:p>
              <w:p w14:paraId="610E5269"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Any age after 30 years of service</w:t>
                </w:r>
              </w:p>
              <w:p w14:paraId="7D7C7CFA"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Age 55 for less than 25 years of service</w:t>
                </w:r>
              </w:p>
              <w:p w14:paraId="2BD3862C"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Age 60 if leave service before compulsory retirement age with less than 25 years of service</w:t>
                </w:r>
              </w:p>
            </w:tc>
            <w:tc>
              <w:tcPr>
                <w:tcW w:w="2697" w:type="dxa"/>
                <w:shd w:val="clear" w:color="auto" w:fill="auto"/>
                <w:vAlign w:val="center"/>
              </w:tcPr>
              <w:p w14:paraId="6CCF097E"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Age 55 if remain in police service until that age</w:t>
                </w:r>
              </w:p>
              <w:p w14:paraId="5DAC19DD"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p>
              <w:p w14:paraId="2E690D20"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Age 65 if leave police service before age 55 or opting out of the scheme</w:t>
                </w:r>
              </w:p>
            </w:tc>
            <w:tc>
              <w:tcPr>
                <w:tcW w:w="2983" w:type="dxa"/>
                <w:shd w:val="clear" w:color="auto" w:fill="auto"/>
              </w:tcPr>
              <w:p w14:paraId="0F29564D"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Age 60 if remain in police service until that age.</w:t>
                </w:r>
              </w:p>
              <w:p w14:paraId="3FE07B00"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p>
              <w:p w14:paraId="21DB7D3A"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State pension age if leave police service before age 60.</w:t>
                </w:r>
              </w:p>
            </w:tc>
          </w:tr>
          <w:tr w:rsidR="000D6EF8" w:rsidRPr="009A3982" w14:paraId="462D5DB5" w14:textId="77777777" w:rsidTr="000D6EF8">
            <w:trPr>
              <w:trHeight w:val="560"/>
              <w:jc w:val="center"/>
            </w:trPr>
            <w:tc>
              <w:tcPr>
                <w:tcW w:w="1935" w:type="dxa"/>
                <w:shd w:val="clear" w:color="auto" w:fill="auto"/>
              </w:tcPr>
              <w:p w14:paraId="06009BA2"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Pension increases</w:t>
                </w:r>
              </w:p>
            </w:tc>
            <w:tc>
              <w:tcPr>
                <w:tcW w:w="3013" w:type="dxa"/>
                <w:shd w:val="clear" w:color="auto" w:fill="auto"/>
              </w:tcPr>
              <w:p w14:paraId="605F5085"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All pensions in payment, deferred pensions and children’s pensions are increased annually in line with the Consumer Price Index.</w:t>
                </w:r>
              </w:p>
            </w:tc>
            <w:tc>
              <w:tcPr>
                <w:tcW w:w="2697" w:type="dxa"/>
                <w:shd w:val="clear" w:color="auto" w:fill="auto"/>
              </w:tcPr>
              <w:p w14:paraId="43A0E0C6"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All pensions in payment, deferred pensions and children’s pensions are increased annually in line with the Consumer Price Index.</w:t>
                </w:r>
              </w:p>
            </w:tc>
            <w:tc>
              <w:tcPr>
                <w:tcW w:w="2983" w:type="dxa"/>
                <w:shd w:val="clear" w:color="auto" w:fill="auto"/>
              </w:tcPr>
              <w:p w14:paraId="0DDBD956"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All pensions in payment, deferred pensions and children’s pensions are increased annually in line with the Consumer Price Index.</w:t>
                </w:r>
              </w:p>
            </w:tc>
          </w:tr>
          <w:tr w:rsidR="000D6EF8" w:rsidRPr="009A3982" w14:paraId="1C37B069" w14:textId="77777777" w:rsidTr="000D6EF8">
            <w:trPr>
              <w:trHeight w:val="549"/>
              <w:jc w:val="center"/>
            </w:trPr>
            <w:tc>
              <w:tcPr>
                <w:tcW w:w="1935" w:type="dxa"/>
                <w:shd w:val="clear" w:color="auto" w:fill="auto"/>
              </w:tcPr>
              <w:p w14:paraId="5570BBB3"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How is pension accumulated</w:t>
                </w:r>
              </w:p>
            </w:tc>
            <w:tc>
              <w:tcPr>
                <w:tcW w:w="3013" w:type="dxa"/>
                <w:shd w:val="clear" w:color="auto" w:fill="auto"/>
              </w:tcPr>
              <w:p w14:paraId="60DD9EC9"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1/60 of final salary for first 20 years of service, plus 1/30 for final 10 years of service up to a maximum pension entitlement of 40/60.</w:t>
                </w:r>
              </w:p>
            </w:tc>
            <w:tc>
              <w:tcPr>
                <w:tcW w:w="2697" w:type="dxa"/>
                <w:shd w:val="clear" w:color="auto" w:fill="auto"/>
              </w:tcPr>
              <w:p w14:paraId="31218047"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 xml:space="preserve">1/70 of final salary for each year of service up to a maximum 50% of final pensionable after 35 years of service. </w:t>
                </w:r>
              </w:p>
            </w:tc>
            <w:tc>
              <w:tcPr>
                <w:tcW w:w="2983" w:type="dxa"/>
                <w:shd w:val="clear" w:color="auto" w:fill="auto"/>
              </w:tcPr>
              <w:p w14:paraId="6D42F5E9"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r w:rsidRPr="009A3982">
                  <w:rPr>
                    <w:rFonts w:ascii="Verdana" w:eastAsia="Times New Roman" w:hAnsi="Verdana" w:cs="Arial"/>
                    <w:sz w:val="16"/>
                    <w:szCs w:val="16"/>
                    <w:lang w:val="en-GB" w:eastAsia="en-GB"/>
                  </w:rPr>
                  <w:t>1/55.3th of pensionable earnings each year is added to the members’ pension pot for each year of membership.</w:t>
                </w:r>
              </w:p>
              <w:p w14:paraId="3CE0EED8" w14:textId="77777777" w:rsidR="000D6EF8" w:rsidRPr="009A3982" w:rsidRDefault="000D6EF8" w:rsidP="000D6EF8">
                <w:pPr>
                  <w:pStyle w:val="Normal00"/>
                  <w:tabs>
                    <w:tab w:val="center" w:pos="4153"/>
                    <w:tab w:val="right" w:pos="8306"/>
                  </w:tabs>
                  <w:rPr>
                    <w:rFonts w:ascii="Verdana" w:eastAsia="Times New Roman" w:hAnsi="Verdana" w:cs="Arial"/>
                    <w:sz w:val="16"/>
                    <w:szCs w:val="16"/>
                    <w:lang w:val="en-GB" w:eastAsia="en-GB"/>
                  </w:rPr>
                </w:pPr>
              </w:p>
            </w:tc>
          </w:tr>
        </w:tbl>
        <w:p w14:paraId="1F775AC1" w14:textId="77777777" w:rsidR="000D6EF8" w:rsidRPr="009A3982" w:rsidRDefault="000D6EF8" w:rsidP="000D6EF8">
          <w:pPr>
            <w:rPr>
              <w:rFonts w:eastAsia="Times New Roman" w:cs="Arial"/>
              <w:b/>
              <w:lang w:val="en-GB" w:eastAsia="en-GB"/>
            </w:rPr>
          </w:pPr>
        </w:p>
        <w:p w14:paraId="40E150D7" w14:textId="77777777" w:rsidR="000D6EF8" w:rsidRPr="009A3982" w:rsidRDefault="000D6EF8" w:rsidP="000D6EF8"/>
        <w:p w14:paraId="1EE720D3" w14:textId="77777777" w:rsidR="00CA6653" w:rsidRPr="003516A4" w:rsidRDefault="0041394A" w:rsidP="000D6EF8">
          <w:pPr>
            <w:rPr>
              <w:highlight w:val="yellow"/>
            </w:rPr>
          </w:pPr>
        </w:p>
      </w:sdtContent>
    </w:sdt>
    <w:p w14:paraId="23E2F487" w14:textId="77777777" w:rsidR="00CA6653" w:rsidRPr="003516A4" w:rsidRDefault="00CA6653" w:rsidP="000D6EF8">
      <w:pPr>
        <w:pStyle w:val="Footer"/>
        <w:rPr>
          <w:highlight w:val="yellow"/>
        </w:rPr>
        <w:sectPr w:rsidR="00CA6653" w:rsidRPr="003516A4" w:rsidSect="00763D21">
          <w:type w:val="nextColumn"/>
          <w:pgSz w:w="16840" w:h="11900" w:orient="landscape"/>
          <w:pgMar w:top="1440" w:right="1440" w:bottom="1440" w:left="1440" w:header="708" w:footer="708" w:gutter="0"/>
          <w:cols w:space="708"/>
          <w:docGrid w:linePitch="360"/>
        </w:sectPr>
      </w:pPr>
    </w:p>
    <w:p w14:paraId="54CBA985" w14:textId="77777777" w:rsidR="00CA6653" w:rsidRPr="00AA18DD" w:rsidRDefault="00CA6653" w:rsidP="00A31A9E">
      <w:pPr>
        <w:pStyle w:val="Heading1"/>
        <w:rPr>
          <w:lang w:eastAsia="en-GB"/>
        </w:rPr>
      </w:pPr>
      <w:bookmarkStart w:id="59" w:name="_Toc75122811"/>
      <w:r w:rsidRPr="00AA18DD">
        <w:rPr>
          <w:lang w:eastAsia="en-GB"/>
        </w:rPr>
        <w:t>Glossary of Accounting Terms</w:t>
      </w:r>
      <w:bookmarkEnd w:id="59"/>
    </w:p>
    <w:p w14:paraId="2433424A"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ACCRUAL</w:t>
      </w:r>
    </w:p>
    <w:p w14:paraId="5D82C4BB" w14:textId="77777777" w:rsidR="00CA6653" w:rsidRDefault="00AA18DD" w:rsidP="00CA6653">
      <w:pPr>
        <w:pStyle w:val="Normal0"/>
        <w:jc w:val="both"/>
        <w:rPr>
          <w:rFonts w:ascii="Verdana" w:hAnsi="Verdana"/>
          <w:sz w:val="22"/>
          <w:szCs w:val="22"/>
          <w:lang w:val="en-GB" w:eastAsia="en-GB"/>
        </w:rPr>
      </w:pPr>
      <w:r w:rsidRPr="00542019">
        <w:rPr>
          <w:rFonts w:ascii="Verdana" w:hAnsi="Verdana"/>
          <w:sz w:val="22"/>
          <w:szCs w:val="22"/>
          <w:lang w:val="en-GB" w:eastAsia="en-GB"/>
        </w:rPr>
        <w:t>An accrual is a liability for expenditure relating to goods and services that have been received or supplied but are not invoiced until the following financial year.</w:t>
      </w:r>
    </w:p>
    <w:p w14:paraId="7CC22E72" w14:textId="77777777" w:rsidR="00AA18DD" w:rsidRDefault="00AA18DD" w:rsidP="00CA6653">
      <w:pPr>
        <w:pStyle w:val="Normal0"/>
        <w:jc w:val="both"/>
        <w:rPr>
          <w:rFonts w:ascii="Verdana" w:eastAsia="Times New Roman" w:hAnsi="Verdana"/>
          <w:sz w:val="22"/>
          <w:szCs w:val="22"/>
          <w:lang w:val="en-GB" w:eastAsia="en-GB"/>
        </w:rPr>
      </w:pPr>
    </w:p>
    <w:p w14:paraId="407CB690" w14:textId="77777777" w:rsidR="00AA18DD" w:rsidRPr="00542019" w:rsidRDefault="00AA18DD" w:rsidP="00AA18DD">
      <w:pPr>
        <w:pStyle w:val="Normal0"/>
        <w:jc w:val="both"/>
        <w:rPr>
          <w:rFonts w:ascii="Verdana" w:hAnsi="Verdana"/>
          <w:b/>
          <w:sz w:val="22"/>
          <w:szCs w:val="22"/>
          <w:lang w:val="en-GB" w:eastAsia="en-GB"/>
        </w:rPr>
      </w:pPr>
      <w:r w:rsidRPr="00542019">
        <w:rPr>
          <w:rFonts w:ascii="Verdana" w:hAnsi="Verdana"/>
          <w:b/>
          <w:sz w:val="22"/>
          <w:szCs w:val="22"/>
          <w:lang w:val="en-GB" w:eastAsia="en-GB"/>
        </w:rPr>
        <w:t>ACCRUED INCOME</w:t>
      </w:r>
    </w:p>
    <w:p w14:paraId="0B748290" w14:textId="77777777" w:rsidR="00AA18DD" w:rsidRPr="00542019" w:rsidRDefault="00AA18DD" w:rsidP="00AA18DD">
      <w:pPr>
        <w:pStyle w:val="Normal0"/>
        <w:jc w:val="both"/>
        <w:rPr>
          <w:rFonts w:ascii="Verdana" w:hAnsi="Verdana"/>
          <w:sz w:val="22"/>
          <w:szCs w:val="22"/>
          <w:lang w:val="en-GB" w:eastAsia="en-GB"/>
        </w:rPr>
      </w:pPr>
      <w:r w:rsidRPr="00542019">
        <w:rPr>
          <w:rFonts w:ascii="Verdana" w:hAnsi="Verdana"/>
          <w:sz w:val="22"/>
          <w:szCs w:val="22"/>
          <w:lang w:val="en-GB" w:eastAsia="en-GB"/>
        </w:rPr>
        <w:t>Income earned in the financial year which has not yet been received.</w:t>
      </w:r>
    </w:p>
    <w:p w14:paraId="0FC19666" w14:textId="77777777" w:rsidR="00AA18DD" w:rsidRPr="00542019" w:rsidRDefault="00AA18DD" w:rsidP="00AA18DD">
      <w:pPr>
        <w:pStyle w:val="Normal0"/>
        <w:jc w:val="both"/>
        <w:rPr>
          <w:rFonts w:ascii="Verdana" w:hAnsi="Verdana"/>
          <w:sz w:val="22"/>
          <w:szCs w:val="22"/>
          <w:lang w:val="en-GB" w:eastAsia="en-GB"/>
        </w:rPr>
      </w:pPr>
    </w:p>
    <w:p w14:paraId="10B3707E"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ACTUARIAL GAINS AND LOSSES</w:t>
      </w:r>
      <w:r w:rsidR="00AA18DD">
        <w:rPr>
          <w:rFonts w:ascii="Verdana" w:eastAsia="Times New Roman" w:hAnsi="Verdana" w:cs="Arial"/>
          <w:b/>
          <w:sz w:val="22"/>
          <w:szCs w:val="22"/>
          <w:lang w:val="en-GB" w:eastAsia="en-GB"/>
        </w:rPr>
        <w:t xml:space="preserve"> (PENSIONS)</w:t>
      </w:r>
    </w:p>
    <w:p w14:paraId="4EEF5668"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For a defined benefit pension scheme, the changes in actuarial deficits or surpluses that arise because, either events have not coincided with the actuarial assumptions made for the last valuation (experience gains and losses), or the actuarial assumptions have changed.</w:t>
      </w:r>
    </w:p>
    <w:p w14:paraId="4ED2BC4E" w14:textId="77777777" w:rsidR="00CA6653" w:rsidRPr="00AA18DD" w:rsidRDefault="00CA6653" w:rsidP="00CA6653">
      <w:pPr>
        <w:pStyle w:val="Normal0"/>
        <w:jc w:val="both"/>
        <w:rPr>
          <w:rFonts w:ascii="Verdana" w:eastAsia="Times New Roman" w:hAnsi="Verdana"/>
          <w:sz w:val="22"/>
          <w:szCs w:val="22"/>
          <w:lang w:val="en-GB" w:eastAsia="en-GB"/>
        </w:rPr>
      </w:pPr>
    </w:p>
    <w:p w14:paraId="058EE517"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AMORTISATION</w:t>
      </w:r>
    </w:p>
    <w:p w14:paraId="55F75448"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An annual charge made to the overall PCC budget, reducing the value of an asset to zero, over a period of time.</w:t>
      </w:r>
    </w:p>
    <w:p w14:paraId="0C693F74" w14:textId="77777777" w:rsidR="00CA6653" w:rsidRDefault="00CA6653" w:rsidP="00CA6653">
      <w:pPr>
        <w:pStyle w:val="Normal0"/>
        <w:jc w:val="both"/>
        <w:rPr>
          <w:rFonts w:ascii="Verdana" w:eastAsia="Times New Roman" w:hAnsi="Verdana"/>
          <w:sz w:val="22"/>
          <w:szCs w:val="22"/>
          <w:lang w:val="en-GB" w:eastAsia="en-GB"/>
        </w:rPr>
      </w:pPr>
    </w:p>
    <w:p w14:paraId="3CB3EAD5" w14:textId="77777777" w:rsidR="00AA18DD" w:rsidRPr="00542019" w:rsidRDefault="00AA18DD" w:rsidP="00AA18DD">
      <w:pPr>
        <w:pStyle w:val="Normal0"/>
        <w:jc w:val="both"/>
        <w:rPr>
          <w:rFonts w:ascii="Verdana" w:hAnsi="Verdana"/>
          <w:b/>
          <w:sz w:val="22"/>
          <w:szCs w:val="22"/>
        </w:rPr>
      </w:pPr>
      <w:r w:rsidRPr="00542019">
        <w:rPr>
          <w:rFonts w:ascii="Verdana" w:hAnsi="Verdana"/>
          <w:b/>
          <w:sz w:val="22"/>
          <w:szCs w:val="22"/>
        </w:rPr>
        <w:t>ASSET</w:t>
      </w:r>
    </w:p>
    <w:p w14:paraId="5D44AEDD" w14:textId="77777777" w:rsidR="00AA18DD" w:rsidRPr="00542019" w:rsidRDefault="00AA18DD" w:rsidP="00AA18DD">
      <w:pPr>
        <w:pStyle w:val="Normal0"/>
        <w:jc w:val="both"/>
        <w:rPr>
          <w:rFonts w:ascii="Verdana" w:hAnsi="Verdana"/>
          <w:sz w:val="22"/>
          <w:szCs w:val="22"/>
        </w:rPr>
      </w:pPr>
      <w:r w:rsidRPr="00542019">
        <w:rPr>
          <w:rFonts w:ascii="Verdana" w:hAnsi="Verdana"/>
          <w:sz w:val="22"/>
          <w:szCs w:val="22"/>
        </w:rPr>
        <w:t>Tangible or intangible resources owned by the force and which have future economic value that can be measured and can be expressed in pounds.</w:t>
      </w:r>
    </w:p>
    <w:p w14:paraId="2EF54B0C" w14:textId="77777777" w:rsidR="00AA18DD" w:rsidRPr="00542019" w:rsidRDefault="00AA18DD" w:rsidP="00AA18DD">
      <w:pPr>
        <w:pStyle w:val="Normal0"/>
        <w:jc w:val="both"/>
        <w:rPr>
          <w:rFonts w:ascii="Verdana" w:hAnsi="Verdana"/>
          <w:sz w:val="22"/>
          <w:szCs w:val="22"/>
          <w:lang w:val="en-GB" w:eastAsia="en-GB"/>
        </w:rPr>
      </w:pPr>
    </w:p>
    <w:p w14:paraId="134CE161" w14:textId="77777777" w:rsidR="00AA18DD" w:rsidRPr="00542019" w:rsidRDefault="00AA18DD" w:rsidP="00AA18DD">
      <w:pPr>
        <w:pStyle w:val="Normal0"/>
        <w:jc w:val="both"/>
        <w:rPr>
          <w:rFonts w:ascii="Verdana" w:hAnsi="Verdana"/>
          <w:b/>
          <w:sz w:val="22"/>
          <w:szCs w:val="22"/>
          <w:lang w:val="en-GB" w:eastAsia="en-GB"/>
        </w:rPr>
      </w:pPr>
      <w:r w:rsidRPr="00542019">
        <w:rPr>
          <w:rFonts w:ascii="Verdana" w:hAnsi="Verdana"/>
          <w:b/>
          <w:sz w:val="22"/>
          <w:szCs w:val="22"/>
          <w:lang w:val="en-GB" w:eastAsia="en-GB"/>
        </w:rPr>
        <w:t>BILLING AUTHORITY</w:t>
      </w:r>
    </w:p>
    <w:p w14:paraId="076F0DCC" w14:textId="77777777" w:rsidR="00AA18DD" w:rsidRPr="00542019" w:rsidRDefault="00AA18DD" w:rsidP="00AA18DD">
      <w:pPr>
        <w:pStyle w:val="Normal0"/>
        <w:jc w:val="both"/>
        <w:rPr>
          <w:rFonts w:ascii="Verdana" w:hAnsi="Verdana"/>
          <w:sz w:val="22"/>
          <w:szCs w:val="22"/>
          <w:lang w:val="en-GB" w:eastAsia="en-GB"/>
        </w:rPr>
      </w:pPr>
      <w:r w:rsidRPr="00542019">
        <w:rPr>
          <w:rFonts w:ascii="Verdana" w:hAnsi="Verdana"/>
          <w:sz w:val="22"/>
          <w:szCs w:val="22"/>
          <w:lang w:val="en-GB" w:eastAsia="en-GB"/>
        </w:rPr>
        <w:t xml:space="preserve">The local authority is responsible for administering the collection fund. These are </w:t>
      </w:r>
      <w:r>
        <w:rPr>
          <w:rFonts w:ascii="Verdana" w:hAnsi="Verdana"/>
          <w:sz w:val="22"/>
          <w:szCs w:val="22"/>
          <w:lang w:val="en-GB" w:eastAsia="en-GB"/>
        </w:rPr>
        <w:t>district and</w:t>
      </w:r>
      <w:r w:rsidRPr="00542019">
        <w:rPr>
          <w:rFonts w:ascii="Verdana" w:hAnsi="Verdana"/>
          <w:sz w:val="22"/>
          <w:szCs w:val="22"/>
          <w:lang w:val="en-GB" w:eastAsia="en-GB"/>
        </w:rPr>
        <w:t xml:space="preserve"> borough councils in </w:t>
      </w:r>
      <w:r>
        <w:rPr>
          <w:rFonts w:ascii="Verdana" w:hAnsi="Verdana"/>
          <w:sz w:val="22"/>
          <w:szCs w:val="22"/>
          <w:lang w:val="en-GB" w:eastAsia="en-GB"/>
        </w:rPr>
        <w:t>Surrey</w:t>
      </w:r>
      <w:r w:rsidRPr="00542019">
        <w:rPr>
          <w:rFonts w:ascii="Verdana" w:hAnsi="Verdana"/>
          <w:sz w:val="22"/>
          <w:szCs w:val="22"/>
          <w:lang w:val="en-GB" w:eastAsia="en-GB"/>
        </w:rPr>
        <w:t xml:space="preserve">. </w:t>
      </w:r>
    </w:p>
    <w:p w14:paraId="4A71107E" w14:textId="77777777" w:rsidR="00AA18DD" w:rsidRPr="00542019" w:rsidRDefault="00AA18DD" w:rsidP="00AA18DD">
      <w:pPr>
        <w:pStyle w:val="Normal0"/>
        <w:jc w:val="both"/>
        <w:rPr>
          <w:rFonts w:ascii="Verdana" w:hAnsi="Verdana"/>
          <w:sz w:val="22"/>
          <w:szCs w:val="22"/>
          <w:lang w:val="en-GB" w:eastAsia="en-GB"/>
        </w:rPr>
      </w:pPr>
    </w:p>
    <w:p w14:paraId="6E929341"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CAPITAL EXPENDITURE</w:t>
      </w:r>
    </w:p>
    <w:p w14:paraId="08280A85"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Expenditure spent on the acquisition of a non-current asset or expenditure which adds to, and not merely maintains, the value of an existing non-current asset.</w:t>
      </w:r>
    </w:p>
    <w:p w14:paraId="032844FF" w14:textId="77777777" w:rsidR="00CA6653" w:rsidRPr="00AA18DD" w:rsidRDefault="00CA6653" w:rsidP="00CA6653">
      <w:pPr>
        <w:pStyle w:val="Normal0"/>
        <w:jc w:val="both"/>
        <w:rPr>
          <w:rFonts w:ascii="Verdana" w:eastAsia="Times New Roman" w:hAnsi="Verdana"/>
          <w:sz w:val="22"/>
          <w:szCs w:val="22"/>
          <w:lang w:val="en-GB" w:eastAsia="en-GB"/>
        </w:rPr>
      </w:pPr>
    </w:p>
    <w:p w14:paraId="3AEB9259" w14:textId="77777777" w:rsidR="00AA18DD" w:rsidRDefault="00AA18DD" w:rsidP="00CA6653">
      <w:pPr>
        <w:pStyle w:val="Normal0"/>
        <w:jc w:val="both"/>
        <w:rPr>
          <w:rFonts w:ascii="Verdana" w:eastAsia="Times New Roman" w:hAnsi="Verdana" w:cs="Arial"/>
          <w:b/>
          <w:sz w:val="22"/>
          <w:szCs w:val="22"/>
          <w:lang w:val="en-GB" w:eastAsia="en-GB"/>
        </w:rPr>
      </w:pPr>
    </w:p>
    <w:p w14:paraId="7A5A4483" w14:textId="77777777" w:rsidR="00AA18DD" w:rsidRDefault="00AA18DD" w:rsidP="00CA6653">
      <w:pPr>
        <w:pStyle w:val="Normal0"/>
        <w:jc w:val="both"/>
        <w:rPr>
          <w:rFonts w:ascii="Verdana" w:eastAsia="Times New Roman" w:hAnsi="Verdana" w:cs="Arial"/>
          <w:b/>
          <w:sz w:val="22"/>
          <w:szCs w:val="22"/>
          <w:lang w:val="en-GB" w:eastAsia="en-GB"/>
        </w:rPr>
      </w:pPr>
    </w:p>
    <w:p w14:paraId="740340CF"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CAPITAL PROGRAMME</w:t>
      </w:r>
    </w:p>
    <w:p w14:paraId="3BDA42B4" w14:textId="77777777" w:rsidR="00AA18DD" w:rsidRPr="00542019" w:rsidRDefault="00AA18DD" w:rsidP="00AA18DD">
      <w:pPr>
        <w:pStyle w:val="Normal0"/>
        <w:jc w:val="both"/>
        <w:rPr>
          <w:rFonts w:ascii="Verdana" w:hAnsi="Verdana"/>
          <w:sz w:val="22"/>
          <w:szCs w:val="22"/>
          <w:lang w:val="en-GB" w:eastAsia="en-GB"/>
        </w:rPr>
      </w:pPr>
      <w:r w:rsidRPr="00542019">
        <w:rPr>
          <w:rFonts w:ascii="Verdana" w:hAnsi="Verdana"/>
          <w:sz w:val="22"/>
          <w:szCs w:val="22"/>
          <w:lang w:val="en-GB" w:eastAsia="en-GB"/>
        </w:rPr>
        <w:t>A statement of proposed capital and revenue investment projects for current and future years.  Included in this category are the purchase of land and buildings, the erection of new buildings and works, design fees and the acquisition of vehicles and major equipment items.</w:t>
      </w:r>
    </w:p>
    <w:p w14:paraId="3F3DD6D2" w14:textId="77777777" w:rsidR="00CA6653" w:rsidRPr="00AA18DD" w:rsidRDefault="00CA6653" w:rsidP="00CA6653">
      <w:pPr>
        <w:pStyle w:val="Normal0"/>
        <w:jc w:val="both"/>
        <w:rPr>
          <w:rFonts w:ascii="Verdana" w:eastAsia="Times New Roman" w:hAnsi="Verdana"/>
          <w:sz w:val="22"/>
          <w:szCs w:val="22"/>
          <w:lang w:val="en-GB" w:eastAsia="en-GB"/>
        </w:rPr>
      </w:pPr>
    </w:p>
    <w:p w14:paraId="4267118D"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CAPITAL RECEIPTS</w:t>
      </w:r>
    </w:p>
    <w:p w14:paraId="07193135"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Proceeds of not less than £10,000 received from the disposal of buildings or other assets.  They cannot be used to finance normal day to day revenue spending.</w:t>
      </w:r>
    </w:p>
    <w:p w14:paraId="6C816FB4" w14:textId="77777777" w:rsidR="00CA6653" w:rsidRDefault="00CA6653" w:rsidP="00CA6653">
      <w:pPr>
        <w:pStyle w:val="Normal0"/>
        <w:jc w:val="both"/>
        <w:rPr>
          <w:rFonts w:ascii="Verdana" w:eastAsia="Times New Roman" w:hAnsi="Verdana"/>
          <w:sz w:val="22"/>
          <w:szCs w:val="22"/>
          <w:lang w:val="en-GB" w:eastAsia="en-GB"/>
        </w:rPr>
      </w:pPr>
    </w:p>
    <w:p w14:paraId="3CA74819" w14:textId="77777777" w:rsidR="00AA18DD" w:rsidRPr="00F31699" w:rsidRDefault="00AA18DD" w:rsidP="00AA18DD">
      <w:pPr>
        <w:pStyle w:val="Normal0"/>
        <w:jc w:val="both"/>
        <w:rPr>
          <w:rFonts w:ascii="Verdana" w:hAnsi="Verdana"/>
          <w:b/>
          <w:sz w:val="22"/>
          <w:szCs w:val="22"/>
          <w:lang w:val="en-GB" w:eastAsia="en-GB"/>
        </w:rPr>
      </w:pPr>
      <w:r w:rsidRPr="00F31699">
        <w:rPr>
          <w:rFonts w:ascii="Verdana" w:hAnsi="Verdana"/>
          <w:b/>
          <w:sz w:val="22"/>
          <w:szCs w:val="22"/>
          <w:lang w:val="en-GB" w:eastAsia="en-GB"/>
        </w:rPr>
        <w:t>C</w:t>
      </w:r>
      <w:r>
        <w:rPr>
          <w:rFonts w:ascii="Verdana" w:hAnsi="Verdana"/>
          <w:b/>
          <w:sz w:val="22"/>
          <w:szCs w:val="22"/>
          <w:lang w:val="en-GB" w:eastAsia="en-GB"/>
        </w:rPr>
        <w:t>C</w:t>
      </w:r>
    </w:p>
    <w:p w14:paraId="7885BCB9" w14:textId="77777777" w:rsidR="00AA18DD" w:rsidRDefault="00AA18DD" w:rsidP="00AA18DD">
      <w:pPr>
        <w:jc w:val="both"/>
        <w:rPr>
          <w:lang w:val="en-GB" w:eastAsia="en-GB"/>
        </w:rPr>
      </w:pPr>
      <w:r>
        <w:rPr>
          <w:lang w:val="en-GB" w:eastAsia="en-GB"/>
        </w:rPr>
        <w:t>Chief Constable</w:t>
      </w:r>
    </w:p>
    <w:p w14:paraId="3DA5F6A6" w14:textId="77777777" w:rsidR="00AA18DD" w:rsidRDefault="00AA18DD" w:rsidP="00CA6653">
      <w:pPr>
        <w:pStyle w:val="Normal0"/>
        <w:jc w:val="both"/>
        <w:rPr>
          <w:rFonts w:ascii="Verdana" w:eastAsia="Times New Roman" w:hAnsi="Verdana"/>
          <w:sz w:val="22"/>
          <w:szCs w:val="22"/>
          <w:lang w:val="en-GB" w:eastAsia="en-GB"/>
        </w:rPr>
      </w:pPr>
    </w:p>
    <w:p w14:paraId="22F41872" w14:textId="77777777" w:rsidR="00AA18DD" w:rsidRPr="00542019" w:rsidRDefault="00AA18DD" w:rsidP="00AA18DD">
      <w:pPr>
        <w:pStyle w:val="Normal0"/>
        <w:jc w:val="both"/>
        <w:rPr>
          <w:rFonts w:ascii="Verdana" w:hAnsi="Verdana"/>
          <w:b/>
          <w:sz w:val="22"/>
          <w:szCs w:val="22"/>
          <w:lang w:val="en-GB" w:eastAsia="en-GB"/>
        </w:rPr>
      </w:pPr>
      <w:r w:rsidRPr="00542019">
        <w:rPr>
          <w:rFonts w:ascii="Verdana" w:hAnsi="Verdana"/>
          <w:b/>
          <w:sz w:val="22"/>
          <w:szCs w:val="22"/>
          <w:lang w:val="en-GB" w:eastAsia="en-GB"/>
        </w:rPr>
        <w:t>CIPFA</w:t>
      </w:r>
    </w:p>
    <w:p w14:paraId="095A9499" w14:textId="77777777" w:rsidR="00AA18DD" w:rsidRPr="00542019" w:rsidRDefault="00AA18DD" w:rsidP="00AA18DD">
      <w:pPr>
        <w:pStyle w:val="Normal0"/>
        <w:jc w:val="both"/>
        <w:rPr>
          <w:rFonts w:ascii="Verdana" w:hAnsi="Verdana"/>
          <w:sz w:val="22"/>
          <w:szCs w:val="22"/>
          <w:lang w:val="en-GB" w:eastAsia="en-GB"/>
        </w:rPr>
      </w:pPr>
      <w:r w:rsidRPr="00542019">
        <w:rPr>
          <w:rFonts w:ascii="Verdana" w:hAnsi="Verdana"/>
          <w:sz w:val="22"/>
          <w:szCs w:val="22"/>
          <w:lang w:val="en-GB" w:eastAsia="en-GB"/>
        </w:rPr>
        <w:t xml:space="preserve">The Chartered Institute of Public Finance and Accountancy is one of the professional accountancy bodies in the UK.  CIPFA specialises in the public services and has responsibility for setting accounting standards for these services.  More details can be found on the CIPFA website: </w:t>
      </w:r>
      <w:hyperlink r:id="rId28" w:history="1">
        <w:r w:rsidRPr="00542019">
          <w:rPr>
            <w:rStyle w:val="Hyperlink"/>
            <w:rFonts w:ascii="Verdana" w:eastAsia="Times New Roman" w:hAnsi="Verdana" w:cs="Times New Roman"/>
            <w:sz w:val="22"/>
            <w:szCs w:val="22"/>
            <w:lang w:val="en-GB" w:eastAsia="en-GB"/>
          </w:rPr>
          <w:t>www.cipfa.org.uk</w:t>
        </w:r>
      </w:hyperlink>
    </w:p>
    <w:p w14:paraId="73037A7C" w14:textId="77777777" w:rsidR="00AA18DD" w:rsidRPr="00542019" w:rsidRDefault="00AA18DD" w:rsidP="00AA18DD">
      <w:pPr>
        <w:pStyle w:val="Normal0"/>
        <w:jc w:val="both"/>
        <w:rPr>
          <w:rFonts w:ascii="Verdana" w:hAnsi="Verdana"/>
          <w:sz w:val="22"/>
          <w:szCs w:val="22"/>
          <w:lang w:val="en-GB" w:eastAsia="en-GB"/>
        </w:rPr>
      </w:pPr>
    </w:p>
    <w:p w14:paraId="677EDD22"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COMPREHENSIVE INCOME AND EXPENDITURE STATEMENT</w:t>
      </w:r>
    </w:p>
    <w:p w14:paraId="08F64562"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The main revenue fund of the PCC receiving the precept, government grants and other income receipts, and from which the costs of providing services are met.</w:t>
      </w:r>
    </w:p>
    <w:p w14:paraId="6AD086E2" w14:textId="77777777" w:rsidR="00CA6653" w:rsidRPr="00AA18DD" w:rsidRDefault="00CA6653" w:rsidP="00CA6653">
      <w:pPr>
        <w:pStyle w:val="Normal0"/>
        <w:jc w:val="both"/>
        <w:rPr>
          <w:rFonts w:ascii="Verdana" w:eastAsia="Times New Roman" w:hAnsi="Verdana"/>
          <w:sz w:val="22"/>
          <w:szCs w:val="22"/>
          <w:lang w:val="en-GB" w:eastAsia="en-GB"/>
        </w:rPr>
      </w:pPr>
    </w:p>
    <w:p w14:paraId="5CD3747A"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CREDITORS</w:t>
      </w:r>
    </w:p>
    <w:p w14:paraId="37284736"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 xml:space="preserve">Individuals or organisations, to whom money </w:t>
      </w:r>
      <w:r w:rsidR="00AA18DD" w:rsidRPr="00AA18DD">
        <w:rPr>
          <w:rFonts w:ascii="Verdana" w:eastAsia="Times New Roman" w:hAnsi="Verdana" w:cs="Arial"/>
          <w:sz w:val="22"/>
          <w:szCs w:val="22"/>
          <w:lang w:val="en-GB" w:eastAsia="en-GB"/>
        </w:rPr>
        <w:t xml:space="preserve">is owed </w:t>
      </w:r>
      <w:r w:rsidRPr="00AA18DD">
        <w:rPr>
          <w:rFonts w:ascii="Verdana" w:eastAsia="Times New Roman" w:hAnsi="Verdana" w:cs="Arial"/>
          <w:sz w:val="22"/>
          <w:szCs w:val="22"/>
          <w:lang w:val="en-GB" w:eastAsia="en-GB"/>
        </w:rPr>
        <w:t>at the end of the financial year.</w:t>
      </w:r>
    </w:p>
    <w:p w14:paraId="1F40A2C2" w14:textId="77777777" w:rsidR="00CA6653" w:rsidRPr="00AA18DD" w:rsidRDefault="00CA6653" w:rsidP="00CA6653">
      <w:pPr>
        <w:pStyle w:val="Normal0"/>
        <w:jc w:val="both"/>
        <w:rPr>
          <w:rFonts w:ascii="Verdana" w:eastAsia="Times New Roman" w:hAnsi="Verdana"/>
          <w:sz w:val="22"/>
          <w:szCs w:val="22"/>
          <w:lang w:val="en-GB" w:eastAsia="en-GB"/>
        </w:rPr>
      </w:pPr>
    </w:p>
    <w:p w14:paraId="0DB0B28A" w14:textId="77777777" w:rsidR="00AA18DD" w:rsidRPr="00542019" w:rsidRDefault="00AA18DD" w:rsidP="00AA18DD">
      <w:pPr>
        <w:pStyle w:val="Normal0"/>
        <w:jc w:val="both"/>
        <w:rPr>
          <w:rFonts w:ascii="Verdana" w:hAnsi="Verdana"/>
          <w:b/>
          <w:sz w:val="22"/>
          <w:szCs w:val="22"/>
          <w:lang w:val="en-GB" w:eastAsia="en-GB"/>
        </w:rPr>
      </w:pPr>
      <w:r w:rsidRPr="00AA18DD">
        <w:rPr>
          <w:rFonts w:ascii="Verdana" w:hAnsi="Verdana"/>
          <w:b/>
          <w:sz w:val="22"/>
          <w:szCs w:val="22"/>
          <w:lang w:val="en-GB" w:eastAsia="en-GB"/>
        </w:rPr>
        <w:t>CODE</w:t>
      </w:r>
      <w:r w:rsidRPr="00542019">
        <w:rPr>
          <w:rFonts w:ascii="Verdana" w:hAnsi="Verdana"/>
          <w:b/>
          <w:sz w:val="22"/>
          <w:szCs w:val="22"/>
          <w:lang w:val="en-GB" w:eastAsia="en-GB"/>
        </w:rPr>
        <w:t xml:space="preserve"> </w:t>
      </w:r>
    </w:p>
    <w:p w14:paraId="4EBE053D" w14:textId="77777777" w:rsidR="00AA18DD" w:rsidRPr="00542019" w:rsidRDefault="00AA18DD" w:rsidP="00AA18DD">
      <w:pPr>
        <w:pStyle w:val="Normal0"/>
        <w:jc w:val="both"/>
        <w:rPr>
          <w:rFonts w:ascii="Verdana" w:hAnsi="Verdana"/>
          <w:sz w:val="22"/>
          <w:szCs w:val="22"/>
          <w:lang w:val="en-GB" w:eastAsia="en-GB"/>
        </w:rPr>
      </w:pPr>
      <w:r w:rsidRPr="00542019">
        <w:rPr>
          <w:rFonts w:ascii="Verdana" w:hAnsi="Verdana"/>
          <w:sz w:val="22"/>
          <w:szCs w:val="22"/>
          <w:lang w:val="en-GB" w:eastAsia="en-GB"/>
        </w:rPr>
        <w:t>These practices primarily comprise the Code of Practice on Local Authority Accounting in the United Kingdom (The Code) and the Service Reporting Code of Practice, both issued by the Chartered Institute of Public Finance and Accountancy (CIPFA), and supported by International Financial Reporting Standards (</w:t>
      </w:r>
      <w:smartTag w:uri="urn:schemas-microsoft-com:office:smarttags" w:element="stockticker">
        <w:r w:rsidRPr="00542019">
          <w:rPr>
            <w:rFonts w:ascii="Verdana" w:hAnsi="Verdana"/>
            <w:sz w:val="22"/>
            <w:szCs w:val="22"/>
            <w:lang w:val="en-GB" w:eastAsia="en-GB"/>
          </w:rPr>
          <w:t>IFRS</w:t>
        </w:r>
      </w:smartTag>
      <w:r w:rsidRPr="00542019">
        <w:rPr>
          <w:rFonts w:ascii="Verdana" w:hAnsi="Verdana"/>
          <w:sz w:val="22"/>
          <w:szCs w:val="22"/>
          <w:lang w:val="en-GB" w:eastAsia="en-GB"/>
        </w:rPr>
        <w:t>) and statutory guidance issued under section 7 of the 2011 Regulations.  More details can be found on the CI</w:t>
      </w:r>
      <w:smartTag w:uri="urn:schemas-microsoft-com:office:smarttags" w:element="stockticker">
        <w:r w:rsidRPr="00542019">
          <w:rPr>
            <w:rFonts w:ascii="Verdana" w:hAnsi="Verdana"/>
            <w:sz w:val="22"/>
            <w:szCs w:val="22"/>
            <w:lang w:val="en-GB" w:eastAsia="en-GB"/>
          </w:rPr>
          <w:t>PFA</w:t>
        </w:r>
      </w:smartTag>
      <w:r w:rsidRPr="00542019">
        <w:rPr>
          <w:rFonts w:ascii="Verdana" w:hAnsi="Verdana"/>
          <w:sz w:val="22"/>
          <w:szCs w:val="22"/>
          <w:lang w:val="en-GB" w:eastAsia="en-GB"/>
        </w:rPr>
        <w:t xml:space="preserve"> website: </w:t>
      </w:r>
      <w:hyperlink r:id="rId29" w:history="1">
        <w:r w:rsidRPr="00542019">
          <w:rPr>
            <w:rStyle w:val="Hyperlink"/>
            <w:rFonts w:ascii="Verdana" w:eastAsia="Times New Roman" w:hAnsi="Verdana" w:cs="Times New Roman"/>
            <w:sz w:val="22"/>
            <w:szCs w:val="22"/>
            <w:lang w:val="en-GB" w:eastAsia="en-GB"/>
          </w:rPr>
          <w:t>www.cipfa.org.uk</w:t>
        </w:r>
      </w:hyperlink>
    </w:p>
    <w:p w14:paraId="6ADBDC56" w14:textId="77777777" w:rsidR="00AA18DD" w:rsidRPr="00542019" w:rsidRDefault="00AA18DD" w:rsidP="00AA18DD">
      <w:pPr>
        <w:pStyle w:val="Normal0"/>
        <w:jc w:val="both"/>
        <w:rPr>
          <w:rFonts w:ascii="Verdana" w:hAnsi="Verdana"/>
          <w:sz w:val="22"/>
          <w:szCs w:val="22"/>
          <w:lang w:val="en-GB" w:eastAsia="en-GB"/>
        </w:rPr>
      </w:pPr>
    </w:p>
    <w:p w14:paraId="0FA0ADA8" w14:textId="77777777" w:rsidR="00AA18DD" w:rsidRDefault="00AA18DD" w:rsidP="00AA18DD">
      <w:pPr>
        <w:pStyle w:val="Normal0"/>
        <w:jc w:val="both"/>
        <w:rPr>
          <w:rFonts w:ascii="Verdana" w:hAnsi="Verdana"/>
          <w:b/>
          <w:sz w:val="22"/>
          <w:szCs w:val="22"/>
          <w:lang w:val="en-GB" w:eastAsia="en-GB"/>
        </w:rPr>
      </w:pPr>
    </w:p>
    <w:p w14:paraId="2232B46A" w14:textId="77777777" w:rsidR="00AA18DD" w:rsidRPr="00542019" w:rsidRDefault="00AA18DD" w:rsidP="00AA18DD">
      <w:pPr>
        <w:pStyle w:val="Normal0"/>
        <w:jc w:val="both"/>
        <w:rPr>
          <w:rFonts w:ascii="Verdana" w:hAnsi="Verdana"/>
          <w:b/>
          <w:sz w:val="22"/>
          <w:szCs w:val="22"/>
          <w:lang w:val="en-GB" w:eastAsia="en-GB"/>
        </w:rPr>
      </w:pPr>
      <w:r w:rsidRPr="00542019">
        <w:rPr>
          <w:rFonts w:ascii="Verdana" w:hAnsi="Verdana"/>
          <w:b/>
          <w:sz w:val="22"/>
          <w:szCs w:val="22"/>
          <w:lang w:val="en-GB" w:eastAsia="en-GB"/>
        </w:rPr>
        <w:t>COLLECTION FUND</w:t>
      </w:r>
    </w:p>
    <w:p w14:paraId="0E400AB2" w14:textId="77777777" w:rsidR="00AA18DD" w:rsidRPr="00542019" w:rsidRDefault="00AA18DD" w:rsidP="00AA18DD">
      <w:pPr>
        <w:pStyle w:val="Normal0"/>
        <w:jc w:val="both"/>
        <w:rPr>
          <w:rFonts w:ascii="Verdana" w:hAnsi="Verdana"/>
          <w:sz w:val="22"/>
          <w:szCs w:val="22"/>
          <w:lang w:val="en-GB" w:eastAsia="en-GB"/>
        </w:rPr>
      </w:pPr>
      <w:r w:rsidRPr="00542019">
        <w:rPr>
          <w:rFonts w:ascii="Verdana" w:hAnsi="Verdana"/>
          <w:sz w:val="22"/>
          <w:szCs w:val="22"/>
          <w:lang w:val="en-GB" w:eastAsia="en-GB"/>
        </w:rPr>
        <w:t>A fund administered by each Billing Authority.  Council tax monies are paid into the fund whilst part of the net revenue spending of the Police and Crime Commissioner, County, Unitary Authority and District Councils are met from the fund.</w:t>
      </w:r>
    </w:p>
    <w:p w14:paraId="49E70D61" w14:textId="77777777" w:rsidR="00AA18DD" w:rsidRPr="00542019" w:rsidRDefault="00AA18DD" w:rsidP="00AA18DD">
      <w:pPr>
        <w:pStyle w:val="Normal0"/>
        <w:jc w:val="both"/>
        <w:rPr>
          <w:rFonts w:ascii="Verdana" w:hAnsi="Verdana"/>
          <w:sz w:val="22"/>
          <w:szCs w:val="22"/>
          <w:lang w:val="en-GB" w:eastAsia="en-GB"/>
        </w:rPr>
      </w:pPr>
    </w:p>
    <w:p w14:paraId="3FF91D5A" w14:textId="77777777" w:rsidR="00AA18DD" w:rsidRPr="00542019" w:rsidRDefault="00AA18DD" w:rsidP="00AA18DD">
      <w:pPr>
        <w:pStyle w:val="Normal0"/>
        <w:jc w:val="both"/>
        <w:rPr>
          <w:rFonts w:ascii="Verdana" w:hAnsi="Verdana"/>
          <w:b/>
          <w:sz w:val="22"/>
          <w:szCs w:val="22"/>
          <w:lang w:val="en-GB" w:eastAsia="en-GB"/>
        </w:rPr>
      </w:pPr>
      <w:r w:rsidRPr="00542019">
        <w:rPr>
          <w:rFonts w:ascii="Verdana" w:hAnsi="Verdana"/>
          <w:b/>
          <w:sz w:val="22"/>
          <w:szCs w:val="22"/>
          <w:lang w:val="en-GB" w:eastAsia="en-GB"/>
        </w:rPr>
        <w:t>CONTINGENCY PROVISION</w:t>
      </w:r>
    </w:p>
    <w:p w14:paraId="52E7DABD" w14:textId="77777777" w:rsidR="00AA18DD" w:rsidRPr="00542019" w:rsidRDefault="00AA18DD" w:rsidP="00AA18DD">
      <w:pPr>
        <w:pStyle w:val="Normal0"/>
        <w:jc w:val="both"/>
        <w:rPr>
          <w:rFonts w:ascii="Verdana" w:hAnsi="Verdana"/>
          <w:sz w:val="22"/>
          <w:szCs w:val="22"/>
          <w:lang w:val="en-GB" w:eastAsia="en-GB"/>
        </w:rPr>
      </w:pPr>
      <w:r w:rsidRPr="00542019">
        <w:rPr>
          <w:rFonts w:ascii="Verdana" w:hAnsi="Verdana"/>
          <w:sz w:val="22"/>
          <w:szCs w:val="22"/>
          <w:lang w:val="en-GB" w:eastAsia="en-GB"/>
        </w:rPr>
        <w:t>An amount set aside for exceptional budget requirements in the financial year.</w:t>
      </w:r>
    </w:p>
    <w:p w14:paraId="23BF64B8" w14:textId="77777777" w:rsidR="00AA18DD" w:rsidRPr="00542019" w:rsidRDefault="00AA18DD" w:rsidP="00AA18DD">
      <w:pPr>
        <w:pStyle w:val="Normal0"/>
        <w:jc w:val="both"/>
        <w:rPr>
          <w:rFonts w:ascii="Verdana" w:hAnsi="Verdana"/>
          <w:sz w:val="22"/>
          <w:szCs w:val="22"/>
          <w:lang w:val="en-GB" w:eastAsia="en-GB"/>
        </w:rPr>
      </w:pPr>
    </w:p>
    <w:p w14:paraId="0087BB71" w14:textId="77777777" w:rsidR="00AA18DD" w:rsidRPr="00542019" w:rsidRDefault="00AA18DD" w:rsidP="00AA18DD">
      <w:pPr>
        <w:pStyle w:val="Normal0"/>
        <w:jc w:val="both"/>
        <w:rPr>
          <w:rFonts w:ascii="Verdana" w:hAnsi="Verdana"/>
          <w:b/>
          <w:sz w:val="22"/>
          <w:szCs w:val="22"/>
          <w:lang w:val="en-GB" w:eastAsia="en-GB"/>
        </w:rPr>
      </w:pPr>
      <w:r w:rsidRPr="00542019">
        <w:rPr>
          <w:rFonts w:ascii="Verdana" w:hAnsi="Verdana"/>
          <w:b/>
          <w:sz w:val="22"/>
          <w:szCs w:val="22"/>
          <w:lang w:val="en-GB" w:eastAsia="en-GB"/>
        </w:rPr>
        <w:t>COUNCIL TAX</w:t>
      </w:r>
    </w:p>
    <w:p w14:paraId="722E944C" w14:textId="77777777" w:rsidR="00AA18DD" w:rsidRPr="00542019" w:rsidRDefault="00AA18DD" w:rsidP="00AA18DD">
      <w:pPr>
        <w:pStyle w:val="Normal0"/>
        <w:jc w:val="both"/>
        <w:rPr>
          <w:rFonts w:ascii="Verdana" w:hAnsi="Verdana"/>
          <w:sz w:val="22"/>
          <w:szCs w:val="22"/>
          <w:lang w:val="en-GB" w:eastAsia="en-GB"/>
        </w:rPr>
      </w:pPr>
      <w:r w:rsidRPr="00542019">
        <w:rPr>
          <w:rFonts w:ascii="Verdana" w:hAnsi="Verdana"/>
          <w:sz w:val="22"/>
          <w:szCs w:val="22"/>
          <w:lang w:val="en-GB" w:eastAsia="en-GB"/>
        </w:rPr>
        <w:t>Council tax payable locally is based upon house values.  Each dwelling is valued and placed into one of eight bands, which determines the level of Council Tax payable.</w:t>
      </w:r>
    </w:p>
    <w:p w14:paraId="7FFC14ED" w14:textId="77777777" w:rsidR="00AA18DD" w:rsidRPr="00AA18DD" w:rsidRDefault="00AA18DD" w:rsidP="00CA6653">
      <w:pPr>
        <w:pStyle w:val="Normal0"/>
        <w:jc w:val="both"/>
        <w:rPr>
          <w:rFonts w:ascii="Verdana" w:eastAsia="Times New Roman" w:hAnsi="Verdana"/>
          <w:sz w:val="22"/>
          <w:szCs w:val="22"/>
          <w:lang w:val="en-GB" w:eastAsia="en-GB"/>
        </w:rPr>
      </w:pPr>
    </w:p>
    <w:p w14:paraId="04BBD471"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CURRENT SERVICE COST (PENSIONS)</w:t>
      </w:r>
    </w:p>
    <w:p w14:paraId="34D1AEC5"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The increase in the present value of a defined benefit scheme’s liabilities expected to arise from employee service in the current period.</w:t>
      </w:r>
    </w:p>
    <w:p w14:paraId="6B2A8C7D" w14:textId="77777777" w:rsidR="00CA6653" w:rsidRPr="00AA18DD" w:rsidRDefault="00CA6653" w:rsidP="00CA6653">
      <w:pPr>
        <w:pStyle w:val="Normal0"/>
        <w:jc w:val="both"/>
        <w:rPr>
          <w:rFonts w:ascii="Verdana" w:eastAsia="Times New Roman" w:hAnsi="Verdana"/>
          <w:sz w:val="22"/>
          <w:szCs w:val="22"/>
          <w:lang w:val="en-GB" w:eastAsia="en-GB"/>
        </w:rPr>
      </w:pPr>
    </w:p>
    <w:p w14:paraId="5A5C77D7"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CURTAILMENT (PENSIONS)</w:t>
      </w:r>
    </w:p>
    <w:p w14:paraId="286E6A9E"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For a defined benefit scheme, an event that reduces the expected years of future service of present employees or reduces for a number of employees the accrual of defined benefits for some or all of their future service. Curtailments include:-</w:t>
      </w:r>
    </w:p>
    <w:p w14:paraId="2EFCFE60"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w:t>
      </w:r>
      <w:r w:rsidRPr="00AA18DD">
        <w:rPr>
          <w:rFonts w:ascii="Verdana" w:eastAsia="Times New Roman" w:hAnsi="Verdana" w:cs="Arial"/>
          <w:sz w:val="22"/>
          <w:szCs w:val="22"/>
          <w:lang w:val="en-GB" w:eastAsia="en-GB"/>
        </w:rPr>
        <w:tab/>
        <w:t>Termination of employees’ services earlier than expected, and</w:t>
      </w:r>
    </w:p>
    <w:p w14:paraId="3AB76D96" w14:textId="77777777" w:rsidR="00CA6653" w:rsidRPr="00AA18DD" w:rsidRDefault="00CA6653" w:rsidP="00CA6653">
      <w:pPr>
        <w:pStyle w:val="Normal0"/>
        <w:ind w:left="720" w:hanging="72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w:t>
      </w:r>
      <w:r w:rsidRPr="00AA18DD">
        <w:rPr>
          <w:rFonts w:ascii="Verdana" w:eastAsia="Times New Roman" w:hAnsi="Verdana" w:cs="Arial"/>
          <w:sz w:val="22"/>
          <w:szCs w:val="22"/>
          <w:lang w:val="en-GB" w:eastAsia="en-GB"/>
        </w:rPr>
        <w:tab/>
        <w:t>Termination of or amendment to the terms, of a defined benefit scheme so that some or all future service by current employees will no longer qualify for benefits or will qualify only for reduced benefits.</w:t>
      </w:r>
    </w:p>
    <w:p w14:paraId="29F3DCA0" w14:textId="77777777" w:rsidR="00CA6653" w:rsidRPr="00AA18DD" w:rsidRDefault="00CA6653" w:rsidP="00CA6653">
      <w:pPr>
        <w:pStyle w:val="Normal0"/>
        <w:jc w:val="both"/>
        <w:rPr>
          <w:rFonts w:ascii="Verdana" w:eastAsia="Times New Roman" w:hAnsi="Verdana"/>
          <w:sz w:val="22"/>
          <w:szCs w:val="22"/>
          <w:lang w:val="en-GB" w:eastAsia="en-GB"/>
        </w:rPr>
      </w:pPr>
    </w:p>
    <w:p w14:paraId="0B63A465"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DEBTORS</w:t>
      </w:r>
    </w:p>
    <w:p w14:paraId="08A667FF"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Individuals or organisations, who owe the PCC money at the end of the financial year.</w:t>
      </w:r>
    </w:p>
    <w:p w14:paraId="72F0690A" w14:textId="77777777" w:rsidR="00CA6653" w:rsidRPr="00AA18DD" w:rsidRDefault="00CA6653" w:rsidP="00CA6653">
      <w:pPr>
        <w:pStyle w:val="Normal0"/>
        <w:jc w:val="both"/>
        <w:rPr>
          <w:rFonts w:ascii="Verdana" w:eastAsia="Times New Roman" w:hAnsi="Verdana"/>
          <w:sz w:val="22"/>
          <w:szCs w:val="22"/>
          <w:lang w:val="en-GB" w:eastAsia="en-GB"/>
        </w:rPr>
      </w:pPr>
    </w:p>
    <w:p w14:paraId="0BFAA8CF"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DEFINED BENEFIT SCHEME</w:t>
      </w:r>
      <w:r w:rsidR="00AA18DD" w:rsidRPr="00AA18DD">
        <w:rPr>
          <w:rFonts w:ascii="Verdana" w:eastAsia="Times New Roman" w:hAnsi="Verdana" w:cs="Arial"/>
          <w:b/>
          <w:sz w:val="22"/>
          <w:szCs w:val="22"/>
          <w:lang w:val="en-GB" w:eastAsia="en-GB"/>
        </w:rPr>
        <w:t xml:space="preserve"> (PENSIONS)</w:t>
      </w:r>
    </w:p>
    <w:p w14:paraId="2A2AD090"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A defined benefit scheme is a pension or other retirement benefit scheme other than a defined contribution scheme. Usually, the scheme rules define the benefits independently of the contributions payable, and the benefits are not directly related to the investments of the scheme. The scheme may be funded or unfunded.</w:t>
      </w:r>
    </w:p>
    <w:p w14:paraId="478FE31A" w14:textId="77777777" w:rsidR="00CA6653" w:rsidRPr="00AA18DD" w:rsidRDefault="00CA6653" w:rsidP="00CA6653">
      <w:pPr>
        <w:pStyle w:val="Normal0"/>
        <w:jc w:val="both"/>
        <w:rPr>
          <w:rFonts w:ascii="Verdana" w:eastAsia="Times New Roman" w:hAnsi="Verdana"/>
          <w:sz w:val="22"/>
          <w:szCs w:val="22"/>
          <w:lang w:val="en-GB" w:eastAsia="en-GB"/>
        </w:rPr>
      </w:pPr>
    </w:p>
    <w:p w14:paraId="76083E86" w14:textId="77777777" w:rsidR="00AA18DD" w:rsidRDefault="00AA18DD" w:rsidP="00CA6653">
      <w:pPr>
        <w:pStyle w:val="Normal0"/>
        <w:jc w:val="both"/>
        <w:rPr>
          <w:rFonts w:ascii="Verdana" w:eastAsia="Times New Roman" w:hAnsi="Verdana" w:cs="Arial"/>
          <w:b/>
          <w:sz w:val="22"/>
          <w:szCs w:val="22"/>
          <w:lang w:val="en-GB" w:eastAsia="en-GB"/>
        </w:rPr>
      </w:pPr>
    </w:p>
    <w:p w14:paraId="355391F7"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DEFINED CONTRIBUTION SCHEME</w:t>
      </w:r>
      <w:r w:rsidR="00AA18DD" w:rsidRPr="00AA18DD">
        <w:rPr>
          <w:rFonts w:ascii="Verdana" w:eastAsia="Times New Roman" w:hAnsi="Verdana" w:cs="Arial"/>
          <w:b/>
          <w:sz w:val="22"/>
          <w:szCs w:val="22"/>
          <w:lang w:val="en-GB" w:eastAsia="en-GB"/>
        </w:rPr>
        <w:t xml:space="preserve"> (PENSIONS)</w:t>
      </w:r>
    </w:p>
    <w:p w14:paraId="62139129"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A pension or other retirement benefit scheme into which an employer pays regular contributions fixed as an amount or as a percentage of pay and will have no legal or constructive obligation to pay further contributions if the scheme does not have sufficient assets to pay all employee benefits relating to employee service in the current and prior periods.</w:t>
      </w:r>
    </w:p>
    <w:p w14:paraId="23B4C955" w14:textId="77777777" w:rsidR="00CA6653" w:rsidRPr="00AA18DD" w:rsidRDefault="00CA6653" w:rsidP="00CA6653">
      <w:pPr>
        <w:pStyle w:val="Normal0"/>
        <w:jc w:val="both"/>
        <w:rPr>
          <w:rFonts w:ascii="Verdana" w:eastAsia="Times New Roman" w:hAnsi="Verdana"/>
          <w:sz w:val="22"/>
          <w:szCs w:val="22"/>
          <w:lang w:val="en-GB" w:eastAsia="en-GB"/>
        </w:rPr>
      </w:pPr>
    </w:p>
    <w:p w14:paraId="699C89E2"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DEPRECIATION</w:t>
      </w:r>
    </w:p>
    <w:p w14:paraId="3562924C" w14:textId="77777777" w:rsidR="00CA6653" w:rsidRPr="00AA18DD" w:rsidRDefault="00CA6653" w:rsidP="00CA6653">
      <w:pPr>
        <w:pStyle w:val="Normal0"/>
        <w:jc w:val="both"/>
        <w:rPr>
          <w:rFonts w:ascii="Verdana" w:eastAsia="Times New Roman" w:hAnsi="Verdana" w:cs="Arial"/>
          <w:sz w:val="22"/>
          <w:szCs w:val="22"/>
          <w:lang w:val="en-GB" w:eastAsia="en-GB"/>
        </w:rPr>
      </w:pPr>
      <w:r w:rsidRPr="00AA18DD">
        <w:rPr>
          <w:rFonts w:ascii="Verdana" w:eastAsia="Times New Roman" w:hAnsi="Verdana" w:cs="Arial"/>
          <w:sz w:val="22"/>
          <w:szCs w:val="22"/>
          <w:lang w:val="en-GB" w:eastAsia="en-GB"/>
        </w:rPr>
        <w:t>The measure of the cost, or re-valued amount of the benefit, of a non-current asset, that has been consumed during the period. Consumption includes the wearing out, using up or other reduction in the useful life of a non-current asset, whether arising from the use, passage of time or obsolescence through either changes in technology or demand for the goods and services produced by the asset.</w:t>
      </w:r>
    </w:p>
    <w:p w14:paraId="2193365E" w14:textId="77777777" w:rsidR="00AA18DD" w:rsidRPr="00AA18DD" w:rsidRDefault="00AA18DD" w:rsidP="00CA6653">
      <w:pPr>
        <w:pStyle w:val="Normal0"/>
        <w:jc w:val="both"/>
        <w:rPr>
          <w:rFonts w:ascii="Verdana" w:eastAsia="Times New Roman" w:hAnsi="Verdana" w:cs="Arial"/>
          <w:sz w:val="22"/>
          <w:szCs w:val="22"/>
          <w:lang w:val="en-GB" w:eastAsia="en-GB"/>
        </w:rPr>
      </w:pPr>
    </w:p>
    <w:p w14:paraId="279975F0"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EXPECTED RATE OF RETURN ON PENSION ASSETS</w:t>
      </w:r>
    </w:p>
    <w:p w14:paraId="454E3E18"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For a funded defined benefit scheme, the average rate of return, including both income and changes in fair value but net of scheme expenses, expected over the remaining life of the related obligation on the actual assets held by the scheme.</w:t>
      </w:r>
    </w:p>
    <w:p w14:paraId="65B10A9D" w14:textId="77777777" w:rsidR="00CA6653" w:rsidRPr="00AA18DD" w:rsidRDefault="00CA6653" w:rsidP="00CA6653">
      <w:pPr>
        <w:pStyle w:val="Normal0"/>
        <w:jc w:val="both"/>
        <w:rPr>
          <w:rFonts w:ascii="Verdana" w:eastAsia="Times New Roman" w:hAnsi="Verdana"/>
          <w:sz w:val="22"/>
          <w:szCs w:val="22"/>
          <w:lang w:val="en-GB" w:eastAsia="en-GB"/>
        </w:rPr>
      </w:pPr>
    </w:p>
    <w:p w14:paraId="53F11874" w14:textId="77777777" w:rsidR="00AA18DD" w:rsidRPr="00AA18DD" w:rsidRDefault="00AA18DD" w:rsidP="00AA18DD">
      <w:pPr>
        <w:pStyle w:val="Normal0"/>
        <w:jc w:val="both"/>
        <w:rPr>
          <w:rFonts w:ascii="Verdana" w:eastAsia="Times New Roman" w:hAnsi="Verdana"/>
          <w:b/>
          <w:sz w:val="22"/>
          <w:szCs w:val="22"/>
        </w:rPr>
      </w:pPr>
      <w:r w:rsidRPr="00AA18DD">
        <w:rPr>
          <w:rFonts w:ascii="Verdana" w:eastAsia="Times New Roman" w:hAnsi="Verdana"/>
          <w:b/>
          <w:sz w:val="22"/>
          <w:szCs w:val="22"/>
        </w:rPr>
        <w:t>EXPENSE</w:t>
      </w:r>
    </w:p>
    <w:p w14:paraId="6343F7CD" w14:textId="77777777" w:rsidR="00AA18DD" w:rsidRPr="00AA18DD" w:rsidRDefault="00AA18DD" w:rsidP="00AA18DD">
      <w:pPr>
        <w:pStyle w:val="Normal0"/>
        <w:jc w:val="both"/>
        <w:rPr>
          <w:rFonts w:ascii="Verdana" w:hAnsi="Verdana"/>
          <w:b/>
          <w:sz w:val="22"/>
          <w:szCs w:val="22"/>
          <w:lang w:val="en-GB" w:eastAsia="en-GB"/>
        </w:rPr>
      </w:pPr>
      <w:r w:rsidRPr="00AA18DD">
        <w:rPr>
          <w:rFonts w:ascii="Verdana" w:eastAsia="Times New Roman" w:hAnsi="Verdana"/>
          <w:sz w:val="22"/>
          <w:szCs w:val="22"/>
        </w:rPr>
        <w:t>Money spent or cost incurred by the force to police and protect the county, representing the cost of policing.</w:t>
      </w:r>
    </w:p>
    <w:p w14:paraId="41864F43" w14:textId="77777777" w:rsidR="00AA18DD" w:rsidRPr="00AA18DD" w:rsidRDefault="00AA18DD" w:rsidP="00AA18DD">
      <w:pPr>
        <w:pStyle w:val="Normal0"/>
        <w:jc w:val="both"/>
        <w:rPr>
          <w:rFonts w:ascii="Verdana" w:hAnsi="Verdana"/>
          <w:b/>
          <w:sz w:val="22"/>
          <w:szCs w:val="22"/>
          <w:lang w:val="en-GB" w:eastAsia="en-GB"/>
        </w:rPr>
      </w:pPr>
    </w:p>
    <w:p w14:paraId="589B845F"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FAIR VALUE</w:t>
      </w:r>
    </w:p>
    <w:p w14:paraId="613211D8"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The fair value of an asset is the price at which it could be exchanged in an arm’s length transaction less, where applicable, any grants receivable towards the purchase or use of the asset. For land and buildings, fair value is the amount that would be paid for the asset in its existing use.</w:t>
      </w:r>
    </w:p>
    <w:p w14:paraId="58E3636F" w14:textId="77777777" w:rsidR="00CA6653" w:rsidRPr="00AA18DD" w:rsidRDefault="00CA6653" w:rsidP="00CA6653">
      <w:pPr>
        <w:pStyle w:val="Normal0"/>
        <w:jc w:val="both"/>
        <w:rPr>
          <w:rFonts w:ascii="Verdana" w:eastAsia="Times New Roman" w:hAnsi="Verdana"/>
          <w:sz w:val="22"/>
          <w:szCs w:val="22"/>
          <w:lang w:val="en-GB" w:eastAsia="en-GB"/>
        </w:rPr>
      </w:pPr>
    </w:p>
    <w:p w14:paraId="266A7C9B"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FINANCE LEASE</w:t>
      </w:r>
    </w:p>
    <w:p w14:paraId="5E3B13A2"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A finance lease is one that transfers substantially all of the risks and rewards of ownership of a non-current asset to a lessee.</w:t>
      </w:r>
    </w:p>
    <w:p w14:paraId="1B6D1914" w14:textId="77777777" w:rsidR="00CA6653" w:rsidRPr="00AA18DD" w:rsidRDefault="00CA6653" w:rsidP="00CA6653">
      <w:pPr>
        <w:pStyle w:val="Normal0"/>
        <w:jc w:val="both"/>
        <w:rPr>
          <w:rFonts w:ascii="Verdana" w:eastAsia="Times New Roman" w:hAnsi="Verdana"/>
          <w:sz w:val="22"/>
          <w:szCs w:val="22"/>
          <w:lang w:val="en-GB" w:eastAsia="en-GB"/>
        </w:rPr>
      </w:pPr>
    </w:p>
    <w:p w14:paraId="4367C4F8" w14:textId="77777777" w:rsidR="00AA18DD" w:rsidRPr="00AA18DD" w:rsidRDefault="00AA18DD" w:rsidP="00AA18DD">
      <w:pPr>
        <w:pStyle w:val="Normal0"/>
        <w:jc w:val="both"/>
        <w:rPr>
          <w:rFonts w:ascii="Verdana" w:hAnsi="Verdana"/>
          <w:b/>
          <w:sz w:val="22"/>
          <w:szCs w:val="22"/>
          <w:lang w:val="en-GB" w:eastAsia="en-GB"/>
        </w:rPr>
      </w:pPr>
      <w:r w:rsidRPr="00AA18DD">
        <w:rPr>
          <w:rFonts w:ascii="Verdana" w:hAnsi="Verdana"/>
          <w:b/>
          <w:sz w:val="22"/>
          <w:szCs w:val="22"/>
          <w:lang w:val="en-GB" w:eastAsia="en-GB"/>
        </w:rPr>
        <w:t>FIXED ASSET (NON-CURRENT ASSET)</w:t>
      </w:r>
    </w:p>
    <w:p w14:paraId="7EFC3A7A" w14:textId="77777777" w:rsidR="00AA18DD" w:rsidRPr="00AA18DD" w:rsidRDefault="00AA18DD" w:rsidP="00AA18DD">
      <w:pPr>
        <w:pStyle w:val="Normal0"/>
        <w:jc w:val="both"/>
        <w:rPr>
          <w:rFonts w:ascii="Verdana" w:hAnsi="Verdana"/>
          <w:sz w:val="22"/>
          <w:szCs w:val="22"/>
          <w:lang w:val="en-GB" w:eastAsia="en-GB"/>
        </w:rPr>
      </w:pPr>
      <w:r w:rsidRPr="00AA18DD">
        <w:rPr>
          <w:rFonts w:ascii="Verdana" w:hAnsi="Verdana"/>
          <w:sz w:val="22"/>
          <w:szCs w:val="22"/>
          <w:lang w:val="en-GB" w:eastAsia="en-GB"/>
        </w:rPr>
        <w:t>The value of fixed (non-current) assets for capital accounting purposes represents depreciated replacement cost or open market value for land and buildings and the depreciated historic cost of other assets.</w:t>
      </w:r>
    </w:p>
    <w:p w14:paraId="2D5C591A" w14:textId="77777777" w:rsidR="00AA18DD" w:rsidRPr="00AA18DD" w:rsidRDefault="00AA18DD" w:rsidP="00AA18DD">
      <w:pPr>
        <w:pStyle w:val="Normal0"/>
        <w:jc w:val="both"/>
        <w:rPr>
          <w:rFonts w:ascii="Verdana" w:hAnsi="Verdana"/>
          <w:b/>
          <w:sz w:val="22"/>
          <w:szCs w:val="22"/>
          <w:lang w:val="en-GB" w:eastAsia="en-GB"/>
        </w:rPr>
      </w:pPr>
    </w:p>
    <w:p w14:paraId="4AD2FACF" w14:textId="77777777" w:rsidR="00AA18DD" w:rsidRPr="00AA18DD" w:rsidRDefault="00AA18DD" w:rsidP="00CA6653">
      <w:pPr>
        <w:pStyle w:val="Normal0"/>
        <w:jc w:val="both"/>
        <w:rPr>
          <w:rFonts w:ascii="Verdana" w:eastAsia="Times New Roman" w:hAnsi="Verdana" w:cs="Arial"/>
          <w:b/>
          <w:sz w:val="22"/>
          <w:szCs w:val="22"/>
          <w:lang w:val="en-GB" w:eastAsia="en-GB"/>
        </w:rPr>
      </w:pPr>
    </w:p>
    <w:p w14:paraId="1AECB22A"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GENERAL FUND BALANCES</w:t>
      </w:r>
    </w:p>
    <w:p w14:paraId="057BBC5E"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Accumulated surpluses maintained to meet expenditure, pending the receipt of income, and to provide a cushion against expenditure being higher, or income lower, than expected.</w:t>
      </w:r>
    </w:p>
    <w:p w14:paraId="76F62415" w14:textId="77777777" w:rsidR="00CA6653" w:rsidRPr="00AA18DD" w:rsidRDefault="00CA6653" w:rsidP="00CA6653">
      <w:pPr>
        <w:pStyle w:val="Normal0"/>
        <w:jc w:val="both"/>
        <w:rPr>
          <w:rFonts w:ascii="Verdana" w:eastAsia="Times New Roman" w:hAnsi="Verdana"/>
          <w:sz w:val="22"/>
          <w:szCs w:val="22"/>
          <w:lang w:val="en-GB" w:eastAsia="en-GB"/>
        </w:rPr>
      </w:pPr>
    </w:p>
    <w:p w14:paraId="5BD333D6"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GOING CONCERN</w:t>
      </w:r>
    </w:p>
    <w:p w14:paraId="50787C79"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The concept that the PCC will remain in operational existence for the foreseeable future, in particular that the revenue accounts and Balance Sheet assume no intention to curtail significantly the scale of the operations.</w:t>
      </w:r>
    </w:p>
    <w:p w14:paraId="394BFEBB" w14:textId="77777777" w:rsidR="00CA6653" w:rsidRPr="00AA18DD" w:rsidRDefault="00CA6653" w:rsidP="00CA6653">
      <w:pPr>
        <w:pStyle w:val="Normal0"/>
        <w:jc w:val="both"/>
        <w:rPr>
          <w:rFonts w:ascii="Verdana" w:eastAsia="Times New Roman" w:hAnsi="Verdana"/>
          <w:sz w:val="22"/>
          <w:szCs w:val="22"/>
          <w:lang w:val="en-GB" w:eastAsia="en-GB"/>
        </w:rPr>
      </w:pPr>
    </w:p>
    <w:p w14:paraId="33781E6E"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GOVERNMENT GRANTS</w:t>
      </w:r>
    </w:p>
    <w:p w14:paraId="22343B47" w14:textId="77777777" w:rsidR="00CA6653" w:rsidRPr="00AA18DD" w:rsidRDefault="00CA6653" w:rsidP="00CA6653">
      <w:pPr>
        <w:pStyle w:val="Normal0"/>
        <w:jc w:val="both"/>
        <w:rPr>
          <w:rFonts w:ascii="Verdana" w:eastAsia="Times New Roman" w:hAnsi="Verdana" w:cs="Arial"/>
          <w:sz w:val="22"/>
          <w:szCs w:val="22"/>
          <w:lang w:val="en-GB" w:eastAsia="en-GB"/>
        </w:rPr>
      </w:pPr>
      <w:r w:rsidRPr="00AA18DD">
        <w:rPr>
          <w:rFonts w:ascii="Verdana" w:eastAsia="Times New Roman" w:hAnsi="Verdana" w:cs="Arial"/>
          <w:sz w:val="22"/>
          <w:szCs w:val="22"/>
          <w:lang w:val="en-GB" w:eastAsia="en-GB"/>
        </w:rPr>
        <w:t>Assistance by government and inter-government agencies and similar bodies, whether local, national or international, in the form of cash or transfers of assets in return for past or future compliance with certain conditions relating to the activities of the PCC.</w:t>
      </w:r>
    </w:p>
    <w:p w14:paraId="48D2DA0D" w14:textId="77777777" w:rsidR="00AA18DD" w:rsidRPr="00AA18DD" w:rsidRDefault="00AA18DD" w:rsidP="00CA6653">
      <w:pPr>
        <w:pStyle w:val="Normal0"/>
        <w:jc w:val="both"/>
        <w:rPr>
          <w:rFonts w:ascii="Verdana" w:eastAsia="Times New Roman" w:hAnsi="Verdana" w:cs="Arial"/>
          <w:sz w:val="22"/>
          <w:szCs w:val="22"/>
          <w:lang w:val="en-GB" w:eastAsia="en-GB"/>
        </w:rPr>
      </w:pPr>
    </w:p>
    <w:p w14:paraId="5C03F498" w14:textId="77777777" w:rsidR="00AA18DD" w:rsidRPr="00AA18DD" w:rsidRDefault="00AA18DD" w:rsidP="00AA18DD">
      <w:pPr>
        <w:pStyle w:val="Normal0"/>
        <w:jc w:val="both"/>
        <w:rPr>
          <w:rFonts w:ascii="Verdana" w:eastAsia="Times New Roman" w:hAnsi="Verdana"/>
          <w:sz w:val="22"/>
          <w:szCs w:val="22"/>
        </w:rPr>
      </w:pPr>
      <w:r w:rsidRPr="00AA18DD">
        <w:rPr>
          <w:rFonts w:ascii="Verdana" w:eastAsia="Times New Roman" w:hAnsi="Verdana"/>
          <w:b/>
          <w:sz w:val="22"/>
          <w:szCs w:val="22"/>
        </w:rPr>
        <w:t xml:space="preserve">IAS19 </w:t>
      </w:r>
    </w:p>
    <w:p w14:paraId="1ECB5D30" w14:textId="77777777" w:rsidR="00AA18DD" w:rsidRDefault="00AA18DD" w:rsidP="00AA18DD">
      <w:pPr>
        <w:pStyle w:val="Normal0"/>
        <w:jc w:val="both"/>
        <w:rPr>
          <w:rFonts w:ascii="Verdana" w:eastAsia="Times New Roman" w:hAnsi="Verdana"/>
          <w:sz w:val="22"/>
          <w:szCs w:val="22"/>
        </w:rPr>
      </w:pPr>
      <w:r w:rsidRPr="00AA18DD">
        <w:rPr>
          <w:rFonts w:ascii="Verdana" w:eastAsia="Times New Roman" w:hAnsi="Verdana"/>
          <w:sz w:val="22"/>
          <w:szCs w:val="22"/>
        </w:rPr>
        <w:t>International Accounting Standard 19 (IAS19) for Employee Benefits sets out the accounting treatment and disclosure for employee benefits</w:t>
      </w:r>
      <w:r w:rsidRPr="00542019">
        <w:rPr>
          <w:rFonts w:ascii="Verdana" w:eastAsia="Times New Roman" w:hAnsi="Verdana"/>
          <w:sz w:val="22"/>
          <w:szCs w:val="22"/>
        </w:rPr>
        <w:t xml:space="preserve"> and pensions.</w:t>
      </w:r>
    </w:p>
    <w:p w14:paraId="7AC2B87A" w14:textId="77777777" w:rsidR="00AA18DD" w:rsidRDefault="00AA18DD" w:rsidP="00AA18DD">
      <w:pPr>
        <w:pStyle w:val="Normal0"/>
        <w:jc w:val="both"/>
        <w:rPr>
          <w:rFonts w:ascii="Verdana" w:eastAsia="Times New Roman" w:hAnsi="Verdana"/>
          <w:sz w:val="22"/>
          <w:szCs w:val="22"/>
        </w:rPr>
      </w:pPr>
    </w:p>
    <w:p w14:paraId="1B2C0973" w14:textId="77777777" w:rsidR="00AA18DD" w:rsidRPr="00F31699" w:rsidRDefault="00AA18DD" w:rsidP="00AA18DD">
      <w:pPr>
        <w:pStyle w:val="Normal0"/>
        <w:jc w:val="both"/>
        <w:rPr>
          <w:rFonts w:ascii="Verdana" w:eastAsia="Times New Roman" w:hAnsi="Verdana"/>
          <w:b/>
          <w:sz w:val="22"/>
          <w:szCs w:val="22"/>
        </w:rPr>
      </w:pPr>
      <w:r w:rsidRPr="00F31699">
        <w:rPr>
          <w:rFonts w:ascii="Verdana" w:eastAsia="Times New Roman" w:hAnsi="Verdana"/>
          <w:b/>
          <w:sz w:val="22"/>
          <w:szCs w:val="22"/>
        </w:rPr>
        <w:t>IFRS</w:t>
      </w:r>
    </w:p>
    <w:p w14:paraId="03732E43" w14:textId="77777777" w:rsidR="00AA18DD" w:rsidRPr="00AA18DD" w:rsidRDefault="00AA18DD" w:rsidP="00AA18DD">
      <w:pPr>
        <w:pStyle w:val="Normal0"/>
        <w:jc w:val="both"/>
        <w:rPr>
          <w:rFonts w:ascii="Verdana" w:eastAsia="Times New Roman" w:hAnsi="Verdana"/>
          <w:sz w:val="22"/>
          <w:szCs w:val="22"/>
        </w:rPr>
      </w:pPr>
      <w:r w:rsidRPr="00AA18DD">
        <w:rPr>
          <w:rFonts w:ascii="Verdana" w:eastAsia="Times New Roman" w:hAnsi="Verdana"/>
          <w:sz w:val="22"/>
          <w:szCs w:val="22"/>
        </w:rPr>
        <w:t>International Financial Reporting Standards</w:t>
      </w:r>
    </w:p>
    <w:p w14:paraId="74C27DA1" w14:textId="77777777" w:rsidR="00AA18DD" w:rsidRPr="00AA18DD" w:rsidRDefault="00AA18DD" w:rsidP="00AA18DD">
      <w:pPr>
        <w:pStyle w:val="Normal0"/>
        <w:jc w:val="both"/>
        <w:rPr>
          <w:rFonts w:ascii="Verdana" w:eastAsia="Times New Roman" w:hAnsi="Verdana"/>
          <w:sz w:val="22"/>
          <w:szCs w:val="22"/>
        </w:rPr>
      </w:pPr>
    </w:p>
    <w:p w14:paraId="645A79A7"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IMPAIRMENT</w:t>
      </w:r>
    </w:p>
    <w:p w14:paraId="7DF9F8B8"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A reduction in the value of a non-current asset below its carrying amount on the Balance Sheet due to a significant decline in its market value during the period, evidence of obsolescence or significant physical damage to the non-current asset or a significant adverse change in the statutory or regulatory environment in which the PCC operates.</w:t>
      </w:r>
    </w:p>
    <w:p w14:paraId="79C7B11D" w14:textId="77777777" w:rsidR="00CA6653" w:rsidRPr="00AA18DD" w:rsidRDefault="00CA6653" w:rsidP="00CA6653">
      <w:pPr>
        <w:pStyle w:val="Normal0"/>
        <w:jc w:val="both"/>
        <w:rPr>
          <w:rFonts w:ascii="Verdana" w:eastAsia="Times New Roman" w:hAnsi="Verdana"/>
          <w:sz w:val="22"/>
          <w:szCs w:val="22"/>
          <w:lang w:val="en-GB" w:eastAsia="en-GB"/>
        </w:rPr>
      </w:pPr>
    </w:p>
    <w:p w14:paraId="7CE2928D" w14:textId="77777777" w:rsidR="00AA18DD" w:rsidRPr="00AA18DD" w:rsidRDefault="00AA18DD" w:rsidP="00AA18DD">
      <w:pPr>
        <w:pStyle w:val="Normal0"/>
        <w:jc w:val="both"/>
        <w:rPr>
          <w:rFonts w:ascii="Verdana" w:eastAsia="Times New Roman" w:hAnsi="Verdana"/>
          <w:sz w:val="22"/>
          <w:szCs w:val="22"/>
        </w:rPr>
      </w:pPr>
      <w:r w:rsidRPr="00AA18DD">
        <w:rPr>
          <w:rFonts w:ascii="Verdana" w:eastAsia="Times New Roman" w:hAnsi="Verdana"/>
          <w:b/>
          <w:sz w:val="22"/>
          <w:szCs w:val="22"/>
        </w:rPr>
        <w:t xml:space="preserve">INCOME </w:t>
      </w:r>
    </w:p>
    <w:p w14:paraId="1B1D3684" w14:textId="77777777" w:rsidR="00AA18DD" w:rsidRPr="00AA18DD" w:rsidRDefault="00AA18DD" w:rsidP="00AA18DD">
      <w:pPr>
        <w:pStyle w:val="Normal0"/>
        <w:jc w:val="both"/>
        <w:rPr>
          <w:rFonts w:ascii="Verdana" w:eastAsia="Times New Roman" w:hAnsi="Verdana"/>
          <w:sz w:val="22"/>
          <w:szCs w:val="22"/>
        </w:rPr>
      </w:pPr>
      <w:r w:rsidRPr="00AA18DD">
        <w:rPr>
          <w:rFonts w:ascii="Verdana" w:eastAsia="Times New Roman" w:hAnsi="Verdana"/>
          <w:sz w:val="22"/>
          <w:szCs w:val="22"/>
        </w:rPr>
        <w:t xml:space="preserve">Income is money (or some equivalent value) that the force, usually receives in exchange for providing a police service.  </w:t>
      </w:r>
    </w:p>
    <w:p w14:paraId="4AC13334" w14:textId="77777777" w:rsidR="00AA18DD" w:rsidRPr="00AA18DD" w:rsidRDefault="00AA18DD" w:rsidP="00CA6653">
      <w:pPr>
        <w:pStyle w:val="Normal0"/>
        <w:jc w:val="both"/>
        <w:rPr>
          <w:rFonts w:ascii="Verdana" w:eastAsia="Times New Roman" w:hAnsi="Verdana"/>
          <w:sz w:val="22"/>
          <w:szCs w:val="22"/>
          <w:lang w:val="en-GB" w:eastAsia="en-GB"/>
        </w:rPr>
      </w:pPr>
    </w:p>
    <w:p w14:paraId="70D63624"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INTANGIBLE ASSETS</w:t>
      </w:r>
    </w:p>
    <w:p w14:paraId="64E804A1"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Intangible assets occur when capital expenditure does not result in the acquisition of a non-current asset, for example software licenses and training for development purposes etc.</w:t>
      </w:r>
    </w:p>
    <w:p w14:paraId="34067094" w14:textId="77777777" w:rsidR="00CA6653" w:rsidRPr="00AA18DD" w:rsidRDefault="00CA6653" w:rsidP="00CA6653">
      <w:pPr>
        <w:pStyle w:val="Normal0"/>
        <w:jc w:val="both"/>
        <w:rPr>
          <w:rFonts w:ascii="Verdana" w:eastAsia="Times New Roman" w:hAnsi="Verdana"/>
          <w:sz w:val="22"/>
          <w:szCs w:val="22"/>
          <w:lang w:val="en-GB" w:eastAsia="en-GB"/>
        </w:rPr>
      </w:pPr>
    </w:p>
    <w:p w14:paraId="76199A4E"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INTEREST COSTS (PENSIONS)</w:t>
      </w:r>
    </w:p>
    <w:p w14:paraId="4F41998C"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For a defined benefit scheme, the expected increase during the period in the present value of the scheme liabilities because the benefits are one period closer to settlement.</w:t>
      </w:r>
    </w:p>
    <w:p w14:paraId="22AC6967" w14:textId="77777777" w:rsidR="00CA6653" w:rsidRPr="00AA18DD" w:rsidRDefault="00CA6653" w:rsidP="00CA6653">
      <w:pPr>
        <w:pStyle w:val="Normal0"/>
        <w:jc w:val="both"/>
        <w:rPr>
          <w:rFonts w:ascii="Verdana" w:eastAsia="Times New Roman" w:hAnsi="Verdana"/>
          <w:sz w:val="22"/>
          <w:szCs w:val="22"/>
          <w:lang w:val="en-GB" w:eastAsia="en-GB"/>
        </w:rPr>
      </w:pPr>
    </w:p>
    <w:p w14:paraId="4B544A37"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INVESTMENTS (PENSION FUND)</w:t>
      </w:r>
    </w:p>
    <w:p w14:paraId="7BB009DA"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The investments of the pensions fund will be accounted for in the statement of that fund. However, authorities are also required to disclose, as part of the disclosures relating to retirement benefits, the attributable share of pension scheme assets associated with their underlying obligations.</w:t>
      </w:r>
    </w:p>
    <w:p w14:paraId="2B76E349" w14:textId="77777777" w:rsidR="00CA6653" w:rsidRDefault="00CA6653" w:rsidP="00CA6653">
      <w:pPr>
        <w:pStyle w:val="Normal0"/>
        <w:jc w:val="both"/>
        <w:rPr>
          <w:rFonts w:ascii="Verdana" w:eastAsia="Times New Roman" w:hAnsi="Verdana"/>
          <w:sz w:val="22"/>
          <w:szCs w:val="22"/>
          <w:lang w:val="en-GB" w:eastAsia="en-GB"/>
        </w:rPr>
      </w:pPr>
    </w:p>
    <w:p w14:paraId="0AFA415D" w14:textId="77777777" w:rsidR="00AA18DD" w:rsidRPr="00F31699" w:rsidRDefault="00AA18DD" w:rsidP="00AA18DD">
      <w:pPr>
        <w:pStyle w:val="Normal0"/>
        <w:jc w:val="both"/>
        <w:rPr>
          <w:rFonts w:ascii="Verdana" w:hAnsi="Verdana"/>
          <w:b/>
          <w:sz w:val="22"/>
          <w:szCs w:val="22"/>
          <w:lang w:val="en-GB" w:eastAsia="en-GB"/>
        </w:rPr>
      </w:pPr>
      <w:r w:rsidRPr="00F31699">
        <w:rPr>
          <w:rFonts w:ascii="Verdana" w:hAnsi="Verdana"/>
          <w:b/>
          <w:sz w:val="22"/>
          <w:szCs w:val="22"/>
          <w:lang w:val="en-GB" w:eastAsia="en-GB"/>
        </w:rPr>
        <w:t>JOINT AUDIT COMMITTEE (JAC)</w:t>
      </w:r>
    </w:p>
    <w:p w14:paraId="3DAA3818" w14:textId="77777777" w:rsidR="00AA18DD" w:rsidRPr="00F31699" w:rsidRDefault="00AA18DD" w:rsidP="00AA18DD">
      <w:pPr>
        <w:pStyle w:val="Normal0"/>
        <w:jc w:val="both"/>
        <w:rPr>
          <w:rFonts w:ascii="Verdana" w:hAnsi="Verdana"/>
          <w:sz w:val="22"/>
          <w:szCs w:val="22"/>
          <w:lang w:val="en-GB" w:eastAsia="en-GB"/>
        </w:rPr>
      </w:pPr>
      <w:r w:rsidRPr="00F31699">
        <w:rPr>
          <w:rFonts w:ascii="Verdana" w:hAnsi="Verdana"/>
          <w:sz w:val="22"/>
          <w:szCs w:val="22"/>
          <w:lang w:val="en-GB" w:eastAsia="en-GB"/>
        </w:rPr>
        <w:t>The JAC is an independent Joint External Audit Committee of the Su</w:t>
      </w:r>
      <w:r>
        <w:rPr>
          <w:rFonts w:ascii="Verdana" w:hAnsi="Verdana"/>
          <w:sz w:val="22"/>
          <w:szCs w:val="22"/>
          <w:lang w:val="en-GB" w:eastAsia="en-GB"/>
        </w:rPr>
        <w:t>rrey</w:t>
      </w:r>
      <w:r w:rsidRPr="00F31699">
        <w:rPr>
          <w:rFonts w:ascii="Verdana" w:hAnsi="Verdana"/>
          <w:sz w:val="22"/>
          <w:szCs w:val="22"/>
          <w:lang w:val="en-GB" w:eastAsia="en-GB"/>
        </w:rPr>
        <w:t xml:space="preserve"> Police and Crime Commissioner a</w:t>
      </w:r>
      <w:r>
        <w:rPr>
          <w:rFonts w:ascii="Verdana" w:hAnsi="Verdana"/>
          <w:sz w:val="22"/>
          <w:szCs w:val="22"/>
          <w:lang w:val="en-GB" w:eastAsia="en-GB"/>
        </w:rPr>
        <w:t>nd the Chief Constable of Surrey</w:t>
      </w:r>
      <w:r w:rsidRPr="00F31699">
        <w:rPr>
          <w:rFonts w:ascii="Verdana" w:hAnsi="Verdana"/>
          <w:sz w:val="22"/>
          <w:szCs w:val="22"/>
          <w:lang w:val="en-GB" w:eastAsia="en-GB"/>
        </w:rPr>
        <w:t xml:space="preserve"> providing a key component of corporate governance arrangements for both corporations sole.</w:t>
      </w:r>
    </w:p>
    <w:p w14:paraId="4636CA1C" w14:textId="77777777" w:rsidR="00AA18DD" w:rsidRPr="00F31699" w:rsidRDefault="00AA18DD" w:rsidP="00AA18DD">
      <w:pPr>
        <w:pStyle w:val="Normal0"/>
        <w:jc w:val="both"/>
        <w:rPr>
          <w:rFonts w:ascii="Verdana" w:hAnsi="Verdana"/>
          <w:sz w:val="22"/>
          <w:szCs w:val="22"/>
          <w:lang w:val="en-GB" w:eastAsia="en-GB"/>
        </w:rPr>
      </w:pPr>
    </w:p>
    <w:p w14:paraId="3EF46266" w14:textId="77777777" w:rsidR="00AA18DD" w:rsidRPr="00F31699" w:rsidRDefault="00AA18DD" w:rsidP="00AA18DD">
      <w:pPr>
        <w:pStyle w:val="Normal0"/>
        <w:jc w:val="both"/>
        <w:rPr>
          <w:rFonts w:ascii="Verdana" w:hAnsi="Verdana"/>
          <w:b/>
          <w:sz w:val="22"/>
          <w:szCs w:val="22"/>
          <w:lang w:val="en-GB" w:eastAsia="en-GB"/>
        </w:rPr>
      </w:pPr>
      <w:r w:rsidRPr="00F31699">
        <w:rPr>
          <w:rFonts w:ascii="Verdana" w:hAnsi="Verdana"/>
          <w:b/>
          <w:sz w:val="22"/>
          <w:szCs w:val="22"/>
          <w:lang w:val="en-GB" w:eastAsia="en-GB"/>
        </w:rPr>
        <w:t>LAAP</w:t>
      </w:r>
    </w:p>
    <w:p w14:paraId="406FAECF" w14:textId="77777777" w:rsidR="00AA18DD" w:rsidRDefault="00AA18DD" w:rsidP="00AA18DD">
      <w:pPr>
        <w:pStyle w:val="Normal0"/>
        <w:jc w:val="both"/>
        <w:rPr>
          <w:rFonts w:ascii="Verdana" w:hAnsi="Verdana"/>
          <w:sz w:val="22"/>
          <w:szCs w:val="22"/>
          <w:lang w:val="en-GB" w:eastAsia="en-GB"/>
        </w:rPr>
      </w:pPr>
      <w:r w:rsidRPr="00F31699">
        <w:rPr>
          <w:rFonts w:ascii="Verdana" w:hAnsi="Verdana"/>
          <w:sz w:val="22"/>
          <w:szCs w:val="22"/>
          <w:lang w:val="en-GB" w:eastAsia="en-GB"/>
        </w:rPr>
        <w:t>The Local Authority Accounting Panel issues LAAP Bulletins to assist practitioners with the application of the requirements of the Code of Practice on Local Authority Accounting and Prudential Code, and to provide advice on emerging or urgent accounting issues.  Bulletins provide influential guidance that is intended to be best practice, but are not prescriptive and do not have the formal status of the Code or Prudential Code.</w:t>
      </w:r>
    </w:p>
    <w:p w14:paraId="1792072E" w14:textId="77777777" w:rsidR="00AA18DD" w:rsidRDefault="00AA18DD" w:rsidP="00AA18DD">
      <w:pPr>
        <w:pStyle w:val="Normal0"/>
        <w:jc w:val="both"/>
        <w:rPr>
          <w:rFonts w:ascii="Verdana" w:hAnsi="Verdana"/>
          <w:sz w:val="22"/>
          <w:szCs w:val="22"/>
          <w:lang w:val="en-GB" w:eastAsia="en-GB"/>
        </w:rPr>
      </w:pPr>
    </w:p>
    <w:p w14:paraId="582A2A3B" w14:textId="77777777" w:rsidR="00AA18DD" w:rsidRPr="00542019" w:rsidRDefault="00AA18DD" w:rsidP="00AA18DD">
      <w:pPr>
        <w:jc w:val="both"/>
        <w:rPr>
          <w:rFonts w:cs="Arial"/>
          <w:b/>
        </w:rPr>
      </w:pPr>
      <w:r w:rsidRPr="00542019">
        <w:rPr>
          <w:rFonts w:cs="Arial"/>
          <w:b/>
        </w:rPr>
        <w:t>LEVIES</w:t>
      </w:r>
    </w:p>
    <w:p w14:paraId="64A2EDF3" w14:textId="77777777" w:rsidR="00AA18DD" w:rsidRPr="00542019" w:rsidRDefault="00AA18DD" w:rsidP="00AA18DD">
      <w:pPr>
        <w:jc w:val="both"/>
        <w:rPr>
          <w:rFonts w:cs="Arial"/>
        </w:rPr>
      </w:pPr>
      <w:r w:rsidRPr="00542019">
        <w:rPr>
          <w:rFonts w:cs="Arial"/>
        </w:rPr>
        <w:t>A levy is an amount of money a local authority is compelled to collect (and include in its budget) on behalf of another organisation – for example, a government agency – and which appears as a separate item on the council tax bill.</w:t>
      </w:r>
    </w:p>
    <w:p w14:paraId="598F7F48" w14:textId="77777777" w:rsidR="00AA18DD" w:rsidRPr="00542019" w:rsidRDefault="00AA18DD" w:rsidP="00AA18DD">
      <w:pPr>
        <w:pStyle w:val="Normal0"/>
        <w:jc w:val="both"/>
        <w:rPr>
          <w:rFonts w:ascii="Verdana" w:hAnsi="Verdana"/>
          <w:sz w:val="22"/>
          <w:szCs w:val="22"/>
          <w:lang w:val="en-GB" w:eastAsia="en-GB"/>
        </w:rPr>
      </w:pPr>
    </w:p>
    <w:p w14:paraId="7112DE98" w14:textId="77777777" w:rsidR="00AA18DD" w:rsidRPr="00F31699" w:rsidRDefault="00AA18DD" w:rsidP="00AA18DD">
      <w:pPr>
        <w:jc w:val="both"/>
        <w:rPr>
          <w:rFonts w:cs="Arial"/>
          <w:b/>
        </w:rPr>
      </w:pPr>
      <w:r w:rsidRPr="00F31699">
        <w:rPr>
          <w:rFonts w:cs="Arial"/>
          <w:b/>
        </w:rPr>
        <w:t>LIABILITY</w:t>
      </w:r>
    </w:p>
    <w:p w14:paraId="7BF26D91" w14:textId="77777777" w:rsidR="00AA18DD" w:rsidRPr="00AA18DD" w:rsidRDefault="00AA18DD" w:rsidP="00AA18DD">
      <w:pPr>
        <w:jc w:val="both"/>
        <w:rPr>
          <w:rFonts w:cs="Arial"/>
          <w:b/>
        </w:rPr>
      </w:pPr>
      <w:r w:rsidRPr="00AA18DD">
        <w:rPr>
          <w:rFonts w:cs="Arial"/>
        </w:rPr>
        <w:t xml:space="preserve">An obligation that legally binds an individual or company to settle a debt. </w:t>
      </w:r>
    </w:p>
    <w:p w14:paraId="1E6259BA" w14:textId="77777777" w:rsidR="00AA18DD" w:rsidRPr="00AA18DD" w:rsidRDefault="00AA18DD" w:rsidP="00AA18DD">
      <w:pPr>
        <w:pStyle w:val="Normal0"/>
        <w:jc w:val="both"/>
        <w:rPr>
          <w:rFonts w:ascii="Verdana" w:hAnsi="Verdana"/>
          <w:sz w:val="22"/>
          <w:szCs w:val="22"/>
          <w:lang w:val="en-GB" w:eastAsia="en-GB"/>
        </w:rPr>
      </w:pPr>
    </w:p>
    <w:p w14:paraId="3E18E666"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LIQUID RESOURCES</w:t>
      </w:r>
    </w:p>
    <w:p w14:paraId="5C4BA8E0"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Current asset investments that are readily disposable by the PCC without disrupting its business and are either readily convertible to known amounts of cash at or close to the carrying amount or traded in an active market.</w:t>
      </w:r>
    </w:p>
    <w:p w14:paraId="5D9A80B3" w14:textId="77777777" w:rsidR="00CA6653" w:rsidRPr="00AA18DD" w:rsidRDefault="00CA6653" w:rsidP="00CA6653">
      <w:pPr>
        <w:pStyle w:val="Normal0"/>
        <w:jc w:val="both"/>
        <w:rPr>
          <w:rFonts w:ascii="Verdana" w:eastAsia="Times New Roman" w:hAnsi="Verdana"/>
          <w:sz w:val="22"/>
          <w:szCs w:val="22"/>
          <w:lang w:val="en-GB" w:eastAsia="en-GB"/>
        </w:rPr>
      </w:pPr>
    </w:p>
    <w:p w14:paraId="0B483F61"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MINIMUM REVENUE PROVISION (MRP)</w:t>
      </w:r>
    </w:p>
    <w:p w14:paraId="6DB41260" w14:textId="77777777" w:rsidR="00CA6653"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The statutory minimum amount set aside on an annual basis, as a provision to redeem debt.</w:t>
      </w:r>
    </w:p>
    <w:p w14:paraId="3031D82C" w14:textId="77777777" w:rsidR="00AA18DD" w:rsidRDefault="00AA18DD" w:rsidP="00CA6653">
      <w:pPr>
        <w:pStyle w:val="Normal0"/>
        <w:jc w:val="both"/>
        <w:rPr>
          <w:rFonts w:ascii="Verdana" w:eastAsia="Times New Roman" w:hAnsi="Verdana"/>
          <w:sz w:val="22"/>
          <w:szCs w:val="22"/>
          <w:lang w:val="en-GB" w:eastAsia="en-GB"/>
        </w:rPr>
      </w:pPr>
    </w:p>
    <w:p w14:paraId="033EEE06" w14:textId="77777777" w:rsidR="00AA18DD" w:rsidRPr="00542019" w:rsidRDefault="00AA18DD" w:rsidP="00AA18DD">
      <w:pPr>
        <w:pStyle w:val="Normal0"/>
        <w:jc w:val="both"/>
        <w:rPr>
          <w:rFonts w:ascii="Verdana" w:hAnsi="Verdana"/>
          <w:b/>
          <w:sz w:val="22"/>
          <w:szCs w:val="22"/>
          <w:lang w:val="en-GB" w:eastAsia="en-GB"/>
        </w:rPr>
      </w:pPr>
      <w:r w:rsidRPr="00542019">
        <w:rPr>
          <w:rFonts w:ascii="Verdana" w:hAnsi="Verdana"/>
          <w:b/>
          <w:color w:val="000000"/>
          <w:sz w:val="22"/>
          <w:szCs w:val="22"/>
          <w:lang w:val="en-GB" w:eastAsia="en-GB"/>
        </w:rPr>
        <w:t>NATIONAL NON DOMESTIC RATE (NNDR) – or BUSINESS RATES</w:t>
      </w:r>
    </w:p>
    <w:p w14:paraId="203E0E16" w14:textId="77777777" w:rsidR="00AA18DD" w:rsidRPr="00AA18DD" w:rsidRDefault="00AA18DD" w:rsidP="00AA18DD">
      <w:pPr>
        <w:pStyle w:val="Normal0"/>
        <w:jc w:val="both"/>
        <w:rPr>
          <w:rFonts w:ascii="Verdana" w:hAnsi="Verdana"/>
          <w:sz w:val="22"/>
          <w:szCs w:val="22"/>
          <w:lang w:val="en-GB" w:eastAsia="en-GB"/>
        </w:rPr>
      </w:pPr>
      <w:r w:rsidRPr="00542019">
        <w:rPr>
          <w:rFonts w:ascii="Verdana" w:hAnsi="Verdana" w:cs="ArialMT"/>
          <w:color w:val="000000"/>
          <w:sz w:val="22"/>
          <w:szCs w:val="22"/>
          <w:lang w:val="en-GB" w:eastAsia="en-GB"/>
        </w:rPr>
        <w:t xml:space="preserve">The rate in the pound charged on non-domestic properties. It is the same for all businesses in England and is set annually by Government, on whose behalf it is collected by billing authorities. The Police and Crime Commissioners then receive a share of the national pool as </w:t>
      </w:r>
      <w:r w:rsidRPr="00AA18DD">
        <w:rPr>
          <w:rFonts w:ascii="Verdana" w:hAnsi="Verdana" w:cs="ArialMT"/>
          <w:color w:val="000000"/>
          <w:sz w:val="22"/>
          <w:szCs w:val="22"/>
          <w:lang w:val="en-GB" w:eastAsia="en-GB"/>
        </w:rPr>
        <w:t>part of its resources used to meet Total Net Expenditure.</w:t>
      </w:r>
    </w:p>
    <w:p w14:paraId="07AF146D" w14:textId="77777777" w:rsidR="00AA18DD" w:rsidRPr="00AA18DD" w:rsidRDefault="00AA18DD" w:rsidP="00CA6653">
      <w:pPr>
        <w:pStyle w:val="Normal0"/>
        <w:jc w:val="both"/>
        <w:rPr>
          <w:rFonts w:ascii="Verdana" w:eastAsia="Times New Roman" w:hAnsi="Verdana"/>
          <w:sz w:val="22"/>
          <w:szCs w:val="22"/>
          <w:lang w:val="en-GB" w:eastAsia="en-GB"/>
        </w:rPr>
      </w:pPr>
    </w:p>
    <w:p w14:paraId="62AF4714"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NET BOOK VALUE</w:t>
      </w:r>
    </w:p>
    <w:p w14:paraId="7946ADEB"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The amount at which non-current assets are included in the Balance Sheet, i.e. their historic cost or current value less the cumulative amounts provided for depreciation.</w:t>
      </w:r>
    </w:p>
    <w:p w14:paraId="278B008A" w14:textId="77777777" w:rsidR="00CA6653" w:rsidRPr="00AA18DD" w:rsidRDefault="00CA6653" w:rsidP="00CA6653">
      <w:pPr>
        <w:pStyle w:val="Normal0"/>
        <w:jc w:val="both"/>
        <w:rPr>
          <w:rFonts w:ascii="Verdana" w:eastAsia="Times New Roman" w:hAnsi="Verdana"/>
          <w:sz w:val="22"/>
          <w:szCs w:val="22"/>
          <w:lang w:val="en-GB" w:eastAsia="en-GB"/>
        </w:rPr>
      </w:pPr>
    </w:p>
    <w:p w14:paraId="1AA084D4"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NET CURRENT REPLACEMENT COST</w:t>
      </w:r>
    </w:p>
    <w:p w14:paraId="1B147290"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The cost of replacing an asset or the nearest equivalent asset, adjusted to reflect the current condition of the existing asset.</w:t>
      </w:r>
    </w:p>
    <w:p w14:paraId="7A7BC4F7" w14:textId="77777777" w:rsidR="00CA6653" w:rsidRPr="00AA18DD" w:rsidRDefault="00CA6653" w:rsidP="00CA6653">
      <w:pPr>
        <w:pStyle w:val="Normal0"/>
        <w:jc w:val="both"/>
        <w:rPr>
          <w:rFonts w:ascii="Verdana" w:eastAsia="Times New Roman" w:hAnsi="Verdana"/>
          <w:sz w:val="22"/>
          <w:szCs w:val="22"/>
          <w:lang w:val="en-GB" w:eastAsia="en-GB"/>
        </w:rPr>
      </w:pPr>
    </w:p>
    <w:p w14:paraId="794042F2" w14:textId="77777777" w:rsidR="00AA18DD" w:rsidRPr="00AA18DD" w:rsidRDefault="00AA18DD" w:rsidP="00AA18DD">
      <w:pPr>
        <w:pStyle w:val="Normal0"/>
        <w:jc w:val="both"/>
        <w:rPr>
          <w:rFonts w:ascii="Verdana" w:hAnsi="Verdana"/>
          <w:b/>
          <w:sz w:val="22"/>
          <w:szCs w:val="22"/>
          <w:lang w:val="en-GB" w:eastAsia="en-GB"/>
        </w:rPr>
      </w:pPr>
      <w:r w:rsidRPr="00AA18DD">
        <w:rPr>
          <w:rFonts w:ascii="Verdana" w:hAnsi="Verdana"/>
          <w:b/>
          <w:color w:val="000000"/>
          <w:sz w:val="22"/>
          <w:szCs w:val="22"/>
          <w:lang w:val="en-GB" w:eastAsia="en-GB"/>
        </w:rPr>
        <w:t>NET OPERATING EXPENDITURE</w:t>
      </w:r>
    </w:p>
    <w:p w14:paraId="31552AA3" w14:textId="77777777" w:rsidR="00AA18DD" w:rsidRPr="00AA18DD" w:rsidRDefault="00AA18DD" w:rsidP="00AA18DD">
      <w:pPr>
        <w:pStyle w:val="Normal0"/>
        <w:jc w:val="both"/>
        <w:rPr>
          <w:rFonts w:ascii="Verdana" w:hAnsi="Verdana"/>
          <w:sz w:val="22"/>
          <w:szCs w:val="22"/>
          <w:lang w:val="en-GB" w:eastAsia="en-GB"/>
        </w:rPr>
      </w:pPr>
      <w:r w:rsidRPr="00AA18DD">
        <w:rPr>
          <w:rFonts w:ascii="Verdana" w:hAnsi="Verdana"/>
          <w:sz w:val="22"/>
          <w:szCs w:val="22"/>
          <w:lang w:val="en-GB" w:eastAsia="en-GB"/>
        </w:rPr>
        <w:t>The total net expenditure before financing from Central Government grants or local Council Tax and before the movements shown in the Statement of Movement on the General Fund Balance.</w:t>
      </w:r>
    </w:p>
    <w:p w14:paraId="2B517846" w14:textId="77777777" w:rsidR="00AA18DD" w:rsidRPr="00AA18DD" w:rsidRDefault="00AA18DD" w:rsidP="00CA6653">
      <w:pPr>
        <w:pStyle w:val="Normal0"/>
        <w:jc w:val="both"/>
        <w:rPr>
          <w:rFonts w:ascii="Verdana" w:eastAsia="Times New Roman" w:hAnsi="Verdana" w:cs="Arial"/>
          <w:b/>
          <w:sz w:val="22"/>
          <w:szCs w:val="22"/>
          <w:lang w:val="en-GB" w:eastAsia="en-GB"/>
        </w:rPr>
      </w:pPr>
    </w:p>
    <w:p w14:paraId="6F7FCCB9"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NON-CURRENT ASSETS</w:t>
      </w:r>
      <w:r w:rsidR="00AA18DD" w:rsidRPr="00AA18DD">
        <w:rPr>
          <w:rFonts w:ascii="Verdana" w:eastAsia="Times New Roman" w:hAnsi="Verdana" w:cs="Arial"/>
          <w:b/>
          <w:sz w:val="22"/>
          <w:szCs w:val="22"/>
          <w:lang w:val="en-GB" w:eastAsia="en-GB"/>
        </w:rPr>
        <w:t xml:space="preserve"> (FIXED ASSETS)</w:t>
      </w:r>
    </w:p>
    <w:p w14:paraId="14DDD75C"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Tangible assets that yield benefits to the PCC and the services it provides for a period of more than one year.</w:t>
      </w:r>
    </w:p>
    <w:p w14:paraId="1D9BAB88" w14:textId="77777777" w:rsidR="00CA6653" w:rsidRPr="00AA18DD" w:rsidRDefault="00CA6653" w:rsidP="00CA6653">
      <w:pPr>
        <w:pStyle w:val="Normal0"/>
        <w:jc w:val="both"/>
        <w:rPr>
          <w:rFonts w:ascii="Verdana" w:eastAsia="Times New Roman" w:hAnsi="Verdana"/>
          <w:sz w:val="22"/>
          <w:szCs w:val="22"/>
          <w:lang w:val="en-GB" w:eastAsia="en-GB"/>
        </w:rPr>
      </w:pPr>
    </w:p>
    <w:p w14:paraId="78104257"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OPERATING LEASE</w:t>
      </w:r>
    </w:p>
    <w:p w14:paraId="22CDFDD1"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An operating lease is a lease other than a finance lease.</w:t>
      </w:r>
    </w:p>
    <w:p w14:paraId="538EF84B" w14:textId="77777777" w:rsidR="00CA6653" w:rsidRPr="00AA18DD" w:rsidRDefault="00CA6653" w:rsidP="00CA6653">
      <w:pPr>
        <w:pStyle w:val="Normal0"/>
        <w:jc w:val="both"/>
        <w:rPr>
          <w:rFonts w:ascii="Verdana" w:eastAsia="Times New Roman" w:hAnsi="Verdana"/>
          <w:sz w:val="22"/>
          <w:szCs w:val="22"/>
          <w:lang w:val="en-GB" w:eastAsia="en-GB"/>
        </w:rPr>
      </w:pPr>
    </w:p>
    <w:p w14:paraId="2ED82605"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PAST SERVICE COSTS</w:t>
      </w:r>
      <w:r w:rsidR="00AA18DD" w:rsidRPr="00AA18DD">
        <w:rPr>
          <w:rFonts w:ascii="Verdana" w:eastAsia="Times New Roman" w:hAnsi="Verdana" w:cs="Arial"/>
          <w:b/>
          <w:sz w:val="22"/>
          <w:szCs w:val="22"/>
          <w:lang w:val="en-GB" w:eastAsia="en-GB"/>
        </w:rPr>
        <w:t xml:space="preserve"> (PENSIONS)</w:t>
      </w:r>
    </w:p>
    <w:p w14:paraId="35376050" w14:textId="77777777" w:rsidR="00CA6653" w:rsidRPr="00AA18DD" w:rsidRDefault="00CA6653" w:rsidP="00CA6653">
      <w:pPr>
        <w:pStyle w:val="Normal0"/>
        <w:jc w:val="both"/>
        <w:rPr>
          <w:rFonts w:ascii="Verdana" w:eastAsia="Times New Roman" w:hAnsi="Verdana" w:cs="Arial"/>
          <w:sz w:val="22"/>
          <w:szCs w:val="22"/>
          <w:lang w:val="en-GB" w:eastAsia="en-GB"/>
        </w:rPr>
      </w:pPr>
      <w:r w:rsidRPr="00AA18DD">
        <w:rPr>
          <w:rFonts w:ascii="Verdana" w:eastAsia="Times New Roman" w:hAnsi="Verdana" w:cs="Arial"/>
          <w:sz w:val="22"/>
          <w:szCs w:val="22"/>
          <w:lang w:val="en-GB" w:eastAsia="en-GB"/>
        </w:rPr>
        <w:t>For a defined benefit scheme, the increase in the present value of the scheme liabilities related to employee service in prior periods arising in the current period as a result of the introduction of, or improvement to, retirement benefits.</w:t>
      </w:r>
    </w:p>
    <w:p w14:paraId="2876B661" w14:textId="77777777" w:rsidR="00AA18DD" w:rsidRPr="00AA18DD" w:rsidRDefault="00AA18DD" w:rsidP="00CA6653">
      <w:pPr>
        <w:pStyle w:val="Normal0"/>
        <w:jc w:val="both"/>
        <w:rPr>
          <w:rFonts w:ascii="Verdana" w:eastAsia="Times New Roman" w:hAnsi="Verdana" w:cs="Arial"/>
          <w:sz w:val="22"/>
          <w:szCs w:val="22"/>
          <w:lang w:val="en-GB" w:eastAsia="en-GB"/>
        </w:rPr>
      </w:pPr>
    </w:p>
    <w:p w14:paraId="6D3F6E7E" w14:textId="77777777" w:rsidR="00AA18DD" w:rsidRPr="00AA18DD" w:rsidRDefault="00AA18DD" w:rsidP="00AA18DD">
      <w:pPr>
        <w:pStyle w:val="Normal0"/>
        <w:jc w:val="both"/>
        <w:rPr>
          <w:rFonts w:ascii="Verdana" w:hAnsi="Verdana"/>
          <w:b/>
          <w:sz w:val="22"/>
          <w:szCs w:val="22"/>
          <w:lang w:val="en-GB" w:eastAsia="en-GB"/>
        </w:rPr>
      </w:pPr>
      <w:r w:rsidRPr="00AA18DD">
        <w:rPr>
          <w:rFonts w:ascii="Verdana" w:hAnsi="Verdana"/>
          <w:b/>
          <w:sz w:val="22"/>
          <w:szCs w:val="22"/>
          <w:lang w:val="en-GB" w:eastAsia="en-GB"/>
        </w:rPr>
        <w:t>PCC</w:t>
      </w:r>
    </w:p>
    <w:p w14:paraId="357ECE03" w14:textId="77777777" w:rsidR="00AA18DD" w:rsidRPr="00AA18DD" w:rsidRDefault="00AA18DD" w:rsidP="00AA18DD">
      <w:pPr>
        <w:pStyle w:val="Normal0"/>
        <w:jc w:val="both"/>
        <w:rPr>
          <w:rFonts w:ascii="Verdana" w:hAnsi="Verdana"/>
          <w:sz w:val="22"/>
          <w:szCs w:val="22"/>
          <w:lang w:val="en-GB" w:eastAsia="en-GB"/>
        </w:rPr>
      </w:pPr>
      <w:r w:rsidRPr="00AA18DD">
        <w:rPr>
          <w:rFonts w:ascii="Verdana" w:hAnsi="Verdana"/>
          <w:sz w:val="22"/>
          <w:szCs w:val="22"/>
          <w:lang w:val="en-GB" w:eastAsia="en-GB"/>
        </w:rPr>
        <w:t>Police and Crime Commissioner</w:t>
      </w:r>
    </w:p>
    <w:p w14:paraId="5CB214D7" w14:textId="77777777" w:rsidR="00AA18DD" w:rsidRPr="00AA18DD" w:rsidRDefault="00AA18DD" w:rsidP="00CA6653">
      <w:pPr>
        <w:pStyle w:val="Normal0"/>
        <w:jc w:val="both"/>
        <w:rPr>
          <w:rFonts w:ascii="Verdana" w:eastAsia="Times New Roman" w:hAnsi="Verdana"/>
          <w:sz w:val="22"/>
          <w:szCs w:val="22"/>
          <w:lang w:val="en-GB" w:eastAsia="en-GB"/>
        </w:rPr>
      </w:pPr>
    </w:p>
    <w:p w14:paraId="36D66E72"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POLICE GRANT</w:t>
      </w:r>
    </w:p>
    <w:p w14:paraId="5B57EC4C"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A specific grant paid to the PCC by the Home Office to support its revenue expenditure.  It is a fixed sum calculated by the Government on an assumed needs basis.</w:t>
      </w:r>
    </w:p>
    <w:p w14:paraId="5710F421" w14:textId="77777777" w:rsidR="00CA6653" w:rsidRPr="00AA18DD" w:rsidRDefault="00CA6653" w:rsidP="00CA6653">
      <w:pPr>
        <w:pStyle w:val="Normal0"/>
        <w:jc w:val="both"/>
        <w:rPr>
          <w:rFonts w:ascii="Verdana" w:eastAsia="Times New Roman" w:hAnsi="Verdana"/>
          <w:sz w:val="22"/>
          <w:szCs w:val="22"/>
          <w:lang w:val="en-GB" w:eastAsia="en-GB"/>
        </w:rPr>
      </w:pPr>
    </w:p>
    <w:p w14:paraId="40726BA2"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PRECEPT</w:t>
      </w:r>
    </w:p>
    <w:p w14:paraId="0097F0EF" w14:textId="77777777" w:rsidR="00CA6653" w:rsidRPr="00AA18DD" w:rsidRDefault="00CA6653" w:rsidP="00CA6653">
      <w:pPr>
        <w:pStyle w:val="Normal0"/>
        <w:jc w:val="both"/>
        <w:rPr>
          <w:rFonts w:ascii="Verdana" w:eastAsia="Times New Roman" w:hAnsi="Verdana" w:cs="Arial"/>
          <w:sz w:val="22"/>
          <w:szCs w:val="22"/>
          <w:lang w:val="en-GB" w:eastAsia="en-GB"/>
        </w:rPr>
      </w:pPr>
      <w:r w:rsidRPr="00AA18DD">
        <w:rPr>
          <w:rFonts w:ascii="Verdana" w:eastAsia="Times New Roman" w:hAnsi="Verdana" w:cs="Arial"/>
          <w:sz w:val="22"/>
          <w:szCs w:val="22"/>
          <w:lang w:val="en-GB" w:eastAsia="en-GB"/>
        </w:rPr>
        <w:t>An amount determined by the PCC (the preceptor) which is collected on its behalf by the local District Councils (the billing authorities) as part of the Council Tax.</w:t>
      </w:r>
    </w:p>
    <w:p w14:paraId="6002B473" w14:textId="77777777" w:rsidR="00AA18DD" w:rsidRPr="00AA18DD" w:rsidRDefault="00AA18DD" w:rsidP="00CA6653">
      <w:pPr>
        <w:pStyle w:val="Normal0"/>
        <w:jc w:val="both"/>
        <w:rPr>
          <w:rFonts w:ascii="Verdana" w:eastAsia="Times New Roman" w:hAnsi="Verdana" w:cs="Arial"/>
          <w:sz w:val="22"/>
          <w:szCs w:val="22"/>
          <w:lang w:val="en-GB" w:eastAsia="en-GB"/>
        </w:rPr>
      </w:pPr>
    </w:p>
    <w:p w14:paraId="62D17F63" w14:textId="77777777" w:rsidR="00AA18DD" w:rsidRPr="00AA18DD" w:rsidRDefault="00AA18DD" w:rsidP="00AA18DD">
      <w:pPr>
        <w:pStyle w:val="Normal0"/>
        <w:jc w:val="both"/>
        <w:rPr>
          <w:rFonts w:ascii="Verdana" w:hAnsi="Verdana"/>
          <w:b/>
          <w:sz w:val="22"/>
          <w:szCs w:val="22"/>
          <w:lang w:val="en-GB" w:eastAsia="en-GB"/>
        </w:rPr>
      </w:pPr>
      <w:r w:rsidRPr="00AA18DD">
        <w:rPr>
          <w:rFonts w:ascii="Verdana" w:hAnsi="Verdana"/>
          <w:b/>
          <w:color w:val="000000"/>
          <w:sz w:val="22"/>
          <w:szCs w:val="22"/>
          <w:lang w:val="en-GB" w:eastAsia="en-GB"/>
        </w:rPr>
        <w:t>PREPAYMENT</w:t>
      </w:r>
    </w:p>
    <w:p w14:paraId="1A10D594" w14:textId="77777777" w:rsidR="00AA18DD" w:rsidRPr="00AA18DD" w:rsidRDefault="00AA18DD" w:rsidP="00AA18DD">
      <w:pPr>
        <w:pStyle w:val="Normal0"/>
        <w:jc w:val="both"/>
        <w:rPr>
          <w:rFonts w:ascii="Verdana" w:hAnsi="Verdana"/>
          <w:sz w:val="22"/>
          <w:szCs w:val="22"/>
          <w:lang w:val="en-GB" w:eastAsia="en-GB"/>
        </w:rPr>
      </w:pPr>
      <w:r w:rsidRPr="00AA18DD">
        <w:rPr>
          <w:rFonts w:ascii="Verdana" w:hAnsi="Verdana" w:cs="ArialMT"/>
          <w:color w:val="000000"/>
          <w:sz w:val="22"/>
          <w:szCs w:val="22"/>
          <w:lang w:val="en-GB" w:eastAsia="en-GB"/>
        </w:rPr>
        <w:t>Any amounts that have been paid for goods and services not received by the end of an accounting period are shown as prepayments in the debtors section of the balance sheet.</w:t>
      </w:r>
    </w:p>
    <w:p w14:paraId="12DE55BA" w14:textId="77777777" w:rsidR="00CA6653" w:rsidRPr="00AA18DD" w:rsidRDefault="00CA6653" w:rsidP="00CA6653">
      <w:pPr>
        <w:pStyle w:val="Normal0"/>
        <w:jc w:val="both"/>
        <w:rPr>
          <w:rFonts w:ascii="Verdana" w:eastAsia="Times New Roman" w:hAnsi="Verdana"/>
          <w:sz w:val="22"/>
          <w:szCs w:val="22"/>
          <w:lang w:val="en-GB" w:eastAsia="en-GB"/>
        </w:rPr>
      </w:pPr>
    </w:p>
    <w:p w14:paraId="768B7491"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PROJECTED UNIT METHOD</w:t>
      </w:r>
    </w:p>
    <w:p w14:paraId="5F03E120"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A Projected Unit Method is an accrued benefits valuation method in which the scheme liabilities make allowance for projected earnings. An accrued benefits valuation method is a valuation method in which the scheme liabilities at the valuation date relate to:</w:t>
      </w:r>
    </w:p>
    <w:p w14:paraId="32E06B9B" w14:textId="77777777" w:rsidR="00CA6653" w:rsidRPr="00AA18DD" w:rsidRDefault="00CA6653" w:rsidP="00CA6653">
      <w:pPr>
        <w:pStyle w:val="Normal0"/>
        <w:jc w:val="both"/>
        <w:rPr>
          <w:rFonts w:ascii="Verdana" w:eastAsia="Times New Roman" w:hAnsi="Verdana"/>
          <w:sz w:val="22"/>
          <w:szCs w:val="22"/>
          <w:lang w:val="en-GB" w:eastAsia="en-GB"/>
        </w:rPr>
      </w:pPr>
    </w:p>
    <w:p w14:paraId="668CF11F" w14:textId="77777777" w:rsidR="00CA6653" w:rsidRPr="00AA18DD" w:rsidRDefault="00CA6653" w:rsidP="00EF7B6D">
      <w:pPr>
        <w:pStyle w:val="Normal0"/>
        <w:numPr>
          <w:ilvl w:val="0"/>
          <w:numId w:val="12"/>
        </w:numPr>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The benefits for pensioners and deferred pensioners (i.e. individuals who have ceased to be active members but are entitled to benefits payable at a later date) and their dependants, allowing where appropriate for future increases; and</w:t>
      </w:r>
    </w:p>
    <w:p w14:paraId="480B2DF8" w14:textId="77777777" w:rsidR="00CA6653" w:rsidRPr="00AA18DD" w:rsidRDefault="00CA6653" w:rsidP="00EF7B6D">
      <w:pPr>
        <w:pStyle w:val="Normal0"/>
        <w:numPr>
          <w:ilvl w:val="0"/>
          <w:numId w:val="12"/>
        </w:numPr>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The accrued benefits for member in service on the valuation date.</w:t>
      </w:r>
    </w:p>
    <w:p w14:paraId="6FEF58A9" w14:textId="77777777" w:rsidR="00CA6653" w:rsidRPr="00AA18DD" w:rsidRDefault="00CA6653" w:rsidP="00CA6653">
      <w:pPr>
        <w:pStyle w:val="Normal0"/>
        <w:jc w:val="both"/>
        <w:rPr>
          <w:rFonts w:ascii="Verdana" w:eastAsia="Times New Roman" w:hAnsi="Verdana"/>
          <w:sz w:val="22"/>
          <w:szCs w:val="22"/>
          <w:lang w:val="en-GB" w:eastAsia="en-GB"/>
        </w:rPr>
      </w:pPr>
    </w:p>
    <w:p w14:paraId="4C2935DE"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PROVISION</w:t>
      </w:r>
    </w:p>
    <w:p w14:paraId="640463D5"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An amount set aside to provide for a liability which is likely to be incurred but the exact amount and the date on which it will arise is uncertain.</w:t>
      </w:r>
    </w:p>
    <w:p w14:paraId="1776C895" w14:textId="77777777" w:rsidR="00CA6653" w:rsidRPr="00AA18DD" w:rsidRDefault="00CA6653" w:rsidP="00CA6653">
      <w:pPr>
        <w:pStyle w:val="Normal0"/>
        <w:jc w:val="both"/>
        <w:rPr>
          <w:rFonts w:ascii="Verdana" w:eastAsia="Times New Roman" w:hAnsi="Verdana"/>
          <w:sz w:val="22"/>
          <w:szCs w:val="22"/>
          <w:lang w:val="en-GB" w:eastAsia="en-GB"/>
        </w:rPr>
      </w:pPr>
    </w:p>
    <w:p w14:paraId="42F9CCAD"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RELATED PARTIES</w:t>
      </w:r>
    </w:p>
    <w:p w14:paraId="042DECCE"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Two or more parties are related parties when at any time during the financial period:</w:t>
      </w:r>
    </w:p>
    <w:p w14:paraId="70E25A26" w14:textId="77777777" w:rsidR="00CA6653" w:rsidRPr="00AA18DD" w:rsidRDefault="00CA6653" w:rsidP="00EF7B6D">
      <w:pPr>
        <w:pStyle w:val="Normal0"/>
        <w:numPr>
          <w:ilvl w:val="0"/>
          <w:numId w:val="13"/>
        </w:numPr>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one party has direct or indirect control of the other party, or</w:t>
      </w:r>
    </w:p>
    <w:p w14:paraId="36A9504D" w14:textId="77777777" w:rsidR="00CA6653" w:rsidRPr="00AA18DD" w:rsidRDefault="00CA6653" w:rsidP="00EF7B6D">
      <w:pPr>
        <w:pStyle w:val="Normal0"/>
        <w:numPr>
          <w:ilvl w:val="0"/>
          <w:numId w:val="13"/>
        </w:numPr>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the parties are subject to common control from the same source, or</w:t>
      </w:r>
    </w:p>
    <w:p w14:paraId="187A746A" w14:textId="77777777" w:rsidR="00CA6653" w:rsidRPr="00AA18DD" w:rsidRDefault="00CA6653" w:rsidP="00EF7B6D">
      <w:pPr>
        <w:pStyle w:val="Normal0"/>
        <w:numPr>
          <w:ilvl w:val="0"/>
          <w:numId w:val="13"/>
        </w:numPr>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one party has influence over the financial and operational policies of the other party to an extent that the other party might be inhibited from pursuing at all times its own separate interests, or</w:t>
      </w:r>
    </w:p>
    <w:p w14:paraId="2CD0C334" w14:textId="77777777" w:rsidR="00CA6653" w:rsidRPr="00AA18DD" w:rsidRDefault="00CA6653" w:rsidP="00EF7B6D">
      <w:pPr>
        <w:pStyle w:val="Normal0"/>
        <w:numPr>
          <w:ilvl w:val="0"/>
          <w:numId w:val="13"/>
        </w:numPr>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the parties, in entering a transaction, are subject to influence from the same source to such an extent that one of the parties to the transaction has subordinated its own separate interests.</w:t>
      </w:r>
    </w:p>
    <w:p w14:paraId="5FDD5A4F" w14:textId="77777777" w:rsidR="00CA6653" w:rsidRPr="00AA18DD" w:rsidRDefault="00CA6653" w:rsidP="00CA6653">
      <w:pPr>
        <w:pStyle w:val="Normal0"/>
        <w:jc w:val="both"/>
        <w:rPr>
          <w:rFonts w:ascii="Verdana" w:eastAsia="Times New Roman" w:hAnsi="Verdana"/>
          <w:sz w:val="22"/>
          <w:szCs w:val="22"/>
          <w:lang w:val="en-GB" w:eastAsia="en-GB"/>
        </w:rPr>
      </w:pPr>
    </w:p>
    <w:p w14:paraId="49DE8049"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 xml:space="preserve">RELATED PARTY TRANSACTION </w:t>
      </w:r>
    </w:p>
    <w:p w14:paraId="77EC4676" w14:textId="77777777" w:rsidR="00CA6653" w:rsidRDefault="00CA6653" w:rsidP="00CA6653">
      <w:pPr>
        <w:pStyle w:val="Normal0"/>
        <w:jc w:val="both"/>
        <w:rPr>
          <w:rFonts w:ascii="Verdana" w:eastAsia="Times New Roman" w:hAnsi="Verdana" w:cs="Arial"/>
          <w:sz w:val="22"/>
          <w:szCs w:val="22"/>
          <w:lang w:val="en-GB" w:eastAsia="en-GB"/>
        </w:rPr>
      </w:pPr>
      <w:r w:rsidRPr="00AA18DD">
        <w:rPr>
          <w:rFonts w:ascii="Verdana" w:eastAsia="Times New Roman" w:hAnsi="Verdana" w:cs="Arial"/>
          <w:sz w:val="22"/>
          <w:szCs w:val="22"/>
          <w:lang w:val="en-GB" w:eastAsia="en-GB"/>
        </w:rPr>
        <w:t xml:space="preserve">A related party transaction is the transfer of assets or liabilities or the performance of services by, to or for a related party irrespective of whether a charge is made. </w:t>
      </w:r>
    </w:p>
    <w:p w14:paraId="3E5803D2" w14:textId="77777777" w:rsidR="00AA18DD" w:rsidRDefault="00AA18DD" w:rsidP="00CA6653">
      <w:pPr>
        <w:pStyle w:val="Normal0"/>
        <w:jc w:val="both"/>
        <w:rPr>
          <w:rFonts w:ascii="Verdana" w:eastAsia="Times New Roman" w:hAnsi="Verdana" w:cs="Arial"/>
          <w:sz w:val="22"/>
          <w:szCs w:val="22"/>
          <w:lang w:val="en-GB" w:eastAsia="en-GB"/>
        </w:rPr>
      </w:pPr>
    </w:p>
    <w:p w14:paraId="519758F1" w14:textId="77777777" w:rsidR="00AA18DD" w:rsidRPr="00542019" w:rsidRDefault="00AA18DD" w:rsidP="00AA18DD">
      <w:pPr>
        <w:pStyle w:val="Normal0"/>
        <w:rPr>
          <w:rFonts w:ascii="Verdana" w:hAnsi="Verdana"/>
          <w:b/>
          <w:sz w:val="22"/>
          <w:szCs w:val="22"/>
          <w:lang w:val="en-GB" w:eastAsia="en-GB"/>
        </w:rPr>
      </w:pPr>
      <w:r w:rsidRPr="00542019">
        <w:rPr>
          <w:rFonts w:ascii="Verdana" w:hAnsi="Verdana"/>
          <w:b/>
          <w:sz w:val="22"/>
          <w:szCs w:val="22"/>
          <w:lang w:val="en-GB" w:eastAsia="en-GB"/>
        </w:rPr>
        <w:t xml:space="preserve">RESERVE </w:t>
      </w:r>
    </w:p>
    <w:p w14:paraId="363C0498" w14:textId="77777777" w:rsidR="00AA18DD" w:rsidRPr="00AA18DD" w:rsidRDefault="00AA18DD" w:rsidP="00AA18DD">
      <w:pPr>
        <w:pStyle w:val="Normal0"/>
        <w:rPr>
          <w:rFonts w:ascii="Verdana" w:hAnsi="Verdana"/>
          <w:sz w:val="22"/>
          <w:szCs w:val="22"/>
          <w:lang w:val="en-GB" w:eastAsia="en-GB"/>
        </w:rPr>
      </w:pPr>
      <w:r w:rsidRPr="00542019">
        <w:rPr>
          <w:rFonts w:ascii="Verdana" w:hAnsi="Verdana"/>
          <w:sz w:val="22"/>
          <w:szCs w:val="22"/>
          <w:lang w:val="en-GB" w:eastAsia="en-GB"/>
        </w:rPr>
        <w:t xml:space="preserve">An amount set aside for a specific purpose and carried forward to meet expenditure in future years. General reserves represent accumulated balances which may be used to support future spending. Earmarked reserves are those reserves set </w:t>
      </w:r>
      <w:r w:rsidRPr="00AA18DD">
        <w:rPr>
          <w:rFonts w:ascii="Verdana" w:hAnsi="Verdana"/>
          <w:sz w:val="22"/>
          <w:szCs w:val="22"/>
          <w:lang w:val="en-GB" w:eastAsia="en-GB"/>
        </w:rPr>
        <w:t>aside to meet specific policy purposes.</w:t>
      </w:r>
    </w:p>
    <w:p w14:paraId="37891C67" w14:textId="77777777" w:rsidR="00CA6653" w:rsidRPr="00AA18DD" w:rsidRDefault="00CA6653" w:rsidP="00CA6653">
      <w:pPr>
        <w:pStyle w:val="Normal0"/>
        <w:jc w:val="both"/>
        <w:rPr>
          <w:rFonts w:ascii="Verdana" w:eastAsia="Times New Roman" w:hAnsi="Verdana"/>
          <w:sz w:val="22"/>
          <w:szCs w:val="22"/>
          <w:lang w:val="en-GB" w:eastAsia="en-GB"/>
        </w:rPr>
      </w:pPr>
    </w:p>
    <w:p w14:paraId="22136573"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RESIDUAL VALUE</w:t>
      </w:r>
    </w:p>
    <w:p w14:paraId="5D27B1EF"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The residual value is the net realisable value of an asset at the end of its useful life. Residual values are based on prices prevailing at the date of acquisition (or revaluation) of the asset and do not take account of expected future price changes.</w:t>
      </w:r>
    </w:p>
    <w:p w14:paraId="56E210C3" w14:textId="77777777" w:rsidR="00CA6653" w:rsidRPr="00AA18DD" w:rsidRDefault="00CA6653" w:rsidP="00CA6653">
      <w:pPr>
        <w:pStyle w:val="Normal0"/>
        <w:jc w:val="both"/>
        <w:rPr>
          <w:rFonts w:ascii="Verdana" w:eastAsia="Times New Roman" w:hAnsi="Verdana" w:cs="Arial"/>
          <w:b/>
          <w:sz w:val="22"/>
          <w:szCs w:val="22"/>
          <w:lang w:val="en-GB" w:eastAsia="en-GB"/>
        </w:rPr>
      </w:pPr>
    </w:p>
    <w:p w14:paraId="39A9FB1B" w14:textId="77777777" w:rsidR="00AA18DD" w:rsidRPr="00AA18DD" w:rsidRDefault="00AA18DD" w:rsidP="00AA18DD">
      <w:pPr>
        <w:pStyle w:val="Normal0"/>
        <w:rPr>
          <w:rFonts w:ascii="Verdana" w:hAnsi="Verdana"/>
          <w:b/>
          <w:sz w:val="22"/>
          <w:szCs w:val="22"/>
          <w:lang w:val="en-GB" w:eastAsia="en-GB"/>
        </w:rPr>
      </w:pPr>
      <w:r w:rsidRPr="00AA18DD">
        <w:rPr>
          <w:rFonts w:ascii="Verdana" w:hAnsi="Verdana"/>
          <w:b/>
          <w:color w:val="000000"/>
          <w:sz w:val="22"/>
          <w:szCs w:val="22"/>
          <w:lang w:val="en-GB" w:eastAsia="en-GB"/>
        </w:rPr>
        <w:t>REVENUE BUDGET</w:t>
      </w:r>
    </w:p>
    <w:p w14:paraId="491314B9" w14:textId="77777777" w:rsidR="00AA18DD" w:rsidRPr="00AA18DD" w:rsidRDefault="00AA18DD" w:rsidP="00AA18DD">
      <w:pPr>
        <w:pStyle w:val="Normal0"/>
        <w:rPr>
          <w:rFonts w:ascii="Verdana" w:hAnsi="Verdana"/>
          <w:sz w:val="22"/>
          <w:szCs w:val="22"/>
          <w:lang w:val="en-GB" w:eastAsia="en-GB"/>
        </w:rPr>
      </w:pPr>
      <w:r w:rsidRPr="00AA18DD">
        <w:rPr>
          <w:rFonts w:ascii="Verdana" w:hAnsi="Verdana" w:cs="ArialMT"/>
          <w:color w:val="000000"/>
          <w:sz w:val="22"/>
          <w:szCs w:val="22"/>
          <w:lang w:val="en-GB" w:eastAsia="en-GB"/>
        </w:rPr>
        <w:t>The Revenue Budget estimates annual income and expenditure requirements, and sets out the financial implications of the PCC Group policies and the basis of the annual precept to be levied on collection funds.</w:t>
      </w:r>
    </w:p>
    <w:p w14:paraId="7C0ED5D8" w14:textId="77777777" w:rsidR="00AA18DD" w:rsidRPr="00AA18DD" w:rsidRDefault="00AA18DD" w:rsidP="00CA6653">
      <w:pPr>
        <w:pStyle w:val="Normal0"/>
        <w:jc w:val="both"/>
        <w:rPr>
          <w:rFonts w:ascii="Verdana" w:eastAsia="Times New Roman" w:hAnsi="Verdana"/>
          <w:b/>
          <w:sz w:val="22"/>
          <w:szCs w:val="22"/>
          <w:lang w:val="en-GB" w:eastAsia="en-GB"/>
        </w:rPr>
      </w:pPr>
    </w:p>
    <w:p w14:paraId="602EBB19"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REVENUE SUPPORT GRANT</w:t>
      </w:r>
    </w:p>
    <w:p w14:paraId="7BCCA331"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Central Government grant supporting the cost of public services.</w:t>
      </w:r>
    </w:p>
    <w:p w14:paraId="749D8B54" w14:textId="77777777" w:rsidR="00CA6653" w:rsidRPr="00AA18DD" w:rsidRDefault="00CA6653" w:rsidP="00CA6653">
      <w:pPr>
        <w:pStyle w:val="Normal0"/>
        <w:jc w:val="both"/>
        <w:rPr>
          <w:rFonts w:ascii="Verdana" w:eastAsia="Times New Roman" w:hAnsi="Verdana"/>
          <w:sz w:val="22"/>
          <w:szCs w:val="22"/>
          <w:lang w:val="en-GB" w:eastAsia="en-GB"/>
        </w:rPr>
      </w:pPr>
    </w:p>
    <w:p w14:paraId="5AF71185"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SCHEME LIABILITIES</w:t>
      </w:r>
      <w:r w:rsidR="00AA18DD" w:rsidRPr="00AA18DD">
        <w:rPr>
          <w:rFonts w:ascii="Verdana" w:eastAsia="Times New Roman" w:hAnsi="Verdana" w:cs="Arial"/>
          <w:b/>
          <w:sz w:val="22"/>
          <w:szCs w:val="22"/>
          <w:lang w:val="en-GB" w:eastAsia="en-GB"/>
        </w:rPr>
        <w:t xml:space="preserve"> (PENSIONS)</w:t>
      </w:r>
    </w:p>
    <w:p w14:paraId="53680CD5"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The liabilities of a defined benefit scheme for outgoings due after the valuation date. Scheme liabilities measured using the projected unit method reflects the benefits that the employer is committed to provide for service up to the valuation date.</w:t>
      </w:r>
    </w:p>
    <w:p w14:paraId="59C12856" w14:textId="77777777" w:rsidR="00CA6653" w:rsidRPr="00AA18DD" w:rsidRDefault="00CA6653" w:rsidP="00CA6653">
      <w:pPr>
        <w:pStyle w:val="Normal0"/>
        <w:jc w:val="both"/>
        <w:rPr>
          <w:rFonts w:ascii="Verdana" w:eastAsia="Times New Roman" w:hAnsi="Verdana"/>
          <w:sz w:val="22"/>
          <w:szCs w:val="22"/>
          <w:lang w:val="en-GB" w:eastAsia="en-GB"/>
        </w:rPr>
      </w:pPr>
    </w:p>
    <w:p w14:paraId="623546BA"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SETTLEMENT (PENSIONS)</w:t>
      </w:r>
    </w:p>
    <w:p w14:paraId="30E74575"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An irrevocable action that relieves the employer (or the defined benefit scheme) of the primary responsibility for a pension obligation and eliminates significant risks relating to the obligation and the assets used to effect the settlement.   Settlements include:-</w:t>
      </w:r>
    </w:p>
    <w:p w14:paraId="336064F5" w14:textId="77777777" w:rsidR="00CA6653" w:rsidRPr="00AA18DD" w:rsidRDefault="00CA6653" w:rsidP="00CA6653">
      <w:pPr>
        <w:pStyle w:val="Normal0"/>
        <w:jc w:val="both"/>
        <w:rPr>
          <w:rFonts w:ascii="Verdana" w:eastAsia="Times New Roman" w:hAnsi="Verdana"/>
          <w:sz w:val="22"/>
          <w:szCs w:val="22"/>
          <w:lang w:val="en-GB" w:eastAsia="en-GB"/>
        </w:rPr>
      </w:pPr>
    </w:p>
    <w:p w14:paraId="140DE179" w14:textId="77777777" w:rsidR="00CA6653" w:rsidRPr="00AA18DD" w:rsidRDefault="00CA6653" w:rsidP="00CA6653">
      <w:pPr>
        <w:pStyle w:val="Normal0"/>
        <w:ind w:left="720" w:hanging="72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w:t>
      </w:r>
      <w:r w:rsidRPr="00AA18DD">
        <w:rPr>
          <w:rFonts w:ascii="Verdana" w:eastAsia="Times New Roman" w:hAnsi="Verdana" w:cs="Arial"/>
          <w:sz w:val="22"/>
          <w:szCs w:val="22"/>
          <w:lang w:val="en-GB" w:eastAsia="en-GB"/>
        </w:rPr>
        <w:tab/>
        <w:t>a lump sum cash payment to scheme members in exchange for their rights to receive specified pension benefits</w:t>
      </w:r>
    </w:p>
    <w:p w14:paraId="738FA9F5" w14:textId="77777777" w:rsidR="00CA6653" w:rsidRPr="00AA18DD"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w:t>
      </w:r>
      <w:r w:rsidRPr="00AA18DD">
        <w:rPr>
          <w:rFonts w:ascii="Verdana" w:eastAsia="Times New Roman" w:hAnsi="Verdana" w:cs="Arial"/>
          <w:sz w:val="22"/>
          <w:szCs w:val="22"/>
          <w:lang w:val="en-GB" w:eastAsia="en-GB"/>
        </w:rPr>
        <w:tab/>
        <w:t>the purchase of an irrevocable annuity contract sufficient to cover vested benefits, and</w:t>
      </w:r>
    </w:p>
    <w:p w14:paraId="69781563" w14:textId="77777777" w:rsidR="00CA6653" w:rsidRPr="00AA18DD" w:rsidRDefault="00CA6653" w:rsidP="00CA6653">
      <w:pPr>
        <w:pStyle w:val="Normal0"/>
        <w:ind w:left="720" w:hanging="72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w:t>
      </w:r>
      <w:r w:rsidRPr="00AA18DD">
        <w:rPr>
          <w:rFonts w:ascii="Verdana" w:eastAsia="Times New Roman" w:hAnsi="Verdana" w:cs="Arial"/>
          <w:sz w:val="22"/>
          <w:szCs w:val="22"/>
          <w:lang w:val="en-GB" w:eastAsia="en-GB"/>
        </w:rPr>
        <w:tab/>
        <w:t>the transfer of scheme assets and liabilities relating to a group of employees leaving the scheme.</w:t>
      </w:r>
    </w:p>
    <w:p w14:paraId="3ED95AB2" w14:textId="77777777" w:rsidR="00CA6653" w:rsidRDefault="00CA6653" w:rsidP="00CA6653">
      <w:pPr>
        <w:pStyle w:val="Normal0"/>
        <w:jc w:val="both"/>
        <w:rPr>
          <w:rFonts w:ascii="Verdana" w:eastAsia="Times New Roman" w:hAnsi="Verdana"/>
          <w:b/>
          <w:sz w:val="22"/>
          <w:szCs w:val="22"/>
          <w:lang w:val="en-GB" w:eastAsia="en-GB"/>
        </w:rPr>
      </w:pPr>
    </w:p>
    <w:p w14:paraId="33792F70" w14:textId="77777777" w:rsidR="00AA18DD" w:rsidRPr="00542019" w:rsidRDefault="00AA18DD" w:rsidP="00AA18DD">
      <w:pPr>
        <w:pStyle w:val="Normal0"/>
        <w:rPr>
          <w:rFonts w:ascii="Verdana" w:hAnsi="Verdana"/>
          <w:b/>
          <w:sz w:val="22"/>
          <w:szCs w:val="22"/>
          <w:lang w:val="en-GB" w:eastAsia="en-GB"/>
        </w:rPr>
      </w:pPr>
      <w:r w:rsidRPr="00542019">
        <w:rPr>
          <w:rFonts w:ascii="Verdana" w:hAnsi="Verdana"/>
          <w:b/>
          <w:color w:val="000000"/>
          <w:sz w:val="22"/>
          <w:szCs w:val="22"/>
          <w:lang w:val="en-GB" w:eastAsia="en-GB"/>
        </w:rPr>
        <w:t>SPECIFIC GRANTS</w:t>
      </w:r>
    </w:p>
    <w:p w14:paraId="4B1DAE2F" w14:textId="77777777" w:rsidR="00AA18DD" w:rsidRPr="00542019" w:rsidRDefault="00AA18DD" w:rsidP="00AA18DD">
      <w:pPr>
        <w:pStyle w:val="Normal0"/>
        <w:rPr>
          <w:rFonts w:ascii="Verdana" w:hAnsi="Verdana"/>
          <w:sz w:val="22"/>
          <w:szCs w:val="22"/>
          <w:lang w:val="en-GB" w:eastAsia="en-GB"/>
        </w:rPr>
      </w:pPr>
      <w:r w:rsidRPr="00542019">
        <w:rPr>
          <w:rFonts w:ascii="Verdana" w:hAnsi="Verdana" w:cs="ArialMT"/>
          <w:color w:val="000000"/>
          <w:sz w:val="22"/>
          <w:szCs w:val="22"/>
          <w:lang w:val="en-GB" w:eastAsia="en-GB"/>
        </w:rPr>
        <w:t>Central Government grants towards specific services, usually on a fixed percentage for a particular service such as Police. These are included as income on the Income &amp; Expenditure Account.</w:t>
      </w:r>
    </w:p>
    <w:p w14:paraId="4CB01A63" w14:textId="77777777" w:rsidR="00AA18DD" w:rsidRPr="00542019" w:rsidRDefault="00AA18DD" w:rsidP="00AA18DD">
      <w:pPr>
        <w:pStyle w:val="Normal0"/>
        <w:rPr>
          <w:rFonts w:ascii="Verdana" w:hAnsi="Verdana"/>
          <w:sz w:val="22"/>
          <w:szCs w:val="22"/>
          <w:lang w:val="en-GB" w:eastAsia="en-GB"/>
        </w:rPr>
      </w:pPr>
    </w:p>
    <w:p w14:paraId="1AF13596" w14:textId="77777777" w:rsidR="00AA18DD" w:rsidRPr="00542019" w:rsidRDefault="00AA18DD" w:rsidP="00AA18DD">
      <w:pPr>
        <w:pStyle w:val="Normal0"/>
        <w:rPr>
          <w:rFonts w:ascii="Verdana" w:hAnsi="Verdana"/>
          <w:b/>
          <w:sz w:val="22"/>
          <w:szCs w:val="22"/>
          <w:lang w:val="en-GB" w:eastAsia="en-GB"/>
        </w:rPr>
      </w:pPr>
      <w:r w:rsidRPr="00542019">
        <w:rPr>
          <w:rFonts w:ascii="Verdana" w:hAnsi="Verdana"/>
          <w:b/>
          <w:color w:val="000000"/>
          <w:sz w:val="22"/>
          <w:szCs w:val="22"/>
          <w:lang w:val="en-GB" w:eastAsia="en-GB"/>
        </w:rPr>
        <w:t>TOTAL NET EXPENDITURE</w:t>
      </w:r>
    </w:p>
    <w:p w14:paraId="32A18B5E" w14:textId="77777777" w:rsidR="00AA18DD" w:rsidRPr="00542019" w:rsidRDefault="00AA18DD" w:rsidP="00AA18DD">
      <w:pPr>
        <w:pStyle w:val="Normal0"/>
        <w:rPr>
          <w:rFonts w:ascii="Verdana" w:hAnsi="Verdana"/>
          <w:sz w:val="22"/>
          <w:szCs w:val="22"/>
          <w:lang w:val="en-GB" w:eastAsia="en-GB"/>
        </w:rPr>
      </w:pPr>
      <w:r w:rsidRPr="00542019">
        <w:rPr>
          <w:rFonts w:ascii="Verdana" w:hAnsi="Verdana" w:cs="ArialMT"/>
          <w:color w:val="000000"/>
          <w:sz w:val="22"/>
          <w:szCs w:val="22"/>
          <w:lang w:val="en-GB" w:eastAsia="en-GB"/>
        </w:rPr>
        <w:t>Total net spending requirement after deducting specific grants and other local income is financed by Central Government grants and local Council Tax</w:t>
      </w:r>
    </w:p>
    <w:p w14:paraId="7A6C60BF" w14:textId="77777777" w:rsidR="00AA18DD" w:rsidRPr="00542019" w:rsidRDefault="00AA18DD" w:rsidP="00AA18DD">
      <w:pPr>
        <w:pStyle w:val="Normal0"/>
        <w:rPr>
          <w:rFonts w:ascii="Verdana" w:hAnsi="Verdana"/>
          <w:sz w:val="22"/>
          <w:szCs w:val="22"/>
          <w:lang w:val="en-GB" w:eastAsia="en-GB"/>
        </w:rPr>
      </w:pPr>
    </w:p>
    <w:p w14:paraId="2AC88A28" w14:textId="77777777" w:rsidR="00CA6653" w:rsidRPr="00AA18DD" w:rsidRDefault="00CA6653" w:rsidP="00CA6653">
      <w:pPr>
        <w:pStyle w:val="Normal0"/>
        <w:jc w:val="both"/>
        <w:rPr>
          <w:rFonts w:ascii="Verdana" w:eastAsia="Times New Roman" w:hAnsi="Verdana"/>
          <w:b/>
          <w:sz w:val="22"/>
          <w:szCs w:val="22"/>
          <w:lang w:val="en-GB" w:eastAsia="en-GB"/>
        </w:rPr>
      </w:pPr>
      <w:r w:rsidRPr="00AA18DD">
        <w:rPr>
          <w:rFonts w:ascii="Verdana" w:eastAsia="Times New Roman" w:hAnsi="Verdana" w:cs="Arial"/>
          <w:b/>
          <w:sz w:val="22"/>
          <w:szCs w:val="22"/>
          <w:lang w:val="en-GB" w:eastAsia="en-GB"/>
        </w:rPr>
        <w:t>WORK IN PROGRESS/ASSETS UNDER CONSTRUCTION</w:t>
      </w:r>
    </w:p>
    <w:p w14:paraId="6A68E34A" w14:textId="77777777" w:rsidR="00CA6653" w:rsidRPr="0058457F" w:rsidRDefault="00CA6653" w:rsidP="00CA6653">
      <w:pPr>
        <w:pStyle w:val="Normal0"/>
        <w:jc w:val="both"/>
        <w:rPr>
          <w:rFonts w:ascii="Verdana" w:eastAsia="Times New Roman" w:hAnsi="Verdana"/>
          <w:sz w:val="22"/>
          <w:szCs w:val="22"/>
          <w:lang w:val="en-GB" w:eastAsia="en-GB"/>
        </w:rPr>
      </w:pPr>
      <w:r w:rsidRPr="00AA18DD">
        <w:rPr>
          <w:rFonts w:ascii="Verdana" w:eastAsia="Times New Roman" w:hAnsi="Verdana" w:cs="Arial"/>
          <w:sz w:val="22"/>
          <w:szCs w:val="22"/>
          <w:lang w:val="en-GB" w:eastAsia="en-GB"/>
        </w:rPr>
        <w:t>Completed and continuing work required on an incomplete project.</w:t>
      </w:r>
    </w:p>
    <w:p w14:paraId="54E48804" w14:textId="77777777" w:rsidR="00CA6653" w:rsidRPr="0058457F" w:rsidRDefault="00CA6653" w:rsidP="00CA6653">
      <w:pPr>
        <w:pStyle w:val="Normal0"/>
        <w:jc w:val="both"/>
        <w:rPr>
          <w:rFonts w:ascii="Verdana" w:eastAsia="Times New Roman" w:hAnsi="Verdana"/>
          <w:sz w:val="22"/>
          <w:szCs w:val="22"/>
          <w:lang w:val="en-GB" w:eastAsia="en-GB"/>
        </w:rPr>
      </w:pPr>
    </w:p>
    <w:sectPr w:rsidR="00CA6653" w:rsidRPr="0058457F" w:rsidSect="00763D21">
      <w:type w:val="nextColumn"/>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C0A07" w14:textId="77777777" w:rsidR="008C3196" w:rsidRDefault="008C3196" w:rsidP="000D6EF8">
      <w:r>
        <w:separator/>
      </w:r>
    </w:p>
  </w:endnote>
  <w:endnote w:type="continuationSeparator" w:id="0">
    <w:p w14:paraId="59EB2038" w14:textId="77777777" w:rsidR="008C3196" w:rsidRDefault="008C3196" w:rsidP="000D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S Lola">
    <w:altName w:val="Cambria"/>
    <w:panose1 w:val="00000000000000000000"/>
    <w:charset w:val="00"/>
    <w:family w:val="roman"/>
    <w:notTrueType/>
    <w:pitch w:val="default"/>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D63B6" w14:textId="77777777" w:rsidR="008C3196" w:rsidRDefault="008C3196" w:rsidP="000D6EF8">
    <w:pPr>
      <w:pStyle w:val="Footer"/>
    </w:pPr>
  </w:p>
  <w:p w14:paraId="4D16F889" w14:textId="77777777" w:rsidR="008C3196" w:rsidRDefault="008C3196" w:rsidP="000D6E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84A0" w14:textId="63C4A97F" w:rsidR="008C3196" w:rsidRPr="004D1896" w:rsidRDefault="0041394A" w:rsidP="000D6EF8">
    <w:pPr>
      <w:pStyle w:val="Footer"/>
    </w:pPr>
    <w:sdt>
      <w:sdtPr>
        <w:id w:val="-1252808656"/>
        <w:docPartObj>
          <w:docPartGallery w:val="Page Numbers (Bottom of Page)"/>
          <w:docPartUnique/>
        </w:docPartObj>
      </w:sdtPr>
      <w:sdtEndPr>
        <w:rPr>
          <w:noProof/>
        </w:rPr>
      </w:sdtEndPr>
      <w:sdtContent>
        <w:r w:rsidR="008C3196" w:rsidRPr="004D1896">
          <w:fldChar w:fldCharType="begin"/>
        </w:r>
        <w:r w:rsidR="008C3196" w:rsidRPr="004D1896">
          <w:instrText xml:space="preserve"> PAGE   \* MERGEFORMAT </w:instrText>
        </w:r>
        <w:r w:rsidR="008C3196" w:rsidRPr="004D1896">
          <w:fldChar w:fldCharType="separate"/>
        </w:r>
        <w:r>
          <w:rPr>
            <w:noProof/>
          </w:rPr>
          <w:t>1</w:t>
        </w:r>
        <w:r w:rsidR="008C3196" w:rsidRPr="004D1896">
          <w:rPr>
            <w:noProof/>
          </w:rPr>
          <w:fldChar w:fldCharType="end"/>
        </w:r>
      </w:sdtContent>
    </w:sdt>
  </w:p>
  <w:p w14:paraId="0E77E411" w14:textId="77777777" w:rsidR="008C3196" w:rsidRDefault="008C3196" w:rsidP="000D6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D9604" w14:textId="77777777" w:rsidR="008C3196" w:rsidRDefault="008C3196" w:rsidP="000D6EF8">
      <w:r>
        <w:separator/>
      </w:r>
    </w:p>
  </w:footnote>
  <w:footnote w:type="continuationSeparator" w:id="0">
    <w:p w14:paraId="590F705A" w14:textId="77777777" w:rsidR="008C3196" w:rsidRDefault="008C3196" w:rsidP="000D6EF8">
      <w:r>
        <w:continuationSeparator/>
      </w:r>
    </w:p>
  </w:footnote>
  <w:footnote w:id="1">
    <w:p w14:paraId="48A86B3E" w14:textId="77777777" w:rsidR="008C3196" w:rsidRPr="00B75DDA" w:rsidRDefault="008C3196" w:rsidP="00360A13">
      <w:pPr>
        <w:pStyle w:val="FootnoteText"/>
        <w:rPr>
          <w:rFonts w:asciiTheme="minorHAnsi" w:hAnsiTheme="minorHAnsi"/>
          <w:sz w:val="18"/>
          <w:szCs w:val="18"/>
        </w:rPr>
      </w:pPr>
      <w:r w:rsidRPr="00B75DDA">
        <w:rPr>
          <w:rStyle w:val="FootnoteReference"/>
          <w:rFonts w:ascii="Calibri" w:hAnsi="Calibri"/>
          <w:sz w:val="18"/>
          <w:szCs w:val="18"/>
        </w:rPr>
        <w:footnoteRef/>
      </w:r>
      <w:r w:rsidRPr="00B75DDA">
        <w:rPr>
          <w:rFonts w:ascii="Calibri" w:hAnsi="Calibri"/>
          <w:sz w:val="18"/>
          <w:szCs w:val="18"/>
        </w:rPr>
        <w:t xml:space="preserve"> Annual Internal Audit Opin</w:t>
      </w:r>
      <w:r w:rsidRPr="00B75DDA">
        <w:rPr>
          <w:rFonts w:asciiTheme="minorHAnsi" w:hAnsiTheme="minorHAnsi"/>
          <w:sz w:val="18"/>
          <w:szCs w:val="18"/>
        </w:rPr>
        <w:t xml:space="preserve">ion 2019-20: </w:t>
      </w:r>
      <w:hyperlink r:id="rId1" w:history="1">
        <w:r w:rsidRPr="00B75DDA">
          <w:rPr>
            <w:rStyle w:val="Hyperlink"/>
            <w:rFonts w:asciiTheme="minorHAnsi" w:hAnsiTheme="minorHAnsi"/>
            <w:sz w:val="18"/>
            <w:szCs w:val="18"/>
          </w:rPr>
          <w:t>https://surrey-pcc.gov.uk/wp-content/uploads/2020/07/10a.pdf</w:t>
        </w:r>
      </w:hyperlink>
    </w:p>
    <w:p w14:paraId="00270C22" w14:textId="77777777" w:rsidR="008C3196" w:rsidRPr="00B75DDA" w:rsidRDefault="008C3196" w:rsidP="00360A13">
      <w:pPr>
        <w:pStyle w:val="FootnoteText"/>
        <w:rPr>
          <w:rFonts w:asciiTheme="minorHAnsi" w:hAnsiTheme="minorHAnsi"/>
          <w:color w:val="FF0000"/>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41C3752"/>
    <w:lvl w:ilvl="0" w:tplc="E834C760">
      <w:start w:val="1"/>
      <w:numFmt w:val="bullet"/>
      <w:pStyle w:val="ListParagraph"/>
      <w:lvlText w:val=""/>
      <w:lvlJc w:val="left"/>
      <w:pPr>
        <w:ind w:left="-351" w:hanging="360"/>
      </w:pPr>
      <w:rPr>
        <w:rFonts w:ascii="Symbol" w:hAnsi="Symbol" w:hint="default"/>
      </w:rPr>
    </w:lvl>
    <w:lvl w:ilvl="1" w:tplc="5D8C4C9C">
      <w:start w:val="1"/>
      <w:numFmt w:val="bullet"/>
      <w:lvlText w:val="o"/>
      <w:lvlJc w:val="left"/>
      <w:pPr>
        <w:ind w:left="369" w:hanging="360"/>
      </w:pPr>
      <w:rPr>
        <w:rFonts w:ascii="Courier New" w:hAnsi="Courier New" w:cs="Courier New" w:hint="default"/>
      </w:rPr>
    </w:lvl>
    <w:lvl w:ilvl="2" w:tplc="8298683E" w:tentative="1">
      <w:start w:val="1"/>
      <w:numFmt w:val="bullet"/>
      <w:lvlText w:val=""/>
      <w:lvlJc w:val="left"/>
      <w:pPr>
        <w:ind w:left="1089" w:hanging="360"/>
      </w:pPr>
      <w:rPr>
        <w:rFonts w:ascii="Wingdings" w:hAnsi="Wingdings" w:hint="default"/>
      </w:rPr>
    </w:lvl>
    <w:lvl w:ilvl="3" w:tplc="A9E8B50C" w:tentative="1">
      <w:start w:val="1"/>
      <w:numFmt w:val="bullet"/>
      <w:lvlText w:val=""/>
      <w:lvlJc w:val="left"/>
      <w:pPr>
        <w:ind w:left="1809" w:hanging="360"/>
      </w:pPr>
      <w:rPr>
        <w:rFonts w:ascii="Symbol" w:hAnsi="Symbol" w:hint="default"/>
      </w:rPr>
    </w:lvl>
    <w:lvl w:ilvl="4" w:tplc="3D986F54" w:tentative="1">
      <w:start w:val="1"/>
      <w:numFmt w:val="bullet"/>
      <w:lvlText w:val="o"/>
      <w:lvlJc w:val="left"/>
      <w:pPr>
        <w:ind w:left="2529" w:hanging="360"/>
      </w:pPr>
      <w:rPr>
        <w:rFonts w:ascii="Courier New" w:hAnsi="Courier New" w:cs="Courier New" w:hint="default"/>
      </w:rPr>
    </w:lvl>
    <w:lvl w:ilvl="5" w:tplc="7E68FF86" w:tentative="1">
      <w:start w:val="1"/>
      <w:numFmt w:val="bullet"/>
      <w:lvlText w:val=""/>
      <w:lvlJc w:val="left"/>
      <w:pPr>
        <w:ind w:left="3249" w:hanging="360"/>
      </w:pPr>
      <w:rPr>
        <w:rFonts w:ascii="Wingdings" w:hAnsi="Wingdings" w:hint="default"/>
      </w:rPr>
    </w:lvl>
    <w:lvl w:ilvl="6" w:tplc="45A2E5A8" w:tentative="1">
      <w:start w:val="1"/>
      <w:numFmt w:val="bullet"/>
      <w:lvlText w:val=""/>
      <w:lvlJc w:val="left"/>
      <w:pPr>
        <w:ind w:left="3969" w:hanging="360"/>
      </w:pPr>
      <w:rPr>
        <w:rFonts w:ascii="Symbol" w:hAnsi="Symbol" w:hint="default"/>
      </w:rPr>
    </w:lvl>
    <w:lvl w:ilvl="7" w:tplc="E66EB238" w:tentative="1">
      <w:start w:val="1"/>
      <w:numFmt w:val="bullet"/>
      <w:lvlText w:val="o"/>
      <w:lvlJc w:val="left"/>
      <w:pPr>
        <w:ind w:left="4689" w:hanging="360"/>
      </w:pPr>
      <w:rPr>
        <w:rFonts w:ascii="Courier New" w:hAnsi="Courier New" w:cs="Courier New" w:hint="default"/>
      </w:rPr>
    </w:lvl>
    <w:lvl w:ilvl="8" w:tplc="80AEF0C8" w:tentative="1">
      <w:start w:val="1"/>
      <w:numFmt w:val="bullet"/>
      <w:lvlText w:val=""/>
      <w:lvlJc w:val="left"/>
      <w:pPr>
        <w:ind w:left="5409" w:hanging="360"/>
      </w:pPr>
      <w:rPr>
        <w:rFonts w:ascii="Wingdings" w:hAnsi="Wingdings" w:hint="default"/>
      </w:rPr>
    </w:lvl>
  </w:abstractNum>
  <w:abstractNum w:abstractNumId="1" w15:restartNumberingAfterBreak="0">
    <w:nsid w:val="00000002"/>
    <w:multiLevelType w:val="hybridMultilevel"/>
    <w:tmpl w:val="A41C3752"/>
    <w:lvl w:ilvl="0" w:tplc="EA38180A">
      <w:start w:val="1"/>
      <w:numFmt w:val="bullet"/>
      <w:lvlText w:val=""/>
      <w:lvlJc w:val="left"/>
      <w:pPr>
        <w:ind w:left="720" w:hanging="360"/>
      </w:pPr>
      <w:rPr>
        <w:rFonts w:ascii="Symbol" w:hAnsi="Symbol" w:hint="default"/>
      </w:rPr>
    </w:lvl>
    <w:lvl w:ilvl="1" w:tplc="A7C82B2E">
      <w:start w:val="1"/>
      <w:numFmt w:val="bullet"/>
      <w:lvlText w:val="o"/>
      <w:lvlJc w:val="left"/>
      <w:pPr>
        <w:ind w:left="1440" w:hanging="360"/>
      </w:pPr>
      <w:rPr>
        <w:rFonts w:ascii="Courier New" w:hAnsi="Courier New" w:cs="Courier New" w:hint="default"/>
      </w:rPr>
    </w:lvl>
    <w:lvl w:ilvl="2" w:tplc="10F60650" w:tentative="1">
      <w:start w:val="1"/>
      <w:numFmt w:val="bullet"/>
      <w:lvlText w:val=""/>
      <w:lvlJc w:val="left"/>
      <w:pPr>
        <w:ind w:left="2160" w:hanging="360"/>
      </w:pPr>
      <w:rPr>
        <w:rFonts w:ascii="Wingdings" w:hAnsi="Wingdings" w:hint="default"/>
      </w:rPr>
    </w:lvl>
    <w:lvl w:ilvl="3" w:tplc="8F486732" w:tentative="1">
      <w:start w:val="1"/>
      <w:numFmt w:val="bullet"/>
      <w:lvlText w:val=""/>
      <w:lvlJc w:val="left"/>
      <w:pPr>
        <w:ind w:left="2880" w:hanging="360"/>
      </w:pPr>
      <w:rPr>
        <w:rFonts w:ascii="Symbol" w:hAnsi="Symbol" w:hint="default"/>
      </w:rPr>
    </w:lvl>
    <w:lvl w:ilvl="4" w:tplc="42203708" w:tentative="1">
      <w:start w:val="1"/>
      <w:numFmt w:val="bullet"/>
      <w:lvlText w:val="o"/>
      <w:lvlJc w:val="left"/>
      <w:pPr>
        <w:ind w:left="3600" w:hanging="360"/>
      </w:pPr>
      <w:rPr>
        <w:rFonts w:ascii="Courier New" w:hAnsi="Courier New" w:cs="Courier New" w:hint="default"/>
      </w:rPr>
    </w:lvl>
    <w:lvl w:ilvl="5" w:tplc="7828FCE4" w:tentative="1">
      <w:start w:val="1"/>
      <w:numFmt w:val="bullet"/>
      <w:lvlText w:val=""/>
      <w:lvlJc w:val="left"/>
      <w:pPr>
        <w:ind w:left="4320" w:hanging="360"/>
      </w:pPr>
      <w:rPr>
        <w:rFonts w:ascii="Wingdings" w:hAnsi="Wingdings" w:hint="default"/>
      </w:rPr>
    </w:lvl>
    <w:lvl w:ilvl="6" w:tplc="51720F18" w:tentative="1">
      <w:start w:val="1"/>
      <w:numFmt w:val="bullet"/>
      <w:lvlText w:val=""/>
      <w:lvlJc w:val="left"/>
      <w:pPr>
        <w:ind w:left="5040" w:hanging="360"/>
      </w:pPr>
      <w:rPr>
        <w:rFonts w:ascii="Symbol" w:hAnsi="Symbol" w:hint="default"/>
      </w:rPr>
    </w:lvl>
    <w:lvl w:ilvl="7" w:tplc="85AC7C1A" w:tentative="1">
      <w:start w:val="1"/>
      <w:numFmt w:val="bullet"/>
      <w:lvlText w:val="o"/>
      <w:lvlJc w:val="left"/>
      <w:pPr>
        <w:ind w:left="5760" w:hanging="360"/>
      </w:pPr>
      <w:rPr>
        <w:rFonts w:ascii="Courier New" w:hAnsi="Courier New" w:cs="Courier New" w:hint="default"/>
      </w:rPr>
    </w:lvl>
    <w:lvl w:ilvl="8" w:tplc="6E4851F8"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646C030E"/>
    <w:lvl w:ilvl="0" w:tplc="647C6FC8">
      <w:start w:val="1"/>
      <w:numFmt w:val="bullet"/>
      <w:lvlText w:val=""/>
      <w:lvlJc w:val="left"/>
      <w:pPr>
        <w:ind w:left="720" w:hanging="360"/>
      </w:pPr>
      <w:rPr>
        <w:rFonts w:ascii="Symbol" w:hAnsi="Symbol" w:hint="default"/>
      </w:rPr>
    </w:lvl>
    <w:lvl w:ilvl="1" w:tplc="E3444ADE" w:tentative="1">
      <w:start w:val="1"/>
      <w:numFmt w:val="bullet"/>
      <w:lvlText w:val="o"/>
      <w:lvlJc w:val="left"/>
      <w:pPr>
        <w:ind w:left="1440" w:hanging="360"/>
      </w:pPr>
      <w:rPr>
        <w:rFonts w:ascii="Courier New" w:hAnsi="Courier New" w:cs="Courier New" w:hint="default"/>
      </w:rPr>
    </w:lvl>
    <w:lvl w:ilvl="2" w:tplc="8D9AEC1A" w:tentative="1">
      <w:start w:val="1"/>
      <w:numFmt w:val="bullet"/>
      <w:lvlText w:val=""/>
      <w:lvlJc w:val="left"/>
      <w:pPr>
        <w:ind w:left="2160" w:hanging="360"/>
      </w:pPr>
      <w:rPr>
        <w:rFonts w:ascii="Wingdings" w:hAnsi="Wingdings" w:hint="default"/>
      </w:rPr>
    </w:lvl>
    <w:lvl w:ilvl="3" w:tplc="6588888C" w:tentative="1">
      <w:start w:val="1"/>
      <w:numFmt w:val="bullet"/>
      <w:lvlText w:val=""/>
      <w:lvlJc w:val="left"/>
      <w:pPr>
        <w:ind w:left="2880" w:hanging="360"/>
      </w:pPr>
      <w:rPr>
        <w:rFonts w:ascii="Symbol" w:hAnsi="Symbol" w:hint="default"/>
      </w:rPr>
    </w:lvl>
    <w:lvl w:ilvl="4" w:tplc="E0943854" w:tentative="1">
      <w:start w:val="1"/>
      <w:numFmt w:val="bullet"/>
      <w:lvlText w:val="o"/>
      <w:lvlJc w:val="left"/>
      <w:pPr>
        <w:ind w:left="3600" w:hanging="360"/>
      </w:pPr>
      <w:rPr>
        <w:rFonts w:ascii="Courier New" w:hAnsi="Courier New" w:cs="Courier New" w:hint="default"/>
      </w:rPr>
    </w:lvl>
    <w:lvl w:ilvl="5" w:tplc="6B1C89A4" w:tentative="1">
      <w:start w:val="1"/>
      <w:numFmt w:val="bullet"/>
      <w:lvlText w:val=""/>
      <w:lvlJc w:val="left"/>
      <w:pPr>
        <w:ind w:left="4320" w:hanging="360"/>
      </w:pPr>
      <w:rPr>
        <w:rFonts w:ascii="Wingdings" w:hAnsi="Wingdings" w:hint="default"/>
      </w:rPr>
    </w:lvl>
    <w:lvl w:ilvl="6" w:tplc="EBD03888" w:tentative="1">
      <w:start w:val="1"/>
      <w:numFmt w:val="bullet"/>
      <w:lvlText w:val=""/>
      <w:lvlJc w:val="left"/>
      <w:pPr>
        <w:ind w:left="5040" w:hanging="360"/>
      </w:pPr>
      <w:rPr>
        <w:rFonts w:ascii="Symbol" w:hAnsi="Symbol" w:hint="default"/>
      </w:rPr>
    </w:lvl>
    <w:lvl w:ilvl="7" w:tplc="2EE4330A" w:tentative="1">
      <w:start w:val="1"/>
      <w:numFmt w:val="bullet"/>
      <w:lvlText w:val="o"/>
      <w:lvlJc w:val="left"/>
      <w:pPr>
        <w:ind w:left="5760" w:hanging="360"/>
      </w:pPr>
      <w:rPr>
        <w:rFonts w:ascii="Courier New" w:hAnsi="Courier New" w:cs="Courier New" w:hint="default"/>
      </w:rPr>
    </w:lvl>
    <w:lvl w:ilvl="8" w:tplc="87F2F18A"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E6107CD2"/>
    <w:lvl w:ilvl="0" w:tplc="F102613C">
      <w:start w:val="1"/>
      <w:numFmt w:val="bullet"/>
      <w:lvlText w:val=""/>
      <w:lvlJc w:val="left"/>
      <w:pPr>
        <w:ind w:left="720" w:hanging="360"/>
      </w:pPr>
      <w:rPr>
        <w:rFonts w:ascii="Symbol" w:hAnsi="Symbol" w:hint="default"/>
      </w:rPr>
    </w:lvl>
    <w:lvl w:ilvl="1" w:tplc="AC388C06" w:tentative="1">
      <w:start w:val="1"/>
      <w:numFmt w:val="bullet"/>
      <w:lvlText w:val="o"/>
      <w:lvlJc w:val="left"/>
      <w:pPr>
        <w:ind w:left="1440" w:hanging="360"/>
      </w:pPr>
      <w:rPr>
        <w:rFonts w:ascii="Courier New" w:hAnsi="Courier New" w:cs="Courier New" w:hint="default"/>
      </w:rPr>
    </w:lvl>
    <w:lvl w:ilvl="2" w:tplc="6A3CD806" w:tentative="1">
      <w:start w:val="1"/>
      <w:numFmt w:val="bullet"/>
      <w:lvlText w:val=""/>
      <w:lvlJc w:val="left"/>
      <w:pPr>
        <w:ind w:left="2160" w:hanging="360"/>
      </w:pPr>
      <w:rPr>
        <w:rFonts w:ascii="Wingdings" w:hAnsi="Wingdings" w:hint="default"/>
      </w:rPr>
    </w:lvl>
    <w:lvl w:ilvl="3" w:tplc="F2706CE8" w:tentative="1">
      <w:start w:val="1"/>
      <w:numFmt w:val="bullet"/>
      <w:lvlText w:val=""/>
      <w:lvlJc w:val="left"/>
      <w:pPr>
        <w:ind w:left="2880" w:hanging="360"/>
      </w:pPr>
      <w:rPr>
        <w:rFonts w:ascii="Symbol" w:hAnsi="Symbol" w:hint="default"/>
      </w:rPr>
    </w:lvl>
    <w:lvl w:ilvl="4" w:tplc="5890EBA4" w:tentative="1">
      <w:start w:val="1"/>
      <w:numFmt w:val="bullet"/>
      <w:lvlText w:val="o"/>
      <w:lvlJc w:val="left"/>
      <w:pPr>
        <w:ind w:left="3600" w:hanging="360"/>
      </w:pPr>
      <w:rPr>
        <w:rFonts w:ascii="Courier New" w:hAnsi="Courier New" w:cs="Courier New" w:hint="default"/>
      </w:rPr>
    </w:lvl>
    <w:lvl w:ilvl="5" w:tplc="72023A62" w:tentative="1">
      <w:start w:val="1"/>
      <w:numFmt w:val="bullet"/>
      <w:lvlText w:val=""/>
      <w:lvlJc w:val="left"/>
      <w:pPr>
        <w:ind w:left="4320" w:hanging="360"/>
      </w:pPr>
      <w:rPr>
        <w:rFonts w:ascii="Wingdings" w:hAnsi="Wingdings" w:hint="default"/>
      </w:rPr>
    </w:lvl>
    <w:lvl w:ilvl="6" w:tplc="3EC6A60E" w:tentative="1">
      <w:start w:val="1"/>
      <w:numFmt w:val="bullet"/>
      <w:lvlText w:val=""/>
      <w:lvlJc w:val="left"/>
      <w:pPr>
        <w:ind w:left="5040" w:hanging="360"/>
      </w:pPr>
      <w:rPr>
        <w:rFonts w:ascii="Symbol" w:hAnsi="Symbol" w:hint="default"/>
      </w:rPr>
    </w:lvl>
    <w:lvl w:ilvl="7" w:tplc="FA400658" w:tentative="1">
      <w:start w:val="1"/>
      <w:numFmt w:val="bullet"/>
      <w:lvlText w:val="o"/>
      <w:lvlJc w:val="left"/>
      <w:pPr>
        <w:ind w:left="5760" w:hanging="360"/>
      </w:pPr>
      <w:rPr>
        <w:rFonts w:ascii="Courier New" w:hAnsi="Courier New" w:cs="Courier New" w:hint="default"/>
      </w:rPr>
    </w:lvl>
    <w:lvl w:ilvl="8" w:tplc="B00C60BC"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94D8A9E0"/>
    <w:lvl w:ilvl="0" w:tplc="022CB0C4">
      <w:start w:val="1"/>
      <w:numFmt w:val="bullet"/>
      <w:lvlText w:val=""/>
      <w:lvlJc w:val="left"/>
      <w:pPr>
        <w:ind w:left="720" w:hanging="360"/>
      </w:pPr>
      <w:rPr>
        <w:rFonts w:ascii="Symbol" w:hAnsi="Symbol" w:hint="default"/>
      </w:rPr>
    </w:lvl>
    <w:lvl w:ilvl="1" w:tplc="F216FE78" w:tentative="1">
      <w:start w:val="1"/>
      <w:numFmt w:val="bullet"/>
      <w:lvlText w:val="o"/>
      <w:lvlJc w:val="left"/>
      <w:pPr>
        <w:ind w:left="1440" w:hanging="360"/>
      </w:pPr>
      <w:rPr>
        <w:rFonts w:ascii="Courier New" w:hAnsi="Courier New" w:cs="Courier New" w:hint="default"/>
      </w:rPr>
    </w:lvl>
    <w:lvl w:ilvl="2" w:tplc="D6224EDE" w:tentative="1">
      <w:start w:val="1"/>
      <w:numFmt w:val="bullet"/>
      <w:lvlText w:val=""/>
      <w:lvlJc w:val="left"/>
      <w:pPr>
        <w:ind w:left="2160" w:hanging="360"/>
      </w:pPr>
      <w:rPr>
        <w:rFonts w:ascii="Wingdings" w:hAnsi="Wingdings" w:hint="default"/>
      </w:rPr>
    </w:lvl>
    <w:lvl w:ilvl="3" w:tplc="0D2EFF58" w:tentative="1">
      <w:start w:val="1"/>
      <w:numFmt w:val="bullet"/>
      <w:lvlText w:val=""/>
      <w:lvlJc w:val="left"/>
      <w:pPr>
        <w:ind w:left="2880" w:hanging="360"/>
      </w:pPr>
      <w:rPr>
        <w:rFonts w:ascii="Symbol" w:hAnsi="Symbol" w:hint="default"/>
      </w:rPr>
    </w:lvl>
    <w:lvl w:ilvl="4" w:tplc="80BAD30E" w:tentative="1">
      <w:start w:val="1"/>
      <w:numFmt w:val="bullet"/>
      <w:lvlText w:val="o"/>
      <w:lvlJc w:val="left"/>
      <w:pPr>
        <w:ind w:left="3600" w:hanging="360"/>
      </w:pPr>
      <w:rPr>
        <w:rFonts w:ascii="Courier New" w:hAnsi="Courier New" w:cs="Courier New" w:hint="default"/>
      </w:rPr>
    </w:lvl>
    <w:lvl w:ilvl="5" w:tplc="4D7C2456" w:tentative="1">
      <w:start w:val="1"/>
      <w:numFmt w:val="bullet"/>
      <w:lvlText w:val=""/>
      <w:lvlJc w:val="left"/>
      <w:pPr>
        <w:ind w:left="4320" w:hanging="360"/>
      </w:pPr>
      <w:rPr>
        <w:rFonts w:ascii="Wingdings" w:hAnsi="Wingdings" w:hint="default"/>
      </w:rPr>
    </w:lvl>
    <w:lvl w:ilvl="6" w:tplc="57B89A0C" w:tentative="1">
      <w:start w:val="1"/>
      <w:numFmt w:val="bullet"/>
      <w:lvlText w:val=""/>
      <w:lvlJc w:val="left"/>
      <w:pPr>
        <w:ind w:left="5040" w:hanging="360"/>
      </w:pPr>
      <w:rPr>
        <w:rFonts w:ascii="Symbol" w:hAnsi="Symbol" w:hint="default"/>
      </w:rPr>
    </w:lvl>
    <w:lvl w:ilvl="7" w:tplc="2BDC2156" w:tentative="1">
      <w:start w:val="1"/>
      <w:numFmt w:val="bullet"/>
      <w:lvlText w:val="o"/>
      <w:lvlJc w:val="left"/>
      <w:pPr>
        <w:ind w:left="5760" w:hanging="360"/>
      </w:pPr>
      <w:rPr>
        <w:rFonts w:ascii="Courier New" w:hAnsi="Courier New" w:cs="Courier New" w:hint="default"/>
      </w:rPr>
    </w:lvl>
    <w:lvl w:ilvl="8" w:tplc="412EEE1A" w:tentative="1">
      <w:start w:val="1"/>
      <w:numFmt w:val="bullet"/>
      <w:lvlText w:val=""/>
      <w:lvlJc w:val="left"/>
      <w:pPr>
        <w:ind w:left="6480" w:hanging="360"/>
      </w:pPr>
      <w:rPr>
        <w:rFonts w:ascii="Wingdings" w:hAnsi="Wingdings" w:hint="default"/>
      </w:rPr>
    </w:lvl>
  </w:abstractNum>
  <w:abstractNum w:abstractNumId="5" w15:restartNumberingAfterBreak="0">
    <w:nsid w:val="03231445"/>
    <w:multiLevelType w:val="hybridMultilevel"/>
    <w:tmpl w:val="79D6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152D6"/>
    <w:multiLevelType w:val="hybridMultilevel"/>
    <w:tmpl w:val="582A9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32604"/>
    <w:multiLevelType w:val="hybridMultilevel"/>
    <w:tmpl w:val="4514A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05752"/>
    <w:multiLevelType w:val="hybridMultilevel"/>
    <w:tmpl w:val="3E1635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262983"/>
    <w:multiLevelType w:val="hybridMultilevel"/>
    <w:tmpl w:val="64C8A14C"/>
    <w:lvl w:ilvl="0" w:tplc="852C5790">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9662557"/>
    <w:multiLevelType w:val="hybridMultilevel"/>
    <w:tmpl w:val="8DD49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333AF5"/>
    <w:multiLevelType w:val="hybridMultilevel"/>
    <w:tmpl w:val="09D211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5D2F6B"/>
    <w:multiLevelType w:val="hybridMultilevel"/>
    <w:tmpl w:val="ADD67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9F798D"/>
    <w:multiLevelType w:val="hybridMultilevel"/>
    <w:tmpl w:val="4DB69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587415"/>
    <w:multiLevelType w:val="hybridMultilevel"/>
    <w:tmpl w:val="579697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48C286F"/>
    <w:multiLevelType w:val="hybridMultilevel"/>
    <w:tmpl w:val="DD882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6A0B33"/>
    <w:multiLevelType w:val="hybridMultilevel"/>
    <w:tmpl w:val="964A2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DB7DF3"/>
    <w:multiLevelType w:val="multilevel"/>
    <w:tmpl w:val="482E79F2"/>
    <w:lvl w:ilvl="0">
      <w:start w:val="1"/>
      <w:numFmt w:val="decimal"/>
      <w:lvlText w:val="%1."/>
      <w:lvlJc w:val="left"/>
      <w:pPr>
        <w:ind w:left="3337" w:hanging="360"/>
      </w:pPr>
      <w:rPr>
        <w:b/>
      </w:rPr>
    </w:lvl>
    <w:lvl w:ilvl="1">
      <w:start w:val="1"/>
      <w:numFmt w:val="decimal"/>
      <w:isLgl/>
      <w:lvlText w:val="%1.%2"/>
      <w:lvlJc w:val="left"/>
      <w:pPr>
        <w:ind w:left="-8905" w:hanging="375"/>
      </w:pPr>
      <w:rPr>
        <w:rFonts w:hint="default"/>
      </w:rPr>
    </w:lvl>
    <w:lvl w:ilvl="2">
      <w:start w:val="1"/>
      <w:numFmt w:val="decimal"/>
      <w:isLgl/>
      <w:lvlText w:val="%1.%2.%3"/>
      <w:lvlJc w:val="left"/>
      <w:pPr>
        <w:ind w:left="-8560" w:hanging="720"/>
      </w:pPr>
      <w:rPr>
        <w:rFonts w:hint="default"/>
      </w:rPr>
    </w:lvl>
    <w:lvl w:ilvl="3">
      <w:start w:val="1"/>
      <w:numFmt w:val="decimal"/>
      <w:isLgl/>
      <w:lvlText w:val="%1.%2.%3.%4"/>
      <w:lvlJc w:val="left"/>
      <w:pPr>
        <w:ind w:left="-8560" w:hanging="720"/>
      </w:pPr>
      <w:rPr>
        <w:rFonts w:hint="default"/>
      </w:rPr>
    </w:lvl>
    <w:lvl w:ilvl="4">
      <w:start w:val="1"/>
      <w:numFmt w:val="decimal"/>
      <w:isLgl/>
      <w:lvlText w:val="%1.%2.%3.%4.%5"/>
      <w:lvlJc w:val="left"/>
      <w:pPr>
        <w:ind w:left="-8200" w:hanging="1080"/>
      </w:pPr>
      <w:rPr>
        <w:rFonts w:hint="default"/>
      </w:rPr>
    </w:lvl>
    <w:lvl w:ilvl="5">
      <w:start w:val="1"/>
      <w:numFmt w:val="decimal"/>
      <w:isLgl/>
      <w:lvlText w:val="%1.%2.%3.%4.%5.%6"/>
      <w:lvlJc w:val="left"/>
      <w:pPr>
        <w:ind w:left="-8200" w:hanging="1080"/>
      </w:pPr>
      <w:rPr>
        <w:rFonts w:hint="default"/>
      </w:rPr>
    </w:lvl>
    <w:lvl w:ilvl="6">
      <w:start w:val="1"/>
      <w:numFmt w:val="decimal"/>
      <w:isLgl/>
      <w:lvlText w:val="%1.%2.%3.%4.%5.%6.%7"/>
      <w:lvlJc w:val="left"/>
      <w:pPr>
        <w:ind w:left="-7840" w:hanging="1440"/>
      </w:pPr>
      <w:rPr>
        <w:rFonts w:hint="default"/>
      </w:rPr>
    </w:lvl>
    <w:lvl w:ilvl="7">
      <w:start w:val="1"/>
      <w:numFmt w:val="decimal"/>
      <w:isLgl/>
      <w:lvlText w:val="%1.%2.%3.%4.%5.%6.%7.%8"/>
      <w:lvlJc w:val="left"/>
      <w:pPr>
        <w:ind w:left="-7840" w:hanging="1440"/>
      </w:pPr>
      <w:rPr>
        <w:rFonts w:hint="default"/>
      </w:rPr>
    </w:lvl>
    <w:lvl w:ilvl="8">
      <w:start w:val="1"/>
      <w:numFmt w:val="decimal"/>
      <w:isLgl/>
      <w:lvlText w:val="%1.%2.%3.%4.%5.%6.%7.%8.%9"/>
      <w:lvlJc w:val="left"/>
      <w:pPr>
        <w:ind w:left="-7480" w:hanging="1800"/>
      </w:pPr>
      <w:rPr>
        <w:rFonts w:hint="default"/>
      </w:rPr>
    </w:lvl>
  </w:abstractNum>
  <w:abstractNum w:abstractNumId="18" w15:restartNumberingAfterBreak="0">
    <w:nsid w:val="4E9E460E"/>
    <w:multiLevelType w:val="hybridMultilevel"/>
    <w:tmpl w:val="781893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44C30CE"/>
    <w:multiLevelType w:val="hybridMultilevel"/>
    <w:tmpl w:val="024C67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56722109"/>
    <w:multiLevelType w:val="hybridMultilevel"/>
    <w:tmpl w:val="18A85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BE2339F"/>
    <w:multiLevelType w:val="hybridMultilevel"/>
    <w:tmpl w:val="188C0B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09918D4"/>
    <w:multiLevelType w:val="hybridMultilevel"/>
    <w:tmpl w:val="58EAA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BAE36FE"/>
    <w:multiLevelType w:val="hybridMultilevel"/>
    <w:tmpl w:val="C07AA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CB40753"/>
    <w:multiLevelType w:val="hybridMultilevel"/>
    <w:tmpl w:val="69B48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4B5105E"/>
    <w:multiLevelType w:val="hybridMultilevel"/>
    <w:tmpl w:val="457CF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BA40EE9"/>
    <w:multiLevelType w:val="hybridMultilevel"/>
    <w:tmpl w:val="7A36C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E0307A4"/>
    <w:multiLevelType w:val="hybridMultilevel"/>
    <w:tmpl w:val="7088A558"/>
    <w:lvl w:ilvl="0" w:tplc="A6A6C5B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7F4D7A01"/>
    <w:multiLevelType w:val="hybridMultilevel"/>
    <w:tmpl w:val="83FA9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11"/>
  </w:num>
  <w:num w:numId="12">
    <w:abstractNumId w:val="12"/>
  </w:num>
  <w:num w:numId="13">
    <w:abstractNumId w:val="7"/>
  </w:num>
  <w:num w:numId="14">
    <w:abstractNumId w:val="10"/>
  </w:num>
  <w:num w:numId="15">
    <w:abstractNumId w:val="19"/>
  </w:num>
  <w:num w:numId="16">
    <w:abstractNumId w:val="28"/>
  </w:num>
  <w:num w:numId="17">
    <w:abstractNumId w:val="20"/>
  </w:num>
  <w:num w:numId="18">
    <w:abstractNumId w:val="15"/>
  </w:num>
  <w:num w:numId="19">
    <w:abstractNumId w:val="24"/>
  </w:num>
  <w:num w:numId="20">
    <w:abstractNumId w:val="2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3"/>
  </w:num>
  <w:num w:numId="24">
    <w:abstractNumId w:val="16"/>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4"/>
  </w:num>
  <w:num w:numId="28">
    <w:abstractNumId w:val="18"/>
  </w:num>
  <w:num w:numId="29">
    <w:abstractNumId w:val="6"/>
  </w:num>
  <w:num w:numId="30">
    <w:abstractNumId w:val="5"/>
  </w:num>
  <w:num w:numId="31">
    <w:abstractNumId w:val="0"/>
  </w:num>
  <w:num w:numId="32">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7B"/>
    <w:rsid w:val="00000B3B"/>
    <w:rsid w:val="00000E24"/>
    <w:rsid w:val="0000152D"/>
    <w:rsid w:val="00002748"/>
    <w:rsid w:val="00005729"/>
    <w:rsid w:val="00012485"/>
    <w:rsid w:val="00013A0C"/>
    <w:rsid w:val="00013F19"/>
    <w:rsid w:val="0001530E"/>
    <w:rsid w:val="0001677A"/>
    <w:rsid w:val="0001692B"/>
    <w:rsid w:val="00017322"/>
    <w:rsid w:val="00017F07"/>
    <w:rsid w:val="000203F9"/>
    <w:rsid w:val="00021CB7"/>
    <w:rsid w:val="000258B1"/>
    <w:rsid w:val="00026E0D"/>
    <w:rsid w:val="00030DE4"/>
    <w:rsid w:val="000348EB"/>
    <w:rsid w:val="00035E7C"/>
    <w:rsid w:val="0003753C"/>
    <w:rsid w:val="00037881"/>
    <w:rsid w:val="00042EEB"/>
    <w:rsid w:val="00043A44"/>
    <w:rsid w:val="00052A78"/>
    <w:rsid w:val="00054BB1"/>
    <w:rsid w:val="00055025"/>
    <w:rsid w:val="00055B9A"/>
    <w:rsid w:val="00055F3A"/>
    <w:rsid w:val="0005625B"/>
    <w:rsid w:val="0005653B"/>
    <w:rsid w:val="00056618"/>
    <w:rsid w:val="000612C5"/>
    <w:rsid w:val="00061733"/>
    <w:rsid w:val="00062432"/>
    <w:rsid w:val="00063AD2"/>
    <w:rsid w:val="00064612"/>
    <w:rsid w:val="0006670D"/>
    <w:rsid w:val="000708DB"/>
    <w:rsid w:val="0007336A"/>
    <w:rsid w:val="000775C0"/>
    <w:rsid w:val="0008633A"/>
    <w:rsid w:val="00087103"/>
    <w:rsid w:val="00087DB7"/>
    <w:rsid w:val="000902BA"/>
    <w:rsid w:val="0009043D"/>
    <w:rsid w:val="0009073C"/>
    <w:rsid w:val="000917BF"/>
    <w:rsid w:val="00096BEA"/>
    <w:rsid w:val="000976D1"/>
    <w:rsid w:val="00097F97"/>
    <w:rsid w:val="000A215C"/>
    <w:rsid w:val="000A3B1D"/>
    <w:rsid w:val="000A5040"/>
    <w:rsid w:val="000A6EDC"/>
    <w:rsid w:val="000A76E3"/>
    <w:rsid w:val="000A79B7"/>
    <w:rsid w:val="000A7C98"/>
    <w:rsid w:val="000B4470"/>
    <w:rsid w:val="000C0FF3"/>
    <w:rsid w:val="000C10AA"/>
    <w:rsid w:val="000C19C8"/>
    <w:rsid w:val="000C39B8"/>
    <w:rsid w:val="000C7783"/>
    <w:rsid w:val="000D0ED6"/>
    <w:rsid w:val="000D187F"/>
    <w:rsid w:val="000D1CC1"/>
    <w:rsid w:val="000D25CC"/>
    <w:rsid w:val="000D3D81"/>
    <w:rsid w:val="000D6EF8"/>
    <w:rsid w:val="000D7061"/>
    <w:rsid w:val="000D750D"/>
    <w:rsid w:val="000E05B4"/>
    <w:rsid w:val="000E0F8A"/>
    <w:rsid w:val="000E403F"/>
    <w:rsid w:val="000E55F0"/>
    <w:rsid w:val="000E5C76"/>
    <w:rsid w:val="000E660E"/>
    <w:rsid w:val="000E6693"/>
    <w:rsid w:val="000E6C5C"/>
    <w:rsid w:val="000F2868"/>
    <w:rsid w:val="00100BBE"/>
    <w:rsid w:val="00104019"/>
    <w:rsid w:val="00104357"/>
    <w:rsid w:val="001049C5"/>
    <w:rsid w:val="00105A58"/>
    <w:rsid w:val="00105BE5"/>
    <w:rsid w:val="001115A3"/>
    <w:rsid w:val="001125BF"/>
    <w:rsid w:val="00114798"/>
    <w:rsid w:val="0011704F"/>
    <w:rsid w:val="00120358"/>
    <w:rsid w:val="00121459"/>
    <w:rsid w:val="001230C6"/>
    <w:rsid w:val="00124B86"/>
    <w:rsid w:val="00126451"/>
    <w:rsid w:val="0013122F"/>
    <w:rsid w:val="00131EF8"/>
    <w:rsid w:val="00132242"/>
    <w:rsid w:val="00136543"/>
    <w:rsid w:val="00142382"/>
    <w:rsid w:val="00142460"/>
    <w:rsid w:val="0014478F"/>
    <w:rsid w:val="001479BF"/>
    <w:rsid w:val="00147F92"/>
    <w:rsid w:val="001520C3"/>
    <w:rsid w:val="00152DD8"/>
    <w:rsid w:val="001540D6"/>
    <w:rsid w:val="00154617"/>
    <w:rsid w:val="001575A6"/>
    <w:rsid w:val="0016302C"/>
    <w:rsid w:val="00163984"/>
    <w:rsid w:val="001656DA"/>
    <w:rsid w:val="00166DD6"/>
    <w:rsid w:val="0017093A"/>
    <w:rsid w:val="00172C0E"/>
    <w:rsid w:val="00176ED9"/>
    <w:rsid w:val="0017753F"/>
    <w:rsid w:val="00177DED"/>
    <w:rsid w:val="001826ED"/>
    <w:rsid w:val="00183D2B"/>
    <w:rsid w:val="001845FF"/>
    <w:rsid w:val="00185102"/>
    <w:rsid w:val="001905E5"/>
    <w:rsid w:val="0019371D"/>
    <w:rsid w:val="0019417B"/>
    <w:rsid w:val="00195811"/>
    <w:rsid w:val="00195D6A"/>
    <w:rsid w:val="001A2197"/>
    <w:rsid w:val="001A2E7C"/>
    <w:rsid w:val="001A4055"/>
    <w:rsid w:val="001A4A46"/>
    <w:rsid w:val="001A75B6"/>
    <w:rsid w:val="001A778B"/>
    <w:rsid w:val="001B120B"/>
    <w:rsid w:val="001B1732"/>
    <w:rsid w:val="001B61EC"/>
    <w:rsid w:val="001B70F1"/>
    <w:rsid w:val="001C1E63"/>
    <w:rsid w:val="001D03D1"/>
    <w:rsid w:val="001D1C33"/>
    <w:rsid w:val="001D244E"/>
    <w:rsid w:val="001D27FA"/>
    <w:rsid w:val="001D2A48"/>
    <w:rsid w:val="001D4FEF"/>
    <w:rsid w:val="001E0790"/>
    <w:rsid w:val="001E1A1C"/>
    <w:rsid w:val="001E24E6"/>
    <w:rsid w:val="001E266A"/>
    <w:rsid w:val="001E3870"/>
    <w:rsid w:val="001E4ED1"/>
    <w:rsid w:val="001E6E70"/>
    <w:rsid w:val="001F13B5"/>
    <w:rsid w:val="001F204A"/>
    <w:rsid w:val="001F323C"/>
    <w:rsid w:val="001F32D3"/>
    <w:rsid w:val="001F4B50"/>
    <w:rsid w:val="002027A0"/>
    <w:rsid w:val="002032BD"/>
    <w:rsid w:val="002056BD"/>
    <w:rsid w:val="00206DFF"/>
    <w:rsid w:val="0021180A"/>
    <w:rsid w:val="00212849"/>
    <w:rsid w:val="002159BA"/>
    <w:rsid w:val="002174FD"/>
    <w:rsid w:val="00217EBB"/>
    <w:rsid w:val="0022045C"/>
    <w:rsid w:val="00221488"/>
    <w:rsid w:val="002226D2"/>
    <w:rsid w:val="00222933"/>
    <w:rsid w:val="00223589"/>
    <w:rsid w:val="00223A32"/>
    <w:rsid w:val="00223F80"/>
    <w:rsid w:val="00226191"/>
    <w:rsid w:val="00226863"/>
    <w:rsid w:val="002271B4"/>
    <w:rsid w:val="00230B18"/>
    <w:rsid w:val="0023131F"/>
    <w:rsid w:val="00232A5C"/>
    <w:rsid w:val="0023346F"/>
    <w:rsid w:val="00233980"/>
    <w:rsid w:val="00234F2E"/>
    <w:rsid w:val="0023752E"/>
    <w:rsid w:val="00241262"/>
    <w:rsid w:val="002436D5"/>
    <w:rsid w:val="00253A2C"/>
    <w:rsid w:val="00255B41"/>
    <w:rsid w:val="00256CEC"/>
    <w:rsid w:val="00261050"/>
    <w:rsid w:val="0026663B"/>
    <w:rsid w:val="00267E2F"/>
    <w:rsid w:val="00270273"/>
    <w:rsid w:val="00270E74"/>
    <w:rsid w:val="00270F67"/>
    <w:rsid w:val="00274769"/>
    <w:rsid w:val="00274C7E"/>
    <w:rsid w:val="002864B1"/>
    <w:rsid w:val="00287959"/>
    <w:rsid w:val="00287B41"/>
    <w:rsid w:val="0029083C"/>
    <w:rsid w:val="002914E0"/>
    <w:rsid w:val="002925A6"/>
    <w:rsid w:val="002962B4"/>
    <w:rsid w:val="00297720"/>
    <w:rsid w:val="002A0E78"/>
    <w:rsid w:val="002A1DF9"/>
    <w:rsid w:val="002A2D8B"/>
    <w:rsid w:val="002A30E1"/>
    <w:rsid w:val="002A3942"/>
    <w:rsid w:val="002A5B82"/>
    <w:rsid w:val="002A6B28"/>
    <w:rsid w:val="002B193A"/>
    <w:rsid w:val="002B2668"/>
    <w:rsid w:val="002B3AFB"/>
    <w:rsid w:val="002B3C80"/>
    <w:rsid w:val="002B4537"/>
    <w:rsid w:val="002B67FD"/>
    <w:rsid w:val="002C0D0D"/>
    <w:rsid w:val="002C1805"/>
    <w:rsid w:val="002C25DC"/>
    <w:rsid w:val="002C3B9D"/>
    <w:rsid w:val="002C7CD8"/>
    <w:rsid w:val="002D2F0A"/>
    <w:rsid w:val="002D3143"/>
    <w:rsid w:val="002D370F"/>
    <w:rsid w:val="002D48D1"/>
    <w:rsid w:val="002D4ACF"/>
    <w:rsid w:val="002D5079"/>
    <w:rsid w:val="002D5148"/>
    <w:rsid w:val="002D68EF"/>
    <w:rsid w:val="002D7A26"/>
    <w:rsid w:val="002E67D1"/>
    <w:rsid w:val="002E7072"/>
    <w:rsid w:val="002F3A4D"/>
    <w:rsid w:val="002F3D96"/>
    <w:rsid w:val="002F43FC"/>
    <w:rsid w:val="002F4816"/>
    <w:rsid w:val="002F782F"/>
    <w:rsid w:val="00303CEA"/>
    <w:rsid w:val="00304AF3"/>
    <w:rsid w:val="0030507D"/>
    <w:rsid w:val="00306353"/>
    <w:rsid w:val="00310D13"/>
    <w:rsid w:val="00311F48"/>
    <w:rsid w:val="00321897"/>
    <w:rsid w:val="00322FBD"/>
    <w:rsid w:val="00323F36"/>
    <w:rsid w:val="0032689D"/>
    <w:rsid w:val="00327E6A"/>
    <w:rsid w:val="00333DE9"/>
    <w:rsid w:val="003352C9"/>
    <w:rsid w:val="00340785"/>
    <w:rsid w:val="0034689D"/>
    <w:rsid w:val="0034693A"/>
    <w:rsid w:val="00350248"/>
    <w:rsid w:val="003508D6"/>
    <w:rsid w:val="00351103"/>
    <w:rsid w:val="003516A4"/>
    <w:rsid w:val="00351A1C"/>
    <w:rsid w:val="003521A8"/>
    <w:rsid w:val="00356826"/>
    <w:rsid w:val="00360A13"/>
    <w:rsid w:val="003654CB"/>
    <w:rsid w:val="003655E2"/>
    <w:rsid w:val="00367BB3"/>
    <w:rsid w:val="00376C97"/>
    <w:rsid w:val="00382149"/>
    <w:rsid w:val="00384617"/>
    <w:rsid w:val="00384945"/>
    <w:rsid w:val="00384CD6"/>
    <w:rsid w:val="00386BAD"/>
    <w:rsid w:val="00391280"/>
    <w:rsid w:val="003939DA"/>
    <w:rsid w:val="00394437"/>
    <w:rsid w:val="003950C6"/>
    <w:rsid w:val="00395276"/>
    <w:rsid w:val="00395DBB"/>
    <w:rsid w:val="00396247"/>
    <w:rsid w:val="003A034A"/>
    <w:rsid w:val="003A05A7"/>
    <w:rsid w:val="003A105D"/>
    <w:rsid w:val="003A3D7A"/>
    <w:rsid w:val="003A4316"/>
    <w:rsid w:val="003A598E"/>
    <w:rsid w:val="003A7354"/>
    <w:rsid w:val="003B149B"/>
    <w:rsid w:val="003B3298"/>
    <w:rsid w:val="003B59E4"/>
    <w:rsid w:val="003B61E8"/>
    <w:rsid w:val="003B61E9"/>
    <w:rsid w:val="003B63F8"/>
    <w:rsid w:val="003B729D"/>
    <w:rsid w:val="003C2611"/>
    <w:rsid w:val="003C2AC2"/>
    <w:rsid w:val="003C336A"/>
    <w:rsid w:val="003C69C8"/>
    <w:rsid w:val="003C7163"/>
    <w:rsid w:val="003C732D"/>
    <w:rsid w:val="003C7445"/>
    <w:rsid w:val="003D06C5"/>
    <w:rsid w:val="003D28D4"/>
    <w:rsid w:val="003D2B8F"/>
    <w:rsid w:val="003D2EE8"/>
    <w:rsid w:val="003D6873"/>
    <w:rsid w:val="003E03CB"/>
    <w:rsid w:val="003E064E"/>
    <w:rsid w:val="003E15DC"/>
    <w:rsid w:val="003E287C"/>
    <w:rsid w:val="003E2C79"/>
    <w:rsid w:val="003E42E0"/>
    <w:rsid w:val="003F2AC3"/>
    <w:rsid w:val="003F3ECF"/>
    <w:rsid w:val="003F4361"/>
    <w:rsid w:val="003F7813"/>
    <w:rsid w:val="003F7FA9"/>
    <w:rsid w:val="004036C0"/>
    <w:rsid w:val="00403858"/>
    <w:rsid w:val="0040495E"/>
    <w:rsid w:val="00406E27"/>
    <w:rsid w:val="004106FF"/>
    <w:rsid w:val="00410AF8"/>
    <w:rsid w:val="00410ED2"/>
    <w:rsid w:val="00412D71"/>
    <w:rsid w:val="00412EE1"/>
    <w:rsid w:val="004133AF"/>
    <w:rsid w:val="0041394A"/>
    <w:rsid w:val="00417212"/>
    <w:rsid w:val="004212CA"/>
    <w:rsid w:val="004218BA"/>
    <w:rsid w:val="004218FA"/>
    <w:rsid w:val="00423539"/>
    <w:rsid w:val="004239BB"/>
    <w:rsid w:val="0042520C"/>
    <w:rsid w:val="00427CCE"/>
    <w:rsid w:val="00427F9B"/>
    <w:rsid w:val="00430754"/>
    <w:rsid w:val="00432130"/>
    <w:rsid w:val="00434141"/>
    <w:rsid w:val="00436699"/>
    <w:rsid w:val="004369BF"/>
    <w:rsid w:val="00440C55"/>
    <w:rsid w:val="004415BA"/>
    <w:rsid w:val="00442446"/>
    <w:rsid w:val="00444EAB"/>
    <w:rsid w:val="0044571C"/>
    <w:rsid w:val="004458EE"/>
    <w:rsid w:val="00451534"/>
    <w:rsid w:val="00451BDC"/>
    <w:rsid w:val="00453EAE"/>
    <w:rsid w:val="00454D9C"/>
    <w:rsid w:val="00460206"/>
    <w:rsid w:val="00462CC2"/>
    <w:rsid w:val="00462E6D"/>
    <w:rsid w:val="00467579"/>
    <w:rsid w:val="004736CD"/>
    <w:rsid w:val="00474441"/>
    <w:rsid w:val="00475E99"/>
    <w:rsid w:val="00480F70"/>
    <w:rsid w:val="0048184E"/>
    <w:rsid w:val="00481E7F"/>
    <w:rsid w:val="0048260C"/>
    <w:rsid w:val="00485158"/>
    <w:rsid w:val="00491740"/>
    <w:rsid w:val="00491875"/>
    <w:rsid w:val="00495838"/>
    <w:rsid w:val="00497146"/>
    <w:rsid w:val="004A0F04"/>
    <w:rsid w:val="004A108F"/>
    <w:rsid w:val="004A190F"/>
    <w:rsid w:val="004A404D"/>
    <w:rsid w:val="004A4E51"/>
    <w:rsid w:val="004B18F9"/>
    <w:rsid w:val="004B42BD"/>
    <w:rsid w:val="004B6B67"/>
    <w:rsid w:val="004C0C98"/>
    <w:rsid w:val="004C2A00"/>
    <w:rsid w:val="004C43B6"/>
    <w:rsid w:val="004C5BF8"/>
    <w:rsid w:val="004C5C6D"/>
    <w:rsid w:val="004C5F0F"/>
    <w:rsid w:val="004C7B71"/>
    <w:rsid w:val="004C7CC4"/>
    <w:rsid w:val="004D0409"/>
    <w:rsid w:val="004D0657"/>
    <w:rsid w:val="004D133E"/>
    <w:rsid w:val="004D2548"/>
    <w:rsid w:val="004D2F8C"/>
    <w:rsid w:val="004D40E6"/>
    <w:rsid w:val="004D417B"/>
    <w:rsid w:val="004D5337"/>
    <w:rsid w:val="004D70DB"/>
    <w:rsid w:val="004E5F32"/>
    <w:rsid w:val="004E63C1"/>
    <w:rsid w:val="004E6D30"/>
    <w:rsid w:val="004F06C8"/>
    <w:rsid w:val="004F071D"/>
    <w:rsid w:val="004F2F60"/>
    <w:rsid w:val="004F3050"/>
    <w:rsid w:val="004F4A9A"/>
    <w:rsid w:val="004F75BB"/>
    <w:rsid w:val="004F78A0"/>
    <w:rsid w:val="00500559"/>
    <w:rsid w:val="00502D6C"/>
    <w:rsid w:val="00504688"/>
    <w:rsid w:val="005060C9"/>
    <w:rsid w:val="0050677A"/>
    <w:rsid w:val="00510DAB"/>
    <w:rsid w:val="005127E5"/>
    <w:rsid w:val="00522941"/>
    <w:rsid w:val="00526ADB"/>
    <w:rsid w:val="005272A1"/>
    <w:rsid w:val="00531C08"/>
    <w:rsid w:val="00531EBE"/>
    <w:rsid w:val="00532D33"/>
    <w:rsid w:val="005355FE"/>
    <w:rsid w:val="00537879"/>
    <w:rsid w:val="00537A0C"/>
    <w:rsid w:val="00537E5E"/>
    <w:rsid w:val="00537F25"/>
    <w:rsid w:val="00543AB1"/>
    <w:rsid w:val="00543E1F"/>
    <w:rsid w:val="00544E5F"/>
    <w:rsid w:val="00545CF1"/>
    <w:rsid w:val="005469C8"/>
    <w:rsid w:val="00550155"/>
    <w:rsid w:val="005503D2"/>
    <w:rsid w:val="00551525"/>
    <w:rsid w:val="0055373B"/>
    <w:rsid w:val="00553E5D"/>
    <w:rsid w:val="005547A1"/>
    <w:rsid w:val="005555A5"/>
    <w:rsid w:val="00560063"/>
    <w:rsid w:val="0056279A"/>
    <w:rsid w:val="0056487B"/>
    <w:rsid w:val="00565394"/>
    <w:rsid w:val="00567832"/>
    <w:rsid w:val="00570D4E"/>
    <w:rsid w:val="00574941"/>
    <w:rsid w:val="0058340D"/>
    <w:rsid w:val="005858ED"/>
    <w:rsid w:val="00586225"/>
    <w:rsid w:val="00586F0D"/>
    <w:rsid w:val="00591029"/>
    <w:rsid w:val="005911BF"/>
    <w:rsid w:val="00594C6D"/>
    <w:rsid w:val="005962D5"/>
    <w:rsid w:val="0059652B"/>
    <w:rsid w:val="005A2B92"/>
    <w:rsid w:val="005A60F1"/>
    <w:rsid w:val="005B2272"/>
    <w:rsid w:val="005B300D"/>
    <w:rsid w:val="005B69AC"/>
    <w:rsid w:val="005B7243"/>
    <w:rsid w:val="005C3887"/>
    <w:rsid w:val="005C481C"/>
    <w:rsid w:val="005C489E"/>
    <w:rsid w:val="005C590B"/>
    <w:rsid w:val="005C7260"/>
    <w:rsid w:val="005C7AE8"/>
    <w:rsid w:val="005D3E17"/>
    <w:rsid w:val="005D4AC6"/>
    <w:rsid w:val="005D7202"/>
    <w:rsid w:val="005D741D"/>
    <w:rsid w:val="005D7460"/>
    <w:rsid w:val="005D7EA2"/>
    <w:rsid w:val="005E11E1"/>
    <w:rsid w:val="005E1F15"/>
    <w:rsid w:val="005E24D5"/>
    <w:rsid w:val="005E24E3"/>
    <w:rsid w:val="005E3D39"/>
    <w:rsid w:val="005F41D5"/>
    <w:rsid w:val="005F4D04"/>
    <w:rsid w:val="006016A8"/>
    <w:rsid w:val="00604A9A"/>
    <w:rsid w:val="00605685"/>
    <w:rsid w:val="00605700"/>
    <w:rsid w:val="00610F28"/>
    <w:rsid w:val="00612192"/>
    <w:rsid w:val="006127EB"/>
    <w:rsid w:val="00612C28"/>
    <w:rsid w:val="00612FC4"/>
    <w:rsid w:val="006131FE"/>
    <w:rsid w:val="00614FDF"/>
    <w:rsid w:val="00615BEF"/>
    <w:rsid w:val="00620D38"/>
    <w:rsid w:val="006226BA"/>
    <w:rsid w:val="00623E53"/>
    <w:rsid w:val="00625FD6"/>
    <w:rsid w:val="006309CE"/>
    <w:rsid w:val="00630E06"/>
    <w:rsid w:val="00631EEF"/>
    <w:rsid w:val="00633566"/>
    <w:rsid w:val="00640CB7"/>
    <w:rsid w:val="00641224"/>
    <w:rsid w:val="00642A74"/>
    <w:rsid w:val="00647DE9"/>
    <w:rsid w:val="00650303"/>
    <w:rsid w:val="00652161"/>
    <w:rsid w:val="0065271E"/>
    <w:rsid w:val="00654604"/>
    <w:rsid w:val="00655256"/>
    <w:rsid w:val="0065570A"/>
    <w:rsid w:val="00655C89"/>
    <w:rsid w:val="00660323"/>
    <w:rsid w:val="006625E6"/>
    <w:rsid w:val="00662C93"/>
    <w:rsid w:val="00666C43"/>
    <w:rsid w:val="00666FF4"/>
    <w:rsid w:val="006673FE"/>
    <w:rsid w:val="006703F1"/>
    <w:rsid w:val="00670F48"/>
    <w:rsid w:val="00671334"/>
    <w:rsid w:val="00673DFF"/>
    <w:rsid w:val="0067676E"/>
    <w:rsid w:val="00680BBC"/>
    <w:rsid w:val="00681635"/>
    <w:rsid w:val="0068501B"/>
    <w:rsid w:val="00685469"/>
    <w:rsid w:val="00686E4A"/>
    <w:rsid w:val="006906A3"/>
    <w:rsid w:val="00691368"/>
    <w:rsid w:val="00691635"/>
    <w:rsid w:val="0069214E"/>
    <w:rsid w:val="00692F04"/>
    <w:rsid w:val="0069772D"/>
    <w:rsid w:val="006A009B"/>
    <w:rsid w:val="006A1C02"/>
    <w:rsid w:val="006A37EE"/>
    <w:rsid w:val="006A3811"/>
    <w:rsid w:val="006A4962"/>
    <w:rsid w:val="006B0907"/>
    <w:rsid w:val="006B1B97"/>
    <w:rsid w:val="006B3B97"/>
    <w:rsid w:val="006B3E21"/>
    <w:rsid w:val="006B3FF3"/>
    <w:rsid w:val="006B5F1F"/>
    <w:rsid w:val="006B744E"/>
    <w:rsid w:val="006C0341"/>
    <w:rsid w:val="006C23ED"/>
    <w:rsid w:val="006C3848"/>
    <w:rsid w:val="006C3861"/>
    <w:rsid w:val="006C3973"/>
    <w:rsid w:val="006C43EA"/>
    <w:rsid w:val="006C7C43"/>
    <w:rsid w:val="006D0834"/>
    <w:rsid w:val="006D0A3D"/>
    <w:rsid w:val="006D4A31"/>
    <w:rsid w:val="006D5493"/>
    <w:rsid w:val="006D6321"/>
    <w:rsid w:val="006D740C"/>
    <w:rsid w:val="006D7DD5"/>
    <w:rsid w:val="006E047D"/>
    <w:rsid w:val="006E5554"/>
    <w:rsid w:val="006E66DD"/>
    <w:rsid w:val="006E7224"/>
    <w:rsid w:val="006E743E"/>
    <w:rsid w:val="006F1528"/>
    <w:rsid w:val="006F1D51"/>
    <w:rsid w:val="006F238B"/>
    <w:rsid w:val="006F2FF6"/>
    <w:rsid w:val="006F39E5"/>
    <w:rsid w:val="006F4F0F"/>
    <w:rsid w:val="006F692F"/>
    <w:rsid w:val="00701513"/>
    <w:rsid w:val="00704337"/>
    <w:rsid w:val="0070458A"/>
    <w:rsid w:val="00704791"/>
    <w:rsid w:val="00704E22"/>
    <w:rsid w:val="00705322"/>
    <w:rsid w:val="0070638D"/>
    <w:rsid w:val="00706ED6"/>
    <w:rsid w:val="00711005"/>
    <w:rsid w:val="00712A6D"/>
    <w:rsid w:val="00715045"/>
    <w:rsid w:val="00720D53"/>
    <w:rsid w:val="00723445"/>
    <w:rsid w:val="00727F1B"/>
    <w:rsid w:val="0073173D"/>
    <w:rsid w:val="00732427"/>
    <w:rsid w:val="0073313A"/>
    <w:rsid w:val="00734D30"/>
    <w:rsid w:val="00735FC4"/>
    <w:rsid w:val="00736284"/>
    <w:rsid w:val="007368EB"/>
    <w:rsid w:val="00742226"/>
    <w:rsid w:val="00744AD3"/>
    <w:rsid w:val="0074695B"/>
    <w:rsid w:val="00752A9A"/>
    <w:rsid w:val="00753C7F"/>
    <w:rsid w:val="00754811"/>
    <w:rsid w:val="0075550F"/>
    <w:rsid w:val="00756AFF"/>
    <w:rsid w:val="007575AE"/>
    <w:rsid w:val="00760723"/>
    <w:rsid w:val="00760CA2"/>
    <w:rsid w:val="0076103D"/>
    <w:rsid w:val="00763097"/>
    <w:rsid w:val="007632EB"/>
    <w:rsid w:val="00763D21"/>
    <w:rsid w:val="00764891"/>
    <w:rsid w:val="00765F58"/>
    <w:rsid w:val="007679A9"/>
    <w:rsid w:val="00770470"/>
    <w:rsid w:val="0077299A"/>
    <w:rsid w:val="00774FFA"/>
    <w:rsid w:val="00776140"/>
    <w:rsid w:val="007764B7"/>
    <w:rsid w:val="00781162"/>
    <w:rsid w:val="00781EA9"/>
    <w:rsid w:val="00782B9F"/>
    <w:rsid w:val="0078659E"/>
    <w:rsid w:val="00786A1F"/>
    <w:rsid w:val="007906D3"/>
    <w:rsid w:val="00792CD5"/>
    <w:rsid w:val="00793257"/>
    <w:rsid w:val="007960AE"/>
    <w:rsid w:val="007A020F"/>
    <w:rsid w:val="007A2967"/>
    <w:rsid w:val="007A3087"/>
    <w:rsid w:val="007A50B0"/>
    <w:rsid w:val="007B0080"/>
    <w:rsid w:val="007B07DB"/>
    <w:rsid w:val="007B5E62"/>
    <w:rsid w:val="007B7503"/>
    <w:rsid w:val="007C358B"/>
    <w:rsid w:val="007C58B6"/>
    <w:rsid w:val="007C5A8D"/>
    <w:rsid w:val="007C5EF1"/>
    <w:rsid w:val="007E0EF6"/>
    <w:rsid w:val="007E58CB"/>
    <w:rsid w:val="007E5D29"/>
    <w:rsid w:val="007E77FA"/>
    <w:rsid w:val="007E7F8F"/>
    <w:rsid w:val="007F17E8"/>
    <w:rsid w:val="007F5523"/>
    <w:rsid w:val="007F5EEB"/>
    <w:rsid w:val="007F7DDF"/>
    <w:rsid w:val="00800618"/>
    <w:rsid w:val="008008BA"/>
    <w:rsid w:val="00800CA7"/>
    <w:rsid w:val="00801FD8"/>
    <w:rsid w:val="008022E1"/>
    <w:rsid w:val="00803B57"/>
    <w:rsid w:val="00804DF0"/>
    <w:rsid w:val="00806577"/>
    <w:rsid w:val="008129A7"/>
    <w:rsid w:val="00813C9F"/>
    <w:rsid w:val="008154B1"/>
    <w:rsid w:val="00817B9D"/>
    <w:rsid w:val="00817C80"/>
    <w:rsid w:val="0082218D"/>
    <w:rsid w:val="008264F3"/>
    <w:rsid w:val="00827814"/>
    <w:rsid w:val="00833938"/>
    <w:rsid w:val="00836ACB"/>
    <w:rsid w:val="00836B27"/>
    <w:rsid w:val="00836BA0"/>
    <w:rsid w:val="00836C05"/>
    <w:rsid w:val="00836C91"/>
    <w:rsid w:val="0084077C"/>
    <w:rsid w:val="0084167E"/>
    <w:rsid w:val="00845A79"/>
    <w:rsid w:val="008518B5"/>
    <w:rsid w:val="00851B3C"/>
    <w:rsid w:val="00851B65"/>
    <w:rsid w:val="008528E8"/>
    <w:rsid w:val="00852B4D"/>
    <w:rsid w:val="00855213"/>
    <w:rsid w:val="00857445"/>
    <w:rsid w:val="0086109C"/>
    <w:rsid w:val="008619CF"/>
    <w:rsid w:val="00863B22"/>
    <w:rsid w:val="00863C1C"/>
    <w:rsid w:val="00866B39"/>
    <w:rsid w:val="00867256"/>
    <w:rsid w:val="00870C01"/>
    <w:rsid w:val="00870EA6"/>
    <w:rsid w:val="00872108"/>
    <w:rsid w:val="00875438"/>
    <w:rsid w:val="00875980"/>
    <w:rsid w:val="00882597"/>
    <w:rsid w:val="00882B45"/>
    <w:rsid w:val="008901BA"/>
    <w:rsid w:val="00891171"/>
    <w:rsid w:val="00893817"/>
    <w:rsid w:val="00894722"/>
    <w:rsid w:val="00895878"/>
    <w:rsid w:val="008A05A9"/>
    <w:rsid w:val="008A237E"/>
    <w:rsid w:val="008A24D0"/>
    <w:rsid w:val="008A2D81"/>
    <w:rsid w:val="008A3E1C"/>
    <w:rsid w:val="008A794D"/>
    <w:rsid w:val="008B097F"/>
    <w:rsid w:val="008B13D2"/>
    <w:rsid w:val="008B1E08"/>
    <w:rsid w:val="008B23DA"/>
    <w:rsid w:val="008B47CD"/>
    <w:rsid w:val="008B5874"/>
    <w:rsid w:val="008B6300"/>
    <w:rsid w:val="008B64FB"/>
    <w:rsid w:val="008B681E"/>
    <w:rsid w:val="008B6F6D"/>
    <w:rsid w:val="008B7197"/>
    <w:rsid w:val="008C3196"/>
    <w:rsid w:val="008C3F5F"/>
    <w:rsid w:val="008C4680"/>
    <w:rsid w:val="008C46D4"/>
    <w:rsid w:val="008C6E2B"/>
    <w:rsid w:val="008D1AD4"/>
    <w:rsid w:val="008D2A51"/>
    <w:rsid w:val="008D30CF"/>
    <w:rsid w:val="008D394F"/>
    <w:rsid w:val="008E0BFA"/>
    <w:rsid w:val="008E17CB"/>
    <w:rsid w:val="008E2816"/>
    <w:rsid w:val="008E28A8"/>
    <w:rsid w:val="008E37BB"/>
    <w:rsid w:val="008E6F5A"/>
    <w:rsid w:val="008F1ECD"/>
    <w:rsid w:val="008F2D1A"/>
    <w:rsid w:val="008F358E"/>
    <w:rsid w:val="008F7844"/>
    <w:rsid w:val="00900264"/>
    <w:rsid w:val="00903517"/>
    <w:rsid w:val="0090362D"/>
    <w:rsid w:val="009055CC"/>
    <w:rsid w:val="0091172D"/>
    <w:rsid w:val="00911F93"/>
    <w:rsid w:val="00913D17"/>
    <w:rsid w:val="0091482D"/>
    <w:rsid w:val="00914B4D"/>
    <w:rsid w:val="00917559"/>
    <w:rsid w:val="00917A2E"/>
    <w:rsid w:val="0092331C"/>
    <w:rsid w:val="0093045B"/>
    <w:rsid w:val="00932E28"/>
    <w:rsid w:val="00932EB3"/>
    <w:rsid w:val="009346F0"/>
    <w:rsid w:val="009379CF"/>
    <w:rsid w:val="00937DD9"/>
    <w:rsid w:val="0094007F"/>
    <w:rsid w:val="00942DCE"/>
    <w:rsid w:val="009439C7"/>
    <w:rsid w:val="00944C4E"/>
    <w:rsid w:val="00944D0C"/>
    <w:rsid w:val="00945781"/>
    <w:rsid w:val="00951A1C"/>
    <w:rsid w:val="00951A60"/>
    <w:rsid w:val="00951DED"/>
    <w:rsid w:val="009524C2"/>
    <w:rsid w:val="0095267E"/>
    <w:rsid w:val="009549C5"/>
    <w:rsid w:val="00955329"/>
    <w:rsid w:val="00955A82"/>
    <w:rsid w:val="00960EC4"/>
    <w:rsid w:val="00963131"/>
    <w:rsid w:val="00964A9A"/>
    <w:rsid w:val="00974234"/>
    <w:rsid w:val="0097526A"/>
    <w:rsid w:val="00975A15"/>
    <w:rsid w:val="00975CFA"/>
    <w:rsid w:val="009768C6"/>
    <w:rsid w:val="00980227"/>
    <w:rsid w:val="009802BD"/>
    <w:rsid w:val="00980CB3"/>
    <w:rsid w:val="00980F0A"/>
    <w:rsid w:val="00982F48"/>
    <w:rsid w:val="00982F9F"/>
    <w:rsid w:val="00983BEE"/>
    <w:rsid w:val="009851E8"/>
    <w:rsid w:val="00987B3A"/>
    <w:rsid w:val="00987C45"/>
    <w:rsid w:val="009940E0"/>
    <w:rsid w:val="00994267"/>
    <w:rsid w:val="009944C6"/>
    <w:rsid w:val="00994564"/>
    <w:rsid w:val="009962A0"/>
    <w:rsid w:val="0099657E"/>
    <w:rsid w:val="009968F0"/>
    <w:rsid w:val="0099694F"/>
    <w:rsid w:val="009A134B"/>
    <w:rsid w:val="009A1E2C"/>
    <w:rsid w:val="009A3982"/>
    <w:rsid w:val="009A45FE"/>
    <w:rsid w:val="009A7F64"/>
    <w:rsid w:val="009B06CA"/>
    <w:rsid w:val="009B1515"/>
    <w:rsid w:val="009B1DC7"/>
    <w:rsid w:val="009B4B70"/>
    <w:rsid w:val="009B5226"/>
    <w:rsid w:val="009B5DF5"/>
    <w:rsid w:val="009B7ED3"/>
    <w:rsid w:val="009C2404"/>
    <w:rsid w:val="009C5070"/>
    <w:rsid w:val="009C625F"/>
    <w:rsid w:val="009D2299"/>
    <w:rsid w:val="009D46DE"/>
    <w:rsid w:val="009E10F4"/>
    <w:rsid w:val="009E19C5"/>
    <w:rsid w:val="009E5CB2"/>
    <w:rsid w:val="009F02D7"/>
    <w:rsid w:val="009F08CA"/>
    <w:rsid w:val="009F0E9A"/>
    <w:rsid w:val="009F3B64"/>
    <w:rsid w:val="009F7C92"/>
    <w:rsid w:val="00A00ADD"/>
    <w:rsid w:val="00A00C64"/>
    <w:rsid w:val="00A01BB5"/>
    <w:rsid w:val="00A02D19"/>
    <w:rsid w:val="00A066A5"/>
    <w:rsid w:val="00A07996"/>
    <w:rsid w:val="00A11549"/>
    <w:rsid w:val="00A13267"/>
    <w:rsid w:val="00A14C8D"/>
    <w:rsid w:val="00A16DB1"/>
    <w:rsid w:val="00A21A7F"/>
    <w:rsid w:val="00A22700"/>
    <w:rsid w:val="00A239E1"/>
    <w:rsid w:val="00A24354"/>
    <w:rsid w:val="00A26E34"/>
    <w:rsid w:val="00A31224"/>
    <w:rsid w:val="00A31A9E"/>
    <w:rsid w:val="00A35608"/>
    <w:rsid w:val="00A404AC"/>
    <w:rsid w:val="00A409CF"/>
    <w:rsid w:val="00A423ED"/>
    <w:rsid w:val="00A44DFD"/>
    <w:rsid w:val="00A4534C"/>
    <w:rsid w:val="00A46AC8"/>
    <w:rsid w:val="00A50424"/>
    <w:rsid w:val="00A51472"/>
    <w:rsid w:val="00A54B61"/>
    <w:rsid w:val="00A571E1"/>
    <w:rsid w:val="00A5730E"/>
    <w:rsid w:val="00A606DE"/>
    <w:rsid w:val="00A6176E"/>
    <w:rsid w:val="00A64070"/>
    <w:rsid w:val="00A64344"/>
    <w:rsid w:val="00A646FC"/>
    <w:rsid w:val="00A669A8"/>
    <w:rsid w:val="00A67710"/>
    <w:rsid w:val="00A714AB"/>
    <w:rsid w:val="00A73A4F"/>
    <w:rsid w:val="00A73ECE"/>
    <w:rsid w:val="00A73F43"/>
    <w:rsid w:val="00A7403F"/>
    <w:rsid w:val="00A807F4"/>
    <w:rsid w:val="00A80F30"/>
    <w:rsid w:val="00A840F1"/>
    <w:rsid w:val="00A85636"/>
    <w:rsid w:val="00A85C83"/>
    <w:rsid w:val="00A90A6B"/>
    <w:rsid w:val="00A95292"/>
    <w:rsid w:val="00A956D3"/>
    <w:rsid w:val="00A95F85"/>
    <w:rsid w:val="00A96BF3"/>
    <w:rsid w:val="00AA1614"/>
    <w:rsid w:val="00AA18DD"/>
    <w:rsid w:val="00AA3285"/>
    <w:rsid w:val="00AA7440"/>
    <w:rsid w:val="00AA7B09"/>
    <w:rsid w:val="00AB1A88"/>
    <w:rsid w:val="00AB39E1"/>
    <w:rsid w:val="00AB5256"/>
    <w:rsid w:val="00AB5C55"/>
    <w:rsid w:val="00AB60B0"/>
    <w:rsid w:val="00AB60F7"/>
    <w:rsid w:val="00AB77CF"/>
    <w:rsid w:val="00AC0BF5"/>
    <w:rsid w:val="00AC13BE"/>
    <w:rsid w:val="00AC18BA"/>
    <w:rsid w:val="00AC2355"/>
    <w:rsid w:val="00AC52C9"/>
    <w:rsid w:val="00AC6A1A"/>
    <w:rsid w:val="00AD0DD2"/>
    <w:rsid w:val="00AD506B"/>
    <w:rsid w:val="00AE068F"/>
    <w:rsid w:val="00AE0A9C"/>
    <w:rsid w:val="00AE0FBA"/>
    <w:rsid w:val="00AE3EC0"/>
    <w:rsid w:val="00AE5166"/>
    <w:rsid w:val="00AE6186"/>
    <w:rsid w:val="00AE6A1E"/>
    <w:rsid w:val="00AE70F5"/>
    <w:rsid w:val="00AF0DB4"/>
    <w:rsid w:val="00AF46E3"/>
    <w:rsid w:val="00AF5246"/>
    <w:rsid w:val="00B01466"/>
    <w:rsid w:val="00B02274"/>
    <w:rsid w:val="00B0252F"/>
    <w:rsid w:val="00B06515"/>
    <w:rsid w:val="00B166EE"/>
    <w:rsid w:val="00B21D88"/>
    <w:rsid w:val="00B30BB9"/>
    <w:rsid w:val="00B30BC5"/>
    <w:rsid w:val="00B313F6"/>
    <w:rsid w:val="00B32030"/>
    <w:rsid w:val="00B35647"/>
    <w:rsid w:val="00B36BD3"/>
    <w:rsid w:val="00B42E82"/>
    <w:rsid w:val="00B43B3C"/>
    <w:rsid w:val="00B47955"/>
    <w:rsid w:val="00B5297F"/>
    <w:rsid w:val="00B52D20"/>
    <w:rsid w:val="00B5353E"/>
    <w:rsid w:val="00B56CE4"/>
    <w:rsid w:val="00B57D1B"/>
    <w:rsid w:val="00B622D6"/>
    <w:rsid w:val="00B63E01"/>
    <w:rsid w:val="00B65816"/>
    <w:rsid w:val="00B70D3E"/>
    <w:rsid w:val="00B72803"/>
    <w:rsid w:val="00B7308D"/>
    <w:rsid w:val="00B7316F"/>
    <w:rsid w:val="00B75010"/>
    <w:rsid w:val="00B75F2F"/>
    <w:rsid w:val="00B76332"/>
    <w:rsid w:val="00B76371"/>
    <w:rsid w:val="00B77367"/>
    <w:rsid w:val="00B80AF2"/>
    <w:rsid w:val="00B80B12"/>
    <w:rsid w:val="00B8365F"/>
    <w:rsid w:val="00B8593F"/>
    <w:rsid w:val="00B90887"/>
    <w:rsid w:val="00B90E92"/>
    <w:rsid w:val="00B91D82"/>
    <w:rsid w:val="00B935AA"/>
    <w:rsid w:val="00B95916"/>
    <w:rsid w:val="00B96200"/>
    <w:rsid w:val="00B966B3"/>
    <w:rsid w:val="00B97BB3"/>
    <w:rsid w:val="00BA4BBA"/>
    <w:rsid w:val="00BA521C"/>
    <w:rsid w:val="00BA7A2B"/>
    <w:rsid w:val="00BB5F9E"/>
    <w:rsid w:val="00BB7797"/>
    <w:rsid w:val="00BC0A08"/>
    <w:rsid w:val="00BC2A8E"/>
    <w:rsid w:val="00BC2BA6"/>
    <w:rsid w:val="00BC2F5C"/>
    <w:rsid w:val="00BC3B52"/>
    <w:rsid w:val="00BC4763"/>
    <w:rsid w:val="00BC4850"/>
    <w:rsid w:val="00BC7490"/>
    <w:rsid w:val="00BD4F4B"/>
    <w:rsid w:val="00BD5B5D"/>
    <w:rsid w:val="00BE2FA4"/>
    <w:rsid w:val="00BE3EC3"/>
    <w:rsid w:val="00BE4D31"/>
    <w:rsid w:val="00BE65D1"/>
    <w:rsid w:val="00BF08A8"/>
    <w:rsid w:val="00BF10E8"/>
    <w:rsid w:val="00BF1530"/>
    <w:rsid w:val="00BF20D9"/>
    <w:rsid w:val="00BF403A"/>
    <w:rsid w:val="00BF4518"/>
    <w:rsid w:val="00C031BC"/>
    <w:rsid w:val="00C04153"/>
    <w:rsid w:val="00C04F26"/>
    <w:rsid w:val="00C05224"/>
    <w:rsid w:val="00C05F4B"/>
    <w:rsid w:val="00C101AC"/>
    <w:rsid w:val="00C11645"/>
    <w:rsid w:val="00C12737"/>
    <w:rsid w:val="00C158CD"/>
    <w:rsid w:val="00C16543"/>
    <w:rsid w:val="00C20477"/>
    <w:rsid w:val="00C2098C"/>
    <w:rsid w:val="00C22F3B"/>
    <w:rsid w:val="00C242D0"/>
    <w:rsid w:val="00C25918"/>
    <w:rsid w:val="00C26202"/>
    <w:rsid w:val="00C35004"/>
    <w:rsid w:val="00C36694"/>
    <w:rsid w:val="00C366AD"/>
    <w:rsid w:val="00C40905"/>
    <w:rsid w:val="00C41F9C"/>
    <w:rsid w:val="00C42B9D"/>
    <w:rsid w:val="00C457D7"/>
    <w:rsid w:val="00C5253D"/>
    <w:rsid w:val="00C5655A"/>
    <w:rsid w:val="00C56BFC"/>
    <w:rsid w:val="00C57F7D"/>
    <w:rsid w:val="00C6073E"/>
    <w:rsid w:val="00C65203"/>
    <w:rsid w:val="00C65353"/>
    <w:rsid w:val="00C65C8F"/>
    <w:rsid w:val="00C66BEC"/>
    <w:rsid w:val="00C72503"/>
    <w:rsid w:val="00C72A13"/>
    <w:rsid w:val="00C8026A"/>
    <w:rsid w:val="00C803BA"/>
    <w:rsid w:val="00C80C35"/>
    <w:rsid w:val="00C82FC1"/>
    <w:rsid w:val="00C857E9"/>
    <w:rsid w:val="00C8656B"/>
    <w:rsid w:val="00C86C86"/>
    <w:rsid w:val="00C878D2"/>
    <w:rsid w:val="00CA2CAA"/>
    <w:rsid w:val="00CA3B69"/>
    <w:rsid w:val="00CA4917"/>
    <w:rsid w:val="00CA6653"/>
    <w:rsid w:val="00CA7BB8"/>
    <w:rsid w:val="00CB0819"/>
    <w:rsid w:val="00CB1E4C"/>
    <w:rsid w:val="00CB4CAC"/>
    <w:rsid w:val="00CB4EA4"/>
    <w:rsid w:val="00CC06D3"/>
    <w:rsid w:val="00CC3D79"/>
    <w:rsid w:val="00CC5A31"/>
    <w:rsid w:val="00CC5F3E"/>
    <w:rsid w:val="00CD05D2"/>
    <w:rsid w:val="00CD21B2"/>
    <w:rsid w:val="00CD2DC7"/>
    <w:rsid w:val="00CD54E5"/>
    <w:rsid w:val="00CD6D5E"/>
    <w:rsid w:val="00CE653F"/>
    <w:rsid w:val="00CE7E26"/>
    <w:rsid w:val="00CF0671"/>
    <w:rsid w:val="00D0023A"/>
    <w:rsid w:val="00D04B12"/>
    <w:rsid w:val="00D05296"/>
    <w:rsid w:val="00D07C6C"/>
    <w:rsid w:val="00D118EC"/>
    <w:rsid w:val="00D12FDA"/>
    <w:rsid w:val="00D152B5"/>
    <w:rsid w:val="00D1659E"/>
    <w:rsid w:val="00D17434"/>
    <w:rsid w:val="00D1757B"/>
    <w:rsid w:val="00D178FE"/>
    <w:rsid w:val="00D20166"/>
    <w:rsid w:val="00D213FD"/>
    <w:rsid w:val="00D23013"/>
    <w:rsid w:val="00D271FE"/>
    <w:rsid w:val="00D32B34"/>
    <w:rsid w:val="00D33B2A"/>
    <w:rsid w:val="00D33DEF"/>
    <w:rsid w:val="00D40F36"/>
    <w:rsid w:val="00D4323C"/>
    <w:rsid w:val="00D46ACF"/>
    <w:rsid w:val="00D47484"/>
    <w:rsid w:val="00D5192E"/>
    <w:rsid w:val="00D51E99"/>
    <w:rsid w:val="00D52C08"/>
    <w:rsid w:val="00D54C7D"/>
    <w:rsid w:val="00D579E8"/>
    <w:rsid w:val="00D57E65"/>
    <w:rsid w:val="00D60515"/>
    <w:rsid w:val="00D62A4B"/>
    <w:rsid w:val="00D6719E"/>
    <w:rsid w:val="00D674E8"/>
    <w:rsid w:val="00D71044"/>
    <w:rsid w:val="00D729CD"/>
    <w:rsid w:val="00D74161"/>
    <w:rsid w:val="00D75696"/>
    <w:rsid w:val="00D75AD3"/>
    <w:rsid w:val="00D80B17"/>
    <w:rsid w:val="00D84BE5"/>
    <w:rsid w:val="00D85151"/>
    <w:rsid w:val="00D85F84"/>
    <w:rsid w:val="00D87588"/>
    <w:rsid w:val="00D87D31"/>
    <w:rsid w:val="00D907FF"/>
    <w:rsid w:val="00D90B11"/>
    <w:rsid w:val="00D90E0C"/>
    <w:rsid w:val="00D91109"/>
    <w:rsid w:val="00D92091"/>
    <w:rsid w:val="00D939E0"/>
    <w:rsid w:val="00D94D3B"/>
    <w:rsid w:val="00D94E2D"/>
    <w:rsid w:val="00DA083F"/>
    <w:rsid w:val="00DA3946"/>
    <w:rsid w:val="00DA65B0"/>
    <w:rsid w:val="00DA7C84"/>
    <w:rsid w:val="00DB1190"/>
    <w:rsid w:val="00DB3301"/>
    <w:rsid w:val="00DB5A11"/>
    <w:rsid w:val="00DC1299"/>
    <w:rsid w:val="00DC47DB"/>
    <w:rsid w:val="00DC5774"/>
    <w:rsid w:val="00DC597A"/>
    <w:rsid w:val="00DC5E2A"/>
    <w:rsid w:val="00DC7072"/>
    <w:rsid w:val="00DD121E"/>
    <w:rsid w:val="00DD2220"/>
    <w:rsid w:val="00DD2511"/>
    <w:rsid w:val="00DD3E49"/>
    <w:rsid w:val="00DD4E75"/>
    <w:rsid w:val="00DD546C"/>
    <w:rsid w:val="00DD616F"/>
    <w:rsid w:val="00DE2BBC"/>
    <w:rsid w:val="00DE2F8D"/>
    <w:rsid w:val="00DE3276"/>
    <w:rsid w:val="00DE3399"/>
    <w:rsid w:val="00DE629F"/>
    <w:rsid w:val="00DE6437"/>
    <w:rsid w:val="00DE6941"/>
    <w:rsid w:val="00DF0FF9"/>
    <w:rsid w:val="00DF15BC"/>
    <w:rsid w:val="00DF1610"/>
    <w:rsid w:val="00DF1CBC"/>
    <w:rsid w:val="00DF2050"/>
    <w:rsid w:val="00DF330C"/>
    <w:rsid w:val="00DF3566"/>
    <w:rsid w:val="00DF5A18"/>
    <w:rsid w:val="00DF66A4"/>
    <w:rsid w:val="00DF7208"/>
    <w:rsid w:val="00DF7ABB"/>
    <w:rsid w:val="00E00656"/>
    <w:rsid w:val="00E012F8"/>
    <w:rsid w:val="00E01B21"/>
    <w:rsid w:val="00E01B32"/>
    <w:rsid w:val="00E03648"/>
    <w:rsid w:val="00E0592C"/>
    <w:rsid w:val="00E11E1F"/>
    <w:rsid w:val="00E12C9E"/>
    <w:rsid w:val="00E14E34"/>
    <w:rsid w:val="00E153C2"/>
    <w:rsid w:val="00E162AC"/>
    <w:rsid w:val="00E17993"/>
    <w:rsid w:val="00E236C2"/>
    <w:rsid w:val="00E245E6"/>
    <w:rsid w:val="00E26C79"/>
    <w:rsid w:val="00E31A19"/>
    <w:rsid w:val="00E34C5D"/>
    <w:rsid w:val="00E34C94"/>
    <w:rsid w:val="00E3522B"/>
    <w:rsid w:val="00E3716C"/>
    <w:rsid w:val="00E372FC"/>
    <w:rsid w:val="00E4069E"/>
    <w:rsid w:val="00E41B36"/>
    <w:rsid w:val="00E43693"/>
    <w:rsid w:val="00E439B9"/>
    <w:rsid w:val="00E43DAF"/>
    <w:rsid w:val="00E460B1"/>
    <w:rsid w:val="00E46E5A"/>
    <w:rsid w:val="00E52826"/>
    <w:rsid w:val="00E539E1"/>
    <w:rsid w:val="00E54A77"/>
    <w:rsid w:val="00E57F47"/>
    <w:rsid w:val="00E61494"/>
    <w:rsid w:val="00E65F27"/>
    <w:rsid w:val="00E67460"/>
    <w:rsid w:val="00E67C97"/>
    <w:rsid w:val="00E704E9"/>
    <w:rsid w:val="00E7291F"/>
    <w:rsid w:val="00E75FC1"/>
    <w:rsid w:val="00E77128"/>
    <w:rsid w:val="00E82B2A"/>
    <w:rsid w:val="00E84101"/>
    <w:rsid w:val="00E86740"/>
    <w:rsid w:val="00E919C6"/>
    <w:rsid w:val="00E92092"/>
    <w:rsid w:val="00E9335D"/>
    <w:rsid w:val="00E93ACB"/>
    <w:rsid w:val="00E966E2"/>
    <w:rsid w:val="00E977FD"/>
    <w:rsid w:val="00E97CF6"/>
    <w:rsid w:val="00EA029E"/>
    <w:rsid w:val="00EA1EDF"/>
    <w:rsid w:val="00EA2D66"/>
    <w:rsid w:val="00EA30F0"/>
    <w:rsid w:val="00EA6CCE"/>
    <w:rsid w:val="00EB075B"/>
    <w:rsid w:val="00EB0E41"/>
    <w:rsid w:val="00EB17A7"/>
    <w:rsid w:val="00EC04D2"/>
    <w:rsid w:val="00EC0993"/>
    <w:rsid w:val="00EC23C3"/>
    <w:rsid w:val="00EC3908"/>
    <w:rsid w:val="00EC3A72"/>
    <w:rsid w:val="00EC43CF"/>
    <w:rsid w:val="00EC4408"/>
    <w:rsid w:val="00EC46FA"/>
    <w:rsid w:val="00EC6193"/>
    <w:rsid w:val="00EC7BD0"/>
    <w:rsid w:val="00ED128D"/>
    <w:rsid w:val="00ED2C26"/>
    <w:rsid w:val="00ED58B2"/>
    <w:rsid w:val="00ED7D71"/>
    <w:rsid w:val="00EE23E3"/>
    <w:rsid w:val="00EE29FD"/>
    <w:rsid w:val="00EE2CAA"/>
    <w:rsid w:val="00EE4E28"/>
    <w:rsid w:val="00EE6015"/>
    <w:rsid w:val="00EE7B4F"/>
    <w:rsid w:val="00EF0DFA"/>
    <w:rsid w:val="00EF23FC"/>
    <w:rsid w:val="00EF2588"/>
    <w:rsid w:val="00EF27E0"/>
    <w:rsid w:val="00EF4D11"/>
    <w:rsid w:val="00EF542B"/>
    <w:rsid w:val="00EF6F5B"/>
    <w:rsid w:val="00EF7B6D"/>
    <w:rsid w:val="00F02926"/>
    <w:rsid w:val="00F03FF2"/>
    <w:rsid w:val="00F05454"/>
    <w:rsid w:val="00F05DB0"/>
    <w:rsid w:val="00F10514"/>
    <w:rsid w:val="00F11226"/>
    <w:rsid w:val="00F13F94"/>
    <w:rsid w:val="00F14223"/>
    <w:rsid w:val="00F142F2"/>
    <w:rsid w:val="00F14B50"/>
    <w:rsid w:val="00F211F2"/>
    <w:rsid w:val="00F228C3"/>
    <w:rsid w:val="00F234DF"/>
    <w:rsid w:val="00F23BF6"/>
    <w:rsid w:val="00F2623E"/>
    <w:rsid w:val="00F31632"/>
    <w:rsid w:val="00F32EC6"/>
    <w:rsid w:val="00F331E1"/>
    <w:rsid w:val="00F336F7"/>
    <w:rsid w:val="00F34D33"/>
    <w:rsid w:val="00F352A1"/>
    <w:rsid w:val="00F363FD"/>
    <w:rsid w:val="00F42947"/>
    <w:rsid w:val="00F4323E"/>
    <w:rsid w:val="00F4354D"/>
    <w:rsid w:val="00F43C93"/>
    <w:rsid w:val="00F44547"/>
    <w:rsid w:val="00F44E66"/>
    <w:rsid w:val="00F45246"/>
    <w:rsid w:val="00F4675E"/>
    <w:rsid w:val="00F50D36"/>
    <w:rsid w:val="00F54E6C"/>
    <w:rsid w:val="00F54EEC"/>
    <w:rsid w:val="00F55922"/>
    <w:rsid w:val="00F575BA"/>
    <w:rsid w:val="00F57D9D"/>
    <w:rsid w:val="00F61F1C"/>
    <w:rsid w:val="00F65C38"/>
    <w:rsid w:val="00F71201"/>
    <w:rsid w:val="00F74B84"/>
    <w:rsid w:val="00F81FC1"/>
    <w:rsid w:val="00F83E32"/>
    <w:rsid w:val="00F866F9"/>
    <w:rsid w:val="00F91AD4"/>
    <w:rsid w:val="00F9346B"/>
    <w:rsid w:val="00F96461"/>
    <w:rsid w:val="00F969F8"/>
    <w:rsid w:val="00F96EB6"/>
    <w:rsid w:val="00FA037C"/>
    <w:rsid w:val="00FA1595"/>
    <w:rsid w:val="00FA2D56"/>
    <w:rsid w:val="00FA4173"/>
    <w:rsid w:val="00FA542D"/>
    <w:rsid w:val="00FA6D4B"/>
    <w:rsid w:val="00FB0BA7"/>
    <w:rsid w:val="00FB262D"/>
    <w:rsid w:val="00FB5015"/>
    <w:rsid w:val="00FB76EF"/>
    <w:rsid w:val="00FC01C4"/>
    <w:rsid w:val="00FC17A0"/>
    <w:rsid w:val="00FC1C3E"/>
    <w:rsid w:val="00FC3042"/>
    <w:rsid w:val="00FC3148"/>
    <w:rsid w:val="00FC4B33"/>
    <w:rsid w:val="00FC4FC0"/>
    <w:rsid w:val="00FD0535"/>
    <w:rsid w:val="00FD4076"/>
    <w:rsid w:val="00FD4304"/>
    <w:rsid w:val="00FD44D5"/>
    <w:rsid w:val="00FD5814"/>
    <w:rsid w:val="00FD6078"/>
    <w:rsid w:val="00FE0665"/>
    <w:rsid w:val="00FE10B9"/>
    <w:rsid w:val="00FE1793"/>
    <w:rsid w:val="00FE1C28"/>
    <w:rsid w:val="00FE4306"/>
    <w:rsid w:val="00FF1555"/>
    <w:rsid w:val="00FF1EB5"/>
    <w:rsid w:val="00FF3EC3"/>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8F5BA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EF8"/>
    <w:rPr>
      <w:rFonts w:ascii="Verdana" w:hAnsi="Verdana"/>
      <w:sz w:val="22"/>
      <w:szCs w:val="22"/>
    </w:rPr>
  </w:style>
  <w:style w:type="paragraph" w:styleId="Heading1">
    <w:name w:val="heading 1"/>
    <w:basedOn w:val="Normal"/>
    <w:next w:val="Normal"/>
    <w:link w:val="Heading1Char"/>
    <w:uiPriority w:val="9"/>
    <w:qFormat/>
    <w:rsid w:val="00A31A9E"/>
    <w:pPr>
      <w:keepNext/>
      <w:keepLines/>
      <w:spacing w:before="240" w:after="240"/>
      <w:outlineLvl w:val="0"/>
    </w:pPr>
    <w:rPr>
      <w:rFonts w:asciiTheme="majorHAnsi" w:eastAsiaTheme="majorEastAsia" w:hAnsiTheme="majorHAnsi" w:cstheme="majorBidi"/>
      <w:color w:val="2E74B5" w:themeColor="accent1" w:themeShade="BF"/>
      <w:sz w:val="32"/>
      <w:szCs w:val="3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A9E"/>
    <w:rPr>
      <w:rFonts w:asciiTheme="majorHAnsi" w:eastAsiaTheme="majorEastAsia" w:hAnsiTheme="majorHAnsi" w:cstheme="majorBidi"/>
      <w:color w:val="2E74B5" w:themeColor="accent1" w:themeShade="BF"/>
      <w:sz w:val="32"/>
      <w:szCs w:val="32"/>
      <w:lang w:val="pt-BR"/>
    </w:rPr>
  </w:style>
  <w:style w:type="paragraph" w:styleId="Header">
    <w:name w:val="header"/>
    <w:basedOn w:val="Normal"/>
    <w:link w:val="HeaderChar"/>
    <w:uiPriority w:val="99"/>
    <w:unhideWhenUsed/>
    <w:rsid w:val="00ED4B63"/>
    <w:pPr>
      <w:tabs>
        <w:tab w:val="center" w:pos="4513"/>
        <w:tab w:val="right" w:pos="9026"/>
      </w:tabs>
    </w:pPr>
  </w:style>
  <w:style w:type="character" w:customStyle="1" w:styleId="HeaderChar">
    <w:name w:val="Header Char"/>
    <w:basedOn w:val="DefaultParagraphFont"/>
    <w:link w:val="Header"/>
    <w:uiPriority w:val="99"/>
    <w:rsid w:val="00ED4B63"/>
  </w:style>
  <w:style w:type="paragraph" w:styleId="Footer">
    <w:name w:val="footer"/>
    <w:basedOn w:val="Normal"/>
    <w:link w:val="FooterChar"/>
    <w:uiPriority w:val="99"/>
    <w:unhideWhenUsed/>
    <w:rsid w:val="00ED4B63"/>
    <w:pPr>
      <w:tabs>
        <w:tab w:val="center" w:pos="4513"/>
        <w:tab w:val="right" w:pos="9026"/>
      </w:tabs>
    </w:pPr>
  </w:style>
  <w:style w:type="character" w:customStyle="1" w:styleId="FooterChar">
    <w:name w:val="Footer Char"/>
    <w:basedOn w:val="DefaultParagraphFont"/>
    <w:link w:val="Footer"/>
    <w:uiPriority w:val="99"/>
    <w:rsid w:val="00ED4B63"/>
  </w:style>
  <w:style w:type="paragraph" w:styleId="TOCHeading">
    <w:name w:val="TOC Heading"/>
    <w:basedOn w:val="Heading1"/>
    <w:next w:val="Normal"/>
    <w:uiPriority w:val="39"/>
    <w:unhideWhenUsed/>
    <w:qFormat/>
    <w:rsid w:val="008615E5"/>
    <w:pPr>
      <w:spacing w:line="259" w:lineRule="auto"/>
      <w:outlineLvl w:val="9"/>
    </w:pPr>
    <w:rPr>
      <w:rFonts w:ascii="Arial" w:hAnsi="Arial"/>
      <w:b/>
      <w:color w:val="800080"/>
      <w:sz w:val="22"/>
    </w:rPr>
  </w:style>
  <w:style w:type="paragraph" w:styleId="BalloonText">
    <w:name w:val="Balloon Text"/>
    <w:basedOn w:val="Normal"/>
    <w:link w:val="BalloonTextChar"/>
    <w:uiPriority w:val="99"/>
    <w:semiHidden/>
    <w:unhideWhenUsed/>
    <w:rsid w:val="00257D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D9C"/>
    <w:rPr>
      <w:rFonts w:ascii="Segoe UI" w:hAnsi="Segoe UI" w:cs="Segoe UI"/>
      <w:sz w:val="18"/>
      <w:szCs w:val="18"/>
    </w:rPr>
  </w:style>
  <w:style w:type="paragraph" w:customStyle="1" w:styleId="T1TableStyle">
    <w:name w:val="T1TableStyle"/>
    <w:uiPriority w:val="99"/>
    <w:rPr>
      <w:rFonts w:ascii="Times New Roman" w:eastAsia="Times New Roman" w:hAnsi="Times New Roman"/>
      <w:sz w:val="20"/>
      <w:szCs w:val="20"/>
    </w:rPr>
  </w:style>
  <w:style w:type="paragraph" w:customStyle="1" w:styleId="Normal0">
    <w:name w:val="Normal_0"/>
    <w:qFormat/>
    <w:rsid w:val="004C79D8"/>
    <w:pPr>
      <w:spacing w:line="256" w:lineRule="auto"/>
    </w:pPr>
    <w:rPr>
      <w:sz w:val="20"/>
      <w:szCs w:val="20"/>
    </w:rPr>
  </w:style>
  <w:style w:type="paragraph" w:styleId="TOC1">
    <w:name w:val="toc 1"/>
    <w:basedOn w:val="Normal"/>
    <w:next w:val="Normal"/>
    <w:autoRedefine/>
    <w:uiPriority w:val="39"/>
    <w:rsid w:val="00805BCE"/>
  </w:style>
  <w:style w:type="character" w:styleId="Hyperlink">
    <w:name w:val="Hyperlink"/>
    <w:basedOn w:val="DefaultParagraphFont"/>
    <w:uiPriority w:val="99"/>
    <w:rsid w:val="00EF7B96"/>
    <w:rPr>
      <w:color w:val="0000FF"/>
      <w:u w:val="single"/>
    </w:rPr>
  </w:style>
  <w:style w:type="paragraph" w:customStyle="1" w:styleId="Style1">
    <w:name w:val="Style1"/>
    <w:basedOn w:val="ListParagraph"/>
    <w:link w:val="Style1Char"/>
    <w:qFormat/>
    <w:rsid w:val="00193E9D"/>
    <w:pPr>
      <w:numPr>
        <w:numId w:val="0"/>
      </w:numPr>
      <w:ind w:left="4645" w:hanging="360"/>
      <w:jc w:val="both"/>
    </w:pPr>
    <w:rPr>
      <w:rFonts w:ascii="Arial" w:hAnsi="Arial"/>
      <w:b/>
      <w:szCs w:val="20"/>
      <w:lang w:val="en-US"/>
    </w:rPr>
  </w:style>
  <w:style w:type="paragraph" w:styleId="ListParagraph">
    <w:name w:val="List Paragraph"/>
    <w:basedOn w:val="Normal00"/>
    <w:link w:val="ListParagraphChar"/>
    <w:uiPriority w:val="34"/>
    <w:qFormat/>
    <w:rsid w:val="00747620"/>
    <w:pPr>
      <w:numPr>
        <w:numId w:val="1"/>
      </w:numPr>
      <w:spacing w:line="240" w:lineRule="auto"/>
      <w:contextualSpacing/>
    </w:pPr>
    <w:rPr>
      <w:rFonts w:ascii="Verdana" w:eastAsia="Times New Roman" w:hAnsi="Verdana" w:cs="Arial"/>
      <w:szCs w:val="22"/>
      <w:lang w:val="en-GB" w:eastAsia="en-GB"/>
    </w:rPr>
  </w:style>
  <w:style w:type="paragraph" w:customStyle="1" w:styleId="Normal00">
    <w:name w:val="Normal_0_0"/>
    <w:uiPriority w:val="99"/>
    <w:qFormat/>
    <w:rsid w:val="00BA7DA1"/>
    <w:pPr>
      <w:spacing w:line="256" w:lineRule="auto"/>
    </w:pPr>
    <w:rPr>
      <w:sz w:val="20"/>
      <w:szCs w:val="20"/>
    </w:rPr>
  </w:style>
  <w:style w:type="character" w:customStyle="1" w:styleId="ListParagraphChar">
    <w:name w:val="List Paragraph Char"/>
    <w:basedOn w:val="DefaultParagraphFont"/>
    <w:link w:val="ListParagraph"/>
    <w:uiPriority w:val="34"/>
    <w:rsid w:val="00360A13"/>
    <w:rPr>
      <w:rFonts w:ascii="Verdana" w:eastAsia="Times New Roman" w:hAnsi="Verdana" w:cs="Arial"/>
      <w:sz w:val="20"/>
      <w:szCs w:val="22"/>
      <w:lang w:val="en-GB" w:eastAsia="en-GB"/>
    </w:rPr>
  </w:style>
  <w:style w:type="character" w:customStyle="1" w:styleId="Style1Char">
    <w:name w:val="Style1 Char"/>
    <w:link w:val="Style1"/>
    <w:rsid w:val="00193E9D"/>
    <w:rPr>
      <w:rFonts w:ascii="Arial" w:eastAsia="Times New Roman" w:hAnsi="Arial" w:cs="Arial"/>
      <w:b/>
      <w:sz w:val="20"/>
      <w:szCs w:val="20"/>
      <w:lang w:eastAsia="en-GB"/>
    </w:rPr>
  </w:style>
  <w:style w:type="paragraph" w:customStyle="1" w:styleId="Normal000">
    <w:name w:val="Normal_0_0_0"/>
    <w:basedOn w:val="Normal00"/>
    <w:next w:val="Normal00"/>
    <w:uiPriority w:val="99"/>
    <w:qFormat/>
    <w:rsid w:val="002D236E"/>
    <w:pPr>
      <w:spacing w:line="240" w:lineRule="auto"/>
      <w:jc w:val="both"/>
    </w:pPr>
    <w:rPr>
      <w:rFonts w:ascii="Verdana" w:hAnsi="Verdana"/>
      <w:sz w:val="22"/>
      <w:szCs w:val="24"/>
    </w:rPr>
  </w:style>
  <w:style w:type="character" w:styleId="Strong">
    <w:name w:val="Strong"/>
    <w:qFormat/>
    <w:rsid w:val="002D236E"/>
    <w:rPr>
      <w:rFonts w:ascii="Arial" w:eastAsiaTheme="minorHAnsi" w:hAnsi="Arial" w:cstheme="minorBidi"/>
      <w:b/>
      <w:bCs/>
    </w:rPr>
  </w:style>
  <w:style w:type="paragraph" w:customStyle="1" w:styleId="Pa12">
    <w:name w:val="Pa12"/>
    <w:basedOn w:val="Default"/>
    <w:next w:val="Default"/>
    <w:uiPriority w:val="99"/>
    <w:rsid w:val="004B73EC"/>
    <w:pPr>
      <w:spacing w:line="231" w:lineRule="atLeast"/>
    </w:pPr>
    <w:rPr>
      <w:rFonts w:cstheme="minorBidi"/>
      <w:color w:val="auto"/>
    </w:rPr>
  </w:style>
  <w:style w:type="paragraph" w:customStyle="1" w:styleId="Default">
    <w:name w:val="Default"/>
    <w:uiPriority w:val="99"/>
    <w:rsid w:val="004B73EC"/>
    <w:pPr>
      <w:autoSpaceDE w:val="0"/>
      <w:autoSpaceDN w:val="0"/>
      <w:adjustRightInd w:val="0"/>
    </w:pPr>
    <w:rPr>
      <w:rFonts w:ascii="FS Lola" w:hAnsi="FS Lola" w:cs="FS Lola"/>
      <w:color w:val="000000"/>
      <w:sz w:val="20"/>
      <w:szCs w:val="20"/>
    </w:rPr>
  </w:style>
  <w:style w:type="paragraph" w:customStyle="1" w:styleId="Pa28">
    <w:name w:val="Pa28"/>
    <w:basedOn w:val="Default"/>
    <w:next w:val="Default"/>
    <w:uiPriority w:val="99"/>
    <w:rsid w:val="004B73EC"/>
    <w:pPr>
      <w:spacing w:line="231" w:lineRule="atLeast"/>
    </w:pPr>
    <w:rPr>
      <w:rFonts w:cstheme="minorBidi"/>
      <w:color w:val="auto"/>
    </w:rPr>
  </w:style>
  <w:style w:type="table" w:styleId="TableGrid">
    <w:name w:val="Table Grid"/>
    <w:basedOn w:val="TableNormal"/>
    <w:uiPriority w:val="39"/>
    <w:rsid w:val="00D110C7"/>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uiPriority w:val="99"/>
    <w:rsid w:val="006F4F0F"/>
    <w:pPr>
      <w:suppressAutoHyphens/>
    </w:pPr>
    <w:rPr>
      <w:rFonts w:ascii="Times New Roman" w:eastAsia="Times New Roman" w:hAnsi="Times New Roman" w:cs="Times New Roman"/>
      <w:lang w:val="en-GB" w:eastAsia="ar-SA"/>
    </w:rPr>
  </w:style>
  <w:style w:type="paragraph" w:styleId="NoSpacing">
    <w:name w:val="No Spacing"/>
    <w:basedOn w:val="Normal0"/>
    <w:next w:val="Normal0"/>
    <w:uiPriority w:val="1"/>
    <w:qFormat/>
    <w:rsid w:val="00980F0A"/>
    <w:pPr>
      <w:spacing w:line="240" w:lineRule="auto"/>
    </w:pPr>
    <w:rPr>
      <w:rFonts w:ascii="Verdana" w:eastAsia="Calibri" w:hAnsi="Verdana"/>
      <w:sz w:val="16"/>
      <w:szCs w:val="22"/>
    </w:rPr>
  </w:style>
  <w:style w:type="character" w:styleId="FootnoteReference">
    <w:name w:val="footnote reference"/>
    <w:rsid w:val="00360A13"/>
    <w:rPr>
      <w:vertAlign w:val="superscript"/>
    </w:rPr>
  </w:style>
  <w:style w:type="paragraph" w:styleId="FootnoteText">
    <w:name w:val="footnote text"/>
    <w:basedOn w:val="Normal"/>
    <w:link w:val="FootnoteTextChar"/>
    <w:uiPriority w:val="99"/>
    <w:rsid w:val="00360A13"/>
    <w:pPr>
      <w:suppressAutoHyphens/>
    </w:pPr>
    <w:rPr>
      <w:rFonts w:ascii="Arial" w:eastAsia="Times New Roman" w:hAnsi="Arial" w:cs="Arial"/>
      <w:sz w:val="20"/>
      <w:szCs w:val="20"/>
      <w:lang w:val="en-GB" w:eastAsia="ar-SA"/>
    </w:rPr>
  </w:style>
  <w:style w:type="character" w:customStyle="1" w:styleId="FootnoteTextChar">
    <w:name w:val="Footnote Text Char"/>
    <w:basedOn w:val="DefaultParagraphFont"/>
    <w:link w:val="FootnoteText"/>
    <w:uiPriority w:val="99"/>
    <w:rsid w:val="00360A13"/>
    <w:rPr>
      <w:rFonts w:ascii="Arial" w:eastAsia="Times New Roman" w:hAnsi="Arial" w:cs="Arial"/>
      <w:sz w:val="20"/>
      <w:szCs w:val="20"/>
      <w:lang w:val="en-GB" w:eastAsia="ar-SA"/>
    </w:rPr>
  </w:style>
  <w:style w:type="character" w:styleId="CommentReference">
    <w:name w:val="annotation reference"/>
    <w:basedOn w:val="DefaultParagraphFont"/>
    <w:uiPriority w:val="99"/>
    <w:semiHidden/>
    <w:unhideWhenUsed/>
    <w:rsid w:val="008E6F5A"/>
    <w:rPr>
      <w:sz w:val="16"/>
      <w:szCs w:val="16"/>
    </w:rPr>
  </w:style>
  <w:style w:type="paragraph" w:styleId="CommentText">
    <w:name w:val="annotation text"/>
    <w:basedOn w:val="Normal"/>
    <w:link w:val="CommentTextChar"/>
    <w:uiPriority w:val="99"/>
    <w:semiHidden/>
    <w:unhideWhenUsed/>
    <w:rsid w:val="008E6F5A"/>
    <w:rPr>
      <w:sz w:val="20"/>
      <w:szCs w:val="20"/>
    </w:rPr>
  </w:style>
  <w:style w:type="character" w:customStyle="1" w:styleId="CommentTextChar">
    <w:name w:val="Comment Text Char"/>
    <w:basedOn w:val="DefaultParagraphFont"/>
    <w:link w:val="CommentText"/>
    <w:uiPriority w:val="99"/>
    <w:semiHidden/>
    <w:rsid w:val="008E6F5A"/>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E6F5A"/>
    <w:rPr>
      <w:b/>
      <w:bCs/>
    </w:rPr>
  </w:style>
  <w:style w:type="character" w:customStyle="1" w:styleId="CommentSubjectChar">
    <w:name w:val="Comment Subject Char"/>
    <w:basedOn w:val="CommentTextChar"/>
    <w:link w:val="CommentSubject"/>
    <w:uiPriority w:val="99"/>
    <w:semiHidden/>
    <w:rsid w:val="008E6F5A"/>
    <w:rPr>
      <w:rFonts w:ascii="Verdana" w:hAnsi="Verdana"/>
      <w:b/>
      <w:bCs/>
      <w:sz w:val="20"/>
      <w:szCs w:val="20"/>
    </w:rPr>
  </w:style>
  <w:style w:type="paragraph" w:styleId="Revision">
    <w:name w:val="Revision"/>
    <w:hidden/>
    <w:uiPriority w:val="99"/>
    <w:semiHidden/>
    <w:rsid w:val="008E6F5A"/>
    <w:rPr>
      <w:rFonts w:ascii="Verdana" w:hAnsi="Verdana"/>
      <w:sz w:val="22"/>
      <w:szCs w:val="22"/>
    </w:rPr>
  </w:style>
  <w:style w:type="paragraph" w:customStyle="1" w:styleId="Style2">
    <w:name w:val="Style2"/>
    <w:basedOn w:val="Normal"/>
    <w:link w:val="Style2Char"/>
    <w:qFormat/>
    <w:rsid w:val="0084167E"/>
    <w:rPr>
      <w:rFonts w:ascii="Arial" w:eastAsia="Times New Roman" w:hAnsi="Arial" w:cs="Arial"/>
      <w:b/>
      <w:sz w:val="20"/>
      <w:szCs w:val="20"/>
    </w:rPr>
  </w:style>
  <w:style w:type="character" w:customStyle="1" w:styleId="Style2Char">
    <w:name w:val="Style2 Char"/>
    <w:basedOn w:val="DefaultParagraphFont"/>
    <w:link w:val="Style2"/>
    <w:rsid w:val="0084167E"/>
    <w:rPr>
      <w:rFonts w:ascii="Arial" w:eastAsia="Times New Roman" w:hAnsi="Arial" w:cs="Arial"/>
      <w:b/>
      <w:sz w:val="20"/>
      <w:szCs w:val="20"/>
    </w:rPr>
  </w:style>
  <w:style w:type="character" w:styleId="FollowedHyperlink">
    <w:name w:val="FollowedHyperlink"/>
    <w:basedOn w:val="DefaultParagraphFont"/>
    <w:uiPriority w:val="99"/>
    <w:semiHidden/>
    <w:unhideWhenUsed/>
    <w:rsid w:val="0065570A"/>
    <w:rPr>
      <w:color w:val="954F72"/>
      <w:u w:val="single"/>
    </w:rPr>
  </w:style>
  <w:style w:type="paragraph" w:customStyle="1" w:styleId="xl65">
    <w:name w:val="xl65"/>
    <w:basedOn w:val="Normal"/>
    <w:rsid w:val="0065570A"/>
    <w:pPr>
      <w:shd w:val="clear" w:color="000000" w:fill="FFFFFF"/>
      <w:spacing w:before="100" w:beforeAutospacing="1" w:after="100" w:afterAutospacing="1"/>
    </w:pPr>
    <w:rPr>
      <w:rFonts w:eastAsia="Times New Roman" w:cs="Times New Roman"/>
      <w:sz w:val="16"/>
      <w:szCs w:val="16"/>
      <w:lang w:val="en-GB" w:eastAsia="en-GB"/>
    </w:rPr>
  </w:style>
  <w:style w:type="paragraph" w:customStyle="1" w:styleId="xl66">
    <w:name w:val="xl66"/>
    <w:basedOn w:val="Normal"/>
    <w:rsid w:val="0065570A"/>
    <w:pPr>
      <w:shd w:val="clear" w:color="000000" w:fill="FFFFFF"/>
      <w:spacing w:before="100" w:beforeAutospacing="1" w:after="100" w:afterAutospacing="1"/>
      <w:textAlignment w:val="center"/>
    </w:pPr>
    <w:rPr>
      <w:rFonts w:eastAsia="Times New Roman" w:cs="Times New Roman"/>
      <w:b/>
      <w:bCs/>
      <w:sz w:val="16"/>
      <w:szCs w:val="16"/>
      <w:lang w:val="en-GB" w:eastAsia="en-GB"/>
    </w:rPr>
  </w:style>
  <w:style w:type="paragraph" w:customStyle="1" w:styleId="xl67">
    <w:name w:val="xl67"/>
    <w:basedOn w:val="Normal"/>
    <w:rsid w:val="0065570A"/>
    <w:pPr>
      <w:shd w:val="clear" w:color="000000" w:fill="FFFFFF"/>
      <w:spacing w:before="100" w:beforeAutospacing="1" w:after="100" w:afterAutospacing="1"/>
      <w:textAlignment w:val="center"/>
    </w:pPr>
    <w:rPr>
      <w:rFonts w:eastAsia="Times New Roman" w:cs="Times New Roman"/>
      <w:sz w:val="16"/>
      <w:szCs w:val="16"/>
      <w:lang w:val="en-GB" w:eastAsia="en-GB"/>
    </w:rPr>
  </w:style>
  <w:style w:type="paragraph" w:customStyle="1" w:styleId="xl68">
    <w:name w:val="xl68"/>
    <w:basedOn w:val="Normal"/>
    <w:rsid w:val="0065570A"/>
    <w:pPr>
      <w:pBdr>
        <w:top w:val="single" w:sz="4" w:space="0" w:color="auto"/>
      </w:pBdr>
      <w:shd w:val="clear" w:color="000000" w:fill="FFFFFF"/>
      <w:spacing w:before="100" w:beforeAutospacing="1" w:after="100" w:afterAutospacing="1"/>
      <w:ind w:firstLineChars="100" w:firstLine="100"/>
      <w:textAlignment w:val="center"/>
    </w:pPr>
    <w:rPr>
      <w:rFonts w:eastAsia="Times New Roman" w:cs="Times New Roman"/>
      <w:b/>
      <w:bCs/>
      <w:sz w:val="16"/>
      <w:szCs w:val="16"/>
      <w:lang w:val="en-GB" w:eastAsia="en-GB"/>
    </w:rPr>
  </w:style>
  <w:style w:type="paragraph" w:customStyle="1" w:styleId="xl69">
    <w:name w:val="xl69"/>
    <w:basedOn w:val="Normal"/>
    <w:rsid w:val="0065570A"/>
    <w:pPr>
      <w:shd w:val="clear" w:color="000000" w:fill="FFFFFF"/>
      <w:spacing w:before="100" w:beforeAutospacing="1" w:after="100" w:afterAutospacing="1"/>
      <w:ind w:firstLineChars="100" w:firstLine="100"/>
      <w:textAlignment w:val="center"/>
    </w:pPr>
    <w:rPr>
      <w:rFonts w:eastAsia="Times New Roman" w:cs="Times New Roman"/>
      <w:sz w:val="16"/>
      <w:szCs w:val="16"/>
      <w:lang w:val="en-GB" w:eastAsia="en-GB"/>
    </w:rPr>
  </w:style>
  <w:style w:type="paragraph" w:customStyle="1" w:styleId="xl70">
    <w:name w:val="xl70"/>
    <w:basedOn w:val="Normal"/>
    <w:rsid w:val="0065570A"/>
    <w:pPr>
      <w:pBdr>
        <w:top w:val="single" w:sz="4" w:space="0" w:color="auto"/>
      </w:pBdr>
      <w:shd w:val="clear" w:color="000000" w:fill="FFFFFF"/>
      <w:spacing w:before="100" w:beforeAutospacing="1" w:after="100" w:afterAutospacing="1"/>
      <w:ind w:firstLineChars="100" w:firstLine="100"/>
      <w:jc w:val="right"/>
      <w:textAlignment w:val="center"/>
    </w:pPr>
    <w:rPr>
      <w:rFonts w:eastAsia="Times New Roman" w:cs="Times New Roman"/>
      <w:sz w:val="16"/>
      <w:szCs w:val="16"/>
      <w:lang w:val="en-GB" w:eastAsia="en-GB"/>
    </w:rPr>
  </w:style>
  <w:style w:type="paragraph" w:customStyle="1" w:styleId="xl71">
    <w:name w:val="xl71"/>
    <w:basedOn w:val="Normal"/>
    <w:rsid w:val="0065570A"/>
    <w:pPr>
      <w:shd w:val="clear" w:color="000000" w:fill="FFFFFF"/>
      <w:spacing w:before="100" w:beforeAutospacing="1" w:after="100" w:afterAutospacing="1"/>
      <w:ind w:firstLineChars="100" w:firstLine="100"/>
      <w:jc w:val="right"/>
      <w:textAlignment w:val="center"/>
    </w:pPr>
    <w:rPr>
      <w:rFonts w:eastAsia="Times New Roman" w:cs="Times New Roman"/>
      <w:sz w:val="16"/>
      <w:szCs w:val="16"/>
      <w:lang w:val="en-GB" w:eastAsia="en-GB"/>
    </w:rPr>
  </w:style>
  <w:style w:type="paragraph" w:customStyle="1" w:styleId="xl72">
    <w:name w:val="xl72"/>
    <w:basedOn w:val="Normal"/>
    <w:rsid w:val="0065570A"/>
    <w:pPr>
      <w:pBdr>
        <w:top w:val="single" w:sz="4" w:space="0" w:color="auto"/>
        <w:bottom w:val="single" w:sz="8" w:space="0" w:color="auto"/>
      </w:pBdr>
      <w:shd w:val="clear" w:color="000000" w:fill="FFFFFF"/>
      <w:spacing w:before="100" w:beforeAutospacing="1" w:after="100" w:afterAutospacing="1"/>
      <w:ind w:firstLineChars="100" w:firstLine="100"/>
      <w:jc w:val="right"/>
      <w:textAlignment w:val="center"/>
    </w:pPr>
    <w:rPr>
      <w:rFonts w:eastAsia="Times New Roman" w:cs="Times New Roman"/>
      <w:b/>
      <w:bCs/>
      <w:sz w:val="16"/>
      <w:szCs w:val="16"/>
      <w:lang w:val="en-GB" w:eastAsia="en-GB"/>
    </w:rPr>
  </w:style>
  <w:style w:type="paragraph" w:customStyle="1" w:styleId="xl73">
    <w:name w:val="xl73"/>
    <w:basedOn w:val="Normal"/>
    <w:rsid w:val="0065570A"/>
    <w:pPr>
      <w:shd w:val="clear" w:color="000000" w:fill="FFFFFF"/>
      <w:spacing w:before="100" w:beforeAutospacing="1" w:after="100" w:afterAutospacing="1"/>
      <w:ind w:firstLineChars="100" w:firstLine="100"/>
      <w:textAlignment w:val="center"/>
    </w:pPr>
    <w:rPr>
      <w:rFonts w:eastAsia="Times New Roman" w:cs="Times New Roman"/>
      <w:b/>
      <w:bCs/>
      <w:sz w:val="16"/>
      <w:szCs w:val="16"/>
      <w:lang w:val="en-GB" w:eastAsia="en-GB"/>
    </w:rPr>
  </w:style>
  <w:style w:type="paragraph" w:customStyle="1" w:styleId="xl74">
    <w:name w:val="xl74"/>
    <w:basedOn w:val="Normal"/>
    <w:rsid w:val="0065570A"/>
    <w:pPr>
      <w:shd w:val="clear" w:color="000000" w:fill="FFFFFF"/>
      <w:spacing w:before="100" w:beforeAutospacing="1" w:after="100" w:afterAutospacing="1"/>
      <w:ind w:firstLineChars="100" w:firstLine="100"/>
      <w:jc w:val="right"/>
      <w:textAlignment w:val="center"/>
    </w:pPr>
    <w:rPr>
      <w:rFonts w:eastAsia="Times New Roman" w:cs="Times New Roman"/>
      <w:sz w:val="16"/>
      <w:szCs w:val="16"/>
      <w:lang w:val="en-GB" w:eastAsia="en-GB"/>
    </w:rPr>
  </w:style>
  <w:style w:type="paragraph" w:customStyle="1" w:styleId="xl75">
    <w:name w:val="xl75"/>
    <w:basedOn w:val="Normal"/>
    <w:rsid w:val="0065570A"/>
    <w:pPr>
      <w:pBdr>
        <w:top w:val="single" w:sz="4" w:space="0" w:color="auto"/>
        <w:bottom w:val="single" w:sz="8" w:space="0" w:color="auto"/>
      </w:pBdr>
      <w:shd w:val="clear" w:color="000000" w:fill="FFFFFF"/>
      <w:spacing w:before="100" w:beforeAutospacing="1" w:after="100" w:afterAutospacing="1"/>
      <w:ind w:firstLineChars="100" w:firstLine="100"/>
      <w:jc w:val="right"/>
      <w:textAlignment w:val="center"/>
    </w:pPr>
    <w:rPr>
      <w:rFonts w:eastAsia="Times New Roman" w:cs="Times New Roman"/>
      <w:b/>
      <w:bCs/>
      <w:sz w:val="16"/>
      <w:szCs w:val="16"/>
      <w:lang w:val="en-GB" w:eastAsia="en-GB"/>
    </w:rPr>
  </w:style>
  <w:style w:type="paragraph" w:customStyle="1" w:styleId="xl76">
    <w:name w:val="xl76"/>
    <w:basedOn w:val="Normal"/>
    <w:rsid w:val="0065570A"/>
    <w:pPr>
      <w:pBdr>
        <w:bottom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val="en-GB" w:eastAsia="en-GB"/>
    </w:rPr>
  </w:style>
  <w:style w:type="paragraph" w:customStyle="1" w:styleId="xl77">
    <w:name w:val="xl77"/>
    <w:basedOn w:val="Normal"/>
    <w:rsid w:val="0065570A"/>
    <w:pPr>
      <w:shd w:val="clear" w:color="000000" w:fill="FFFFFF"/>
      <w:spacing w:before="100" w:beforeAutospacing="1" w:after="100" w:afterAutospacing="1"/>
      <w:ind w:firstLineChars="100" w:firstLine="100"/>
      <w:textAlignment w:val="center"/>
    </w:pPr>
    <w:rPr>
      <w:rFonts w:eastAsia="Times New Roman" w:cs="Times New Roman"/>
      <w:b/>
      <w:bCs/>
      <w:sz w:val="16"/>
      <w:szCs w:val="16"/>
      <w:lang w:val="en-GB" w:eastAsia="en-GB"/>
    </w:rPr>
  </w:style>
  <w:style w:type="paragraph" w:customStyle="1" w:styleId="xl78">
    <w:name w:val="xl78"/>
    <w:basedOn w:val="Normal"/>
    <w:rsid w:val="0065570A"/>
    <w:pPr>
      <w:shd w:val="clear" w:color="000000" w:fill="FFFFFF"/>
      <w:spacing w:before="100" w:beforeAutospacing="1" w:after="100" w:afterAutospacing="1"/>
    </w:pPr>
    <w:rPr>
      <w:rFonts w:eastAsia="Times New Roman" w:cs="Times New Roman"/>
      <w:sz w:val="16"/>
      <w:szCs w:val="16"/>
      <w:lang w:val="en-GB" w:eastAsia="en-GB"/>
    </w:rPr>
  </w:style>
  <w:style w:type="paragraph" w:customStyle="1" w:styleId="xl79">
    <w:name w:val="xl79"/>
    <w:basedOn w:val="Normal"/>
    <w:rsid w:val="0065570A"/>
    <w:pPr>
      <w:shd w:val="clear" w:color="000000" w:fill="FFFFFF"/>
      <w:spacing w:before="100" w:beforeAutospacing="1" w:after="100" w:afterAutospacing="1"/>
      <w:ind w:firstLineChars="100" w:firstLine="100"/>
      <w:textAlignment w:val="center"/>
    </w:pPr>
    <w:rPr>
      <w:rFonts w:eastAsia="Times New Roman" w:cs="Times New Roman"/>
      <w:b/>
      <w:bCs/>
      <w:sz w:val="16"/>
      <w:szCs w:val="16"/>
      <w:lang w:val="en-GB" w:eastAsia="en-GB"/>
    </w:rPr>
  </w:style>
  <w:style w:type="paragraph" w:customStyle="1" w:styleId="xl80">
    <w:name w:val="xl80"/>
    <w:basedOn w:val="Normal"/>
    <w:rsid w:val="0065570A"/>
    <w:pPr>
      <w:pBdr>
        <w:top w:val="single" w:sz="4" w:space="0" w:color="auto"/>
        <w:bottom w:val="single" w:sz="8" w:space="0" w:color="auto"/>
      </w:pBdr>
      <w:shd w:val="clear" w:color="000000" w:fill="FFFFFF"/>
      <w:spacing w:before="100" w:beforeAutospacing="1" w:after="100" w:afterAutospacing="1"/>
      <w:ind w:firstLineChars="100" w:firstLine="100"/>
      <w:textAlignment w:val="center"/>
    </w:pPr>
    <w:rPr>
      <w:rFonts w:eastAsia="Times New Roman" w:cs="Times New Roman"/>
      <w:b/>
      <w:bCs/>
      <w:sz w:val="16"/>
      <w:szCs w:val="16"/>
      <w:lang w:val="en-GB" w:eastAsia="en-GB"/>
    </w:rPr>
  </w:style>
  <w:style w:type="paragraph" w:customStyle="1" w:styleId="xl81">
    <w:name w:val="xl81"/>
    <w:basedOn w:val="Normal"/>
    <w:rsid w:val="0065570A"/>
    <w:pPr>
      <w:shd w:val="clear" w:color="000000" w:fill="FFFFFF"/>
      <w:spacing w:before="100" w:beforeAutospacing="1" w:after="100" w:afterAutospacing="1"/>
      <w:ind w:firstLineChars="100" w:firstLine="100"/>
      <w:textAlignment w:val="center"/>
    </w:pPr>
    <w:rPr>
      <w:rFonts w:eastAsia="Times New Roman" w:cs="Times New Roman"/>
      <w:sz w:val="16"/>
      <w:szCs w:val="16"/>
      <w:lang w:val="en-GB" w:eastAsia="en-GB"/>
    </w:rPr>
  </w:style>
  <w:style w:type="paragraph" w:customStyle="1" w:styleId="xl82">
    <w:name w:val="xl82"/>
    <w:basedOn w:val="Normal"/>
    <w:rsid w:val="0065570A"/>
    <w:pPr>
      <w:shd w:val="clear" w:color="000000" w:fill="FFFFFF"/>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83">
    <w:name w:val="xl83"/>
    <w:basedOn w:val="Normal"/>
    <w:rsid w:val="0065570A"/>
    <w:pPr>
      <w:shd w:val="clear" w:color="000000" w:fill="FFFFFF"/>
      <w:spacing w:before="100" w:beforeAutospacing="1" w:after="100" w:afterAutospacing="1"/>
      <w:jc w:val="center"/>
      <w:textAlignment w:val="center"/>
    </w:pPr>
    <w:rPr>
      <w:rFonts w:eastAsia="Times New Roman" w:cs="Times New Roman"/>
      <w:b/>
      <w:bCs/>
      <w:sz w:val="16"/>
      <w:szCs w:val="16"/>
      <w:lang w:val="en-GB" w:eastAsia="en-GB"/>
    </w:rPr>
  </w:style>
  <w:style w:type="paragraph" w:customStyle="1" w:styleId="xl84">
    <w:name w:val="xl84"/>
    <w:basedOn w:val="Normal"/>
    <w:rsid w:val="0065570A"/>
    <w:pPr>
      <w:pBdr>
        <w:bottom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val="en-GB" w:eastAsia="en-GB"/>
    </w:rPr>
  </w:style>
  <w:style w:type="paragraph" w:customStyle="1" w:styleId="xl85">
    <w:name w:val="xl85"/>
    <w:basedOn w:val="Normal"/>
    <w:rsid w:val="0065570A"/>
    <w:pPr>
      <w:shd w:val="clear" w:color="000000" w:fill="FFFFFF"/>
      <w:spacing w:before="100" w:beforeAutospacing="1" w:after="100" w:afterAutospacing="1"/>
      <w:jc w:val="center"/>
      <w:textAlignment w:val="center"/>
    </w:pPr>
    <w:rPr>
      <w:rFonts w:eastAsia="Times New Roman" w:cs="Times New Roman"/>
      <w:b/>
      <w:bCs/>
      <w:sz w:val="16"/>
      <w:szCs w:val="16"/>
      <w:lang w:val="en-GB" w:eastAsia="en-GB"/>
    </w:rPr>
  </w:style>
  <w:style w:type="paragraph" w:customStyle="1" w:styleId="xl86">
    <w:name w:val="xl86"/>
    <w:basedOn w:val="Normal"/>
    <w:rsid w:val="0065570A"/>
    <w:pPr>
      <w:pBdr>
        <w:top w:val="single" w:sz="4" w:space="0" w:color="auto"/>
      </w:pBdr>
      <w:shd w:val="clear" w:color="000000" w:fill="FFFFFF"/>
      <w:spacing w:before="100" w:beforeAutospacing="1" w:after="100" w:afterAutospacing="1"/>
      <w:ind w:firstLineChars="100" w:firstLine="100"/>
      <w:textAlignment w:val="center"/>
    </w:pPr>
    <w:rPr>
      <w:rFonts w:eastAsia="Times New Roman" w:cs="Times New Roman"/>
      <w:sz w:val="16"/>
      <w:szCs w:val="16"/>
      <w:lang w:val="en-GB" w:eastAsia="en-GB"/>
    </w:rPr>
  </w:style>
  <w:style w:type="paragraph" w:customStyle="1" w:styleId="xl87">
    <w:name w:val="xl87"/>
    <w:basedOn w:val="Normal"/>
    <w:rsid w:val="0065570A"/>
    <w:pPr>
      <w:shd w:val="clear" w:color="000000" w:fill="FFFFFF"/>
      <w:spacing w:before="100" w:beforeAutospacing="1" w:after="100" w:afterAutospacing="1"/>
      <w:jc w:val="right"/>
    </w:pPr>
    <w:rPr>
      <w:rFonts w:eastAsia="Times New Roman" w:cs="Times New Roman"/>
      <w:sz w:val="16"/>
      <w:szCs w:val="16"/>
      <w:lang w:val="en-GB" w:eastAsia="en-GB"/>
    </w:rPr>
  </w:style>
  <w:style w:type="paragraph" w:customStyle="1" w:styleId="xl88">
    <w:name w:val="xl88"/>
    <w:basedOn w:val="Normal"/>
    <w:rsid w:val="0065570A"/>
    <w:pPr>
      <w:shd w:val="clear" w:color="000000" w:fill="FFFFFF"/>
      <w:spacing w:before="100" w:beforeAutospacing="1" w:after="100" w:afterAutospacing="1"/>
    </w:pPr>
    <w:rPr>
      <w:rFonts w:eastAsia="Times New Roman" w:cs="Times New Roman"/>
      <w:b/>
      <w:bCs/>
      <w:sz w:val="16"/>
      <w:szCs w:val="16"/>
      <w:lang w:val="en-GB" w:eastAsia="en-GB"/>
    </w:rPr>
  </w:style>
  <w:style w:type="paragraph" w:customStyle="1" w:styleId="xl89">
    <w:name w:val="xl89"/>
    <w:basedOn w:val="Normal"/>
    <w:rsid w:val="0065570A"/>
    <w:pPr>
      <w:shd w:val="clear" w:color="000000" w:fill="FFFFFF"/>
      <w:spacing w:before="100" w:beforeAutospacing="1" w:after="100" w:afterAutospacing="1"/>
      <w:ind w:firstLineChars="100" w:firstLine="100"/>
      <w:jc w:val="right"/>
      <w:textAlignment w:val="center"/>
    </w:pPr>
    <w:rPr>
      <w:rFonts w:eastAsia="Times New Roman" w:cs="Times New Roman"/>
      <w:b/>
      <w:bCs/>
      <w:sz w:val="16"/>
      <w:szCs w:val="16"/>
      <w:lang w:val="en-GB" w:eastAsia="en-GB"/>
    </w:rPr>
  </w:style>
  <w:style w:type="paragraph" w:customStyle="1" w:styleId="xl90">
    <w:name w:val="xl90"/>
    <w:basedOn w:val="Normal"/>
    <w:rsid w:val="0065570A"/>
    <w:pPr>
      <w:shd w:val="clear" w:color="000000" w:fill="FFFFFF"/>
      <w:spacing w:before="100" w:beforeAutospacing="1" w:after="100" w:afterAutospacing="1"/>
      <w:textAlignment w:val="center"/>
    </w:pPr>
    <w:rPr>
      <w:rFonts w:ascii="Times New Roman" w:eastAsia="Times New Roman" w:hAnsi="Times New Roman" w:cs="Times New Roman"/>
      <w:sz w:val="24"/>
      <w:szCs w:val="24"/>
      <w:lang w:val="en-GB" w:eastAsia="en-GB"/>
    </w:rPr>
  </w:style>
  <w:style w:type="paragraph" w:customStyle="1" w:styleId="xl91">
    <w:name w:val="xl91"/>
    <w:basedOn w:val="Normal"/>
    <w:rsid w:val="0065570A"/>
    <w:pPr>
      <w:shd w:val="clear" w:color="000000" w:fill="FFFFFF"/>
      <w:spacing w:before="100" w:beforeAutospacing="1" w:after="100" w:afterAutospacing="1"/>
      <w:ind w:firstLineChars="100" w:firstLine="100"/>
      <w:textAlignment w:val="center"/>
    </w:pPr>
    <w:rPr>
      <w:rFonts w:ascii="Times New Roman" w:eastAsia="Times New Roman" w:hAnsi="Times New Roman" w:cs="Times New Roman"/>
      <w:sz w:val="24"/>
      <w:szCs w:val="24"/>
      <w:lang w:val="en-GB" w:eastAsia="en-GB"/>
    </w:rPr>
  </w:style>
  <w:style w:type="paragraph" w:customStyle="1" w:styleId="xl92">
    <w:name w:val="xl92"/>
    <w:basedOn w:val="Normal"/>
    <w:rsid w:val="0065570A"/>
    <w:pPr>
      <w:shd w:val="clear" w:color="000000" w:fill="FFFFFF"/>
      <w:spacing w:before="100" w:beforeAutospacing="1" w:after="100" w:afterAutospacing="1"/>
      <w:jc w:val="right"/>
    </w:pPr>
    <w:rPr>
      <w:rFonts w:eastAsia="Times New Roman" w:cs="Times New Roman"/>
      <w:sz w:val="16"/>
      <w:szCs w:val="16"/>
      <w:lang w:val="en-GB" w:eastAsia="en-GB"/>
    </w:rPr>
  </w:style>
  <w:style w:type="paragraph" w:customStyle="1" w:styleId="xl93">
    <w:name w:val="xl93"/>
    <w:basedOn w:val="Normal"/>
    <w:rsid w:val="0065570A"/>
    <w:pPr>
      <w:shd w:val="clear" w:color="000000" w:fill="FFFFFF"/>
      <w:spacing w:before="100" w:beforeAutospacing="1" w:after="100" w:afterAutospacing="1"/>
      <w:ind w:firstLineChars="100" w:firstLine="100"/>
    </w:pPr>
    <w:rPr>
      <w:rFonts w:eastAsia="Times New Roman" w:cs="Times New Roman"/>
      <w:sz w:val="16"/>
      <w:szCs w:val="16"/>
      <w:lang w:val="en-GB" w:eastAsia="en-GB"/>
    </w:rPr>
  </w:style>
  <w:style w:type="paragraph" w:customStyle="1" w:styleId="xl94">
    <w:name w:val="xl94"/>
    <w:basedOn w:val="Normal"/>
    <w:rsid w:val="0065570A"/>
    <w:pPr>
      <w:pBdr>
        <w:bottom w:val="single" w:sz="4" w:space="0" w:color="auto"/>
      </w:pBdr>
      <w:shd w:val="clear" w:color="000000" w:fill="FFFFFF"/>
      <w:spacing w:before="100" w:beforeAutospacing="1" w:after="100" w:afterAutospacing="1"/>
      <w:ind w:firstLineChars="100" w:firstLine="100"/>
      <w:jc w:val="right"/>
      <w:textAlignment w:val="center"/>
    </w:pPr>
    <w:rPr>
      <w:rFonts w:eastAsia="Times New Roman" w:cs="Times New Roman"/>
      <w:sz w:val="16"/>
      <w:szCs w:val="16"/>
      <w:lang w:val="en-GB" w:eastAsia="en-GB"/>
    </w:rPr>
  </w:style>
  <w:style w:type="paragraph" w:customStyle="1" w:styleId="xl95">
    <w:name w:val="xl95"/>
    <w:basedOn w:val="Normal"/>
    <w:rsid w:val="0065570A"/>
    <w:pPr>
      <w:pBdr>
        <w:bottom w:val="single" w:sz="4" w:space="0" w:color="auto"/>
      </w:pBdr>
      <w:shd w:val="clear" w:color="000000" w:fill="FFFFFF"/>
      <w:spacing w:before="100" w:beforeAutospacing="1" w:after="100" w:afterAutospacing="1"/>
      <w:ind w:firstLineChars="100" w:firstLine="100"/>
      <w:textAlignment w:val="center"/>
    </w:pPr>
    <w:rPr>
      <w:rFonts w:eastAsia="Times New Roman" w:cs="Times New Roman"/>
      <w:sz w:val="16"/>
      <w:szCs w:val="16"/>
      <w:lang w:val="en-GB" w:eastAsia="en-GB"/>
    </w:rPr>
  </w:style>
  <w:style w:type="paragraph" w:customStyle="1" w:styleId="xl96">
    <w:name w:val="xl96"/>
    <w:basedOn w:val="Normal"/>
    <w:rsid w:val="0065570A"/>
    <w:pPr>
      <w:pBdr>
        <w:top w:val="single" w:sz="4" w:space="0" w:color="auto"/>
        <w:bottom w:val="single" w:sz="4" w:space="0" w:color="auto"/>
      </w:pBdr>
      <w:shd w:val="clear" w:color="000000" w:fill="FFFFFF"/>
      <w:spacing w:before="100" w:beforeAutospacing="1" w:after="100" w:afterAutospacing="1"/>
      <w:ind w:firstLineChars="100" w:firstLine="100"/>
      <w:jc w:val="right"/>
      <w:textAlignment w:val="center"/>
    </w:pPr>
    <w:rPr>
      <w:rFonts w:eastAsia="Times New Roman" w:cs="Times New Roman"/>
      <w:b/>
      <w:bCs/>
      <w:sz w:val="16"/>
      <w:szCs w:val="16"/>
      <w:lang w:val="en-GB" w:eastAsia="en-GB"/>
    </w:rPr>
  </w:style>
  <w:style w:type="paragraph" w:customStyle="1" w:styleId="xl97">
    <w:name w:val="xl97"/>
    <w:basedOn w:val="Normal"/>
    <w:rsid w:val="0065570A"/>
    <w:pPr>
      <w:pBdr>
        <w:top w:val="single" w:sz="4" w:space="0" w:color="auto"/>
        <w:bottom w:val="single" w:sz="4" w:space="0" w:color="auto"/>
      </w:pBdr>
      <w:shd w:val="clear" w:color="000000" w:fill="FFFFFF"/>
      <w:spacing w:before="100" w:beforeAutospacing="1" w:after="100" w:afterAutospacing="1"/>
      <w:ind w:firstLineChars="100" w:firstLine="100"/>
      <w:textAlignment w:val="center"/>
    </w:pPr>
    <w:rPr>
      <w:rFonts w:eastAsia="Times New Roman" w:cs="Times New Roman"/>
      <w:b/>
      <w:bCs/>
      <w:sz w:val="16"/>
      <w:szCs w:val="16"/>
      <w:lang w:val="en-GB" w:eastAsia="en-GB"/>
    </w:rPr>
  </w:style>
  <w:style w:type="paragraph" w:customStyle="1" w:styleId="xl98">
    <w:name w:val="xl98"/>
    <w:basedOn w:val="Normal"/>
    <w:rsid w:val="0065570A"/>
    <w:pPr>
      <w:shd w:val="clear" w:color="000000" w:fill="FFFFFF"/>
      <w:spacing w:before="100" w:beforeAutospacing="1" w:after="100" w:afterAutospacing="1"/>
      <w:jc w:val="center"/>
      <w:textAlignment w:val="center"/>
    </w:pPr>
    <w:rPr>
      <w:rFonts w:eastAsia="Times New Roman" w:cs="Times New Roman"/>
      <w:b/>
      <w:bCs/>
      <w:sz w:val="16"/>
      <w:szCs w:val="16"/>
      <w:lang w:val="en-GB" w:eastAsia="en-GB"/>
    </w:rPr>
  </w:style>
  <w:style w:type="paragraph" w:customStyle="1" w:styleId="xl99">
    <w:name w:val="xl99"/>
    <w:basedOn w:val="Normal"/>
    <w:rsid w:val="0065570A"/>
    <w:pPr>
      <w:spacing w:before="100" w:beforeAutospacing="1" w:after="100" w:afterAutospacing="1"/>
      <w:jc w:val="center"/>
      <w:textAlignment w:val="center"/>
    </w:pPr>
    <w:rPr>
      <w:rFonts w:eastAsia="Times New Roman" w:cs="Times New Roman"/>
      <w:b/>
      <w:bCs/>
      <w:sz w:val="16"/>
      <w:szCs w:val="16"/>
      <w:lang w:val="en-GB" w:eastAsia="en-GB"/>
    </w:rPr>
  </w:style>
  <w:style w:type="paragraph" w:customStyle="1" w:styleId="xl100">
    <w:name w:val="xl100"/>
    <w:basedOn w:val="Normal"/>
    <w:rsid w:val="0065570A"/>
    <w:pPr>
      <w:spacing w:before="100" w:beforeAutospacing="1" w:after="100" w:afterAutospacing="1"/>
      <w:textAlignment w:val="center"/>
    </w:pPr>
    <w:rPr>
      <w:rFonts w:eastAsia="Times New Roman" w:cs="Times New Roman"/>
      <w:sz w:val="16"/>
      <w:szCs w:val="16"/>
      <w:lang w:val="en-GB" w:eastAsia="en-GB"/>
    </w:rPr>
  </w:style>
  <w:style w:type="paragraph" w:customStyle="1" w:styleId="xl101">
    <w:name w:val="xl101"/>
    <w:basedOn w:val="Normal"/>
    <w:rsid w:val="0065570A"/>
    <w:pPr>
      <w:spacing w:before="100" w:beforeAutospacing="1" w:after="100" w:afterAutospacing="1"/>
      <w:textAlignment w:val="center"/>
    </w:pPr>
    <w:rPr>
      <w:rFonts w:eastAsia="Times New Roman" w:cs="Times New Roman"/>
      <w:b/>
      <w:bCs/>
      <w:sz w:val="16"/>
      <w:szCs w:val="16"/>
      <w:lang w:val="en-GB" w:eastAsia="en-GB"/>
    </w:rPr>
  </w:style>
  <w:style w:type="paragraph" w:customStyle="1" w:styleId="xl102">
    <w:name w:val="xl102"/>
    <w:basedOn w:val="Normal"/>
    <w:rsid w:val="0065570A"/>
    <w:pPr>
      <w:spacing w:before="100" w:beforeAutospacing="1" w:after="100" w:afterAutospacing="1"/>
    </w:pPr>
    <w:rPr>
      <w:rFonts w:eastAsia="Times New Roman" w:cs="Times New Roman"/>
      <w:sz w:val="16"/>
      <w:szCs w:val="16"/>
      <w:lang w:val="en-GB" w:eastAsia="en-GB"/>
    </w:rPr>
  </w:style>
  <w:style w:type="paragraph" w:customStyle="1" w:styleId="xl103">
    <w:name w:val="xl103"/>
    <w:basedOn w:val="Normal"/>
    <w:rsid w:val="0065570A"/>
    <w:pPr>
      <w:spacing w:before="100" w:beforeAutospacing="1" w:after="100" w:afterAutospacing="1"/>
      <w:textAlignment w:val="center"/>
    </w:pPr>
    <w:rPr>
      <w:rFonts w:ascii="Times New Roman" w:eastAsia="Times New Roman" w:hAnsi="Times New Roman" w:cs="Times New Roman"/>
      <w:sz w:val="24"/>
      <w:szCs w:val="24"/>
      <w:lang w:val="en-GB" w:eastAsia="en-GB"/>
    </w:rPr>
  </w:style>
  <w:style w:type="paragraph" w:customStyle="1" w:styleId="xl104">
    <w:name w:val="xl104"/>
    <w:basedOn w:val="Normal"/>
    <w:rsid w:val="0065570A"/>
    <w:pPr>
      <w:spacing w:before="100" w:beforeAutospacing="1" w:after="100" w:afterAutospacing="1"/>
    </w:pPr>
    <w:rPr>
      <w:rFonts w:ascii="Times New Roman" w:eastAsia="Times New Roman" w:hAnsi="Times New Roman" w:cs="Times New Roman"/>
      <w:b/>
      <w:bCs/>
      <w:sz w:val="24"/>
      <w:szCs w:val="24"/>
      <w:lang w:val="en-GB" w:eastAsia="en-GB"/>
    </w:rPr>
  </w:style>
  <w:style w:type="paragraph" w:customStyle="1" w:styleId="xl105">
    <w:name w:val="xl105"/>
    <w:basedOn w:val="Normal"/>
    <w:rsid w:val="0065570A"/>
    <w:pPr>
      <w:shd w:val="clear" w:color="000000" w:fill="FFFFFF"/>
      <w:spacing w:before="100" w:beforeAutospacing="1" w:after="100" w:afterAutospacing="1"/>
      <w:textAlignment w:val="center"/>
    </w:pPr>
    <w:rPr>
      <w:rFonts w:eastAsia="Times New Roman" w:cs="Times New Roman"/>
      <w:b/>
      <w:bCs/>
      <w:sz w:val="16"/>
      <w:szCs w:val="16"/>
      <w:lang w:val="en-GB" w:eastAsia="en-GB"/>
    </w:rPr>
  </w:style>
  <w:style w:type="paragraph" w:customStyle="1" w:styleId="xl106">
    <w:name w:val="xl106"/>
    <w:basedOn w:val="Normal"/>
    <w:rsid w:val="0065570A"/>
    <w:pPr>
      <w:shd w:val="clear" w:color="000000" w:fill="FFFFFF"/>
      <w:spacing w:before="100" w:beforeAutospacing="1" w:after="100" w:afterAutospacing="1"/>
      <w:textAlignment w:val="center"/>
    </w:pPr>
    <w:rPr>
      <w:rFonts w:eastAsia="Times New Roman" w:cs="Times New Roman"/>
      <w:b/>
      <w:bCs/>
      <w:sz w:val="16"/>
      <w:szCs w:val="16"/>
      <w:lang w:val="en-GB" w:eastAsia="en-GB"/>
    </w:rPr>
  </w:style>
  <w:style w:type="paragraph" w:customStyle="1" w:styleId="xl107">
    <w:name w:val="xl107"/>
    <w:basedOn w:val="Normal"/>
    <w:rsid w:val="0065570A"/>
    <w:pPr>
      <w:shd w:val="clear" w:color="000000" w:fill="FFFFFF"/>
      <w:spacing w:before="100" w:beforeAutospacing="1" w:after="100" w:afterAutospacing="1"/>
    </w:pPr>
    <w:rPr>
      <w:rFonts w:eastAsia="Times New Roman" w:cs="Times New Roman"/>
      <w:b/>
      <w:bCs/>
      <w:sz w:val="16"/>
      <w:szCs w:val="16"/>
      <w:lang w:val="en-GB" w:eastAsia="en-GB"/>
    </w:rPr>
  </w:style>
  <w:style w:type="paragraph" w:styleId="NormalWeb">
    <w:name w:val="Normal (Web)"/>
    <w:basedOn w:val="Normal"/>
    <w:uiPriority w:val="99"/>
    <w:semiHidden/>
    <w:unhideWhenUsed/>
    <w:rsid w:val="00EF7B6D"/>
    <w:pPr>
      <w:spacing w:before="100" w:beforeAutospacing="1" w:after="100" w:afterAutospacing="1"/>
    </w:pPr>
    <w:rPr>
      <w:rFonts w:ascii="Times New Roman" w:hAnsi="Times New Roman" w:cs="Times New Roman"/>
      <w:sz w:val="24"/>
      <w:szCs w:val="24"/>
      <w:lang w:val="en-GB" w:eastAsia="en-GB"/>
    </w:rPr>
  </w:style>
  <w:style w:type="paragraph" w:customStyle="1" w:styleId="msonormal0">
    <w:name w:val="msonormal"/>
    <w:basedOn w:val="Normal"/>
    <w:uiPriority w:val="99"/>
    <w:rsid w:val="00EF7B6D"/>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7140">
      <w:bodyDiv w:val="1"/>
      <w:marLeft w:val="0"/>
      <w:marRight w:val="0"/>
      <w:marTop w:val="0"/>
      <w:marBottom w:val="0"/>
      <w:divBdr>
        <w:top w:val="none" w:sz="0" w:space="0" w:color="auto"/>
        <w:left w:val="none" w:sz="0" w:space="0" w:color="auto"/>
        <w:bottom w:val="none" w:sz="0" w:space="0" w:color="auto"/>
        <w:right w:val="none" w:sz="0" w:space="0" w:color="auto"/>
      </w:divBdr>
    </w:div>
    <w:div w:id="29455927">
      <w:bodyDiv w:val="1"/>
      <w:marLeft w:val="0"/>
      <w:marRight w:val="0"/>
      <w:marTop w:val="0"/>
      <w:marBottom w:val="0"/>
      <w:divBdr>
        <w:top w:val="none" w:sz="0" w:space="0" w:color="auto"/>
        <w:left w:val="none" w:sz="0" w:space="0" w:color="auto"/>
        <w:bottom w:val="none" w:sz="0" w:space="0" w:color="auto"/>
        <w:right w:val="none" w:sz="0" w:space="0" w:color="auto"/>
      </w:divBdr>
    </w:div>
    <w:div w:id="44763803">
      <w:bodyDiv w:val="1"/>
      <w:marLeft w:val="0"/>
      <w:marRight w:val="0"/>
      <w:marTop w:val="0"/>
      <w:marBottom w:val="0"/>
      <w:divBdr>
        <w:top w:val="none" w:sz="0" w:space="0" w:color="auto"/>
        <w:left w:val="none" w:sz="0" w:space="0" w:color="auto"/>
        <w:bottom w:val="none" w:sz="0" w:space="0" w:color="auto"/>
        <w:right w:val="none" w:sz="0" w:space="0" w:color="auto"/>
      </w:divBdr>
    </w:div>
    <w:div w:id="81755282">
      <w:bodyDiv w:val="1"/>
      <w:marLeft w:val="0"/>
      <w:marRight w:val="0"/>
      <w:marTop w:val="0"/>
      <w:marBottom w:val="0"/>
      <w:divBdr>
        <w:top w:val="none" w:sz="0" w:space="0" w:color="auto"/>
        <w:left w:val="none" w:sz="0" w:space="0" w:color="auto"/>
        <w:bottom w:val="none" w:sz="0" w:space="0" w:color="auto"/>
        <w:right w:val="none" w:sz="0" w:space="0" w:color="auto"/>
      </w:divBdr>
    </w:div>
    <w:div w:id="104084492">
      <w:bodyDiv w:val="1"/>
      <w:marLeft w:val="0"/>
      <w:marRight w:val="0"/>
      <w:marTop w:val="0"/>
      <w:marBottom w:val="0"/>
      <w:divBdr>
        <w:top w:val="none" w:sz="0" w:space="0" w:color="auto"/>
        <w:left w:val="none" w:sz="0" w:space="0" w:color="auto"/>
        <w:bottom w:val="none" w:sz="0" w:space="0" w:color="auto"/>
        <w:right w:val="none" w:sz="0" w:space="0" w:color="auto"/>
      </w:divBdr>
    </w:div>
    <w:div w:id="144662082">
      <w:bodyDiv w:val="1"/>
      <w:marLeft w:val="0"/>
      <w:marRight w:val="0"/>
      <w:marTop w:val="0"/>
      <w:marBottom w:val="0"/>
      <w:divBdr>
        <w:top w:val="none" w:sz="0" w:space="0" w:color="auto"/>
        <w:left w:val="none" w:sz="0" w:space="0" w:color="auto"/>
        <w:bottom w:val="none" w:sz="0" w:space="0" w:color="auto"/>
        <w:right w:val="none" w:sz="0" w:space="0" w:color="auto"/>
      </w:divBdr>
    </w:div>
    <w:div w:id="147750359">
      <w:bodyDiv w:val="1"/>
      <w:marLeft w:val="0"/>
      <w:marRight w:val="0"/>
      <w:marTop w:val="0"/>
      <w:marBottom w:val="0"/>
      <w:divBdr>
        <w:top w:val="none" w:sz="0" w:space="0" w:color="auto"/>
        <w:left w:val="none" w:sz="0" w:space="0" w:color="auto"/>
        <w:bottom w:val="none" w:sz="0" w:space="0" w:color="auto"/>
        <w:right w:val="none" w:sz="0" w:space="0" w:color="auto"/>
      </w:divBdr>
    </w:div>
    <w:div w:id="155077842">
      <w:bodyDiv w:val="1"/>
      <w:marLeft w:val="0"/>
      <w:marRight w:val="0"/>
      <w:marTop w:val="0"/>
      <w:marBottom w:val="0"/>
      <w:divBdr>
        <w:top w:val="none" w:sz="0" w:space="0" w:color="auto"/>
        <w:left w:val="none" w:sz="0" w:space="0" w:color="auto"/>
        <w:bottom w:val="none" w:sz="0" w:space="0" w:color="auto"/>
        <w:right w:val="none" w:sz="0" w:space="0" w:color="auto"/>
      </w:divBdr>
    </w:div>
    <w:div w:id="155997724">
      <w:bodyDiv w:val="1"/>
      <w:marLeft w:val="0"/>
      <w:marRight w:val="0"/>
      <w:marTop w:val="0"/>
      <w:marBottom w:val="0"/>
      <w:divBdr>
        <w:top w:val="none" w:sz="0" w:space="0" w:color="auto"/>
        <w:left w:val="none" w:sz="0" w:space="0" w:color="auto"/>
        <w:bottom w:val="none" w:sz="0" w:space="0" w:color="auto"/>
        <w:right w:val="none" w:sz="0" w:space="0" w:color="auto"/>
      </w:divBdr>
    </w:div>
    <w:div w:id="170686490">
      <w:bodyDiv w:val="1"/>
      <w:marLeft w:val="0"/>
      <w:marRight w:val="0"/>
      <w:marTop w:val="0"/>
      <w:marBottom w:val="0"/>
      <w:divBdr>
        <w:top w:val="none" w:sz="0" w:space="0" w:color="auto"/>
        <w:left w:val="none" w:sz="0" w:space="0" w:color="auto"/>
        <w:bottom w:val="none" w:sz="0" w:space="0" w:color="auto"/>
        <w:right w:val="none" w:sz="0" w:space="0" w:color="auto"/>
      </w:divBdr>
    </w:div>
    <w:div w:id="171997732">
      <w:bodyDiv w:val="1"/>
      <w:marLeft w:val="0"/>
      <w:marRight w:val="0"/>
      <w:marTop w:val="0"/>
      <w:marBottom w:val="0"/>
      <w:divBdr>
        <w:top w:val="none" w:sz="0" w:space="0" w:color="auto"/>
        <w:left w:val="none" w:sz="0" w:space="0" w:color="auto"/>
        <w:bottom w:val="none" w:sz="0" w:space="0" w:color="auto"/>
        <w:right w:val="none" w:sz="0" w:space="0" w:color="auto"/>
      </w:divBdr>
    </w:div>
    <w:div w:id="196351863">
      <w:bodyDiv w:val="1"/>
      <w:marLeft w:val="0"/>
      <w:marRight w:val="0"/>
      <w:marTop w:val="0"/>
      <w:marBottom w:val="0"/>
      <w:divBdr>
        <w:top w:val="none" w:sz="0" w:space="0" w:color="auto"/>
        <w:left w:val="none" w:sz="0" w:space="0" w:color="auto"/>
        <w:bottom w:val="none" w:sz="0" w:space="0" w:color="auto"/>
        <w:right w:val="none" w:sz="0" w:space="0" w:color="auto"/>
      </w:divBdr>
    </w:div>
    <w:div w:id="208422095">
      <w:bodyDiv w:val="1"/>
      <w:marLeft w:val="0"/>
      <w:marRight w:val="0"/>
      <w:marTop w:val="0"/>
      <w:marBottom w:val="0"/>
      <w:divBdr>
        <w:top w:val="none" w:sz="0" w:space="0" w:color="auto"/>
        <w:left w:val="none" w:sz="0" w:space="0" w:color="auto"/>
        <w:bottom w:val="none" w:sz="0" w:space="0" w:color="auto"/>
        <w:right w:val="none" w:sz="0" w:space="0" w:color="auto"/>
      </w:divBdr>
    </w:div>
    <w:div w:id="209923906">
      <w:bodyDiv w:val="1"/>
      <w:marLeft w:val="0"/>
      <w:marRight w:val="0"/>
      <w:marTop w:val="0"/>
      <w:marBottom w:val="0"/>
      <w:divBdr>
        <w:top w:val="none" w:sz="0" w:space="0" w:color="auto"/>
        <w:left w:val="none" w:sz="0" w:space="0" w:color="auto"/>
        <w:bottom w:val="none" w:sz="0" w:space="0" w:color="auto"/>
        <w:right w:val="none" w:sz="0" w:space="0" w:color="auto"/>
      </w:divBdr>
    </w:div>
    <w:div w:id="218249755">
      <w:bodyDiv w:val="1"/>
      <w:marLeft w:val="0"/>
      <w:marRight w:val="0"/>
      <w:marTop w:val="0"/>
      <w:marBottom w:val="0"/>
      <w:divBdr>
        <w:top w:val="none" w:sz="0" w:space="0" w:color="auto"/>
        <w:left w:val="none" w:sz="0" w:space="0" w:color="auto"/>
        <w:bottom w:val="none" w:sz="0" w:space="0" w:color="auto"/>
        <w:right w:val="none" w:sz="0" w:space="0" w:color="auto"/>
      </w:divBdr>
    </w:div>
    <w:div w:id="223176220">
      <w:bodyDiv w:val="1"/>
      <w:marLeft w:val="0"/>
      <w:marRight w:val="0"/>
      <w:marTop w:val="0"/>
      <w:marBottom w:val="0"/>
      <w:divBdr>
        <w:top w:val="none" w:sz="0" w:space="0" w:color="auto"/>
        <w:left w:val="none" w:sz="0" w:space="0" w:color="auto"/>
        <w:bottom w:val="none" w:sz="0" w:space="0" w:color="auto"/>
        <w:right w:val="none" w:sz="0" w:space="0" w:color="auto"/>
      </w:divBdr>
    </w:div>
    <w:div w:id="239950442">
      <w:bodyDiv w:val="1"/>
      <w:marLeft w:val="0"/>
      <w:marRight w:val="0"/>
      <w:marTop w:val="0"/>
      <w:marBottom w:val="0"/>
      <w:divBdr>
        <w:top w:val="none" w:sz="0" w:space="0" w:color="auto"/>
        <w:left w:val="none" w:sz="0" w:space="0" w:color="auto"/>
        <w:bottom w:val="none" w:sz="0" w:space="0" w:color="auto"/>
        <w:right w:val="none" w:sz="0" w:space="0" w:color="auto"/>
      </w:divBdr>
    </w:div>
    <w:div w:id="262804777">
      <w:bodyDiv w:val="1"/>
      <w:marLeft w:val="0"/>
      <w:marRight w:val="0"/>
      <w:marTop w:val="0"/>
      <w:marBottom w:val="0"/>
      <w:divBdr>
        <w:top w:val="none" w:sz="0" w:space="0" w:color="auto"/>
        <w:left w:val="none" w:sz="0" w:space="0" w:color="auto"/>
        <w:bottom w:val="none" w:sz="0" w:space="0" w:color="auto"/>
        <w:right w:val="none" w:sz="0" w:space="0" w:color="auto"/>
      </w:divBdr>
    </w:div>
    <w:div w:id="271479190">
      <w:bodyDiv w:val="1"/>
      <w:marLeft w:val="0"/>
      <w:marRight w:val="0"/>
      <w:marTop w:val="0"/>
      <w:marBottom w:val="0"/>
      <w:divBdr>
        <w:top w:val="none" w:sz="0" w:space="0" w:color="auto"/>
        <w:left w:val="none" w:sz="0" w:space="0" w:color="auto"/>
        <w:bottom w:val="none" w:sz="0" w:space="0" w:color="auto"/>
        <w:right w:val="none" w:sz="0" w:space="0" w:color="auto"/>
      </w:divBdr>
    </w:div>
    <w:div w:id="279266018">
      <w:bodyDiv w:val="1"/>
      <w:marLeft w:val="0"/>
      <w:marRight w:val="0"/>
      <w:marTop w:val="0"/>
      <w:marBottom w:val="0"/>
      <w:divBdr>
        <w:top w:val="none" w:sz="0" w:space="0" w:color="auto"/>
        <w:left w:val="none" w:sz="0" w:space="0" w:color="auto"/>
        <w:bottom w:val="none" w:sz="0" w:space="0" w:color="auto"/>
        <w:right w:val="none" w:sz="0" w:space="0" w:color="auto"/>
      </w:divBdr>
    </w:div>
    <w:div w:id="291643867">
      <w:bodyDiv w:val="1"/>
      <w:marLeft w:val="0"/>
      <w:marRight w:val="0"/>
      <w:marTop w:val="0"/>
      <w:marBottom w:val="0"/>
      <w:divBdr>
        <w:top w:val="none" w:sz="0" w:space="0" w:color="auto"/>
        <w:left w:val="none" w:sz="0" w:space="0" w:color="auto"/>
        <w:bottom w:val="none" w:sz="0" w:space="0" w:color="auto"/>
        <w:right w:val="none" w:sz="0" w:space="0" w:color="auto"/>
      </w:divBdr>
    </w:div>
    <w:div w:id="297227402">
      <w:bodyDiv w:val="1"/>
      <w:marLeft w:val="0"/>
      <w:marRight w:val="0"/>
      <w:marTop w:val="0"/>
      <w:marBottom w:val="0"/>
      <w:divBdr>
        <w:top w:val="none" w:sz="0" w:space="0" w:color="auto"/>
        <w:left w:val="none" w:sz="0" w:space="0" w:color="auto"/>
        <w:bottom w:val="none" w:sz="0" w:space="0" w:color="auto"/>
        <w:right w:val="none" w:sz="0" w:space="0" w:color="auto"/>
      </w:divBdr>
    </w:div>
    <w:div w:id="303312142">
      <w:bodyDiv w:val="1"/>
      <w:marLeft w:val="0"/>
      <w:marRight w:val="0"/>
      <w:marTop w:val="0"/>
      <w:marBottom w:val="0"/>
      <w:divBdr>
        <w:top w:val="none" w:sz="0" w:space="0" w:color="auto"/>
        <w:left w:val="none" w:sz="0" w:space="0" w:color="auto"/>
        <w:bottom w:val="none" w:sz="0" w:space="0" w:color="auto"/>
        <w:right w:val="none" w:sz="0" w:space="0" w:color="auto"/>
      </w:divBdr>
    </w:div>
    <w:div w:id="305550489">
      <w:bodyDiv w:val="1"/>
      <w:marLeft w:val="0"/>
      <w:marRight w:val="0"/>
      <w:marTop w:val="0"/>
      <w:marBottom w:val="0"/>
      <w:divBdr>
        <w:top w:val="none" w:sz="0" w:space="0" w:color="auto"/>
        <w:left w:val="none" w:sz="0" w:space="0" w:color="auto"/>
        <w:bottom w:val="none" w:sz="0" w:space="0" w:color="auto"/>
        <w:right w:val="none" w:sz="0" w:space="0" w:color="auto"/>
      </w:divBdr>
    </w:div>
    <w:div w:id="306251474">
      <w:bodyDiv w:val="1"/>
      <w:marLeft w:val="0"/>
      <w:marRight w:val="0"/>
      <w:marTop w:val="0"/>
      <w:marBottom w:val="0"/>
      <w:divBdr>
        <w:top w:val="none" w:sz="0" w:space="0" w:color="auto"/>
        <w:left w:val="none" w:sz="0" w:space="0" w:color="auto"/>
        <w:bottom w:val="none" w:sz="0" w:space="0" w:color="auto"/>
        <w:right w:val="none" w:sz="0" w:space="0" w:color="auto"/>
      </w:divBdr>
    </w:div>
    <w:div w:id="336811178">
      <w:bodyDiv w:val="1"/>
      <w:marLeft w:val="0"/>
      <w:marRight w:val="0"/>
      <w:marTop w:val="0"/>
      <w:marBottom w:val="0"/>
      <w:divBdr>
        <w:top w:val="none" w:sz="0" w:space="0" w:color="auto"/>
        <w:left w:val="none" w:sz="0" w:space="0" w:color="auto"/>
        <w:bottom w:val="none" w:sz="0" w:space="0" w:color="auto"/>
        <w:right w:val="none" w:sz="0" w:space="0" w:color="auto"/>
      </w:divBdr>
    </w:div>
    <w:div w:id="338041836">
      <w:bodyDiv w:val="1"/>
      <w:marLeft w:val="0"/>
      <w:marRight w:val="0"/>
      <w:marTop w:val="0"/>
      <w:marBottom w:val="0"/>
      <w:divBdr>
        <w:top w:val="none" w:sz="0" w:space="0" w:color="auto"/>
        <w:left w:val="none" w:sz="0" w:space="0" w:color="auto"/>
        <w:bottom w:val="none" w:sz="0" w:space="0" w:color="auto"/>
        <w:right w:val="none" w:sz="0" w:space="0" w:color="auto"/>
      </w:divBdr>
    </w:div>
    <w:div w:id="372585451">
      <w:bodyDiv w:val="1"/>
      <w:marLeft w:val="0"/>
      <w:marRight w:val="0"/>
      <w:marTop w:val="0"/>
      <w:marBottom w:val="0"/>
      <w:divBdr>
        <w:top w:val="none" w:sz="0" w:space="0" w:color="auto"/>
        <w:left w:val="none" w:sz="0" w:space="0" w:color="auto"/>
        <w:bottom w:val="none" w:sz="0" w:space="0" w:color="auto"/>
        <w:right w:val="none" w:sz="0" w:space="0" w:color="auto"/>
      </w:divBdr>
    </w:div>
    <w:div w:id="373653105">
      <w:bodyDiv w:val="1"/>
      <w:marLeft w:val="0"/>
      <w:marRight w:val="0"/>
      <w:marTop w:val="0"/>
      <w:marBottom w:val="0"/>
      <w:divBdr>
        <w:top w:val="none" w:sz="0" w:space="0" w:color="auto"/>
        <w:left w:val="none" w:sz="0" w:space="0" w:color="auto"/>
        <w:bottom w:val="none" w:sz="0" w:space="0" w:color="auto"/>
        <w:right w:val="none" w:sz="0" w:space="0" w:color="auto"/>
      </w:divBdr>
    </w:div>
    <w:div w:id="385565036">
      <w:bodyDiv w:val="1"/>
      <w:marLeft w:val="0"/>
      <w:marRight w:val="0"/>
      <w:marTop w:val="0"/>
      <w:marBottom w:val="0"/>
      <w:divBdr>
        <w:top w:val="none" w:sz="0" w:space="0" w:color="auto"/>
        <w:left w:val="none" w:sz="0" w:space="0" w:color="auto"/>
        <w:bottom w:val="none" w:sz="0" w:space="0" w:color="auto"/>
        <w:right w:val="none" w:sz="0" w:space="0" w:color="auto"/>
      </w:divBdr>
    </w:div>
    <w:div w:id="389966687">
      <w:bodyDiv w:val="1"/>
      <w:marLeft w:val="0"/>
      <w:marRight w:val="0"/>
      <w:marTop w:val="0"/>
      <w:marBottom w:val="0"/>
      <w:divBdr>
        <w:top w:val="none" w:sz="0" w:space="0" w:color="auto"/>
        <w:left w:val="none" w:sz="0" w:space="0" w:color="auto"/>
        <w:bottom w:val="none" w:sz="0" w:space="0" w:color="auto"/>
        <w:right w:val="none" w:sz="0" w:space="0" w:color="auto"/>
      </w:divBdr>
    </w:div>
    <w:div w:id="393164362">
      <w:bodyDiv w:val="1"/>
      <w:marLeft w:val="0"/>
      <w:marRight w:val="0"/>
      <w:marTop w:val="0"/>
      <w:marBottom w:val="0"/>
      <w:divBdr>
        <w:top w:val="none" w:sz="0" w:space="0" w:color="auto"/>
        <w:left w:val="none" w:sz="0" w:space="0" w:color="auto"/>
        <w:bottom w:val="none" w:sz="0" w:space="0" w:color="auto"/>
        <w:right w:val="none" w:sz="0" w:space="0" w:color="auto"/>
      </w:divBdr>
    </w:div>
    <w:div w:id="393309726">
      <w:bodyDiv w:val="1"/>
      <w:marLeft w:val="0"/>
      <w:marRight w:val="0"/>
      <w:marTop w:val="0"/>
      <w:marBottom w:val="0"/>
      <w:divBdr>
        <w:top w:val="none" w:sz="0" w:space="0" w:color="auto"/>
        <w:left w:val="none" w:sz="0" w:space="0" w:color="auto"/>
        <w:bottom w:val="none" w:sz="0" w:space="0" w:color="auto"/>
        <w:right w:val="none" w:sz="0" w:space="0" w:color="auto"/>
      </w:divBdr>
    </w:div>
    <w:div w:id="401369073">
      <w:bodyDiv w:val="1"/>
      <w:marLeft w:val="0"/>
      <w:marRight w:val="0"/>
      <w:marTop w:val="0"/>
      <w:marBottom w:val="0"/>
      <w:divBdr>
        <w:top w:val="none" w:sz="0" w:space="0" w:color="auto"/>
        <w:left w:val="none" w:sz="0" w:space="0" w:color="auto"/>
        <w:bottom w:val="none" w:sz="0" w:space="0" w:color="auto"/>
        <w:right w:val="none" w:sz="0" w:space="0" w:color="auto"/>
      </w:divBdr>
    </w:div>
    <w:div w:id="408036565">
      <w:bodyDiv w:val="1"/>
      <w:marLeft w:val="0"/>
      <w:marRight w:val="0"/>
      <w:marTop w:val="0"/>
      <w:marBottom w:val="0"/>
      <w:divBdr>
        <w:top w:val="none" w:sz="0" w:space="0" w:color="auto"/>
        <w:left w:val="none" w:sz="0" w:space="0" w:color="auto"/>
        <w:bottom w:val="none" w:sz="0" w:space="0" w:color="auto"/>
        <w:right w:val="none" w:sz="0" w:space="0" w:color="auto"/>
      </w:divBdr>
    </w:div>
    <w:div w:id="409624113">
      <w:bodyDiv w:val="1"/>
      <w:marLeft w:val="0"/>
      <w:marRight w:val="0"/>
      <w:marTop w:val="0"/>
      <w:marBottom w:val="0"/>
      <w:divBdr>
        <w:top w:val="none" w:sz="0" w:space="0" w:color="auto"/>
        <w:left w:val="none" w:sz="0" w:space="0" w:color="auto"/>
        <w:bottom w:val="none" w:sz="0" w:space="0" w:color="auto"/>
        <w:right w:val="none" w:sz="0" w:space="0" w:color="auto"/>
      </w:divBdr>
    </w:div>
    <w:div w:id="410082513">
      <w:bodyDiv w:val="1"/>
      <w:marLeft w:val="0"/>
      <w:marRight w:val="0"/>
      <w:marTop w:val="0"/>
      <w:marBottom w:val="0"/>
      <w:divBdr>
        <w:top w:val="none" w:sz="0" w:space="0" w:color="auto"/>
        <w:left w:val="none" w:sz="0" w:space="0" w:color="auto"/>
        <w:bottom w:val="none" w:sz="0" w:space="0" w:color="auto"/>
        <w:right w:val="none" w:sz="0" w:space="0" w:color="auto"/>
      </w:divBdr>
    </w:div>
    <w:div w:id="413549199">
      <w:bodyDiv w:val="1"/>
      <w:marLeft w:val="0"/>
      <w:marRight w:val="0"/>
      <w:marTop w:val="0"/>
      <w:marBottom w:val="0"/>
      <w:divBdr>
        <w:top w:val="none" w:sz="0" w:space="0" w:color="auto"/>
        <w:left w:val="none" w:sz="0" w:space="0" w:color="auto"/>
        <w:bottom w:val="none" w:sz="0" w:space="0" w:color="auto"/>
        <w:right w:val="none" w:sz="0" w:space="0" w:color="auto"/>
      </w:divBdr>
    </w:div>
    <w:div w:id="414402413">
      <w:bodyDiv w:val="1"/>
      <w:marLeft w:val="0"/>
      <w:marRight w:val="0"/>
      <w:marTop w:val="0"/>
      <w:marBottom w:val="0"/>
      <w:divBdr>
        <w:top w:val="none" w:sz="0" w:space="0" w:color="auto"/>
        <w:left w:val="none" w:sz="0" w:space="0" w:color="auto"/>
        <w:bottom w:val="none" w:sz="0" w:space="0" w:color="auto"/>
        <w:right w:val="none" w:sz="0" w:space="0" w:color="auto"/>
      </w:divBdr>
    </w:div>
    <w:div w:id="425812739">
      <w:bodyDiv w:val="1"/>
      <w:marLeft w:val="0"/>
      <w:marRight w:val="0"/>
      <w:marTop w:val="0"/>
      <w:marBottom w:val="0"/>
      <w:divBdr>
        <w:top w:val="none" w:sz="0" w:space="0" w:color="auto"/>
        <w:left w:val="none" w:sz="0" w:space="0" w:color="auto"/>
        <w:bottom w:val="none" w:sz="0" w:space="0" w:color="auto"/>
        <w:right w:val="none" w:sz="0" w:space="0" w:color="auto"/>
      </w:divBdr>
    </w:div>
    <w:div w:id="429161700">
      <w:bodyDiv w:val="1"/>
      <w:marLeft w:val="0"/>
      <w:marRight w:val="0"/>
      <w:marTop w:val="0"/>
      <w:marBottom w:val="0"/>
      <w:divBdr>
        <w:top w:val="none" w:sz="0" w:space="0" w:color="auto"/>
        <w:left w:val="none" w:sz="0" w:space="0" w:color="auto"/>
        <w:bottom w:val="none" w:sz="0" w:space="0" w:color="auto"/>
        <w:right w:val="none" w:sz="0" w:space="0" w:color="auto"/>
      </w:divBdr>
    </w:div>
    <w:div w:id="436948929">
      <w:bodyDiv w:val="1"/>
      <w:marLeft w:val="0"/>
      <w:marRight w:val="0"/>
      <w:marTop w:val="0"/>
      <w:marBottom w:val="0"/>
      <w:divBdr>
        <w:top w:val="none" w:sz="0" w:space="0" w:color="auto"/>
        <w:left w:val="none" w:sz="0" w:space="0" w:color="auto"/>
        <w:bottom w:val="none" w:sz="0" w:space="0" w:color="auto"/>
        <w:right w:val="none" w:sz="0" w:space="0" w:color="auto"/>
      </w:divBdr>
    </w:div>
    <w:div w:id="438909394">
      <w:bodyDiv w:val="1"/>
      <w:marLeft w:val="0"/>
      <w:marRight w:val="0"/>
      <w:marTop w:val="0"/>
      <w:marBottom w:val="0"/>
      <w:divBdr>
        <w:top w:val="none" w:sz="0" w:space="0" w:color="auto"/>
        <w:left w:val="none" w:sz="0" w:space="0" w:color="auto"/>
        <w:bottom w:val="none" w:sz="0" w:space="0" w:color="auto"/>
        <w:right w:val="none" w:sz="0" w:space="0" w:color="auto"/>
      </w:divBdr>
    </w:div>
    <w:div w:id="450326887">
      <w:bodyDiv w:val="1"/>
      <w:marLeft w:val="0"/>
      <w:marRight w:val="0"/>
      <w:marTop w:val="0"/>
      <w:marBottom w:val="0"/>
      <w:divBdr>
        <w:top w:val="none" w:sz="0" w:space="0" w:color="auto"/>
        <w:left w:val="none" w:sz="0" w:space="0" w:color="auto"/>
        <w:bottom w:val="none" w:sz="0" w:space="0" w:color="auto"/>
        <w:right w:val="none" w:sz="0" w:space="0" w:color="auto"/>
      </w:divBdr>
    </w:div>
    <w:div w:id="456995814">
      <w:bodyDiv w:val="1"/>
      <w:marLeft w:val="0"/>
      <w:marRight w:val="0"/>
      <w:marTop w:val="0"/>
      <w:marBottom w:val="0"/>
      <w:divBdr>
        <w:top w:val="none" w:sz="0" w:space="0" w:color="auto"/>
        <w:left w:val="none" w:sz="0" w:space="0" w:color="auto"/>
        <w:bottom w:val="none" w:sz="0" w:space="0" w:color="auto"/>
        <w:right w:val="none" w:sz="0" w:space="0" w:color="auto"/>
      </w:divBdr>
    </w:div>
    <w:div w:id="464932415">
      <w:bodyDiv w:val="1"/>
      <w:marLeft w:val="0"/>
      <w:marRight w:val="0"/>
      <w:marTop w:val="0"/>
      <w:marBottom w:val="0"/>
      <w:divBdr>
        <w:top w:val="none" w:sz="0" w:space="0" w:color="auto"/>
        <w:left w:val="none" w:sz="0" w:space="0" w:color="auto"/>
        <w:bottom w:val="none" w:sz="0" w:space="0" w:color="auto"/>
        <w:right w:val="none" w:sz="0" w:space="0" w:color="auto"/>
      </w:divBdr>
    </w:div>
    <w:div w:id="467550540">
      <w:bodyDiv w:val="1"/>
      <w:marLeft w:val="0"/>
      <w:marRight w:val="0"/>
      <w:marTop w:val="0"/>
      <w:marBottom w:val="0"/>
      <w:divBdr>
        <w:top w:val="none" w:sz="0" w:space="0" w:color="auto"/>
        <w:left w:val="none" w:sz="0" w:space="0" w:color="auto"/>
        <w:bottom w:val="none" w:sz="0" w:space="0" w:color="auto"/>
        <w:right w:val="none" w:sz="0" w:space="0" w:color="auto"/>
      </w:divBdr>
    </w:div>
    <w:div w:id="468938666">
      <w:bodyDiv w:val="1"/>
      <w:marLeft w:val="0"/>
      <w:marRight w:val="0"/>
      <w:marTop w:val="0"/>
      <w:marBottom w:val="0"/>
      <w:divBdr>
        <w:top w:val="none" w:sz="0" w:space="0" w:color="auto"/>
        <w:left w:val="none" w:sz="0" w:space="0" w:color="auto"/>
        <w:bottom w:val="none" w:sz="0" w:space="0" w:color="auto"/>
        <w:right w:val="none" w:sz="0" w:space="0" w:color="auto"/>
      </w:divBdr>
    </w:div>
    <w:div w:id="471018683">
      <w:bodyDiv w:val="1"/>
      <w:marLeft w:val="0"/>
      <w:marRight w:val="0"/>
      <w:marTop w:val="0"/>
      <w:marBottom w:val="0"/>
      <w:divBdr>
        <w:top w:val="none" w:sz="0" w:space="0" w:color="auto"/>
        <w:left w:val="none" w:sz="0" w:space="0" w:color="auto"/>
        <w:bottom w:val="none" w:sz="0" w:space="0" w:color="auto"/>
        <w:right w:val="none" w:sz="0" w:space="0" w:color="auto"/>
      </w:divBdr>
    </w:div>
    <w:div w:id="477961406">
      <w:bodyDiv w:val="1"/>
      <w:marLeft w:val="0"/>
      <w:marRight w:val="0"/>
      <w:marTop w:val="0"/>
      <w:marBottom w:val="0"/>
      <w:divBdr>
        <w:top w:val="none" w:sz="0" w:space="0" w:color="auto"/>
        <w:left w:val="none" w:sz="0" w:space="0" w:color="auto"/>
        <w:bottom w:val="none" w:sz="0" w:space="0" w:color="auto"/>
        <w:right w:val="none" w:sz="0" w:space="0" w:color="auto"/>
      </w:divBdr>
    </w:div>
    <w:div w:id="495076332">
      <w:bodyDiv w:val="1"/>
      <w:marLeft w:val="0"/>
      <w:marRight w:val="0"/>
      <w:marTop w:val="0"/>
      <w:marBottom w:val="0"/>
      <w:divBdr>
        <w:top w:val="none" w:sz="0" w:space="0" w:color="auto"/>
        <w:left w:val="none" w:sz="0" w:space="0" w:color="auto"/>
        <w:bottom w:val="none" w:sz="0" w:space="0" w:color="auto"/>
        <w:right w:val="none" w:sz="0" w:space="0" w:color="auto"/>
      </w:divBdr>
    </w:div>
    <w:div w:id="511802699">
      <w:bodyDiv w:val="1"/>
      <w:marLeft w:val="0"/>
      <w:marRight w:val="0"/>
      <w:marTop w:val="0"/>
      <w:marBottom w:val="0"/>
      <w:divBdr>
        <w:top w:val="none" w:sz="0" w:space="0" w:color="auto"/>
        <w:left w:val="none" w:sz="0" w:space="0" w:color="auto"/>
        <w:bottom w:val="none" w:sz="0" w:space="0" w:color="auto"/>
        <w:right w:val="none" w:sz="0" w:space="0" w:color="auto"/>
      </w:divBdr>
    </w:div>
    <w:div w:id="513031991">
      <w:bodyDiv w:val="1"/>
      <w:marLeft w:val="0"/>
      <w:marRight w:val="0"/>
      <w:marTop w:val="0"/>
      <w:marBottom w:val="0"/>
      <w:divBdr>
        <w:top w:val="none" w:sz="0" w:space="0" w:color="auto"/>
        <w:left w:val="none" w:sz="0" w:space="0" w:color="auto"/>
        <w:bottom w:val="none" w:sz="0" w:space="0" w:color="auto"/>
        <w:right w:val="none" w:sz="0" w:space="0" w:color="auto"/>
      </w:divBdr>
    </w:div>
    <w:div w:id="520163102">
      <w:bodyDiv w:val="1"/>
      <w:marLeft w:val="0"/>
      <w:marRight w:val="0"/>
      <w:marTop w:val="0"/>
      <w:marBottom w:val="0"/>
      <w:divBdr>
        <w:top w:val="none" w:sz="0" w:space="0" w:color="auto"/>
        <w:left w:val="none" w:sz="0" w:space="0" w:color="auto"/>
        <w:bottom w:val="none" w:sz="0" w:space="0" w:color="auto"/>
        <w:right w:val="none" w:sz="0" w:space="0" w:color="auto"/>
      </w:divBdr>
    </w:div>
    <w:div w:id="523246299">
      <w:bodyDiv w:val="1"/>
      <w:marLeft w:val="0"/>
      <w:marRight w:val="0"/>
      <w:marTop w:val="0"/>
      <w:marBottom w:val="0"/>
      <w:divBdr>
        <w:top w:val="none" w:sz="0" w:space="0" w:color="auto"/>
        <w:left w:val="none" w:sz="0" w:space="0" w:color="auto"/>
        <w:bottom w:val="none" w:sz="0" w:space="0" w:color="auto"/>
        <w:right w:val="none" w:sz="0" w:space="0" w:color="auto"/>
      </w:divBdr>
    </w:div>
    <w:div w:id="561794280">
      <w:bodyDiv w:val="1"/>
      <w:marLeft w:val="0"/>
      <w:marRight w:val="0"/>
      <w:marTop w:val="0"/>
      <w:marBottom w:val="0"/>
      <w:divBdr>
        <w:top w:val="none" w:sz="0" w:space="0" w:color="auto"/>
        <w:left w:val="none" w:sz="0" w:space="0" w:color="auto"/>
        <w:bottom w:val="none" w:sz="0" w:space="0" w:color="auto"/>
        <w:right w:val="none" w:sz="0" w:space="0" w:color="auto"/>
      </w:divBdr>
    </w:div>
    <w:div w:id="562714021">
      <w:bodyDiv w:val="1"/>
      <w:marLeft w:val="0"/>
      <w:marRight w:val="0"/>
      <w:marTop w:val="0"/>
      <w:marBottom w:val="0"/>
      <w:divBdr>
        <w:top w:val="none" w:sz="0" w:space="0" w:color="auto"/>
        <w:left w:val="none" w:sz="0" w:space="0" w:color="auto"/>
        <w:bottom w:val="none" w:sz="0" w:space="0" w:color="auto"/>
        <w:right w:val="none" w:sz="0" w:space="0" w:color="auto"/>
      </w:divBdr>
    </w:div>
    <w:div w:id="580024449">
      <w:bodyDiv w:val="1"/>
      <w:marLeft w:val="0"/>
      <w:marRight w:val="0"/>
      <w:marTop w:val="0"/>
      <w:marBottom w:val="0"/>
      <w:divBdr>
        <w:top w:val="none" w:sz="0" w:space="0" w:color="auto"/>
        <w:left w:val="none" w:sz="0" w:space="0" w:color="auto"/>
        <w:bottom w:val="none" w:sz="0" w:space="0" w:color="auto"/>
        <w:right w:val="none" w:sz="0" w:space="0" w:color="auto"/>
      </w:divBdr>
    </w:div>
    <w:div w:id="588581202">
      <w:bodyDiv w:val="1"/>
      <w:marLeft w:val="0"/>
      <w:marRight w:val="0"/>
      <w:marTop w:val="0"/>
      <w:marBottom w:val="0"/>
      <w:divBdr>
        <w:top w:val="none" w:sz="0" w:space="0" w:color="auto"/>
        <w:left w:val="none" w:sz="0" w:space="0" w:color="auto"/>
        <w:bottom w:val="none" w:sz="0" w:space="0" w:color="auto"/>
        <w:right w:val="none" w:sz="0" w:space="0" w:color="auto"/>
      </w:divBdr>
    </w:div>
    <w:div w:id="591740299">
      <w:bodyDiv w:val="1"/>
      <w:marLeft w:val="0"/>
      <w:marRight w:val="0"/>
      <w:marTop w:val="0"/>
      <w:marBottom w:val="0"/>
      <w:divBdr>
        <w:top w:val="none" w:sz="0" w:space="0" w:color="auto"/>
        <w:left w:val="none" w:sz="0" w:space="0" w:color="auto"/>
        <w:bottom w:val="none" w:sz="0" w:space="0" w:color="auto"/>
        <w:right w:val="none" w:sz="0" w:space="0" w:color="auto"/>
      </w:divBdr>
    </w:div>
    <w:div w:id="603801436">
      <w:bodyDiv w:val="1"/>
      <w:marLeft w:val="0"/>
      <w:marRight w:val="0"/>
      <w:marTop w:val="0"/>
      <w:marBottom w:val="0"/>
      <w:divBdr>
        <w:top w:val="none" w:sz="0" w:space="0" w:color="auto"/>
        <w:left w:val="none" w:sz="0" w:space="0" w:color="auto"/>
        <w:bottom w:val="none" w:sz="0" w:space="0" w:color="auto"/>
        <w:right w:val="none" w:sz="0" w:space="0" w:color="auto"/>
      </w:divBdr>
    </w:div>
    <w:div w:id="616522735">
      <w:bodyDiv w:val="1"/>
      <w:marLeft w:val="0"/>
      <w:marRight w:val="0"/>
      <w:marTop w:val="0"/>
      <w:marBottom w:val="0"/>
      <w:divBdr>
        <w:top w:val="none" w:sz="0" w:space="0" w:color="auto"/>
        <w:left w:val="none" w:sz="0" w:space="0" w:color="auto"/>
        <w:bottom w:val="none" w:sz="0" w:space="0" w:color="auto"/>
        <w:right w:val="none" w:sz="0" w:space="0" w:color="auto"/>
      </w:divBdr>
    </w:div>
    <w:div w:id="619263730">
      <w:bodyDiv w:val="1"/>
      <w:marLeft w:val="0"/>
      <w:marRight w:val="0"/>
      <w:marTop w:val="0"/>
      <w:marBottom w:val="0"/>
      <w:divBdr>
        <w:top w:val="none" w:sz="0" w:space="0" w:color="auto"/>
        <w:left w:val="none" w:sz="0" w:space="0" w:color="auto"/>
        <w:bottom w:val="none" w:sz="0" w:space="0" w:color="auto"/>
        <w:right w:val="none" w:sz="0" w:space="0" w:color="auto"/>
      </w:divBdr>
    </w:div>
    <w:div w:id="650642102">
      <w:bodyDiv w:val="1"/>
      <w:marLeft w:val="0"/>
      <w:marRight w:val="0"/>
      <w:marTop w:val="0"/>
      <w:marBottom w:val="0"/>
      <w:divBdr>
        <w:top w:val="none" w:sz="0" w:space="0" w:color="auto"/>
        <w:left w:val="none" w:sz="0" w:space="0" w:color="auto"/>
        <w:bottom w:val="none" w:sz="0" w:space="0" w:color="auto"/>
        <w:right w:val="none" w:sz="0" w:space="0" w:color="auto"/>
      </w:divBdr>
    </w:div>
    <w:div w:id="657340059">
      <w:bodyDiv w:val="1"/>
      <w:marLeft w:val="0"/>
      <w:marRight w:val="0"/>
      <w:marTop w:val="0"/>
      <w:marBottom w:val="0"/>
      <w:divBdr>
        <w:top w:val="none" w:sz="0" w:space="0" w:color="auto"/>
        <w:left w:val="none" w:sz="0" w:space="0" w:color="auto"/>
        <w:bottom w:val="none" w:sz="0" w:space="0" w:color="auto"/>
        <w:right w:val="none" w:sz="0" w:space="0" w:color="auto"/>
      </w:divBdr>
    </w:div>
    <w:div w:id="661618633">
      <w:bodyDiv w:val="1"/>
      <w:marLeft w:val="0"/>
      <w:marRight w:val="0"/>
      <w:marTop w:val="0"/>
      <w:marBottom w:val="0"/>
      <w:divBdr>
        <w:top w:val="none" w:sz="0" w:space="0" w:color="auto"/>
        <w:left w:val="none" w:sz="0" w:space="0" w:color="auto"/>
        <w:bottom w:val="none" w:sz="0" w:space="0" w:color="auto"/>
        <w:right w:val="none" w:sz="0" w:space="0" w:color="auto"/>
      </w:divBdr>
    </w:div>
    <w:div w:id="674308755">
      <w:bodyDiv w:val="1"/>
      <w:marLeft w:val="0"/>
      <w:marRight w:val="0"/>
      <w:marTop w:val="0"/>
      <w:marBottom w:val="0"/>
      <w:divBdr>
        <w:top w:val="none" w:sz="0" w:space="0" w:color="auto"/>
        <w:left w:val="none" w:sz="0" w:space="0" w:color="auto"/>
        <w:bottom w:val="none" w:sz="0" w:space="0" w:color="auto"/>
        <w:right w:val="none" w:sz="0" w:space="0" w:color="auto"/>
      </w:divBdr>
    </w:div>
    <w:div w:id="687832501">
      <w:bodyDiv w:val="1"/>
      <w:marLeft w:val="0"/>
      <w:marRight w:val="0"/>
      <w:marTop w:val="0"/>
      <w:marBottom w:val="0"/>
      <w:divBdr>
        <w:top w:val="none" w:sz="0" w:space="0" w:color="auto"/>
        <w:left w:val="none" w:sz="0" w:space="0" w:color="auto"/>
        <w:bottom w:val="none" w:sz="0" w:space="0" w:color="auto"/>
        <w:right w:val="none" w:sz="0" w:space="0" w:color="auto"/>
      </w:divBdr>
    </w:div>
    <w:div w:id="693649031">
      <w:bodyDiv w:val="1"/>
      <w:marLeft w:val="0"/>
      <w:marRight w:val="0"/>
      <w:marTop w:val="0"/>
      <w:marBottom w:val="0"/>
      <w:divBdr>
        <w:top w:val="none" w:sz="0" w:space="0" w:color="auto"/>
        <w:left w:val="none" w:sz="0" w:space="0" w:color="auto"/>
        <w:bottom w:val="none" w:sz="0" w:space="0" w:color="auto"/>
        <w:right w:val="none" w:sz="0" w:space="0" w:color="auto"/>
      </w:divBdr>
    </w:div>
    <w:div w:id="694311140">
      <w:bodyDiv w:val="1"/>
      <w:marLeft w:val="0"/>
      <w:marRight w:val="0"/>
      <w:marTop w:val="0"/>
      <w:marBottom w:val="0"/>
      <w:divBdr>
        <w:top w:val="none" w:sz="0" w:space="0" w:color="auto"/>
        <w:left w:val="none" w:sz="0" w:space="0" w:color="auto"/>
        <w:bottom w:val="none" w:sz="0" w:space="0" w:color="auto"/>
        <w:right w:val="none" w:sz="0" w:space="0" w:color="auto"/>
      </w:divBdr>
    </w:div>
    <w:div w:id="710693940">
      <w:bodyDiv w:val="1"/>
      <w:marLeft w:val="0"/>
      <w:marRight w:val="0"/>
      <w:marTop w:val="0"/>
      <w:marBottom w:val="0"/>
      <w:divBdr>
        <w:top w:val="none" w:sz="0" w:space="0" w:color="auto"/>
        <w:left w:val="none" w:sz="0" w:space="0" w:color="auto"/>
        <w:bottom w:val="none" w:sz="0" w:space="0" w:color="auto"/>
        <w:right w:val="none" w:sz="0" w:space="0" w:color="auto"/>
      </w:divBdr>
    </w:div>
    <w:div w:id="728840883">
      <w:bodyDiv w:val="1"/>
      <w:marLeft w:val="0"/>
      <w:marRight w:val="0"/>
      <w:marTop w:val="0"/>
      <w:marBottom w:val="0"/>
      <w:divBdr>
        <w:top w:val="none" w:sz="0" w:space="0" w:color="auto"/>
        <w:left w:val="none" w:sz="0" w:space="0" w:color="auto"/>
        <w:bottom w:val="none" w:sz="0" w:space="0" w:color="auto"/>
        <w:right w:val="none" w:sz="0" w:space="0" w:color="auto"/>
      </w:divBdr>
    </w:div>
    <w:div w:id="745957031">
      <w:bodyDiv w:val="1"/>
      <w:marLeft w:val="0"/>
      <w:marRight w:val="0"/>
      <w:marTop w:val="0"/>
      <w:marBottom w:val="0"/>
      <w:divBdr>
        <w:top w:val="none" w:sz="0" w:space="0" w:color="auto"/>
        <w:left w:val="none" w:sz="0" w:space="0" w:color="auto"/>
        <w:bottom w:val="none" w:sz="0" w:space="0" w:color="auto"/>
        <w:right w:val="none" w:sz="0" w:space="0" w:color="auto"/>
      </w:divBdr>
    </w:div>
    <w:div w:id="761921865">
      <w:bodyDiv w:val="1"/>
      <w:marLeft w:val="0"/>
      <w:marRight w:val="0"/>
      <w:marTop w:val="0"/>
      <w:marBottom w:val="0"/>
      <w:divBdr>
        <w:top w:val="none" w:sz="0" w:space="0" w:color="auto"/>
        <w:left w:val="none" w:sz="0" w:space="0" w:color="auto"/>
        <w:bottom w:val="none" w:sz="0" w:space="0" w:color="auto"/>
        <w:right w:val="none" w:sz="0" w:space="0" w:color="auto"/>
      </w:divBdr>
    </w:div>
    <w:div w:id="765078050">
      <w:bodyDiv w:val="1"/>
      <w:marLeft w:val="0"/>
      <w:marRight w:val="0"/>
      <w:marTop w:val="0"/>
      <w:marBottom w:val="0"/>
      <w:divBdr>
        <w:top w:val="none" w:sz="0" w:space="0" w:color="auto"/>
        <w:left w:val="none" w:sz="0" w:space="0" w:color="auto"/>
        <w:bottom w:val="none" w:sz="0" w:space="0" w:color="auto"/>
        <w:right w:val="none" w:sz="0" w:space="0" w:color="auto"/>
      </w:divBdr>
    </w:div>
    <w:div w:id="777992075">
      <w:bodyDiv w:val="1"/>
      <w:marLeft w:val="0"/>
      <w:marRight w:val="0"/>
      <w:marTop w:val="0"/>
      <w:marBottom w:val="0"/>
      <w:divBdr>
        <w:top w:val="none" w:sz="0" w:space="0" w:color="auto"/>
        <w:left w:val="none" w:sz="0" w:space="0" w:color="auto"/>
        <w:bottom w:val="none" w:sz="0" w:space="0" w:color="auto"/>
        <w:right w:val="none" w:sz="0" w:space="0" w:color="auto"/>
      </w:divBdr>
    </w:div>
    <w:div w:id="792986494">
      <w:bodyDiv w:val="1"/>
      <w:marLeft w:val="0"/>
      <w:marRight w:val="0"/>
      <w:marTop w:val="0"/>
      <w:marBottom w:val="0"/>
      <w:divBdr>
        <w:top w:val="none" w:sz="0" w:space="0" w:color="auto"/>
        <w:left w:val="none" w:sz="0" w:space="0" w:color="auto"/>
        <w:bottom w:val="none" w:sz="0" w:space="0" w:color="auto"/>
        <w:right w:val="none" w:sz="0" w:space="0" w:color="auto"/>
      </w:divBdr>
    </w:div>
    <w:div w:id="795677355">
      <w:bodyDiv w:val="1"/>
      <w:marLeft w:val="0"/>
      <w:marRight w:val="0"/>
      <w:marTop w:val="0"/>
      <w:marBottom w:val="0"/>
      <w:divBdr>
        <w:top w:val="none" w:sz="0" w:space="0" w:color="auto"/>
        <w:left w:val="none" w:sz="0" w:space="0" w:color="auto"/>
        <w:bottom w:val="none" w:sz="0" w:space="0" w:color="auto"/>
        <w:right w:val="none" w:sz="0" w:space="0" w:color="auto"/>
      </w:divBdr>
    </w:div>
    <w:div w:id="827289794">
      <w:bodyDiv w:val="1"/>
      <w:marLeft w:val="0"/>
      <w:marRight w:val="0"/>
      <w:marTop w:val="0"/>
      <w:marBottom w:val="0"/>
      <w:divBdr>
        <w:top w:val="none" w:sz="0" w:space="0" w:color="auto"/>
        <w:left w:val="none" w:sz="0" w:space="0" w:color="auto"/>
        <w:bottom w:val="none" w:sz="0" w:space="0" w:color="auto"/>
        <w:right w:val="none" w:sz="0" w:space="0" w:color="auto"/>
      </w:divBdr>
    </w:div>
    <w:div w:id="845704991">
      <w:bodyDiv w:val="1"/>
      <w:marLeft w:val="0"/>
      <w:marRight w:val="0"/>
      <w:marTop w:val="0"/>
      <w:marBottom w:val="0"/>
      <w:divBdr>
        <w:top w:val="none" w:sz="0" w:space="0" w:color="auto"/>
        <w:left w:val="none" w:sz="0" w:space="0" w:color="auto"/>
        <w:bottom w:val="none" w:sz="0" w:space="0" w:color="auto"/>
        <w:right w:val="none" w:sz="0" w:space="0" w:color="auto"/>
      </w:divBdr>
    </w:div>
    <w:div w:id="855268227">
      <w:bodyDiv w:val="1"/>
      <w:marLeft w:val="0"/>
      <w:marRight w:val="0"/>
      <w:marTop w:val="0"/>
      <w:marBottom w:val="0"/>
      <w:divBdr>
        <w:top w:val="none" w:sz="0" w:space="0" w:color="auto"/>
        <w:left w:val="none" w:sz="0" w:space="0" w:color="auto"/>
        <w:bottom w:val="none" w:sz="0" w:space="0" w:color="auto"/>
        <w:right w:val="none" w:sz="0" w:space="0" w:color="auto"/>
      </w:divBdr>
    </w:div>
    <w:div w:id="866790641">
      <w:bodyDiv w:val="1"/>
      <w:marLeft w:val="0"/>
      <w:marRight w:val="0"/>
      <w:marTop w:val="0"/>
      <w:marBottom w:val="0"/>
      <w:divBdr>
        <w:top w:val="none" w:sz="0" w:space="0" w:color="auto"/>
        <w:left w:val="none" w:sz="0" w:space="0" w:color="auto"/>
        <w:bottom w:val="none" w:sz="0" w:space="0" w:color="auto"/>
        <w:right w:val="none" w:sz="0" w:space="0" w:color="auto"/>
      </w:divBdr>
    </w:div>
    <w:div w:id="877473368">
      <w:bodyDiv w:val="1"/>
      <w:marLeft w:val="0"/>
      <w:marRight w:val="0"/>
      <w:marTop w:val="0"/>
      <w:marBottom w:val="0"/>
      <w:divBdr>
        <w:top w:val="none" w:sz="0" w:space="0" w:color="auto"/>
        <w:left w:val="none" w:sz="0" w:space="0" w:color="auto"/>
        <w:bottom w:val="none" w:sz="0" w:space="0" w:color="auto"/>
        <w:right w:val="none" w:sz="0" w:space="0" w:color="auto"/>
      </w:divBdr>
    </w:div>
    <w:div w:id="906302797">
      <w:bodyDiv w:val="1"/>
      <w:marLeft w:val="0"/>
      <w:marRight w:val="0"/>
      <w:marTop w:val="0"/>
      <w:marBottom w:val="0"/>
      <w:divBdr>
        <w:top w:val="none" w:sz="0" w:space="0" w:color="auto"/>
        <w:left w:val="none" w:sz="0" w:space="0" w:color="auto"/>
        <w:bottom w:val="none" w:sz="0" w:space="0" w:color="auto"/>
        <w:right w:val="none" w:sz="0" w:space="0" w:color="auto"/>
      </w:divBdr>
    </w:div>
    <w:div w:id="910502625">
      <w:bodyDiv w:val="1"/>
      <w:marLeft w:val="0"/>
      <w:marRight w:val="0"/>
      <w:marTop w:val="0"/>
      <w:marBottom w:val="0"/>
      <w:divBdr>
        <w:top w:val="none" w:sz="0" w:space="0" w:color="auto"/>
        <w:left w:val="none" w:sz="0" w:space="0" w:color="auto"/>
        <w:bottom w:val="none" w:sz="0" w:space="0" w:color="auto"/>
        <w:right w:val="none" w:sz="0" w:space="0" w:color="auto"/>
      </w:divBdr>
    </w:div>
    <w:div w:id="918758423">
      <w:bodyDiv w:val="1"/>
      <w:marLeft w:val="0"/>
      <w:marRight w:val="0"/>
      <w:marTop w:val="0"/>
      <w:marBottom w:val="0"/>
      <w:divBdr>
        <w:top w:val="none" w:sz="0" w:space="0" w:color="auto"/>
        <w:left w:val="none" w:sz="0" w:space="0" w:color="auto"/>
        <w:bottom w:val="none" w:sz="0" w:space="0" w:color="auto"/>
        <w:right w:val="none" w:sz="0" w:space="0" w:color="auto"/>
      </w:divBdr>
    </w:div>
    <w:div w:id="920987050">
      <w:bodyDiv w:val="1"/>
      <w:marLeft w:val="0"/>
      <w:marRight w:val="0"/>
      <w:marTop w:val="0"/>
      <w:marBottom w:val="0"/>
      <w:divBdr>
        <w:top w:val="none" w:sz="0" w:space="0" w:color="auto"/>
        <w:left w:val="none" w:sz="0" w:space="0" w:color="auto"/>
        <w:bottom w:val="none" w:sz="0" w:space="0" w:color="auto"/>
        <w:right w:val="none" w:sz="0" w:space="0" w:color="auto"/>
      </w:divBdr>
    </w:div>
    <w:div w:id="938374950">
      <w:bodyDiv w:val="1"/>
      <w:marLeft w:val="0"/>
      <w:marRight w:val="0"/>
      <w:marTop w:val="0"/>
      <w:marBottom w:val="0"/>
      <w:divBdr>
        <w:top w:val="none" w:sz="0" w:space="0" w:color="auto"/>
        <w:left w:val="none" w:sz="0" w:space="0" w:color="auto"/>
        <w:bottom w:val="none" w:sz="0" w:space="0" w:color="auto"/>
        <w:right w:val="none" w:sz="0" w:space="0" w:color="auto"/>
      </w:divBdr>
    </w:div>
    <w:div w:id="943877642">
      <w:bodyDiv w:val="1"/>
      <w:marLeft w:val="0"/>
      <w:marRight w:val="0"/>
      <w:marTop w:val="0"/>
      <w:marBottom w:val="0"/>
      <w:divBdr>
        <w:top w:val="none" w:sz="0" w:space="0" w:color="auto"/>
        <w:left w:val="none" w:sz="0" w:space="0" w:color="auto"/>
        <w:bottom w:val="none" w:sz="0" w:space="0" w:color="auto"/>
        <w:right w:val="none" w:sz="0" w:space="0" w:color="auto"/>
      </w:divBdr>
    </w:div>
    <w:div w:id="958948912">
      <w:bodyDiv w:val="1"/>
      <w:marLeft w:val="0"/>
      <w:marRight w:val="0"/>
      <w:marTop w:val="0"/>
      <w:marBottom w:val="0"/>
      <w:divBdr>
        <w:top w:val="none" w:sz="0" w:space="0" w:color="auto"/>
        <w:left w:val="none" w:sz="0" w:space="0" w:color="auto"/>
        <w:bottom w:val="none" w:sz="0" w:space="0" w:color="auto"/>
        <w:right w:val="none" w:sz="0" w:space="0" w:color="auto"/>
      </w:divBdr>
    </w:div>
    <w:div w:id="978924273">
      <w:bodyDiv w:val="1"/>
      <w:marLeft w:val="0"/>
      <w:marRight w:val="0"/>
      <w:marTop w:val="0"/>
      <w:marBottom w:val="0"/>
      <w:divBdr>
        <w:top w:val="none" w:sz="0" w:space="0" w:color="auto"/>
        <w:left w:val="none" w:sz="0" w:space="0" w:color="auto"/>
        <w:bottom w:val="none" w:sz="0" w:space="0" w:color="auto"/>
        <w:right w:val="none" w:sz="0" w:space="0" w:color="auto"/>
      </w:divBdr>
    </w:div>
    <w:div w:id="981350882">
      <w:bodyDiv w:val="1"/>
      <w:marLeft w:val="0"/>
      <w:marRight w:val="0"/>
      <w:marTop w:val="0"/>
      <w:marBottom w:val="0"/>
      <w:divBdr>
        <w:top w:val="none" w:sz="0" w:space="0" w:color="auto"/>
        <w:left w:val="none" w:sz="0" w:space="0" w:color="auto"/>
        <w:bottom w:val="none" w:sz="0" w:space="0" w:color="auto"/>
        <w:right w:val="none" w:sz="0" w:space="0" w:color="auto"/>
      </w:divBdr>
    </w:div>
    <w:div w:id="984898073">
      <w:bodyDiv w:val="1"/>
      <w:marLeft w:val="0"/>
      <w:marRight w:val="0"/>
      <w:marTop w:val="0"/>
      <w:marBottom w:val="0"/>
      <w:divBdr>
        <w:top w:val="none" w:sz="0" w:space="0" w:color="auto"/>
        <w:left w:val="none" w:sz="0" w:space="0" w:color="auto"/>
        <w:bottom w:val="none" w:sz="0" w:space="0" w:color="auto"/>
        <w:right w:val="none" w:sz="0" w:space="0" w:color="auto"/>
      </w:divBdr>
    </w:div>
    <w:div w:id="988366394">
      <w:bodyDiv w:val="1"/>
      <w:marLeft w:val="0"/>
      <w:marRight w:val="0"/>
      <w:marTop w:val="0"/>
      <w:marBottom w:val="0"/>
      <w:divBdr>
        <w:top w:val="none" w:sz="0" w:space="0" w:color="auto"/>
        <w:left w:val="none" w:sz="0" w:space="0" w:color="auto"/>
        <w:bottom w:val="none" w:sz="0" w:space="0" w:color="auto"/>
        <w:right w:val="none" w:sz="0" w:space="0" w:color="auto"/>
      </w:divBdr>
    </w:div>
    <w:div w:id="990914085">
      <w:bodyDiv w:val="1"/>
      <w:marLeft w:val="0"/>
      <w:marRight w:val="0"/>
      <w:marTop w:val="0"/>
      <w:marBottom w:val="0"/>
      <w:divBdr>
        <w:top w:val="none" w:sz="0" w:space="0" w:color="auto"/>
        <w:left w:val="none" w:sz="0" w:space="0" w:color="auto"/>
        <w:bottom w:val="none" w:sz="0" w:space="0" w:color="auto"/>
        <w:right w:val="none" w:sz="0" w:space="0" w:color="auto"/>
      </w:divBdr>
    </w:div>
    <w:div w:id="991642170">
      <w:bodyDiv w:val="1"/>
      <w:marLeft w:val="0"/>
      <w:marRight w:val="0"/>
      <w:marTop w:val="0"/>
      <w:marBottom w:val="0"/>
      <w:divBdr>
        <w:top w:val="none" w:sz="0" w:space="0" w:color="auto"/>
        <w:left w:val="none" w:sz="0" w:space="0" w:color="auto"/>
        <w:bottom w:val="none" w:sz="0" w:space="0" w:color="auto"/>
        <w:right w:val="none" w:sz="0" w:space="0" w:color="auto"/>
      </w:divBdr>
    </w:div>
    <w:div w:id="998773739">
      <w:bodyDiv w:val="1"/>
      <w:marLeft w:val="0"/>
      <w:marRight w:val="0"/>
      <w:marTop w:val="0"/>
      <w:marBottom w:val="0"/>
      <w:divBdr>
        <w:top w:val="none" w:sz="0" w:space="0" w:color="auto"/>
        <w:left w:val="none" w:sz="0" w:space="0" w:color="auto"/>
        <w:bottom w:val="none" w:sz="0" w:space="0" w:color="auto"/>
        <w:right w:val="none" w:sz="0" w:space="0" w:color="auto"/>
      </w:divBdr>
    </w:div>
    <w:div w:id="1004287595">
      <w:bodyDiv w:val="1"/>
      <w:marLeft w:val="0"/>
      <w:marRight w:val="0"/>
      <w:marTop w:val="0"/>
      <w:marBottom w:val="0"/>
      <w:divBdr>
        <w:top w:val="none" w:sz="0" w:space="0" w:color="auto"/>
        <w:left w:val="none" w:sz="0" w:space="0" w:color="auto"/>
        <w:bottom w:val="none" w:sz="0" w:space="0" w:color="auto"/>
        <w:right w:val="none" w:sz="0" w:space="0" w:color="auto"/>
      </w:divBdr>
    </w:div>
    <w:div w:id="1014960895">
      <w:bodyDiv w:val="1"/>
      <w:marLeft w:val="0"/>
      <w:marRight w:val="0"/>
      <w:marTop w:val="0"/>
      <w:marBottom w:val="0"/>
      <w:divBdr>
        <w:top w:val="none" w:sz="0" w:space="0" w:color="auto"/>
        <w:left w:val="none" w:sz="0" w:space="0" w:color="auto"/>
        <w:bottom w:val="none" w:sz="0" w:space="0" w:color="auto"/>
        <w:right w:val="none" w:sz="0" w:space="0" w:color="auto"/>
      </w:divBdr>
    </w:div>
    <w:div w:id="1027833460">
      <w:bodyDiv w:val="1"/>
      <w:marLeft w:val="0"/>
      <w:marRight w:val="0"/>
      <w:marTop w:val="0"/>
      <w:marBottom w:val="0"/>
      <w:divBdr>
        <w:top w:val="none" w:sz="0" w:space="0" w:color="auto"/>
        <w:left w:val="none" w:sz="0" w:space="0" w:color="auto"/>
        <w:bottom w:val="none" w:sz="0" w:space="0" w:color="auto"/>
        <w:right w:val="none" w:sz="0" w:space="0" w:color="auto"/>
      </w:divBdr>
    </w:div>
    <w:div w:id="1046180558">
      <w:bodyDiv w:val="1"/>
      <w:marLeft w:val="0"/>
      <w:marRight w:val="0"/>
      <w:marTop w:val="0"/>
      <w:marBottom w:val="0"/>
      <w:divBdr>
        <w:top w:val="none" w:sz="0" w:space="0" w:color="auto"/>
        <w:left w:val="none" w:sz="0" w:space="0" w:color="auto"/>
        <w:bottom w:val="none" w:sz="0" w:space="0" w:color="auto"/>
        <w:right w:val="none" w:sz="0" w:space="0" w:color="auto"/>
      </w:divBdr>
    </w:div>
    <w:div w:id="1051271257">
      <w:bodyDiv w:val="1"/>
      <w:marLeft w:val="0"/>
      <w:marRight w:val="0"/>
      <w:marTop w:val="0"/>
      <w:marBottom w:val="0"/>
      <w:divBdr>
        <w:top w:val="none" w:sz="0" w:space="0" w:color="auto"/>
        <w:left w:val="none" w:sz="0" w:space="0" w:color="auto"/>
        <w:bottom w:val="none" w:sz="0" w:space="0" w:color="auto"/>
        <w:right w:val="none" w:sz="0" w:space="0" w:color="auto"/>
      </w:divBdr>
    </w:div>
    <w:div w:id="1056977431">
      <w:bodyDiv w:val="1"/>
      <w:marLeft w:val="0"/>
      <w:marRight w:val="0"/>
      <w:marTop w:val="0"/>
      <w:marBottom w:val="0"/>
      <w:divBdr>
        <w:top w:val="none" w:sz="0" w:space="0" w:color="auto"/>
        <w:left w:val="none" w:sz="0" w:space="0" w:color="auto"/>
        <w:bottom w:val="none" w:sz="0" w:space="0" w:color="auto"/>
        <w:right w:val="none" w:sz="0" w:space="0" w:color="auto"/>
      </w:divBdr>
    </w:div>
    <w:div w:id="1061250954">
      <w:bodyDiv w:val="1"/>
      <w:marLeft w:val="0"/>
      <w:marRight w:val="0"/>
      <w:marTop w:val="0"/>
      <w:marBottom w:val="0"/>
      <w:divBdr>
        <w:top w:val="none" w:sz="0" w:space="0" w:color="auto"/>
        <w:left w:val="none" w:sz="0" w:space="0" w:color="auto"/>
        <w:bottom w:val="none" w:sz="0" w:space="0" w:color="auto"/>
        <w:right w:val="none" w:sz="0" w:space="0" w:color="auto"/>
      </w:divBdr>
    </w:div>
    <w:div w:id="1070155800">
      <w:bodyDiv w:val="1"/>
      <w:marLeft w:val="0"/>
      <w:marRight w:val="0"/>
      <w:marTop w:val="0"/>
      <w:marBottom w:val="0"/>
      <w:divBdr>
        <w:top w:val="none" w:sz="0" w:space="0" w:color="auto"/>
        <w:left w:val="none" w:sz="0" w:space="0" w:color="auto"/>
        <w:bottom w:val="none" w:sz="0" w:space="0" w:color="auto"/>
        <w:right w:val="none" w:sz="0" w:space="0" w:color="auto"/>
      </w:divBdr>
    </w:div>
    <w:div w:id="1081562395">
      <w:bodyDiv w:val="1"/>
      <w:marLeft w:val="0"/>
      <w:marRight w:val="0"/>
      <w:marTop w:val="0"/>
      <w:marBottom w:val="0"/>
      <w:divBdr>
        <w:top w:val="none" w:sz="0" w:space="0" w:color="auto"/>
        <w:left w:val="none" w:sz="0" w:space="0" w:color="auto"/>
        <w:bottom w:val="none" w:sz="0" w:space="0" w:color="auto"/>
        <w:right w:val="none" w:sz="0" w:space="0" w:color="auto"/>
      </w:divBdr>
    </w:div>
    <w:div w:id="1081871518">
      <w:bodyDiv w:val="1"/>
      <w:marLeft w:val="0"/>
      <w:marRight w:val="0"/>
      <w:marTop w:val="0"/>
      <w:marBottom w:val="0"/>
      <w:divBdr>
        <w:top w:val="none" w:sz="0" w:space="0" w:color="auto"/>
        <w:left w:val="none" w:sz="0" w:space="0" w:color="auto"/>
        <w:bottom w:val="none" w:sz="0" w:space="0" w:color="auto"/>
        <w:right w:val="none" w:sz="0" w:space="0" w:color="auto"/>
      </w:divBdr>
    </w:div>
    <w:div w:id="1081946682">
      <w:bodyDiv w:val="1"/>
      <w:marLeft w:val="0"/>
      <w:marRight w:val="0"/>
      <w:marTop w:val="0"/>
      <w:marBottom w:val="0"/>
      <w:divBdr>
        <w:top w:val="none" w:sz="0" w:space="0" w:color="auto"/>
        <w:left w:val="none" w:sz="0" w:space="0" w:color="auto"/>
        <w:bottom w:val="none" w:sz="0" w:space="0" w:color="auto"/>
        <w:right w:val="none" w:sz="0" w:space="0" w:color="auto"/>
      </w:divBdr>
    </w:div>
    <w:div w:id="1082068308">
      <w:bodyDiv w:val="1"/>
      <w:marLeft w:val="0"/>
      <w:marRight w:val="0"/>
      <w:marTop w:val="0"/>
      <w:marBottom w:val="0"/>
      <w:divBdr>
        <w:top w:val="none" w:sz="0" w:space="0" w:color="auto"/>
        <w:left w:val="none" w:sz="0" w:space="0" w:color="auto"/>
        <w:bottom w:val="none" w:sz="0" w:space="0" w:color="auto"/>
        <w:right w:val="none" w:sz="0" w:space="0" w:color="auto"/>
      </w:divBdr>
    </w:div>
    <w:div w:id="1082752978">
      <w:bodyDiv w:val="1"/>
      <w:marLeft w:val="0"/>
      <w:marRight w:val="0"/>
      <w:marTop w:val="0"/>
      <w:marBottom w:val="0"/>
      <w:divBdr>
        <w:top w:val="none" w:sz="0" w:space="0" w:color="auto"/>
        <w:left w:val="none" w:sz="0" w:space="0" w:color="auto"/>
        <w:bottom w:val="none" w:sz="0" w:space="0" w:color="auto"/>
        <w:right w:val="none" w:sz="0" w:space="0" w:color="auto"/>
      </w:divBdr>
    </w:div>
    <w:div w:id="1086146366">
      <w:bodyDiv w:val="1"/>
      <w:marLeft w:val="0"/>
      <w:marRight w:val="0"/>
      <w:marTop w:val="0"/>
      <w:marBottom w:val="0"/>
      <w:divBdr>
        <w:top w:val="none" w:sz="0" w:space="0" w:color="auto"/>
        <w:left w:val="none" w:sz="0" w:space="0" w:color="auto"/>
        <w:bottom w:val="none" w:sz="0" w:space="0" w:color="auto"/>
        <w:right w:val="none" w:sz="0" w:space="0" w:color="auto"/>
      </w:divBdr>
    </w:div>
    <w:div w:id="1086800909">
      <w:bodyDiv w:val="1"/>
      <w:marLeft w:val="0"/>
      <w:marRight w:val="0"/>
      <w:marTop w:val="0"/>
      <w:marBottom w:val="0"/>
      <w:divBdr>
        <w:top w:val="none" w:sz="0" w:space="0" w:color="auto"/>
        <w:left w:val="none" w:sz="0" w:space="0" w:color="auto"/>
        <w:bottom w:val="none" w:sz="0" w:space="0" w:color="auto"/>
        <w:right w:val="none" w:sz="0" w:space="0" w:color="auto"/>
      </w:divBdr>
    </w:div>
    <w:div w:id="1107311096">
      <w:bodyDiv w:val="1"/>
      <w:marLeft w:val="0"/>
      <w:marRight w:val="0"/>
      <w:marTop w:val="0"/>
      <w:marBottom w:val="0"/>
      <w:divBdr>
        <w:top w:val="none" w:sz="0" w:space="0" w:color="auto"/>
        <w:left w:val="none" w:sz="0" w:space="0" w:color="auto"/>
        <w:bottom w:val="none" w:sz="0" w:space="0" w:color="auto"/>
        <w:right w:val="none" w:sz="0" w:space="0" w:color="auto"/>
      </w:divBdr>
    </w:div>
    <w:div w:id="1116101117">
      <w:bodyDiv w:val="1"/>
      <w:marLeft w:val="0"/>
      <w:marRight w:val="0"/>
      <w:marTop w:val="0"/>
      <w:marBottom w:val="0"/>
      <w:divBdr>
        <w:top w:val="none" w:sz="0" w:space="0" w:color="auto"/>
        <w:left w:val="none" w:sz="0" w:space="0" w:color="auto"/>
        <w:bottom w:val="none" w:sz="0" w:space="0" w:color="auto"/>
        <w:right w:val="none" w:sz="0" w:space="0" w:color="auto"/>
      </w:divBdr>
    </w:div>
    <w:div w:id="1116293842">
      <w:bodyDiv w:val="1"/>
      <w:marLeft w:val="0"/>
      <w:marRight w:val="0"/>
      <w:marTop w:val="0"/>
      <w:marBottom w:val="0"/>
      <w:divBdr>
        <w:top w:val="none" w:sz="0" w:space="0" w:color="auto"/>
        <w:left w:val="none" w:sz="0" w:space="0" w:color="auto"/>
        <w:bottom w:val="none" w:sz="0" w:space="0" w:color="auto"/>
        <w:right w:val="none" w:sz="0" w:space="0" w:color="auto"/>
      </w:divBdr>
    </w:div>
    <w:div w:id="1120034826">
      <w:bodyDiv w:val="1"/>
      <w:marLeft w:val="0"/>
      <w:marRight w:val="0"/>
      <w:marTop w:val="0"/>
      <w:marBottom w:val="0"/>
      <w:divBdr>
        <w:top w:val="none" w:sz="0" w:space="0" w:color="auto"/>
        <w:left w:val="none" w:sz="0" w:space="0" w:color="auto"/>
        <w:bottom w:val="none" w:sz="0" w:space="0" w:color="auto"/>
        <w:right w:val="none" w:sz="0" w:space="0" w:color="auto"/>
      </w:divBdr>
    </w:div>
    <w:div w:id="1120340070">
      <w:bodyDiv w:val="1"/>
      <w:marLeft w:val="0"/>
      <w:marRight w:val="0"/>
      <w:marTop w:val="0"/>
      <w:marBottom w:val="0"/>
      <w:divBdr>
        <w:top w:val="none" w:sz="0" w:space="0" w:color="auto"/>
        <w:left w:val="none" w:sz="0" w:space="0" w:color="auto"/>
        <w:bottom w:val="none" w:sz="0" w:space="0" w:color="auto"/>
        <w:right w:val="none" w:sz="0" w:space="0" w:color="auto"/>
      </w:divBdr>
    </w:div>
    <w:div w:id="1122266285">
      <w:bodyDiv w:val="1"/>
      <w:marLeft w:val="0"/>
      <w:marRight w:val="0"/>
      <w:marTop w:val="0"/>
      <w:marBottom w:val="0"/>
      <w:divBdr>
        <w:top w:val="none" w:sz="0" w:space="0" w:color="auto"/>
        <w:left w:val="none" w:sz="0" w:space="0" w:color="auto"/>
        <w:bottom w:val="none" w:sz="0" w:space="0" w:color="auto"/>
        <w:right w:val="none" w:sz="0" w:space="0" w:color="auto"/>
      </w:divBdr>
    </w:div>
    <w:div w:id="1123691931">
      <w:bodyDiv w:val="1"/>
      <w:marLeft w:val="0"/>
      <w:marRight w:val="0"/>
      <w:marTop w:val="0"/>
      <w:marBottom w:val="0"/>
      <w:divBdr>
        <w:top w:val="none" w:sz="0" w:space="0" w:color="auto"/>
        <w:left w:val="none" w:sz="0" w:space="0" w:color="auto"/>
        <w:bottom w:val="none" w:sz="0" w:space="0" w:color="auto"/>
        <w:right w:val="none" w:sz="0" w:space="0" w:color="auto"/>
      </w:divBdr>
    </w:div>
    <w:div w:id="1125856212">
      <w:bodyDiv w:val="1"/>
      <w:marLeft w:val="0"/>
      <w:marRight w:val="0"/>
      <w:marTop w:val="0"/>
      <w:marBottom w:val="0"/>
      <w:divBdr>
        <w:top w:val="none" w:sz="0" w:space="0" w:color="auto"/>
        <w:left w:val="none" w:sz="0" w:space="0" w:color="auto"/>
        <w:bottom w:val="none" w:sz="0" w:space="0" w:color="auto"/>
        <w:right w:val="none" w:sz="0" w:space="0" w:color="auto"/>
      </w:divBdr>
    </w:div>
    <w:div w:id="1142041777">
      <w:bodyDiv w:val="1"/>
      <w:marLeft w:val="0"/>
      <w:marRight w:val="0"/>
      <w:marTop w:val="0"/>
      <w:marBottom w:val="0"/>
      <w:divBdr>
        <w:top w:val="none" w:sz="0" w:space="0" w:color="auto"/>
        <w:left w:val="none" w:sz="0" w:space="0" w:color="auto"/>
        <w:bottom w:val="none" w:sz="0" w:space="0" w:color="auto"/>
        <w:right w:val="none" w:sz="0" w:space="0" w:color="auto"/>
      </w:divBdr>
    </w:div>
    <w:div w:id="1147355594">
      <w:bodyDiv w:val="1"/>
      <w:marLeft w:val="0"/>
      <w:marRight w:val="0"/>
      <w:marTop w:val="0"/>
      <w:marBottom w:val="0"/>
      <w:divBdr>
        <w:top w:val="none" w:sz="0" w:space="0" w:color="auto"/>
        <w:left w:val="none" w:sz="0" w:space="0" w:color="auto"/>
        <w:bottom w:val="none" w:sz="0" w:space="0" w:color="auto"/>
        <w:right w:val="none" w:sz="0" w:space="0" w:color="auto"/>
      </w:divBdr>
    </w:div>
    <w:div w:id="1191063921">
      <w:bodyDiv w:val="1"/>
      <w:marLeft w:val="0"/>
      <w:marRight w:val="0"/>
      <w:marTop w:val="0"/>
      <w:marBottom w:val="0"/>
      <w:divBdr>
        <w:top w:val="none" w:sz="0" w:space="0" w:color="auto"/>
        <w:left w:val="none" w:sz="0" w:space="0" w:color="auto"/>
        <w:bottom w:val="none" w:sz="0" w:space="0" w:color="auto"/>
        <w:right w:val="none" w:sz="0" w:space="0" w:color="auto"/>
      </w:divBdr>
    </w:div>
    <w:div w:id="1191451895">
      <w:bodyDiv w:val="1"/>
      <w:marLeft w:val="0"/>
      <w:marRight w:val="0"/>
      <w:marTop w:val="0"/>
      <w:marBottom w:val="0"/>
      <w:divBdr>
        <w:top w:val="none" w:sz="0" w:space="0" w:color="auto"/>
        <w:left w:val="none" w:sz="0" w:space="0" w:color="auto"/>
        <w:bottom w:val="none" w:sz="0" w:space="0" w:color="auto"/>
        <w:right w:val="none" w:sz="0" w:space="0" w:color="auto"/>
      </w:divBdr>
    </w:div>
    <w:div w:id="1200817511">
      <w:bodyDiv w:val="1"/>
      <w:marLeft w:val="0"/>
      <w:marRight w:val="0"/>
      <w:marTop w:val="0"/>
      <w:marBottom w:val="0"/>
      <w:divBdr>
        <w:top w:val="none" w:sz="0" w:space="0" w:color="auto"/>
        <w:left w:val="none" w:sz="0" w:space="0" w:color="auto"/>
        <w:bottom w:val="none" w:sz="0" w:space="0" w:color="auto"/>
        <w:right w:val="none" w:sz="0" w:space="0" w:color="auto"/>
      </w:divBdr>
    </w:div>
    <w:div w:id="1218202938">
      <w:bodyDiv w:val="1"/>
      <w:marLeft w:val="0"/>
      <w:marRight w:val="0"/>
      <w:marTop w:val="0"/>
      <w:marBottom w:val="0"/>
      <w:divBdr>
        <w:top w:val="none" w:sz="0" w:space="0" w:color="auto"/>
        <w:left w:val="none" w:sz="0" w:space="0" w:color="auto"/>
        <w:bottom w:val="none" w:sz="0" w:space="0" w:color="auto"/>
        <w:right w:val="none" w:sz="0" w:space="0" w:color="auto"/>
      </w:divBdr>
    </w:div>
    <w:div w:id="1261719299">
      <w:bodyDiv w:val="1"/>
      <w:marLeft w:val="0"/>
      <w:marRight w:val="0"/>
      <w:marTop w:val="0"/>
      <w:marBottom w:val="0"/>
      <w:divBdr>
        <w:top w:val="none" w:sz="0" w:space="0" w:color="auto"/>
        <w:left w:val="none" w:sz="0" w:space="0" w:color="auto"/>
        <w:bottom w:val="none" w:sz="0" w:space="0" w:color="auto"/>
        <w:right w:val="none" w:sz="0" w:space="0" w:color="auto"/>
      </w:divBdr>
    </w:div>
    <w:div w:id="1264072238">
      <w:bodyDiv w:val="1"/>
      <w:marLeft w:val="0"/>
      <w:marRight w:val="0"/>
      <w:marTop w:val="0"/>
      <w:marBottom w:val="0"/>
      <w:divBdr>
        <w:top w:val="none" w:sz="0" w:space="0" w:color="auto"/>
        <w:left w:val="none" w:sz="0" w:space="0" w:color="auto"/>
        <w:bottom w:val="none" w:sz="0" w:space="0" w:color="auto"/>
        <w:right w:val="none" w:sz="0" w:space="0" w:color="auto"/>
      </w:divBdr>
    </w:div>
    <w:div w:id="1266309344">
      <w:bodyDiv w:val="1"/>
      <w:marLeft w:val="0"/>
      <w:marRight w:val="0"/>
      <w:marTop w:val="0"/>
      <w:marBottom w:val="0"/>
      <w:divBdr>
        <w:top w:val="none" w:sz="0" w:space="0" w:color="auto"/>
        <w:left w:val="none" w:sz="0" w:space="0" w:color="auto"/>
        <w:bottom w:val="none" w:sz="0" w:space="0" w:color="auto"/>
        <w:right w:val="none" w:sz="0" w:space="0" w:color="auto"/>
      </w:divBdr>
    </w:div>
    <w:div w:id="1272860614">
      <w:bodyDiv w:val="1"/>
      <w:marLeft w:val="0"/>
      <w:marRight w:val="0"/>
      <w:marTop w:val="0"/>
      <w:marBottom w:val="0"/>
      <w:divBdr>
        <w:top w:val="none" w:sz="0" w:space="0" w:color="auto"/>
        <w:left w:val="none" w:sz="0" w:space="0" w:color="auto"/>
        <w:bottom w:val="none" w:sz="0" w:space="0" w:color="auto"/>
        <w:right w:val="none" w:sz="0" w:space="0" w:color="auto"/>
      </w:divBdr>
    </w:div>
    <w:div w:id="1279491251">
      <w:bodyDiv w:val="1"/>
      <w:marLeft w:val="0"/>
      <w:marRight w:val="0"/>
      <w:marTop w:val="0"/>
      <w:marBottom w:val="0"/>
      <w:divBdr>
        <w:top w:val="none" w:sz="0" w:space="0" w:color="auto"/>
        <w:left w:val="none" w:sz="0" w:space="0" w:color="auto"/>
        <w:bottom w:val="none" w:sz="0" w:space="0" w:color="auto"/>
        <w:right w:val="none" w:sz="0" w:space="0" w:color="auto"/>
      </w:divBdr>
    </w:div>
    <w:div w:id="1291090074">
      <w:bodyDiv w:val="1"/>
      <w:marLeft w:val="0"/>
      <w:marRight w:val="0"/>
      <w:marTop w:val="0"/>
      <w:marBottom w:val="0"/>
      <w:divBdr>
        <w:top w:val="none" w:sz="0" w:space="0" w:color="auto"/>
        <w:left w:val="none" w:sz="0" w:space="0" w:color="auto"/>
        <w:bottom w:val="none" w:sz="0" w:space="0" w:color="auto"/>
        <w:right w:val="none" w:sz="0" w:space="0" w:color="auto"/>
      </w:divBdr>
    </w:div>
    <w:div w:id="1303927103">
      <w:bodyDiv w:val="1"/>
      <w:marLeft w:val="0"/>
      <w:marRight w:val="0"/>
      <w:marTop w:val="0"/>
      <w:marBottom w:val="0"/>
      <w:divBdr>
        <w:top w:val="none" w:sz="0" w:space="0" w:color="auto"/>
        <w:left w:val="none" w:sz="0" w:space="0" w:color="auto"/>
        <w:bottom w:val="none" w:sz="0" w:space="0" w:color="auto"/>
        <w:right w:val="none" w:sz="0" w:space="0" w:color="auto"/>
      </w:divBdr>
    </w:div>
    <w:div w:id="1304846867">
      <w:bodyDiv w:val="1"/>
      <w:marLeft w:val="0"/>
      <w:marRight w:val="0"/>
      <w:marTop w:val="0"/>
      <w:marBottom w:val="0"/>
      <w:divBdr>
        <w:top w:val="none" w:sz="0" w:space="0" w:color="auto"/>
        <w:left w:val="none" w:sz="0" w:space="0" w:color="auto"/>
        <w:bottom w:val="none" w:sz="0" w:space="0" w:color="auto"/>
        <w:right w:val="none" w:sz="0" w:space="0" w:color="auto"/>
      </w:divBdr>
    </w:div>
    <w:div w:id="1316446681">
      <w:bodyDiv w:val="1"/>
      <w:marLeft w:val="0"/>
      <w:marRight w:val="0"/>
      <w:marTop w:val="0"/>
      <w:marBottom w:val="0"/>
      <w:divBdr>
        <w:top w:val="none" w:sz="0" w:space="0" w:color="auto"/>
        <w:left w:val="none" w:sz="0" w:space="0" w:color="auto"/>
        <w:bottom w:val="none" w:sz="0" w:space="0" w:color="auto"/>
        <w:right w:val="none" w:sz="0" w:space="0" w:color="auto"/>
      </w:divBdr>
    </w:div>
    <w:div w:id="1332366690">
      <w:bodyDiv w:val="1"/>
      <w:marLeft w:val="0"/>
      <w:marRight w:val="0"/>
      <w:marTop w:val="0"/>
      <w:marBottom w:val="0"/>
      <w:divBdr>
        <w:top w:val="none" w:sz="0" w:space="0" w:color="auto"/>
        <w:left w:val="none" w:sz="0" w:space="0" w:color="auto"/>
        <w:bottom w:val="none" w:sz="0" w:space="0" w:color="auto"/>
        <w:right w:val="none" w:sz="0" w:space="0" w:color="auto"/>
      </w:divBdr>
    </w:div>
    <w:div w:id="1340891552">
      <w:bodyDiv w:val="1"/>
      <w:marLeft w:val="0"/>
      <w:marRight w:val="0"/>
      <w:marTop w:val="0"/>
      <w:marBottom w:val="0"/>
      <w:divBdr>
        <w:top w:val="none" w:sz="0" w:space="0" w:color="auto"/>
        <w:left w:val="none" w:sz="0" w:space="0" w:color="auto"/>
        <w:bottom w:val="none" w:sz="0" w:space="0" w:color="auto"/>
        <w:right w:val="none" w:sz="0" w:space="0" w:color="auto"/>
      </w:divBdr>
    </w:div>
    <w:div w:id="1348749937">
      <w:bodyDiv w:val="1"/>
      <w:marLeft w:val="0"/>
      <w:marRight w:val="0"/>
      <w:marTop w:val="0"/>
      <w:marBottom w:val="0"/>
      <w:divBdr>
        <w:top w:val="none" w:sz="0" w:space="0" w:color="auto"/>
        <w:left w:val="none" w:sz="0" w:space="0" w:color="auto"/>
        <w:bottom w:val="none" w:sz="0" w:space="0" w:color="auto"/>
        <w:right w:val="none" w:sz="0" w:space="0" w:color="auto"/>
      </w:divBdr>
    </w:div>
    <w:div w:id="1351758323">
      <w:bodyDiv w:val="1"/>
      <w:marLeft w:val="0"/>
      <w:marRight w:val="0"/>
      <w:marTop w:val="0"/>
      <w:marBottom w:val="0"/>
      <w:divBdr>
        <w:top w:val="none" w:sz="0" w:space="0" w:color="auto"/>
        <w:left w:val="none" w:sz="0" w:space="0" w:color="auto"/>
        <w:bottom w:val="none" w:sz="0" w:space="0" w:color="auto"/>
        <w:right w:val="none" w:sz="0" w:space="0" w:color="auto"/>
      </w:divBdr>
    </w:div>
    <w:div w:id="1354725032">
      <w:bodyDiv w:val="1"/>
      <w:marLeft w:val="0"/>
      <w:marRight w:val="0"/>
      <w:marTop w:val="0"/>
      <w:marBottom w:val="0"/>
      <w:divBdr>
        <w:top w:val="none" w:sz="0" w:space="0" w:color="auto"/>
        <w:left w:val="none" w:sz="0" w:space="0" w:color="auto"/>
        <w:bottom w:val="none" w:sz="0" w:space="0" w:color="auto"/>
        <w:right w:val="none" w:sz="0" w:space="0" w:color="auto"/>
      </w:divBdr>
    </w:div>
    <w:div w:id="1367172118">
      <w:bodyDiv w:val="1"/>
      <w:marLeft w:val="0"/>
      <w:marRight w:val="0"/>
      <w:marTop w:val="0"/>
      <w:marBottom w:val="0"/>
      <w:divBdr>
        <w:top w:val="none" w:sz="0" w:space="0" w:color="auto"/>
        <w:left w:val="none" w:sz="0" w:space="0" w:color="auto"/>
        <w:bottom w:val="none" w:sz="0" w:space="0" w:color="auto"/>
        <w:right w:val="none" w:sz="0" w:space="0" w:color="auto"/>
      </w:divBdr>
    </w:div>
    <w:div w:id="1380133403">
      <w:bodyDiv w:val="1"/>
      <w:marLeft w:val="0"/>
      <w:marRight w:val="0"/>
      <w:marTop w:val="0"/>
      <w:marBottom w:val="0"/>
      <w:divBdr>
        <w:top w:val="none" w:sz="0" w:space="0" w:color="auto"/>
        <w:left w:val="none" w:sz="0" w:space="0" w:color="auto"/>
        <w:bottom w:val="none" w:sz="0" w:space="0" w:color="auto"/>
        <w:right w:val="none" w:sz="0" w:space="0" w:color="auto"/>
      </w:divBdr>
    </w:div>
    <w:div w:id="1394162409">
      <w:bodyDiv w:val="1"/>
      <w:marLeft w:val="0"/>
      <w:marRight w:val="0"/>
      <w:marTop w:val="0"/>
      <w:marBottom w:val="0"/>
      <w:divBdr>
        <w:top w:val="none" w:sz="0" w:space="0" w:color="auto"/>
        <w:left w:val="none" w:sz="0" w:space="0" w:color="auto"/>
        <w:bottom w:val="none" w:sz="0" w:space="0" w:color="auto"/>
        <w:right w:val="none" w:sz="0" w:space="0" w:color="auto"/>
      </w:divBdr>
    </w:div>
    <w:div w:id="1397627238">
      <w:bodyDiv w:val="1"/>
      <w:marLeft w:val="0"/>
      <w:marRight w:val="0"/>
      <w:marTop w:val="0"/>
      <w:marBottom w:val="0"/>
      <w:divBdr>
        <w:top w:val="none" w:sz="0" w:space="0" w:color="auto"/>
        <w:left w:val="none" w:sz="0" w:space="0" w:color="auto"/>
        <w:bottom w:val="none" w:sz="0" w:space="0" w:color="auto"/>
        <w:right w:val="none" w:sz="0" w:space="0" w:color="auto"/>
      </w:divBdr>
    </w:div>
    <w:div w:id="1415281633">
      <w:bodyDiv w:val="1"/>
      <w:marLeft w:val="0"/>
      <w:marRight w:val="0"/>
      <w:marTop w:val="0"/>
      <w:marBottom w:val="0"/>
      <w:divBdr>
        <w:top w:val="none" w:sz="0" w:space="0" w:color="auto"/>
        <w:left w:val="none" w:sz="0" w:space="0" w:color="auto"/>
        <w:bottom w:val="none" w:sz="0" w:space="0" w:color="auto"/>
        <w:right w:val="none" w:sz="0" w:space="0" w:color="auto"/>
      </w:divBdr>
    </w:div>
    <w:div w:id="1435176968">
      <w:bodyDiv w:val="1"/>
      <w:marLeft w:val="0"/>
      <w:marRight w:val="0"/>
      <w:marTop w:val="0"/>
      <w:marBottom w:val="0"/>
      <w:divBdr>
        <w:top w:val="none" w:sz="0" w:space="0" w:color="auto"/>
        <w:left w:val="none" w:sz="0" w:space="0" w:color="auto"/>
        <w:bottom w:val="none" w:sz="0" w:space="0" w:color="auto"/>
        <w:right w:val="none" w:sz="0" w:space="0" w:color="auto"/>
      </w:divBdr>
    </w:div>
    <w:div w:id="1446735483">
      <w:bodyDiv w:val="1"/>
      <w:marLeft w:val="0"/>
      <w:marRight w:val="0"/>
      <w:marTop w:val="0"/>
      <w:marBottom w:val="0"/>
      <w:divBdr>
        <w:top w:val="none" w:sz="0" w:space="0" w:color="auto"/>
        <w:left w:val="none" w:sz="0" w:space="0" w:color="auto"/>
        <w:bottom w:val="none" w:sz="0" w:space="0" w:color="auto"/>
        <w:right w:val="none" w:sz="0" w:space="0" w:color="auto"/>
      </w:divBdr>
    </w:div>
    <w:div w:id="1452553989">
      <w:bodyDiv w:val="1"/>
      <w:marLeft w:val="0"/>
      <w:marRight w:val="0"/>
      <w:marTop w:val="0"/>
      <w:marBottom w:val="0"/>
      <w:divBdr>
        <w:top w:val="none" w:sz="0" w:space="0" w:color="auto"/>
        <w:left w:val="none" w:sz="0" w:space="0" w:color="auto"/>
        <w:bottom w:val="none" w:sz="0" w:space="0" w:color="auto"/>
        <w:right w:val="none" w:sz="0" w:space="0" w:color="auto"/>
      </w:divBdr>
    </w:div>
    <w:div w:id="1463424988">
      <w:bodyDiv w:val="1"/>
      <w:marLeft w:val="0"/>
      <w:marRight w:val="0"/>
      <w:marTop w:val="0"/>
      <w:marBottom w:val="0"/>
      <w:divBdr>
        <w:top w:val="none" w:sz="0" w:space="0" w:color="auto"/>
        <w:left w:val="none" w:sz="0" w:space="0" w:color="auto"/>
        <w:bottom w:val="none" w:sz="0" w:space="0" w:color="auto"/>
        <w:right w:val="none" w:sz="0" w:space="0" w:color="auto"/>
      </w:divBdr>
    </w:div>
    <w:div w:id="1470316223">
      <w:bodyDiv w:val="1"/>
      <w:marLeft w:val="0"/>
      <w:marRight w:val="0"/>
      <w:marTop w:val="0"/>
      <w:marBottom w:val="0"/>
      <w:divBdr>
        <w:top w:val="none" w:sz="0" w:space="0" w:color="auto"/>
        <w:left w:val="none" w:sz="0" w:space="0" w:color="auto"/>
        <w:bottom w:val="none" w:sz="0" w:space="0" w:color="auto"/>
        <w:right w:val="none" w:sz="0" w:space="0" w:color="auto"/>
      </w:divBdr>
    </w:div>
    <w:div w:id="1474172309">
      <w:bodyDiv w:val="1"/>
      <w:marLeft w:val="0"/>
      <w:marRight w:val="0"/>
      <w:marTop w:val="0"/>
      <w:marBottom w:val="0"/>
      <w:divBdr>
        <w:top w:val="none" w:sz="0" w:space="0" w:color="auto"/>
        <w:left w:val="none" w:sz="0" w:space="0" w:color="auto"/>
        <w:bottom w:val="none" w:sz="0" w:space="0" w:color="auto"/>
        <w:right w:val="none" w:sz="0" w:space="0" w:color="auto"/>
      </w:divBdr>
    </w:div>
    <w:div w:id="1495996838">
      <w:bodyDiv w:val="1"/>
      <w:marLeft w:val="0"/>
      <w:marRight w:val="0"/>
      <w:marTop w:val="0"/>
      <w:marBottom w:val="0"/>
      <w:divBdr>
        <w:top w:val="none" w:sz="0" w:space="0" w:color="auto"/>
        <w:left w:val="none" w:sz="0" w:space="0" w:color="auto"/>
        <w:bottom w:val="none" w:sz="0" w:space="0" w:color="auto"/>
        <w:right w:val="none" w:sz="0" w:space="0" w:color="auto"/>
      </w:divBdr>
    </w:div>
    <w:div w:id="1511411698">
      <w:bodyDiv w:val="1"/>
      <w:marLeft w:val="0"/>
      <w:marRight w:val="0"/>
      <w:marTop w:val="0"/>
      <w:marBottom w:val="0"/>
      <w:divBdr>
        <w:top w:val="none" w:sz="0" w:space="0" w:color="auto"/>
        <w:left w:val="none" w:sz="0" w:space="0" w:color="auto"/>
        <w:bottom w:val="none" w:sz="0" w:space="0" w:color="auto"/>
        <w:right w:val="none" w:sz="0" w:space="0" w:color="auto"/>
      </w:divBdr>
    </w:div>
    <w:div w:id="1546023971">
      <w:bodyDiv w:val="1"/>
      <w:marLeft w:val="0"/>
      <w:marRight w:val="0"/>
      <w:marTop w:val="0"/>
      <w:marBottom w:val="0"/>
      <w:divBdr>
        <w:top w:val="none" w:sz="0" w:space="0" w:color="auto"/>
        <w:left w:val="none" w:sz="0" w:space="0" w:color="auto"/>
        <w:bottom w:val="none" w:sz="0" w:space="0" w:color="auto"/>
        <w:right w:val="none" w:sz="0" w:space="0" w:color="auto"/>
      </w:divBdr>
    </w:div>
    <w:div w:id="1576554395">
      <w:bodyDiv w:val="1"/>
      <w:marLeft w:val="0"/>
      <w:marRight w:val="0"/>
      <w:marTop w:val="0"/>
      <w:marBottom w:val="0"/>
      <w:divBdr>
        <w:top w:val="none" w:sz="0" w:space="0" w:color="auto"/>
        <w:left w:val="none" w:sz="0" w:space="0" w:color="auto"/>
        <w:bottom w:val="none" w:sz="0" w:space="0" w:color="auto"/>
        <w:right w:val="none" w:sz="0" w:space="0" w:color="auto"/>
      </w:divBdr>
    </w:div>
    <w:div w:id="1576863030">
      <w:bodyDiv w:val="1"/>
      <w:marLeft w:val="0"/>
      <w:marRight w:val="0"/>
      <w:marTop w:val="0"/>
      <w:marBottom w:val="0"/>
      <w:divBdr>
        <w:top w:val="none" w:sz="0" w:space="0" w:color="auto"/>
        <w:left w:val="none" w:sz="0" w:space="0" w:color="auto"/>
        <w:bottom w:val="none" w:sz="0" w:space="0" w:color="auto"/>
        <w:right w:val="none" w:sz="0" w:space="0" w:color="auto"/>
      </w:divBdr>
    </w:div>
    <w:div w:id="1580016434">
      <w:bodyDiv w:val="1"/>
      <w:marLeft w:val="0"/>
      <w:marRight w:val="0"/>
      <w:marTop w:val="0"/>
      <w:marBottom w:val="0"/>
      <w:divBdr>
        <w:top w:val="none" w:sz="0" w:space="0" w:color="auto"/>
        <w:left w:val="none" w:sz="0" w:space="0" w:color="auto"/>
        <w:bottom w:val="none" w:sz="0" w:space="0" w:color="auto"/>
        <w:right w:val="none" w:sz="0" w:space="0" w:color="auto"/>
      </w:divBdr>
    </w:div>
    <w:div w:id="1621911166">
      <w:bodyDiv w:val="1"/>
      <w:marLeft w:val="0"/>
      <w:marRight w:val="0"/>
      <w:marTop w:val="0"/>
      <w:marBottom w:val="0"/>
      <w:divBdr>
        <w:top w:val="none" w:sz="0" w:space="0" w:color="auto"/>
        <w:left w:val="none" w:sz="0" w:space="0" w:color="auto"/>
        <w:bottom w:val="none" w:sz="0" w:space="0" w:color="auto"/>
        <w:right w:val="none" w:sz="0" w:space="0" w:color="auto"/>
      </w:divBdr>
    </w:div>
    <w:div w:id="1622345442">
      <w:bodyDiv w:val="1"/>
      <w:marLeft w:val="0"/>
      <w:marRight w:val="0"/>
      <w:marTop w:val="0"/>
      <w:marBottom w:val="0"/>
      <w:divBdr>
        <w:top w:val="none" w:sz="0" w:space="0" w:color="auto"/>
        <w:left w:val="none" w:sz="0" w:space="0" w:color="auto"/>
        <w:bottom w:val="none" w:sz="0" w:space="0" w:color="auto"/>
        <w:right w:val="none" w:sz="0" w:space="0" w:color="auto"/>
      </w:divBdr>
    </w:div>
    <w:div w:id="1632789220">
      <w:bodyDiv w:val="1"/>
      <w:marLeft w:val="0"/>
      <w:marRight w:val="0"/>
      <w:marTop w:val="0"/>
      <w:marBottom w:val="0"/>
      <w:divBdr>
        <w:top w:val="none" w:sz="0" w:space="0" w:color="auto"/>
        <w:left w:val="none" w:sz="0" w:space="0" w:color="auto"/>
        <w:bottom w:val="none" w:sz="0" w:space="0" w:color="auto"/>
        <w:right w:val="none" w:sz="0" w:space="0" w:color="auto"/>
      </w:divBdr>
    </w:div>
    <w:div w:id="1644508142">
      <w:bodyDiv w:val="1"/>
      <w:marLeft w:val="0"/>
      <w:marRight w:val="0"/>
      <w:marTop w:val="0"/>
      <w:marBottom w:val="0"/>
      <w:divBdr>
        <w:top w:val="none" w:sz="0" w:space="0" w:color="auto"/>
        <w:left w:val="none" w:sz="0" w:space="0" w:color="auto"/>
        <w:bottom w:val="none" w:sz="0" w:space="0" w:color="auto"/>
        <w:right w:val="none" w:sz="0" w:space="0" w:color="auto"/>
      </w:divBdr>
    </w:div>
    <w:div w:id="1666934954">
      <w:bodyDiv w:val="1"/>
      <w:marLeft w:val="0"/>
      <w:marRight w:val="0"/>
      <w:marTop w:val="0"/>
      <w:marBottom w:val="0"/>
      <w:divBdr>
        <w:top w:val="none" w:sz="0" w:space="0" w:color="auto"/>
        <w:left w:val="none" w:sz="0" w:space="0" w:color="auto"/>
        <w:bottom w:val="none" w:sz="0" w:space="0" w:color="auto"/>
        <w:right w:val="none" w:sz="0" w:space="0" w:color="auto"/>
      </w:divBdr>
    </w:div>
    <w:div w:id="1673609207">
      <w:bodyDiv w:val="1"/>
      <w:marLeft w:val="0"/>
      <w:marRight w:val="0"/>
      <w:marTop w:val="0"/>
      <w:marBottom w:val="0"/>
      <w:divBdr>
        <w:top w:val="none" w:sz="0" w:space="0" w:color="auto"/>
        <w:left w:val="none" w:sz="0" w:space="0" w:color="auto"/>
        <w:bottom w:val="none" w:sz="0" w:space="0" w:color="auto"/>
        <w:right w:val="none" w:sz="0" w:space="0" w:color="auto"/>
      </w:divBdr>
    </w:div>
    <w:div w:id="1685133337">
      <w:bodyDiv w:val="1"/>
      <w:marLeft w:val="0"/>
      <w:marRight w:val="0"/>
      <w:marTop w:val="0"/>
      <w:marBottom w:val="0"/>
      <w:divBdr>
        <w:top w:val="none" w:sz="0" w:space="0" w:color="auto"/>
        <w:left w:val="none" w:sz="0" w:space="0" w:color="auto"/>
        <w:bottom w:val="none" w:sz="0" w:space="0" w:color="auto"/>
        <w:right w:val="none" w:sz="0" w:space="0" w:color="auto"/>
      </w:divBdr>
    </w:div>
    <w:div w:id="1691253242">
      <w:bodyDiv w:val="1"/>
      <w:marLeft w:val="0"/>
      <w:marRight w:val="0"/>
      <w:marTop w:val="0"/>
      <w:marBottom w:val="0"/>
      <w:divBdr>
        <w:top w:val="none" w:sz="0" w:space="0" w:color="auto"/>
        <w:left w:val="none" w:sz="0" w:space="0" w:color="auto"/>
        <w:bottom w:val="none" w:sz="0" w:space="0" w:color="auto"/>
        <w:right w:val="none" w:sz="0" w:space="0" w:color="auto"/>
      </w:divBdr>
    </w:div>
    <w:div w:id="1697199137">
      <w:bodyDiv w:val="1"/>
      <w:marLeft w:val="0"/>
      <w:marRight w:val="0"/>
      <w:marTop w:val="0"/>
      <w:marBottom w:val="0"/>
      <w:divBdr>
        <w:top w:val="none" w:sz="0" w:space="0" w:color="auto"/>
        <w:left w:val="none" w:sz="0" w:space="0" w:color="auto"/>
        <w:bottom w:val="none" w:sz="0" w:space="0" w:color="auto"/>
        <w:right w:val="none" w:sz="0" w:space="0" w:color="auto"/>
      </w:divBdr>
    </w:div>
    <w:div w:id="1735347525">
      <w:bodyDiv w:val="1"/>
      <w:marLeft w:val="0"/>
      <w:marRight w:val="0"/>
      <w:marTop w:val="0"/>
      <w:marBottom w:val="0"/>
      <w:divBdr>
        <w:top w:val="none" w:sz="0" w:space="0" w:color="auto"/>
        <w:left w:val="none" w:sz="0" w:space="0" w:color="auto"/>
        <w:bottom w:val="none" w:sz="0" w:space="0" w:color="auto"/>
        <w:right w:val="none" w:sz="0" w:space="0" w:color="auto"/>
      </w:divBdr>
    </w:div>
    <w:div w:id="1749233992">
      <w:bodyDiv w:val="1"/>
      <w:marLeft w:val="0"/>
      <w:marRight w:val="0"/>
      <w:marTop w:val="0"/>
      <w:marBottom w:val="0"/>
      <w:divBdr>
        <w:top w:val="none" w:sz="0" w:space="0" w:color="auto"/>
        <w:left w:val="none" w:sz="0" w:space="0" w:color="auto"/>
        <w:bottom w:val="none" w:sz="0" w:space="0" w:color="auto"/>
        <w:right w:val="none" w:sz="0" w:space="0" w:color="auto"/>
      </w:divBdr>
    </w:div>
    <w:div w:id="1749300879">
      <w:bodyDiv w:val="1"/>
      <w:marLeft w:val="0"/>
      <w:marRight w:val="0"/>
      <w:marTop w:val="0"/>
      <w:marBottom w:val="0"/>
      <w:divBdr>
        <w:top w:val="none" w:sz="0" w:space="0" w:color="auto"/>
        <w:left w:val="none" w:sz="0" w:space="0" w:color="auto"/>
        <w:bottom w:val="none" w:sz="0" w:space="0" w:color="auto"/>
        <w:right w:val="none" w:sz="0" w:space="0" w:color="auto"/>
      </w:divBdr>
    </w:div>
    <w:div w:id="1763137149">
      <w:bodyDiv w:val="1"/>
      <w:marLeft w:val="0"/>
      <w:marRight w:val="0"/>
      <w:marTop w:val="0"/>
      <w:marBottom w:val="0"/>
      <w:divBdr>
        <w:top w:val="none" w:sz="0" w:space="0" w:color="auto"/>
        <w:left w:val="none" w:sz="0" w:space="0" w:color="auto"/>
        <w:bottom w:val="none" w:sz="0" w:space="0" w:color="auto"/>
        <w:right w:val="none" w:sz="0" w:space="0" w:color="auto"/>
      </w:divBdr>
    </w:div>
    <w:div w:id="1766808454">
      <w:bodyDiv w:val="1"/>
      <w:marLeft w:val="0"/>
      <w:marRight w:val="0"/>
      <w:marTop w:val="0"/>
      <w:marBottom w:val="0"/>
      <w:divBdr>
        <w:top w:val="none" w:sz="0" w:space="0" w:color="auto"/>
        <w:left w:val="none" w:sz="0" w:space="0" w:color="auto"/>
        <w:bottom w:val="none" w:sz="0" w:space="0" w:color="auto"/>
        <w:right w:val="none" w:sz="0" w:space="0" w:color="auto"/>
      </w:divBdr>
    </w:div>
    <w:div w:id="1769503812">
      <w:bodyDiv w:val="1"/>
      <w:marLeft w:val="0"/>
      <w:marRight w:val="0"/>
      <w:marTop w:val="0"/>
      <w:marBottom w:val="0"/>
      <w:divBdr>
        <w:top w:val="none" w:sz="0" w:space="0" w:color="auto"/>
        <w:left w:val="none" w:sz="0" w:space="0" w:color="auto"/>
        <w:bottom w:val="none" w:sz="0" w:space="0" w:color="auto"/>
        <w:right w:val="none" w:sz="0" w:space="0" w:color="auto"/>
      </w:divBdr>
    </w:div>
    <w:div w:id="1771732126">
      <w:bodyDiv w:val="1"/>
      <w:marLeft w:val="0"/>
      <w:marRight w:val="0"/>
      <w:marTop w:val="0"/>
      <w:marBottom w:val="0"/>
      <w:divBdr>
        <w:top w:val="none" w:sz="0" w:space="0" w:color="auto"/>
        <w:left w:val="none" w:sz="0" w:space="0" w:color="auto"/>
        <w:bottom w:val="none" w:sz="0" w:space="0" w:color="auto"/>
        <w:right w:val="none" w:sz="0" w:space="0" w:color="auto"/>
      </w:divBdr>
    </w:div>
    <w:div w:id="1803883085">
      <w:bodyDiv w:val="1"/>
      <w:marLeft w:val="0"/>
      <w:marRight w:val="0"/>
      <w:marTop w:val="0"/>
      <w:marBottom w:val="0"/>
      <w:divBdr>
        <w:top w:val="none" w:sz="0" w:space="0" w:color="auto"/>
        <w:left w:val="none" w:sz="0" w:space="0" w:color="auto"/>
        <w:bottom w:val="none" w:sz="0" w:space="0" w:color="auto"/>
        <w:right w:val="none" w:sz="0" w:space="0" w:color="auto"/>
      </w:divBdr>
    </w:div>
    <w:div w:id="1821456959">
      <w:bodyDiv w:val="1"/>
      <w:marLeft w:val="0"/>
      <w:marRight w:val="0"/>
      <w:marTop w:val="0"/>
      <w:marBottom w:val="0"/>
      <w:divBdr>
        <w:top w:val="none" w:sz="0" w:space="0" w:color="auto"/>
        <w:left w:val="none" w:sz="0" w:space="0" w:color="auto"/>
        <w:bottom w:val="none" w:sz="0" w:space="0" w:color="auto"/>
        <w:right w:val="none" w:sz="0" w:space="0" w:color="auto"/>
      </w:divBdr>
    </w:div>
    <w:div w:id="1821581140">
      <w:bodyDiv w:val="1"/>
      <w:marLeft w:val="0"/>
      <w:marRight w:val="0"/>
      <w:marTop w:val="0"/>
      <w:marBottom w:val="0"/>
      <w:divBdr>
        <w:top w:val="none" w:sz="0" w:space="0" w:color="auto"/>
        <w:left w:val="none" w:sz="0" w:space="0" w:color="auto"/>
        <w:bottom w:val="none" w:sz="0" w:space="0" w:color="auto"/>
        <w:right w:val="none" w:sz="0" w:space="0" w:color="auto"/>
      </w:divBdr>
    </w:div>
    <w:div w:id="1833452262">
      <w:bodyDiv w:val="1"/>
      <w:marLeft w:val="0"/>
      <w:marRight w:val="0"/>
      <w:marTop w:val="0"/>
      <w:marBottom w:val="0"/>
      <w:divBdr>
        <w:top w:val="none" w:sz="0" w:space="0" w:color="auto"/>
        <w:left w:val="none" w:sz="0" w:space="0" w:color="auto"/>
        <w:bottom w:val="none" w:sz="0" w:space="0" w:color="auto"/>
        <w:right w:val="none" w:sz="0" w:space="0" w:color="auto"/>
      </w:divBdr>
    </w:div>
    <w:div w:id="1836994059">
      <w:bodyDiv w:val="1"/>
      <w:marLeft w:val="0"/>
      <w:marRight w:val="0"/>
      <w:marTop w:val="0"/>
      <w:marBottom w:val="0"/>
      <w:divBdr>
        <w:top w:val="none" w:sz="0" w:space="0" w:color="auto"/>
        <w:left w:val="none" w:sz="0" w:space="0" w:color="auto"/>
        <w:bottom w:val="none" w:sz="0" w:space="0" w:color="auto"/>
        <w:right w:val="none" w:sz="0" w:space="0" w:color="auto"/>
      </w:divBdr>
    </w:div>
    <w:div w:id="1837381837">
      <w:bodyDiv w:val="1"/>
      <w:marLeft w:val="0"/>
      <w:marRight w:val="0"/>
      <w:marTop w:val="0"/>
      <w:marBottom w:val="0"/>
      <w:divBdr>
        <w:top w:val="none" w:sz="0" w:space="0" w:color="auto"/>
        <w:left w:val="none" w:sz="0" w:space="0" w:color="auto"/>
        <w:bottom w:val="none" w:sz="0" w:space="0" w:color="auto"/>
        <w:right w:val="none" w:sz="0" w:space="0" w:color="auto"/>
      </w:divBdr>
    </w:div>
    <w:div w:id="1844125571">
      <w:bodyDiv w:val="1"/>
      <w:marLeft w:val="0"/>
      <w:marRight w:val="0"/>
      <w:marTop w:val="0"/>
      <w:marBottom w:val="0"/>
      <w:divBdr>
        <w:top w:val="none" w:sz="0" w:space="0" w:color="auto"/>
        <w:left w:val="none" w:sz="0" w:space="0" w:color="auto"/>
        <w:bottom w:val="none" w:sz="0" w:space="0" w:color="auto"/>
        <w:right w:val="none" w:sz="0" w:space="0" w:color="auto"/>
      </w:divBdr>
    </w:div>
    <w:div w:id="1849708737">
      <w:bodyDiv w:val="1"/>
      <w:marLeft w:val="0"/>
      <w:marRight w:val="0"/>
      <w:marTop w:val="0"/>
      <w:marBottom w:val="0"/>
      <w:divBdr>
        <w:top w:val="none" w:sz="0" w:space="0" w:color="auto"/>
        <w:left w:val="none" w:sz="0" w:space="0" w:color="auto"/>
        <w:bottom w:val="none" w:sz="0" w:space="0" w:color="auto"/>
        <w:right w:val="none" w:sz="0" w:space="0" w:color="auto"/>
      </w:divBdr>
    </w:div>
    <w:div w:id="1855874132">
      <w:bodyDiv w:val="1"/>
      <w:marLeft w:val="0"/>
      <w:marRight w:val="0"/>
      <w:marTop w:val="0"/>
      <w:marBottom w:val="0"/>
      <w:divBdr>
        <w:top w:val="none" w:sz="0" w:space="0" w:color="auto"/>
        <w:left w:val="none" w:sz="0" w:space="0" w:color="auto"/>
        <w:bottom w:val="none" w:sz="0" w:space="0" w:color="auto"/>
        <w:right w:val="none" w:sz="0" w:space="0" w:color="auto"/>
      </w:divBdr>
    </w:div>
    <w:div w:id="1868448776">
      <w:bodyDiv w:val="1"/>
      <w:marLeft w:val="0"/>
      <w:marRight w:val="0"/>
      <w:marTop w:val="0"/>
      <w:marBottom w:val="0"/>
      <w:divBdr>
        <w:top w:val="none" w:sz="0" w:space="0" w:color="auto"/>
        <w:left w:val="none" w:sz="0" w:space="0" w:color="auto"/>
        <w:bottom w:val="none" w:sz="0" w:space="0" w:color="auto"/>
        <w:right w:val="none" w:sz="0" w:space="0" w:color="auto"/>
      </w:divBdr>
    </w:div>
    <w:div w:id="1877348570">
      <w:bodyDiv w:val="1"/>
      <w:marLeft w:val="0"/>
      <w:marRight w:val="0"/>
      <w:marTop w:val="0"/>
      <w:marBottom w:val="0"/>
      <w:divBdr>
        <w:top w:val="none" w:sz="0" w:space="0" w:color="auto"/>
        <w:left w:val="none" w:sz="0" w:space="0" w:color="auto"/>
        <w:bottom w:val="none" w:sz="0" w:space="0" w:color="auto"/>
        <w:right w:val="none" w:sz="0" w:space="0" w:color="auto"/>
      </w:divBdr>
    </w:div>
    <w:div w:id="1886677868">
      <w:bodyDiv w:val="1"/>
      <w:marLeft w:val="0"/>
      <w:marRight w:val="0"/>
      <w:marTop w:val="0"/>
      <w:marBottom w:val="0"/>
      <w:divBdr>
        <w:top w:val="none" w:sz="0" w:space="0" w:color="auto"/>
        <w:left w:val="none" w:sz="0" w:space="0" w:color="auto"/>
        <w:bottom w:val="none" w:sz="0" w:space="0" w:color="auto"/>
        <w:right w:val="none" w:sz="0" w:space="0" w:color="auto"/>
      </w:divBdr>
    </w:div>
    <w:div w:id="1892838988">
      <w:bodyDiv w:val="1"/>
      <w:marLeft w:val="0"/>
      <w:marRight w:val="0"/>
      <w:marTop w:val="0"/>
      <w:marBottom w:val="0"/>
      <w:divBdr>
        <w:top w:val="none" w:sz="0" w:space="0" w:color="auto"/>
        <w:left w:val="none" w:sz="0" w:space="0" w:color="auto"/>
        <w:bottom w:val="none" w:sz="0" w:space="0" w:color="auto"/>
        <w:right w:val="none" w:sz="0" w:space="0" w:color="auto"/>
      </w:divBdr>
    </w:div>
    <w:div w:id="1895195172">
      <w:bodyDiv w:val="1"/>
      <w:marLeft w:val="0"/>
      <w:marRight w:val="0"/>
      <w:marTop w:val="0"/>
      <w:marBottom w:val="0"/>
      <w:divBdr>
        <w:top w:val="none" w:sz="0" w:space="0" w:color="auto"/>
        <w:left w:val="none" w:sz="0" w:space="0" w:color="auto"/>
        <w:bottom w:val="none" w:sz="0" w:space="0" w:color="auto"/>
        <w:right w:val="none" w:sz="0" w:space="0" w:color="auto"/>
      </w:divBdr>
    </w:div>
    <w:div w:id="1914075536">
      <w:bodyDiv w:val="1"/>
      <w:marLeft w:val="0"/>
      <w:marRight w:val="0"/>
      <w:marTop w:val="0"/>
      <w:marBottom w:val="0"/>
      <w:divBdr>
        <w:top w:val="none" w:sz="0" w:space="0" w:color="auto"/>
        <w:left w:val="none" w:sz="0" w:space="0" w:color="auto"/>
        <w:bottom w:val="none" w:sz="0" w:space="0" w:color="auto"/>
        <w:right w:val="none" w:sz="0" w:space="0" w:color="auto"/>
      </w:divBdr>
    </w:div>
    <w:div w:id="1916013393">
      <w:bodyDiv w:val="1"/>
      <w:marLeft w:val="0"/>
      <w:marRight w:val="0"/>
      <w:marTop w:val="0"/>
      <w:marBottom w:val="0"/>
      <w:divBdr>
        <w:top w:val="none" w:sz="0" w:space="0" w:color="auto"/>
        <w:left w:val="none" w:sz="0" w:space="0" w:color="auto"/>
        <w:bottom w:val="none" w:sz="0" w:space="0" w:color="auto"/>
        <w:right w:val="none" w:sz="0" w:space="0" w:color="auto"/>
      </w:divBdr>
    </w:div>
    <w:div w:id="1942715862">
      <w:bodyDiv w:val="1"/>
      <w:marLeft w:val="0"/>
      <w:marRight w:val="0"/>
      <w:marTop w:val="0"/>
      <w:marBottom w:val="0"/>
      <w:divBdr>
        <w:top w:val="none" w:sz="0" w:space="0" w:color="auto"/>
        <w:left w:val="none" w:sz="0" w:space="0" w:color="auto"/>
        <w:bottom w:val="none" w:sz="0" w:space="0" w:color="auto"/>
        <w:right w:val="none" w:sz="0" w:space="0" w:color="auto"/>
      </w:divBdr>
    </w:div>
    <w:div w:id="1955474902">
      <w:bodyDiv w:val="1"/>
      <w:marLeft w:val="0"/>
      <w:marRight w:val="0"/>
      <w:marTop w:val="0"/>
      <w:marBottom w:val="0"/>
      <w:divBdr>
        <w:top w:val="none" w:sz="0" w:space="0" w:color="auto"/>
        <w:left w:val="none" w:sz="0" w:space="0" w:color="auto"/>
        <w:bottom w:val="none" w:sz="0" w:space="0" w:color="auto"/>
        <w:right w:val="none" w:sz="0" w:space="0" w:color="auto"/>
      </w:divBdr>
    </w:div>
    <w:div w:id="1977176015">
      <w:bodyDiv w:val="1"/>
      <w:marLeft w:val="0"/>
      <w:marRight w:val="0"/>
      <w:marTop w:val="0"/>
      <w:marBottom w:val="0"/>
      <w:divBdr>
        <w:top w:val="none" w:sz="0" w:space="0" w:color="auto"/>
        <w:left w:val="none" w:sz="0" w:space="0" w:color="auto"/>
        <w:bottom w:val="none" w:sz="0" w:space="0" w:color="auto"/>
        <w:right w:val="none" w:sz="0" w:space="0" w:color="auto"/>
      </w:divBdr>
    </w:div>
    <w:div w:id="1984115711">
      <w:bodyDiv w:val="1"/>
      <w:marLeft w:val="0"/>
      <w:marRight w:val="0"/>
      <w:marTop w:val="0"/>
      <w:marBottom w:val="0"/>
      <w:divBdr>
        <w:top w:val="none" w:sz="0" w:space="0" w:color="auto"/>
        <w:left w:val="none" w:sz="0" w:space="0" w:color="auto"/>
        <w:bottom w:val="none" w:sz="0" w:space="0" w:color="auto"/>
        <w:right w:val="none" w:sz="0" w:space="0" w:color="auto"/>
      </w:divBdr>
    </w:div>
    <w:div w:id="1991473929">
      <w:bodyDiv w:val="1"/>
      <w:marLeft w:val="0"/>
      <w:marRight w:val="0"/>
      <w:marTop w:val="0"/>
      <w:marBottom w:val="0"/>
      <w:divBdr>
        <w:top w:val="none" w:sz="0" w:space="0" w:color="auto"/>
        <w:left w:val="none" w:sz="0" w:space="0" w:color="auto"/>
        <w:bottom w:val="none" w:sz="0" w:space="0" w:color="auto"/>
        <w:right w:val="none" w:sz="0" w:space="0" w:color="auto"/>
      </w:divBdr>
    </w:div>
    <w:div w:id="2002733049">
      <w:bodyDiv w:val="1"/>
      <w:marLeft w:val="0"/>
      <w:marRight w:val="0"/>
      <w:marTop w:val="0"/>
      <w:marBottom w:val="0"/>
      <w:divBdr>
        <w:top w:val="none" w:sz="0" w:space="0" w:color="auto"/>
        <w:left w:val="none" w:sz="0" w:space="0" w:color="auto"/>
        <w:bottom w:val="none" w:sz="0" w:space="0" w:color="auto"/>
        <w:right w:val="none" w:sz="0" w:space="0" w:color="auto"/>
      </w:divBdr>
    </w:div>
    <w:div w:id="2028675888">
      <w:bodyDiv w:val="1"/>
      <w:marLeft w:val="0"/>
      <w:marRight w:val="0"/>
      <w:marTop w:val="0"/>
      <w:marBottom w:val="0"/>
      <w:divBdr>
        <w:top w:val="none" w:sz="0" w:space="0" w:color="auto"/>
        <w:left w:val="none" w:sz="0" w:space="0" w:color="auto"/>
        <w:bottom w:val="none" w:sz="0" w:space="0" w:color="auto"/>
        <w:right w:val="none" w:sz="0" w:space="0" w:color="auto"/>
      </w:divBdr>
    </w:div>
    <w:div w:id="2032687404">
      <w:bodyDiv w:val="1"/>
      <w:marLeft w:val="0"/>
      <w:marRight w:val="0"/>
      <w:marTop w:val="0"/>
      <w:marBottom w:val="0"/>
      <w:divBdr>
        <w:top w:val="none" w:sz="0" w:space="0" w:color="auto"/>
        <w:left w:val="none" w:sz="0" w:space="0" w:color="auto"/>
        <w:bottom w:val="none" w:sz="0" w:space="0" w:color="auto"/>
        <w:right w:val="none" w:sz="0" w:space="0" w:color="auto"/>
      </w:divBdr>
    </w:div>
    <w:div w:id="2037850242">
      <w:bodyDiv w:val="1"/>
      <w:marLeft w:val="0"/>
      <w:marRight w:val="0"/>
      <w:marTop w:val="0"/>
      <w:marBottom w:val="0"/>
      <w:divBdr>
        <w:top w:val="none" w:sz="0" w:space="0" w:color="auto"/>
        <w:left w:val="none" w:sz="0" w:space="0" w:color="auto"/>
        <w:bottom w:val="none" w:sz="0" w:space="0" w:color="auto"/>
        <w:right w:val="none" w:sz="0" w:space="0" w:color="auto"/>
      </w:divBdr>
    </w:div>
    <w:div w:id="2050061114">
      <w:bodyDiv w:val="1"/>
      <w:marLeft w:val="0"/>
      <w:marRight w:val="0"/>
      <w:marTop w:val="0"/>
      <w:marBottom w:val="0"/>
      <w:divBdr>
        <w:top w:val="none" w:sz="0" w:space="0" w:color="auto"/>
        <w:left w:val="none" w:sz="0" w:space="0" w:color="auto"/>
        <w:bottom w:val="none" w:sz="0" w:space="0" w:color="auto"/>
        <w:right w:val="none" w:sz="0" w:space="0" w:color="auto"/>
      </w:divBdr>
    </w:div>
    <w:div w:id="2053142875">
      <w:bodyDiv w:val="1"/>
      <w:marLeft w:val="0"/>
      <w:marRight w:val="0"/>
      <w:marTop w:val="0"/>
      <w:marBottom w:val="0"/>
      <w:divBdr>
        <w:top w:val="none" w:sz="0" w:space="0" w:color="auto"/>
        <w:left w:val="none" w:sz="0" w:space="0" w:color="auto"/>
        <w:bottom w:val="none" w:sz="0" w:space="0" w:color="auto"/>
        <w:right w:val="none" w:sz="0" w:space="0" w:color="auto"/>
      </w:divBdr>
    </w:div>
    <w:div w:id="2060780377">
      <w:bodyDiv w:val="1"/>
      <w:marLeft w:val="0"/>
      <w:marRight w:val="0"/>
      <w:marTop w:val="0"/>
      <w:marBottom w:val="0"/>
      <w:divBdr>
        <w:top w:val="none" w:sz="0" w:space="0" w:color="auto"/>
        <w:left w:val="none" w:sz="0" w:space="0" w:color="auto"/>
        <w:bottom w:val="none" w:sz="0" w:space="0" w:color="auto"/>
        <w:right w:val="none" w:sz="0" w:space="0" w:color="auto"/>
      </w:divBdr>
    </w:div>
    <w:div w:id="2065836799">
      <w:bodyDiv w:val="1"/>
      <w:marLeft w:val="0"/>
      <w:marRight w:val="0"/>
      <w:marTop w:val="0"/>
      <w:marBottom w:val="0"/>
      <w:divBdr>
        <w:top w:val="none" w:sz="0" w:space="0" w:color="auto"/>
        <w:left w:val="none" w:sz="0" w:space="0" w:color="auto"/>
        <w:bottom w:val="none" w:sz="0" w:space="0" w:color="auto"/>
        <w:right w:val="none" w:sz="0" w:space="0" w:color="auto"/>
      </w:divBdr>
    </w:div>
    <w:div w:id="2069958968">
      <w:bodyDiv w:val="1"/>
      <w:marLeft w:val="0"/>
      <w:marRight w:val="0"/>
      <w:marTop w:val="0"/>
      <w:marBottom w:val="0"/>
      <w:divBdr>
        <w:top w:val="none" w:sz="0" w:space="0" w:color="auto"/>
        <w:left w:val="none" w:sz="0" w:space="0" w:color="auto"/>
        <w:bottom w:val="none" w:sz="0" w:space="0" w:color="auto"/>
        <w:right w:val="none" w:sz="0" w:space="0" w:color="auto"/>
      </w:divBdr>
    </w:div>
    <w:div w:id="2070305335">
      <w:bodyDiv w:val="1"/>
      <w:marLeft w:val="0"/>
      <w:marRight w:val="0"/>
      <w:marTop w:val="0"/>
      <w:marBottom w:val="0"/>
      <w:divBdr>
        <w:top w:val="none" w:sz="0" w:space="0" w:color="auto"/>
        <w:left w:val="none" w:sz="0" w:space="0" w:color="auto"/>
        <w:bottom w:val="none" w:sz="0" w:space="0" w:color="auto"/>
        <w:right w:val="none" w:sz="0" w:space="0" w:color="auto"/>
      </w:divBdr>
    </w:div>
    <w:div w:id="2071147128">
      <w:bodyDiv w:val="1"/>
      <w:marLeft w:val="0"/>
      <w:marRight w:val="0"/>
      <w:marTop w:val="0"/>
      <w:marBottom w:val="0"/>
      <w:divBdr>
        <w:top w:val="none" w:sz="0" w:space="0" w:color="auto"/>
        <w:left w:val="none" w:sz="0" w:space="0" w:color="auto"/>
        <w:bottom w:val="none" w:sz="0" w:space="0" w:color="auto"/>
        <w:right w:val="none" w:sz="0" w:space="0" w:color="auto"/>
      </w:divBdr>
    </w:div>
    <w:div w:id="2071730821">
      <w:bodyDiv w:val="1"/>
      <w:marLeft w:val="0"/>
      <w:marRight w:val="0"/>
      <w:marTop w:val="0"/>
      <w:marBottom w:val="0"/>
      <w:divBdr>
        <w:top w:val="none" w:sz="0" w:space="0" w:color="auto"/>
        <w:left w:val="none" w:sz="0" w:space="0" w:color="auto"/>
        <w:bottom w:val="none" w:sz="0" w:space="0" w:color="auto"/>
        <w:right w:val="none" w:sz="0" w:space="0" w:color="auto"/>
      </w:divBdr>
    </w:div>
    <w:div w:id="2085057888">
      <w:bodyDiv w:val="1"/>
      <w:marLeft w:val="0"/>
      <w:marRight w:val="0"/>
      <w:marTop w:val="0"/>
      <w:marBottom w:val="0"/>
      <w:divBdr>
        <w:top w:val="none" w:sz="0" w:space="0" w:color="auto"/>
        <w:left w:val="none" w:sz="0" w:space="0" w:color="auto"/>
        <w:bottom w:val="none" w:sz="0" w:space="0" w:color="auto"/>
        <w:right w:val="none" w:sz="0" w:space="0" w:color="auto"/>
      </w:divBdr>
    </w:div>
    <w:div w:id="2114395949">
      <w:bodyDiv w:val="1"/>
      <w:marLeft w:val="0"/>
      <w:marRight w:val="0"/>
      <w:marTop w:val="0"/>
      <w:marBottom w:val="0"/>
      <w:divBdr>
        <w:top w:val="none" w:sz="0" w:space="0" w:color="auto"/>
        <w:left w:val="none" w:sz="0" w:space="0" w:color="auto"/>
        <w:bottom w:val="none" w:sz="0" w:space="0" w:color="auto"/>
        <w:right w:val="none" w:sz="0" w:space="0" w:color="auto"/>
      </w:divBdr>
    </w:div>
    <w:div w:id="2118483160">
      <w:bodyDiv w:val="1"/>
      <w:marLeft w:val="0"/>
      <w:marRight w:val="0"/>
      <w:marTop w:val="0"/>
      <w:marBottom w:val="0"/>
      <w:divBdr>
        <w:top w:val="none" w:sz="0" w:space="0" w:color="auto"/>
        <w:left w:val="none" w:sz="0" w:space="0" w:color="auto"/>
        <w:bottom w:val="none" w:sz="0" w:space="0" w:color="auto"/>
        <w:right w:val="none" w:sz="0" w:space="0" w:color="auto"/>
      </w:divBdr>
    </w:div>
    <w:div w:id="2119790572">
      <w:bodyDiv w:val="1"/>
      <w:marLeft w:val="0"/>
      <w:marRight w:val="0"/>
      <w:marTop w:val="0"/>
      <w:marBottom w:val="0"/>
      <w:divBdr>
        <w:top w:val="none" w:sz="0" w:space="0" w:color="auto"/>
        <w:left w:val="none" w:sz="0" w:space="0" w:color="auto"/>
        <w:bottom w:val="none" w:sz="0" w:space="0" w:color="auto"/>
        <w:right w:val="none" w:sz="0" w:space="0" w:color="auto"/>
      </w:divBdr>
    </w:div>
    <w:div w:id="2119903857">
      <w:bodyDiv w:val="1"/>
      <w:marLeft w:val="0"/>
      <w:marRight w:val="0"/>
      <w:marTop w:val="0"/>
      <w:marBottom w:val="0"/>
      <w:divBdr>
        <w:top w:val="none" w:sz="0" w:space="0" w:color="auto"/>
        <w:left w:val="none" w:sz="0" w:space="0" w:color="auto"/>
        <w:bottom w:val="none" w:sz="0" w:space="0" w:color="auto"/>
        <w:right w:val="none" w:sz="0" w:space="0" w:color="auto"/>
      </w:divBdr>
    </w:div>
    <w:div w:id="2120442709">
      <w:bodyDiv w:val="1"/>
      <w:marLeft w:val="0"/>
      <w:marRight w:val="0"/>
      <w:marTop w:val="0"/>
      <w:marBottom w:val="0"/>
      <w:divBdr>
        <w:top w:val="none" w:sz="0" w:space="0" w:color="auto"/>
        <w:left w:val="none" w:sz="0" w:space="0" w:color="auto"/>
        <w:bottom w:val="none" w:sz="0" w:space="0" w:color="auto"/>
        <w:right w:val="none" w:sz="0" w:space="0" w:color="auto"/>
      </w:divBdr>
    </w:div>
    <w:div w:id="2140107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orporateFinance@Surrey.pnn.police.uk" TargetMode="External"/><Relationship Id="rId18" Type="http://schemas.openxmlformats.org/officeDocument/2006/relationships/hyperlink" Target="http://www.surrey-pcc.gov.uk/wp-content/uploads/2016/05/Code-of-Conduct-DM-2016.pdf" TargetMode="External"/><Relationship Id="rId26" Type="http://schemas.openxmlformats.org/officeDocument/2006/relationships/hyperlink" Target="http://www.surrey-pcc.gov.uk/transparency/decisions/" TargetMode="External"/><Relationship Id="rId3" Type="http://schemas.openxmlformats.org/officeDocument/2006/relationships/styles" Target="styles.xml"/><Relationship Id="rId21" Type="http://schemas.openxmlformats.org/officeDocument/2006/relationships/hyperlink" Target="http://www.surrey-pcc.gov.uk/complaints/" TargetMode="External"/><Relationship Id="rId7" Type="http://schemas.openxmlformats.org/officeDocument/2006/relationships/endnotes" Target="endnotes.xml"/><Relationship Id="rId12" Type="http://schemas.openxmlformats.org/officeDocument/2006/relationships/hyperlink" Target="https://www.surrey-pcc.gov.uk/plan/" TargetMode="External"/><Relationship Id="rId17" Type="http://schemas.openxmlformats.org/officeDocument/2006/relationships/hyperlink" Target="http://www.surrey-pcc.gov.uk/wp-content/uploads/2016/08/Concordat.pdf" TargetMode="External"/><Relationship Id="rId25" Type="http://schemas.openxmlformats.org/officeDocument/2006/relationships/hyperlink" Target="http://www.surrey-pcc.gov.uk/transparency/key-responsibilities/" TargetMode="External"/><Relationship Id="rId2" Type="http://schemas.openxmlformats.org/officeDocument/2006/relationships/numbering" Target="numbering.xml"/><Relationship Id="rId16" Type="http://schemas.openxmlformats.org/officeDocument/2006/relationships/hyperlink" Target="http://www.surrey-pcc.gov.uk/plan/" TargetMode="External"/><Relationship Id="rId20" Type="http://schemas.openxmlformats.org/officeDocument/2006/relationships/hyperlink" Target="http://www.surrey-pcc.gov.uk/transparency/freedom-of-information/" TargetMode="External"/><Relationship Id="rId29" Type="http://schemas.openxmlformats.org/officeDocument/2006/relationships/hyperlink" Target="file://\\int\finance\Financedata\SHARED\Local%20Settings\Temporary%20Internet%20Files\KADWE_M\KADWE_M\Local%20Settings\Temporary%20Internet%20Files\Application%20Data\majer_s\Application%20Data\Microsoft\rowe_ms\Application%20Data\Microsoft\Year%20end%202011%2012\Year%20end%202011%2012\(Q)%20Statement%20of%20Accounts\Year%20end%202009%2010\Accounts%2009-10\(P)%20Statement%20of%20Accounts\www.cipfa.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funding.surrey-pcc.gov.uk/" TargetMode="External"/><Relationship Id="rId5" Type="http://schemas.openxmlformats.org/officeDocument/2006/relationships/webSettings" Target="webSettings.xml"/><Relationship Id="rId15" Type="http://schemas.openxmlformats.org/officeDocument/2006/relationships/hyperlink" Target="https://www.gov.uk/government/news/committee-calls-on-pcc-candidates-to-sign-up-to-ethical-checklist" TargetMode="External"/><Relationship Id="rId23" Type="http://schemas.openxmlformats.org/officeDocument/2006/relationships/hyperlink" Target="http://www.surrey-pcc.gov.uk/transparency/meetings-agendas/" TargetMode="External"/><Relationship Id="rId28" Type="http://schemas.openxmlformats.org/officeDocument/2006/relationships/hyperlink" Target="file://\\int\finance\Financedata\SHARED\Local%20Settings\Temporary%20Internet%20Files\KADWE_M\KADWE_M\Local%20Settings\Temporary%20Internet%20Files\Application%20Data\majer_s\Application%20Data\Microsoft\rowe_ms\Application%20Data\Microsoft\Year%20end%202011%2012\Year%20end%202011%2012\(Q)%20Statement%20of%20Accounts\Year%20end%202009%2010\Accounts%2009-10\(P)%20Statement%20of%20Accounts\www.cipfa.org.uk" TargetMode="External"/><Relationship Id="rId10" Type="http://schemas.openxmlformats.org/officeDocument/2006/relationships/footer" Target="footer1.xml"/><Relationship Id="rId19" Type="http://schemas.openxmlformats.org/officeDocument/2006/relationships/hyperlink" Target="http://www.surrey-pcc.gov.uk/about-your-pc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www.surrey-pcc.gov.uk/independent-custody-visiting/" TargetMode="External"/><Relationship Id="rId27" Type="http://schemas.openxmlformats.org/officeDocument/2006/relationships/hyperlink" Target="mailto:Kelvin.Menon@Surrey.pnn.police.uk"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rrey-pcc.gov.uk/wp-content/uploads/2020/07/1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67012-3DB8-42B9-8C3F-056FAE5D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35</Pages>
  <Words>48261</Words>
  <Characters>275092</Characters>
  <Application>Microsoft Office Word</Application>
  <DocSecurity>0</DocSecurity>
  <Lines>2292</Lines>
  <Paragraphs>645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 Thompson</dc:creator>
  <cp:lastModifiedBy>Kadwell Miranda 29434</cp:lastModifiedBy>
  <cp:revision>38</cp:revision>
  <cp:lastPrinted>2021-06-07T13:50:00Z</cp:lastPrinted>
  <dcterms:created xsi:type="dcterms:W3CDTF">2021-07-13T19:58:00Z</dcterms:created>
  <dcterms:modified xsi:type="dcterms:W3CDTF">2021-07-14T15:34:00Z</dcterms:modified>
</cp:coreProperties>
</file>